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3760" w:right="1360" w:hanging="3734"/>
        <w:spacing w:after="0" w:line="375" w:lineRule="auto"/>
        <w:tabs>
          <w:tab w:leader="none" w:pos="679"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October 31, 2020</w:t>
      </w:r>
    </w:p>
    <w:p>
      <w:pPr>
        <w:spacing w:after="0" w:line="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54"/>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17"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255"/>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84" w:lineRule="exact"/>
        <w:rPr>
          <w:sz w:val="24"/>
          <w:szCs w:val="24"/>
          <w:color w:val="auto"/>
        </w:rPr>
      </w:pPr>
    </w:p>
    <w:tbl>
      <w:tblPr>
        <w:tblLayout w:type="fixed"/>
        <w:tblInd w:w="1840" w:type="dxa"/>
        <w:tblCellMar>
          <w:top w:w="0" w:type="dxa"/>
          <w:left w:w="0" w:type="dxa"/>
          <w:bottom w:w="0" w:type="dxa"/>
          <w:right w:w="0" w:type="dxa"/>
        </w:tblCellMar>
      </w:tblPr>
      <w:tr>
        <w:trPr>
          <w:trHeight w:val="225"/>
        </w:trPr>
        <w:tc>
          <w:tcPr>
            <w:tcW w:w="4000" w:type="dxa"/>
            <w:vAlign w:val="bottom"/>
          </w:tcPr>
          <w:p>
            <w:pPr>
              <w:jc w:val="center"/>
              <w:ind w:right="2042"/>
              <w:spacing w:after="0"/>
              <w:rPr>
                <w:sz w:val="20"/>
                <w:szCs w:val="20"/>
                <w:color w:val="auto"/>
              </w:rPr>
            </w:pPr>
            <w:r>
              <w:rPr>
                <w:rFonts w:ascii="Arial" w:cs="Arial" w:eastAsia="Arial" w:hAnsi="Arial"/>
                <w:sz w:val="18"/>
                <w:szCs w:val="18"/>
                <w:b w:val="1"/>
                <w:bCs w:val="1"/>
                <w:color w:val="auto"/>
                <w:w w:val="92"/>
              </w:rPr>
              <w:t>Bermuda</w:t>
            </w:r>
          </w:p>
        </w:tc>
        <w:tc>
          <w:tcPr>
            <w:tcW w:w="3280" w:type="dxa"/>
            <w:vAlign w:val="bottom"/>
          </w:tcPr>
          <w:p>
            <w:pPr>
              <w:jc w:val="center"/>
              <w:ind w:left="2062"/>
              <w:spacing w:after="0"/>
              <w:rPr>
                <w:sz w:val="20"/>
                <w:szCs w:val="20"/>
                <w:color w:val="auto"/>
              </w:rPr>
            </w:pPr>
            <w:r>
              <w:rPr>
                <w:rFonts w:ascii="Arial" w:cs="Arial" w:eastAsia="Arial" w:hAnsi="Arial"/>
                <w:sz w:val="18"/>
                <w:szCs w:val="18"/>
                <w:b w:val="1"/>
                <w:bCs w:val="1"/>
                <w:color w:val="auto"/>
                <w:w w:val="89"/>
              </w:rPr>
              <w:t>77-0481679</w:t>
            </w:r>
          </w:p>
        </w:tc>
      </w:tr>
      <w:tr>
        <w:trPr>
          <w:trHeight w:val="144"/>
        </w:trPr>
        <w:tc>
          <w:tcPr>
            <w:tcW w:w="4000" w:type="dxa"/>
            <w:vAlign w:val="bottom"/>
          </w:tcPr>
          <w:p>
            <w:pPr>
              <w:jc w:val="center"/>
              <w:ind w:right="2042"/>
              <w:spacing w:after="0" w:line="145" w:lineRule="exact"/>
              <w:rPr>
                <w:sz w:val="20"/>
                <w:szCs w:val="20"/>
                <w:color w:val="auto"/>
              </w:rPr>
            </w:pPr>
            <w:r>
              <w:rPr>
                <w:rFonts w:ascii="Arial" w:cs="Arial" w:eastAsia="Arial" w:hAnsi="Arial"/>
                <w:sz w:val="14"/>
                <w:szCs w:val="14"/>
                <w:b w:val="1"/>
                <w:bCs w:val="1"/>
                <w:color w:val="auto"/>
                <w:w w:val="93"/>
              </w:rPr>
              <w:t>(State or other jurisdiction of</w:t>
            </w:r>
          </w:p>
        </w:tc>
        <w:tc>
          <w:tcPr>
            <w:tcW w:w="3280" w:type="dxa"/>
            <w:vAlign w:val="bottom"/>
          </w:tcPr>
          <w:p>
            <w:pPr>
              <w:jc w:val="center"/>
              <w:ind w:left="2042"/>
              <w:spacing w:after="0" w:line="145"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4"/>
              </w:rPr>
              <w:t>incorporation or organization)</w:t>
            </w:r>
          </w:p>
        </w:tc>
        <w:tc>
          <w:tcPr>
            <w:tcW w:w="3280" w:type="dxa"/>
            <w:vAlign w:val="bottom"/>
          </w:tcPr>
          <w:p>
            <w:pPr>
              <w:jc w:val="center"/>
              <w:ind w:left="206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Victoria Place, 5th Floor, 31 Victoria Street, Hamilton HM 10, Bermuda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294-8096</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70" w:lineRule="exact"/>
        <w:rPr>
          <w:sz w:val="24"/>
          <w:szCs w:val="24"/>
          <w:color w:val="auto"/>
        </w:rPr>
      </w:pPr>
    </w:p>
    <w:tbl>
      <w:tblPr>
        <w:tblLayout w:type="fixed"/>
        <w:tblInd w:w="140" w:type="dxa"/>
        <w:tblCellMar>
          <w:top w:w="0" w:type="dxa"/>
          <w:left w:w="0" w:type="dxa"/>
          <w:bottom w:w="0" w:type="dxa"/>
          <w:right w:w="0" w:type="dxa"/>
        </w:tblCellMar>
      </w:tblPr>
      <w:tr>
        <w:trPr>
          <w:trHeight w:val="213"/>
        </w:trPr>
        <w:tc>
          <w:tcPr>
            <w:tcW w:w="46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88"/>
              </w:rPr>
              <w:t>Title of each class</w:t>
            </w:r>
          </w:p>
        </w:tc>
        <w:tc>
          <w:tcPr>
            <w:tcW w:w="232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2"/>
              </w:rPr>
              <w:t>Trading Symbol(s)</w:t>
            </w:r>
          </w:p>
        </w:tc>
        <w:tc>
          <w:tcPr>
            <w:tcW w:w="406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227"/>
        </w:trPr>
        <w:tc>
          <w:tcPr>
            <w:tcW w:w="43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60" w:type="dxa"/>
            <w:vAlign w:val="bottom"/>
          </w:tcPr>
          <w:p>
            <w:pPr>
              <w:spacing w:after="0"/>
              <w:rPr>
                <w:sz w:val="19"/>
                <w:szCs w:val="19"/>
                <w:color w:val="auto"/>
              </w:rPr>
            </w:pPr>
          </w:p>
        </w:tc>
        <w:tc>
          <w:tcPr>
            <w:tcW w:w="20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93"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74"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76"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4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74" w:lineRule="exact"/>
        <w:rPr>
          <w:sz w:val="24"/>
          <w:szCs w:val="24"/>
          <w:color w:val="auto"/>
        </w:rPr>
      </w:pPr>
    </w:p>
    <w:p>
      <w:pPr>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42" w:lineRule="exact"/>
        <w:rPr>
          <w:sz w:val="24"/>
          <w:szCs w:val="24"/>
          <w:color w:val="auto"/>
        </w:rPr>
      </w:pPr>
    </w:p>
    <w:p>
      <w:pPr>
        <w:ind w:left="460" w:right="1340"/>
        <w:spacing w:after="0" w:line="294"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November 27, 2020 was 671.8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326390</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80" w:type="dxa"/>
            <w:vAlign w:val="bottom"/>
            <w:tcBorders>
              <w:bottom w:val="single" w:sz="8" w:color="auto"/>
            </w:tcBorders>
          </w:tcPr>
          <w:p>
            <w:pPr>
              <w:jc w:val="right"/>
              <w:ind w:right="51"/>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15"/>
        </w:trPr>
        <w:tc>
          <w:tcPr>
            <w:tcW w:w="9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660" w:type="dxa"/>
            <w:vAlign w:val="bottom"/>
            <w:gridSpan w:val="4"/>
          </w:tcPr>
          <w:p>
            <w:pPr>
              <w:jc w:val="center"/>
              <w:ind w:right="2400"/>
              <w:spacing w:after="0"/>
              <w:rPr>
                <w:rFonts w:ascii="Arial" w:cs="Arial" w:eastAsia="Arial" w:hAnsi="Arial"/>
                <w:sz w:val="18"/>
                <w:szCs w:val="18"/>
                <w:b w:val="1"/>
                <w:bCs w:val="1"/>
                <w:u w:val="single" w:color="auto"/>
                <w:color w:val="0000FF"/>
              </w:rPr>
            </w:pPr>
            <w:hyperlink w:anchor="page2">
              <w:r>
                <w:rPr>
                  <w:rFonts w:ascii="Arial" w:cs="Arial" w:eastAsia="Arial" w:hAnsi="Arial"/>
                  <w:sz w:val="18"/>
                  <w:szCs w:val="18"/>
                  <w:b w:val="1"/>
                  <w:bCs w:val="1"/>
                  <w:u w:val="single" w:color="auto"/>
                  <w:color w:val="0000FF"/>
                </w:rPr>
                <w:t>PART I. FINANCIAL INFORMATION</w:t>
              </w:r>
            </w:hyperlink>
          </w:p>
        </w:tc>
        <w:tc>
          <w:tcPr>
            <w:tcW w:w="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7"/>
          </w:tcPr>
          <w:p>
            <w:pPr>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Financial Statements:</w:t>
              </w:r>
            </w:hyperlink>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920" w:type="dxa"/>
            <w:vAlign w:val="bottom"/>
          </w:tcPr>
          <w:p>
            <w:pPr>
              <w:spacing w:after="0"/>
              <w:rPr>
                <w:sz w:val="19"/>
                <w:szCs w:val="19"/>
                <w:color w:val="auto"/>
              </w:rPr>
            </w:pPr>
          </w:p>
        </w:tc>
        <w:tc>
          <w:tcPr>
            <w:tcW w:w="9700" w:type="dxa"/>
            <w:vAlign w:val="bottom"/>
            <w:gridSpan w:val="7"/>
          </w:tcPr>
          <w:p>
            <w:pPr>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Unaudited Condensed Consolidated Balance Sheets as of October 31, 2020 and February 1, 2020</w:t>
              </w:r>
            </w:hyperlink>
          </w:p>
        </w:tc>
        <w:tc>
          <w:tcPr>
            <w:tcW w:w="580" w:type="dxa"/>
            <w:vAlign w:val="bottom"/>
          </w:tcPr>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2</w:t>
              </w:r>
            </w:hyperlink>
          </w:p>
        </w:tc>
        <w:tc>
          <w:tcPr>
            <w:tcW w:w="0" w:type="dxa"/>
            <w:vAlign w:val="bottom"/>
          </w:tcPr>
          <w:p>
            <w:pPr>
              <w:spacing w:after="0"/>
              <w:rPr>
                <w:sz w:val="1"/>
                <w:szCs w:val="1"/>
                <w:color w:val="auto"/>
              </w:rPr>
            </w:pPr>
          </w:p>
        </w:tc>
      </w:tr>
      <w:tr>
        <w:trPr>
          <w:trHeight w:val="190"/>
        </w:trPr>
        <w:tc>
          <w:tcPr>
            <w:tcW w:w="920" w:type="dxa"/>
            <w:vAlign w:val="bottom"/>
          </w:tcPr>
          <w:p>
            <w:pPr>
              <w:spacing w:after="0"/>
              <w:rPr>
                <w:sz w:val="16"/>
                <w:szCs w:val="16"/>
                <w:color w:val="auto"/>
              </w:rPr>
            </w:pPr>
          </w:p>
        </w:tc>
        <w:tc>
          <w:tcPr>
            <w:tcW w:w="9700" w:type="dxa"/>
            <w:vAlign w:val="bottom"/>
            <w:gridSpan w:val="7"/>
          </w:tcPr>
          <w:p>
            <w:pPr>
              <w:spacing w:after="0" w:line="190" w:lineRule="exact"/>
              <w:rPr>
                <w:rFonts w:ascii="Arial" w:cs="Arial" w:eastAsia="Arial" w:hAnsi="Arial"/>
                <w:sz w:val="18"/>
                <w:szCs w:val="18"/>
                <w:color w:val="0000FF"/>
                <w:w w:val="89"/>
              </w:rPr>
            </w:pPr>
            <w:hyperlink w:anchor="page3">
              <w:r>
                <w:rPr>
                  <w:rFonts w:ascii="Arial" w:cs="Arial" w:eastAsia="Arial" w:hAnsi="Arial"/>
                  <w:sz w:val="18"/>
                  <w:szCs w:val="18"/>
                  <w:color w:val="0000FF"/>
                  <w:w w:val="89"/>
                </w:rPr>
                <w:t>Unaudited Condensed Consolidated Statements of Operations for the three and nine months ended October 31, 2020 and November 2,</w:t>
              </w:r>
            </w:hyperlink>
          </w:p>
        </w:tc>
        <w:tc>
          <w:tcPr>
            <w:tcW w:w="580" w:type="dxa"/>
            <w:vAlign w:val="bottom"/>
            <w:vMerge w:val="restart"/>
          </w:tcPr>
          <w:p>
            <w:pPr>
              <w:jc w:val="right"/>
              <w:spacing w:after="0"/>
              <w:rPr>
                <w:rFonts w:ascii="Arial" w:cs="Arial" w:eastAsia="Arial" w:hAnsi="Arial"/>
                <w:sz w:val="18"/>
                <w:szCs w:val="18"/>
                <w:u w:val="single" w:color="auto"/>
                <w:color w:val="0000FF"/>
              </w:rPr>
            </w:pPr>
            <w:hyperlink w:anchor="page3">
              <w:r>
                <w:rPr>
                  <w:rFonts w:ascii="Arial" w:cs="Arial" w:eastAsia="Arial" w:hAnsi="Arial"/>
                  <w:sz w:val="18"/>
                  <w:szCs w:val="18"/>
                  <w:u w:val="single" w:color="auto"/>
                  <w:color w:val="0000FF"/>
                </w:rPr>
                <w:t>3</w:t>
              </w:r>
            </w:hyperlink>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w:anchor="page3">
              <w:r>
                <w:rPr>
                  <w:rFonts w:ascii="Arial" w:cs="Arial" w:eastAsia="Arial" w:hAnsi="Arial"/>
                  <w:sz w:val="18"/>
                  <w:szCs w:val="18"/>
                  <w:color w:val="0000FF"/>
                  <w:w w:val="84"/>
                </w:rPr>
                <w:t>2019</w:t>
              </w:r>
            </w:hyperlink>
          </w:p>
        </w:tc>
        <w:tc>
          <w:tcPr>
            <w:tcW w:w="980" w:type="dxa"/>
            <w:vAlign w:val="bottom"/>
            <w:tcBorders>
              <w:top w:val="single" w:sz="8" w:color="0000FF"/>
            </w:tcBorders>
          </w:tcPr>
          <w:p>
            <w:pPr>
              <w:spacing w:after="0"/>
              <w:rPr>
                <w:sz w:val="13"/>
                <w:szCs w:val="13"/>
                <w:color w:val="auto"/>
              </w:rPr>
            </w:pPr>
          </w:p>
        </w:tc>
        <w:tc>
          <w:tcPr>
            <w:tcW w:w="700" w:type="dxa"/>
            <w:vAlign w:val="bottom"/>
            <w:tcBorders>
              <w:top w:val="single" w:sz="8" w:color="0000FF"/>
            </w:tcBorders>
          </w:tcPr>
          <w:p>
            <w:pPr>
              <w:spacing w:after="0"/>
              <w:rPr>
                <w:sz w:val="13"/>
                <w:szCs w:val="13"/>
                <w:color w:val="auto"/>
              </w:rPr>
            </w:pPr>
          </w:p>
        </w:tc>
        <w:tc>
          <w:tcPr>
            <w:tcW w:w="73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60" w:type="dxa"/>
            <w:vAlign w:val="bottom"/>
            <w:tcBorders>
              <w:top w:val="single" w:sz="8" w:color="0000FF"/>
            </w:tcBorders>
          </w:tcPr>
          <w:p>
            <w:pPr>
              <w:spacing w:after="0"/>
              <w:rPr>
                <w:sz w:val="13"/>
                <w:szCs w:val="13"/>
                <w:color w:val="auto"/>
              </w:rPr>
            </w:pPr>
          </w:p>
        </w:tc>
        <w:tc>
          <w:tcPr>
            <w:tcW w:w="40" w:type="dxa"/>
            <w:vAlign w:val="bottom"/>
          </w:tcPr>
          <w:p>
            <w:pPr>
              <w:spacing w:after="0"/>
              <w:rPr>
                <w:sz w:val="13"/>
                <w:szCs w:val="13"/>
                <w:color w:val="auto"/>
              </w:rPr>
            </w:pPr>
          </w:p>
        </w:tc>
        <w:tc>
          <w:tcPr>
            <w:tcW w:w="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7"/>
          </w:tcPr>
          <w:p>
            <w:pPr>
              <w:spacing w:after="0"/>
              <w:rPr>
                <w:rFonts w:ascii="Arial" w:cs="Arial" w:eastAsia="Arial" w:hAnsi="Arial"/>
                <w:sz w:val="18"/>
                <w:szCs w:val="18"/>
                <w:color w:val="0000FF"/>
                <w:w w:val="92"/>
              </w:rPr>
            </w:pPr>
            <w:hyperlink w:anchor="page4">
              <w:r>
                <w:rPr>
                  <w:rFonts w:ascii="Arial" w:cs="Arial" w:eastAsia="Arial" w:hAnsi="Arial"/>
                  <w:sz w:val="18"/>
                  <w:szCs w:val="18"/>
                  <w:color w:val="0000FF"/>
                  <w:w w:val="92"/>
                </w:rPr>
                <w:t>Unaudited Condensed Consolidated Statements of Comprehensive Income (Loss) for the three and nine months ended October 31,</w:t>
              </w:r>
            </w:hyperlink>
          </w:p>
        </w:tc>
        <w:tc>
          <w:tcPr>
            <w:tcW w:w="580" w:type="dxa"/>
            <w:vAlign w:val="bottom"/>
            <w:vMerge w:val="restart"/>
          </w:tcPr>
          <w:p>
            <w:pPr>
              <w:jc w:val="right"/>
              <w:spacing w:after="0"/>
              <w:rPr>
                <w:rFonts w:ascii="Arial" w:cs="Arial" w:eastAsia="Arial" w:hAnsi="Arial"/>
                <w:sz w:val="18"/>
                <w:szCs w:val="18"/>
                <w:u w:val="single" w:color="auto"/>
                <w:color w:val="0000FF"/>
              </w:rPr>
            </w:pPr>
            <w:hyperlink w:anchor="page4">
              <w:r>
                <w:rPr>
                  <w:rFonts w:ascii="Arial" w:cs="Arial" w:eastAsia="Arial" w:hAnsi="Arial"/>
                  <w:sz w:val="18"/>
                  <w:szCs w:val="18"/>
                  <w:u w:val="single" w:color="auto"/>
                  <w:color w:val="0000FF"/>
                </w:rPr>
                <w:t>4</w:t>
              </w:r>
            </w:hyperlink>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9400" w:type="dxa"/>
            <w:vAlign w:val="bottom"/>
            <w:tcBorders>
              <w:top w:val="single" w:sz="8" w:color="0000FF"/>
            </w:tcBorders>
            <w:gridSpan w:val="5"/>
          </w:tcPr>
          <w:p>
            <w:pPr>
              <w:spacing w:after="0" w:line="156" w:lineRule="exact"/>
              <w:rPr>
                <w:rFonts w:ascii="Arial" w:cs="Arial" w:eastAsia="Arial" w:hAnsi="Arial"/>
                <w:sz w:val="18"/>
                <w:szCs w:val="18"/>
                <w:color w:val="0000FF"/>
              </w:rPr>
            </w:pPr>
            <w:hyperlink w:anchor="page4">
              <w:r>
                <w:rPr>
                  <w:rFonts w:ascii="Arial" w:cs="Arial" w:eastAsia="Arial" w:hAnsi="Arial"/>
                  <w:sz w:val="18"/>
                  <w:szCs w:val="18"/>
                  <w:color w:val="0000FF"/>
                </w:rPr>
                <w:t>2020 and November 2, 2019</w:t>
              </w:r>
            </w:hyperlink>
          </w:p>
        </w:tc>
        <w:tc>
          <w:tcPr>
            <w:tcW w:w="300" w:type="dxa"/>
            <w:vAlign w:val="bottom"/>
            <w:gridSpan w:val="2"/>
          </w:tcPr>
          <w:p>
            <w:pPr>
              <w:spacing w:after="0"/>
              <w:rPr>
                <w:sz w:val="13"/>
                <w:szCs w:val="13"/>
                <w:color w:val="auto"/>
              </w:rPr>
            </w:pPr>
          </w:p>
        </w:tc>
        <w:tc>
          <w:tcPr>
            <w:tcW w:w="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340" w:type="dxa"/>
            <w:vAlign w:val="bottom"/>
            <w:gridSpan w:val="2"/>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7340" w:type="dxa"/>
            <w:vAlign w:val="bottom"/>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7"/>
          </w:tcPr>
          <w:p>
            <w:pPr>
              <w:spacing w:after="0"/>
              <w:rPr>
                <w:rFonts w:ascii="Arial" w:cs="Arial" w:eastAsia="Arial" w:hAnsi="Arial"/>
                <w:sz w:val="18"/>
                <w:szCs w:val="18"/>
                <w:color w:val="0000FF"/>
                <w:w w:val="92"/>
              </w:rPr>
            </w:pPr>
            <w:hyperlink w:anchor="page5">
              <w:r>
                <w:rPr>
                  <w:rFonts w:ascii="Arial" w:cs="Arial" w:eastAsia="Arial" w:hAnsi="Arial"/>
                  <w:sz w:val="18"/>
                  <w:szCs w:val="18"/>
                  <w:color w:val="0000FF"/>
                  <w:w w:val="92"/>
                </w:rPr>
                <w:t>Unaudited Condensed Consolidated Statements of Shareholders' Equity for the three and nine months ended October 31, 2020 and</w:t>
              </w:r>
            </w:hyperlink>
          </w:p>
        </w:tc>
        <w:tc>
          <w:tcPr>
            <w:tcW w:w="580" w:type="dxa"/>
            <w:vAlign w:val="bottom"/>
            <w:vMerge w:val="restart"/>
          </w:tcPr>
          <w:p>
            <w:pPr>
              <w:jc w:val="right"/>
              <w:spacing w:after="0"/>
              <w:rPr>
                <w:rFonts w:ascii="Arial" w:cs="Arial" w:eastAsia="Arial" w:hAnsi="Arial"/>
                <w:sz w:val="18"/>
                <w:szCs w:val="18"/>
                <w:u w:val="single" w:color="auto"/>
                <w:color w:val="0000FF"/>
              </w:rPr>
            </w:pPr>
            <w:hyperlink w:anchor="page5">
              <w:r>
                <w:rPr>
                  <w:rFonts w:ascii="Arial" w:cs="Arial" w:eastAsia="Arial" w:hAnsi="Arial"/>
                  <w:sz w:val="18"/>
                  <w:szCs w:val="18"/>
                  <w:u w:val="single" w:color="auto"/>
                  <w:color w:val="0000FF"/>
                </w:rPr>
                <w:t>5</w:t>
              </w:r>
            </w:hyperlink>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134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9"/>
              </w:rPr>
            </w:pPr>
            <w:hyperlink w:anchor="page5">
              <w:r>
                <w:rPr>
                  <w:rFonts w:ascii="Arial" w:cs="Arial" w:eastAsia="Arial" w:hAnsi="Arial"/>
                  <w:sz w:val="18"/>
                  <w:szCs w:val="18"/>
                  <w:color w:val="0000FF"/>
                  <w:w w:val="89"/>
                </w:rPr>
                <w:t>November 2, 2019</w:t>
              </w:r>
            </w:hyperlink>
          </w:p>
        </w:tc>
        <w:tc>
          <w:tcPr>
            <w:tcW w:w="8040" w:type="dxa"/>
            <w:vAlign w:val="bottom"/>
            <w:tcBorders>
              <w:top w:val="single" w:sz="8" w:color="0000FF"/>
            </w:tcBorders>
            <w:gridSpan w:val="2"/>
          </w:tcPr>
          <w:p>
            <w:pPr>
              <w:spacing w:after="0"/>
              <w:rPr>
                <w:sz w:val="13"/>
                <w:szCs w:val="13"/>
                <w:color w:val="auto"/>
              </w:rPr>
            </w:pPr>
          </w:p>
        </w:tc>
        <w:tc>
          <w:tcPr>
            <w:tcW w:w="320" w:type="dxa"/>
            <w:vAlign w:val="bottom"/>
            <w:gridSpan w:val="3"/>
          </w:tcPr>
          <w:p>
            <w:pPr>
              <w:spacing w:after="0"/>
              <w:rPr>
                <w:sz w:val="13"/>
                <w:szCs w:val="13"/>
                <w:color w:val="auto"/>
              </w:rPr>
            </w:pPr>
          </w:p>
        </w:tc>
        <w:tc>
          <w:tcPr>
            <w:tcW w:w="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49"/>
        </w:trPr>
        <w:tc>
          <w:tcPr>
            <w:tcW w:w="920" w:type="dxa"/>
            <w:vAlign w:val="bottom"/>
          </w:tcPr>
          <w:p>
            <w:pPr>
              <w:spacing w:after="0"/>
              <w:rPr>
                <w:sz w:val="21"/>
                <w:szCs w:val="21"/>
                <w:color w:val="auto"/>
              </w:rPr>
            </w:pPr>
          </w:p>
        </w:tc>
        <w:tc>
          <w:tcPr>
            <w:tcW w:w="9700" w:type="dxa"/>
            <w:vAlign w:val="bottom"/>
            <w:gridSpan w:val="7"/>
          </w:tcPr>
          <w:p>
            <w:pPr>
              <w:spacing w:after="0"/>
              <w:rPr>
                <w:rFonts w:ascii="Arial" w:cs="Arial" w:eastAsia="Arial" w:hAnsi="Arial"/>
                <w:sz w:val="18"/>
                <w:szCs w:val="18"/>
                <w:u w:val="single" w:color="auto"/>
                <w:color w:val="0000FF"/>
                <w:w w:val="92"/>
              </w:rPr>
            </w:pPr>
            <w:hyperlink w:anchor="page7">
              <w:r>
                <w:rPr>
                  <w:rFonts w:ascii="Arial" w:cs="Arial" w:eastAsia="Arial" w:hAnsi="Arial"/>
                  <w:sz w:val="18"/>
                  <w:szCs w:val="18"/>
                  <w:u w:val="single" w:color="auto"/>
                  <w:color w:val="0000FF"/>
                  <w:w w:val="92"/>
                </w:rPr>
                <w:t>Unaudited Condensed Consolidated Statements of Cash Flows for the nine months ended October 31, 2020 and November 2, 2019</w:t>
              </w:r>
            </w:hyperlink>
          </w:p>
        </w:tc>
        <w:tc>
          <w:tcPr>
            <w:tcW w:w="580" w:type="dxa"/>
            <w:vAlign w:val="bottom"/>
          </w:tcPr>
          <w:p>
            <w:pPr>
              <w:jc w:val="right"/>
              <w:spacing w:after="0"/>
              <w:rPr>
                <w:rFonts w:ascii="Arial" w:cs="Arial" w:eastAsia="Arial" w:hAnsi="Arial"/>
                <w:sz w:val="18"/>
                <w:szCs w:val="18"/>
                <w:u w:val="single" w:color="auto"/>
                <w:color w:val="0000FF"/>
              </w:rPr>
            </w:pPr>
            <w:hyperlink w:anchor="page7">
              <w:r>
                <w:rPr>
                  <w:rFonts w:ascii="Arial" w:cs="Arial" w:eastAsia="Arial" w:hAnsi="Arial"/>
                  <w:sz w:val="18"/>
                  <w:szCs w:val="18"/>
                  <w:u w:val="single" w:color="auto"/>
                  <w:color w:val="0000FF"/>
                </w:rPr>
                <w:t>7</w:t>
              </w:r>
            </w:hyperlink>
          </w:p>
        </w:tc>
        <w:tc>
          <w:tcPr>
            <w:tcW w:w="0" w:type="dxa"/>
            <w:vAlign w:val="bottom"/>
          </w:tcPr>
          <w:p>
            <w:pPr>
              <w:spacing w:after="0"/>
              <w:rPr>
                <w:sz w:val="1"/>
                <w:szCs w:val="1"/>
                <w:color w:val="auto"/>
              </w:rPr>
            </w:pPr>
          </w:p>
        </w:tc>
      </w:tr>
      <w:tr>
        <w:trPr>
          <w:trHeight w:val="230"/>
        </w:trPr>
        <w:tc>
          <w:tcPr>
            <w:tcW w:w="920" w:type="dxa"/>
            <w:vAlign w:val="bottom"/>
          </w:tcPr>
          <w:p>
            <w:pPr>
              <w:spacing w:after="0"/>
              <w:rPr>
                <w:sz w:val="19"/>
                <w:szCs w:val="19"/>
                <w:color w:val="auto"/>
              </w:rPr>
            </w:pPr>
          </w:p>
        </w:tc>
        <w:tc>
          <w:tcPr>
            <w:tcW w:w="9700" w:type="dxa"/>
            <w:vAlign w:val="bottom"/>
            <w:gridSpan w:val="7"/>
          </w:tcPr>
          <w:p>
            <w:pPr>
              <w:spacing w:after="0"/>
              <w:rPr>
                <w:rFonts w:ascii="Arial" w:cs="Arial" w:eastAsia="Arial" w:hAnsi="Arial"/>
                <w:sz w:val="18"/>
                <w:szCs w:val="18"/>
                <w:u w:val="single" w:color="auto"/>
                <w:color w:val="0000FF"/>
              </w:rPr>
            </w:pPr>
            <w:hyperlink w:anchor="page8">
              <w:r>
                <w:rPr>
                  <w:rFonts w:ascii="Arial" w:cs="Arial" w:eastAsia="Arial" w:hAnsi="Arial"/>
                  <w:sz w:val="18"/>
                  <w:szCs w:val="18"/>
                  <w:u w:val="single" w:color="auto"/>
                  <w:color w:val="0000FF"/>
                </w:rPr>
                <w:t>Notes to Unaudited Condensed Consolidated Financial Statements</w:t>
              </w:r>
            </w:hyperlink>
          </w:p>
        </w:tc>
        <w:tc>
          <w:tcPr>
            <w:tcW w:w="580" w:type="dxa"/>
            <w:vAlign w:val="bottom"/>
          </w:tcPr>
          <w:p>
            <w:pPr>
              <w:jc w:val="right"/>
              <w:spacing w:after="0"/>
              <w:rPr>
                <w:rFonts w:ascii="Arial" w:cs="Arial" w:eastAsia="Arial" w:hAnsi="Arial"/>
                <w:sz w:val="18"/>
                <w:szCs w:val="18"/>
                <w:u w:val="single" w:color="auto"/>
                <w:color w:val="0000FF"/>
              </w:rPr>
            </w:pPr>
            <w:hyperlink w:anchor="page8">
              <w:r>
                <w:rPr>
                  <w:rFonts w:ascii="Arial" w:cs="Arial" w:eastAsia="Arial" w:hAnsi="Arial"/>
                  <w:sz w:val="18"/>
                  <w:szCs w:val="18"/>
                  <w:u w:val="single" w:color="auto"/>
                  <w:color w:val="0000FF"/>
                </w:rPr>
                <w:t>8</w:t>
              </w:r>
            </w:hyperlink>
          </w:p>
        </w:tc>
        <w:tc>
          <w:tcPr>
            <w:tcW w:w="0" w:type="dxa"/>
            <w:vAlign w:val="bottom"/>
          </w:tcPr>
          <w:p>
            <w:pPr>
              <w:spacing w:after="0"/>
              <w:rPr>
                <w:sz w:val="1"/>
                <w:szCs w:val="1"/>
                <w:color w:val="auto"/>
              </w:rPr>
            </w:pP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7"/>
          </w:tcPr>
          <w:p>
            <w:pPr>
              <w:spacing w:after="0"/>
              <w:rPr>
                <w:rFonts w:ascii="Arial" w:cs="Arial" w:eastAsia="Arial" w:hAnsi="Arial"/>
                <w:sz w:val="18"/>
                <w:szCs w:val="18"/>
                <w:u w:val="single" w:color="auto"/>
                <w:color w:val="0000FF"/>
              </w:rPr>
            </w:pPr>
            <w:hyperlink w:anchor="page25">
              <w:r>
                <w:rPr>
                  <w:rFonts w:ascii="Arial" w:cs="Arial" w:eastAsia="Arial" w:hAnsi="Arial"/>
                  <w:sz w:val="18"/>
                  <w:szCs w:val="18"/>
                  <w:u w:val="single" w:color="auto"/>
                  <w:color w:val="0000FF"/>
                </w:rPr>
                <w:t>Management’s Discussion and Analysis of Financial Condition and Results of Operations</w:t>
              </w:r>
            </w:hyperlink>
          </w:p>
        </w:tc>
        <w:tc>
          <w:tcPr>
            <w:tcW w:w="580" w:type="dxa"/>
            <w:vAlign w:val="bottom"/>
          </w:tcPr>
          <w:p>
            <w:pPr>
              <w:jc w:val="right"/>
              <w:spacing w:after="0"/>
              <w:rPr>
                <w:rFonts w:ascii="Arial" w:cs="Arial" w:eastAsia="Arial" w:hAnsi="Arial"/>
                <w:sz w:val="18"/>
                <w:szCs w:val="18"/>
                <w:u w:val="single" w:color="auto"/>
                <w:color w:val="0000FF"/>
              </w:rPr>
            </w:pPr>
            <w:hyperlink w:anchor="page25">
              <w:r>
                <w:rPr>
                  <w:rFonts w:ascii="Arial" w:cs="Arial" w:eastAsia="Arial" w:hAnsi="Arial"/>
                  <w:sz w:val="18"/>
                  <w:szCs w:val="18"/>
                  <w:u w:val="single" w:color="auto"/>
                  <w:color w:val="0000FF"/>
                </w:rPr>
                <w:t>25</w:t>
              </w:r>
            </w:hyperlink>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9700" w:type="dxa"/>
            <w:vAlign w:val="bottom"/>
            <w:gridSpan w:val="7"/>
          </w:tcPr>
          <w:p>
            <w:pPr>
              <w:spacing w:after="0"/>
              <w:rPr>
                <w:rFonts w:ascii="Arial" w:cs="Arial" w:eastAsia="Arial" w:hAnsi="Arial"/>
                <w:sz w:val="18"/>
                <w:szCs w:val="18"/>
                <w:u w:val="single" w:color="auto"/>
                <w:color w:val="0000FF"/>
              </w:rPr>
            </w:pPr>
            <w:hyperlink w:anchor="page35">
              <w:r>
                <w:rPr>
                  <w:rFonts w:ascii="Arial" w:cs="Arial" w:eastAsia="Arial" w:hAnsi="Arial"/>
                  <w:sz w:val="18"/>
                  <w:szCs w:val="18"/>
                  <w:u w:val="single" w:color="auto"/>
                  <w:color w:val="0000FF"/>
                </w:rPr>
                <w:t>Quantitative and Qualitative Disclosures About Market Risk</w:t>
              </w:r>
            </w:hyperlink>
          </w:p>
        </w:tc>
        <w:tc>
          <w:tcPr>
            <w:tcW w:w="580" w:type="dxa"/>
            <w:vAlign w:val="bottom"/>
          </w:tcPr>
          <w:p>
            <w:pPr>
              <w:jc w:val="right"/>
              <w:spacing w:after="0"/>
              <w:rPr>
                <w:rFonts w:ascii="Arial" w:cs="Arial" w:eastAsia="Arial" w:hAnsi="Arial"/>
                <w:sz w:val="18"/>
                <w:szCs w:val="18"/>
                <w:u w:val="single" w:color="auto"/>
                <w:color w:val="0000FF"/>
              </w:rPr>
            </w:pPr>
            <w:hyperlink w:anchor="page35">
              <w:r>
                <w:rPr>
                  <w:rFonts w:ascii="Arial" w:cs="Arial" w:eastAsia="Arial" w:hAnsi="Arial"/>
                  <w:sz w:val="18"/>
                  <w:szCs w:val="18"/>
                  <w:u w:val="single" w:color="auto"/>
                  <w:color w:val="0000FF"/>
                </w:rPr>
                <w:t>34</w:t>
              </w:r>
            </w:hyperlink>
          </w:p>
        </w:tc>
        <w:tc>
          <w:tcPr>
            <w:tcW w:w="0" w:type="dxa"/>
            <w:vAlign w:val="bottom"/>
          </w:tcPr>
          <w:p>
            <w:pPr>
              <w:spacing w:after="0"/>
              <w:rPr>
                <w:sz w:val="1"/>
                <w:szCs w:val="1"/>
                <w:color w:val="auto"/>
              </w:rPr>
            </w:pPr>
          </w:p>
        </w:tc>
      </w:tr>
      <w:tr>
        <w:trPr>
          <w:trHeight w:val="225"/>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9700" w:type="dxa"/>
            <w:vAlign w:val="bottom"/>
            <w:gridSpan w:val="7"/>
          </w:tcPr>
          <w:p>
            <w:pPr>
              <w:spacing w:after="0"/>
              <w:rPr>
                <w:rFonts w:ascii="Arial" w:cs="Arial" w:eastAsia="Arial" w:hAnsi="Arial"/>
                <w:sz w:val="18"/>
                <w:szCs w:val="18"/>
                <w:u w:val="single" w:color="auto"/>
                <w:color w:val="0000FF"/>
              </w:rPr>
            </w:pPr>
            <w:hyperlink w:anchor="page36">
              <w:r>
                <w:rPr>
                  <w:rFonts w:ascii="Arial" w:cs="Arial" w:eastAsia="Arial" w:hAnsi="Arial"/>
                  <w:sz w:val="18"/>
                  <w:szCs w:val="18"/>
                  <w:u w:val="single" w:color="auto"/>
                  <w:color w:val="0000FF"/>
                </w:rPr>
                <w:t>Controls and Procedures</w:t>
              </w:r>
            </w:hyperlink>
          </w:p>
        </w:tc>
        <w:tc>
          <w:tcPr>
            <w:tcW w:w="580" w:type="dxa"/>
            <w:vAlign w:val="bottom"/>
          </w:tcPr>
          <w:p>
            <w:pPr>
              <w:jc w:val="right"/>
              <w:spacing w:after="0"/>
              <w:rPr>
                <w:rFonts w:ascii="Arial" w:cs="Arial" w:eastAsia="Arial" w:hAnsi="Arial"/>
                <w:sz w:val="18"/>
                <w:szCs w:val="18"/>
                <w:u w:val="single" w:color="auto"/>
                <w:color w:val="0000FF"/>
              </w:rPr>
            </w:pPr>
            <w:hyperlink w:anchor="page36">
              <w:r>
                <w:rPr>
                  <w:rFonts w:ascii="Arial" w:cs="Arial" w:eastAsia="Arial" w:hAnsi="Arial"/>
                  <w:sz w:val="18"/>
                  <w:szCs w:val="18"/>
                  <w:u w:val="single" w:color="auto"/>
                  <w:color w:val="0000FF"/>
                </w:rPr>
                <w:t>35</w:t>
              </w:r>
            </w:hyperlink>
          </w:p>
        </w:tc>
        <w:tc>
          <w:tcPr>
            <w:tcW w:w="0" w:type="dxa"/>
            <w:vAlign w:val="bottom"/>
          </w:tcPr>
          <w:p>
            <w:pPr>
              <w:spacing w:after="0"/>
              <w:rPr>
                <w:sz w:val="1"/>
                <w:szCs w:val="1"/>
                <w:color w:val="auto"/>
              </w:rPr>
            </w:pPr>
          </w:p>
        </w:tc>
      </w:tr>
      <w:tr>
        <w:trPr>
          <w:trHeight w:val="233"/>
        </w:trPr>
        <w:tc>
          <w:tcPr>
            <w:tcW w:w="9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660" w:type="dxa"/>
            <w:vAlign w:val="bottom"/>
            <w:gridSpan w:val="4"/>
          </w:tcPr>
          <w:p>
            <w:pPr>
              <w:jc w:val="center"/>
              <w:ind w:right="2400"/>
              <w:spacing w:after="0"/>
              <w:rPr>
                <w:rFonts w:ascii="Arial" w:cs="Arial" w:eastAsia="Arial" w:hAnsi="Arial"/>
                <w:sz w:val="18"/>
                <w:szCs w:val="18"/>
                <w:b w:val="1"/>
                <w:bCs w:val="1"/>
                <w:u w:val="single" w:color="auto"/>
                <w:color w:val="0000FF"/>
              </w:rPr>
            </w:pPr>
            <w:hyperlink w:anchor="page36">
              <w:r>
                <w:rPr>
                  <w:rFonts w:ascii="Arial" w:cs="Arial" w:eastAsia="Arial" w:hAnsi="Arial"/>
                  <w:sz w:val="18"/>
                  <w:szCs w:val="18"/>
                  <w:b w:val="1"/>
                  <w:bCs w:val="1"/>
                  <w:u w:val="single" w:color="auto"/>
                  <w:color w:val="0000FF"/>
                </w:rPr>
                <w:t>PART II. OTHER INFORMATION</w:t>
              </w:r>
            </w:hyperlink>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7"/>
          </w:tcPr>
          <w:p>
            <w:pPr>
              <w:spacing w:after="0"/>
              <w:rPr>
                <w:rFonts w:ascii="Arial" w:cs="Arial" w:eastAsia="Arial" w:hAnsi="Arial"/>
                <w:sz w:val="18"/>
                <w:szCs w:val="18"/>
                <w:u w:val="single" w:color="auto"/>
                <w:color w:val="0000FF"/>
              </w:rPr>
            </w:pPr>
            <w:hyperlink w:anchor="page37">
              <w:r>
                <w:rPr>
                  <w:rFonts w:ascii="Arial" w:cs="Arial" w:eastAsia="Arial" w:hAnsi="Arial"/>
                  <w:sz w:val="18"/>
                  <w:szCs w:val="18"/>
                  <w:u w:val="single" w:color="auto"/>
                  <w:color w:val="0000FF"/>
                </w:rPr>
                <w:t>Legal Proceedings</w:t>
              </w:r>
            </w:hyperlink>
          </w:p>
        </w:tc>
        <w:tc>
          <w:tcPr>
            <w:tcW w:w="580" w:type="dxa"/>
            <w:vAlign w:val="bottom"/>
          </w:tcPr>
          <w:p>
            <w:pPr>
              <w:jc w:val="right"/>
              <w:spacing w:after="0"/>
              <w:rPr>
                <w:rFonts w:ascii="Arial" w:cs="Arial" w:eastAsia="Arial" w:hAnsi="Arial"/>
                <w:sz w:val="18"/>
                <w:szCs w:val="18"/>
                <w:u w:val="single" w:color="auto"/>
                <w:color w:val="0000FF"/>
              </w:rPr>
            </w:pPr>
            <w:hyperlink w:anchor="page37">
              <w:r>
                <w:rPr>
                  <w:rFonts w:ascii="Arial" w:cs="Arial" w:eastAsia="Arial" w:hAnsi="Arial"/>
                  <w:sz w:val="18"/>
                  <w:szCs w:val="18"/>
                  <w:u w:val="single" w:color="auto"/>
                  <w:color w:val="0000FF"/>
                </w:rPr>
                <w:t>36</w:t>
              </w:r>
            </w:hyperlink>
          </w:p>
        </w:tc>
        <w:tc>
          <w:tcPr>
            <w:tcW w:w="0" w:type="dxa"/>
            <w:vAlign w:val="bottom"/>
          </w:tcPr>
          <w:p>
            <w:pPr>
              <w:spacing w:after="0"/>
              <w:rPr>
                <w:sz w:val="1"/>
                <w:szCs w:val="1"/>
                <w:color w:val="auto"/>
              </w:rPr>
            </w:pP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700" w:type="dxa"/>
            <w:vAlign w:val="bottom"/>
            <w:gridSpan w:val="7"/>
          </w:tcPr>
          <w:p>
            <w:pPr>
              <w:spacing w:after="0"/>
              <w:rPr>
                <w:rFonts w:ascii="Arial" w:cs="Arial" w:eastAsia="Arial" w:hAnsi="Arial"/>
                <w:sz w:val="18"/>
                <w:szCs w:val="18"/>
                <w:u w:val="single" w:color="auto"/>
                <w:color w:val="0000FF"/>
              </w:rPr>
            </w:pPr>
            <w:hyperlink w:anchor="page37">
              <w:r>
                <w:rPr>
                  <w:rFonts w:ascii="Arial" w:cs="Arial" w:eastAsia="Arial" w:hAnsi="Arial"/>
                  <w:sz w:val="18"/>
                  <w:szCs w:val="18"/>
                  <w:u w:val="single" w:color="auto"/>
                  <w:color w:val="0000FF"/>
                </w:rPr>
                <w:t>Risk Factors</w:t>
              </w:r>
            </w:hyperlink>
          </w:p>
        </w:tc>
        <w:tc>
          <w:tcPr>
            <w:tcW w:w="580" w:type="dxa"/>
            <w:vAlign w:val="bottom"/>
          </w:tcPr>
          <w:p>
            <w:pPr>
              <w:jc w:val="right"/>
              <w:spacing w:after="0"/>
              <w:rPr>
                <w:rFonts w:ascii="Arial" w:cs="Arial" w:eastAsia="Arial" w:hAnsi="Arial"/>
                <w:sz w:val="18"/>
                <w:szCs w:val="18"/>
                <w:u w:val="single" w:color="auto"/>
                <w:color w:val="0000FF"/>
              </w:rPr>
            </w:pPr>
            <w:hyperlink w:anchor="page37">
              <w:r>
                <w:rPr>
                  <w:rFonts w:ascii="Arial" w:cs="Arial" w:eastAsia="Arial" w:hAnsi="Arial"/>
                  <w:sz w:val="18"/>
                  <w:szCs w:val="18"/>
                  <w:u w:val="single" w:color="auto"/>
                  <w:color w:val="0000FF"/>
                </w:rPr>
                <w:t>36</w:t>
              </w:r>
            </w:hyperlink>
          </w:p>
        </w:tc>
        <w:tc>
          <w:tcPr>
            <w:tcW w:w="0" w:type="dxa"/>
            <w:vAlign w:val="bottom"/>
          </w:tcPr>
          <w:p>
            <w:pPr>
              <w:spacing w:after="0"/>
              <w:rPr>
                <w:sz w:val="1"/>
                <w:szCs w:val="1"/>
                <w:color w:val="auto"/>
              </w:rPr>
            </w:pP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7"/>
          </w:tcPr>
          <w:p>
            <w:pPr>
              <w:spacing w:after="0"/>
              <w:rPr>
                <w:rFonts w:ascii="Arial" w:cs="Arial" w:eastAsia="Arial" w:hAnsi="Arial"/>
                <w:sz w:val="18"/>
                <w:szCs w:val="18"/>
                <w:u w:val="single" w:color="auto"/>
                <w:color w:val="0000FF"/>
              </w:rPr>
            </w:pPr>
            <w:hyperlink w:anchor="page63">
              <w:r>
                <w:rPr>
                  <w:rFonts w:ascii="Arial" w:cs="Arial" w:eastAsia="Arial" w:hAnsi="Arial"/>
                  <w:sz w:val="18"/>
                  <w:szCs w:val="18"/>
                  <w:u w:val="single" w:color="auto"/>
                  <w:color w:val="0000FF"/>
                </w:rPr>
                <w:t>Unregistered Sales of Equity Securities and Use of Proceeds</w:t>
              </w:r>
            </w:hyperlink>
          </w:p>
        </w:tc>
        <w:tc>
          <w:tcPr>
            <w:tcW w:w="580" w:type="dxa"/>
            <w:vAlign w:val="bottom"/>
          </w:tcPr>
          <w:p>
            <w:pPr>
              <w:jc w:val="right"/>
              <w:spacing w:after="0"/>
              <w:rPr>
                <w:rFonts w:ascii="Arial" w:cs="Arial" w:eastAsia="Arial" w:hAnsi="Arial"/>
                <w:sz w:val="18"/>
                <w:szCs w:val="18"/>
                <w:u w:val="single" w:color="auto"/>
                <w:color w:val="0000FF"/>
              </w:rPr>
            </w:pPr>
            <w:hyperlink w:anchor="page63">
              <w:r>
                <w:rPr>
                  <w:rFonts w:ascii="Arial" w:cs="Arial" w:eastAsia="Arial" w:hAnsi="Arial"/>
                  <w:sz w:val="18"/>
                  <w:szCs w:val="18"/>
                  <w:u w:val="single" w:color="auto"/>
                  <w:color w:val="0000FF"/>
                </w:rPr>
                <w:t>62</w:t>
              </w:r>
            </w:hyperlink>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Item 5.</w:t>
            </w:r>
          </w:p>
        </w:tc>
        <w:tc>
          <w:tcPr>
            <w:tcW w:w="9700" w:type="dxa"/>
            <w:vAlign w:val="bottom"/>
            <w:gridSpan w:val="7"/>
          </w:tcPr>
          <w:p>
            <w:pPr>
              <w:spacing w:after="0"/>
              <w:rPr>
                <w:rFonts w:ascii="Arial" w:cs="Arial" w:eastAsia="Arial" w:hAnsi="Arial"/>
                <w:sz w:val="18"/>
                <w:szCs w:val="18"/>
                <w:u w:val="single" w:color="auto"/>
                <w:color w:val="0000FF"/>
              </w:rPr>
            </w:pPr>
            <w:hyperlink w:anchor="page63">
              <w:r>
                <w:rPr>
                  <w:rFonts w:ascii="Arial" w:cs="Arial" w:eastAsia="Arial" w:hAnsi="Arial"/>
                  <w:sz w:val="18"/>
                  <w:szCs w:val="18"/>
                  <w:u w:val="single" w:color="auto"/>
                  <w:color w:val="0000FF"/>
                </w:rPr>
                <w:t>Other Information</w:t>
              </w:r>
            </w:hyperlink>
          </w:p>
        </w:tc>
        <w:tc>
          <w:tcPr>
            <w:tcW w:w="580" w:type="dxa"/>
            <w:vAlign w:val="bottom"/>
          </w:tcPr>
          <w:p>
            <w:pPr>
              <w:jc w:val="right"/>
              <w:spacing w:after="0"/>
              <w:rPr>
                <w:rFonts w:ascii="Arial" w:cs="Arial" w:eastAsia="Arial" w:hAnsi="Arial"/>
                <w:sz w:val="18"/>
                <w:szCs w:val="18"/>
                <w:u w:val="single" w:color="auto"/>
                <w:color w:val="0000FF"/>
              </w:rPr>
            </w:pPr>
            <w:hyperlink w:anchor="page63">
              <w:r>
                <w:rPr>
                  <w:rFonts w:ascii="Arial" w:cs="Arial" w:eastAsia="Arial" w:hAnsi="Arial"/>
                  <w:sz w:val="18"/>
                  <w:szCs w:val="18"/>
                  <w:u w:val="single" w:color="auto"/>
                  <w:color w:val="0000FF"/>
                </w:rPr>
                <w:t>63</w:t>
              </w:r>
            </w:hyperlink>
          </w:p>
        </w:tc>
        <w:tc>
          <w:tcPr>
            <w:tcW w:w="0" w:type="dxa"/>
            <w:vAlign w:val="bottom"/>
          </w:tcPr>
          <w:p>
            <w:pPr>
              <w:spacing w:after="0"/>
              <w:rPr>
                <w:sz w:val="1"/>
                <w:szCs w:val="1"/>
                <w:color w:val="auto"/>
              </w:rPr>
            </w:pP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9700" w:type="dxa"/>
            <w:vAlign w:val="bottom"/>
            <w:gridSpan w:val="7"/>
          </w:tcPr>
          <w:p>
            <w:pPr>
              <w:spacing w:after="0"/>
              <w:rPr>
                <w:rFonts w:ascii="Arial" w:cs="Arial" w:eastAsia="Arial" w:hAnsi="Arial"/>
                <w:sz w:val="18"/>
                <w:szCs w:val="18"/>
                <w:u w:val="single" w:color="auto"/>
                <w:color w:val="0000FF"/>
              </w:rPr>
            </w:pPr>
            <w:hyperlink w:anchor="page64">
              <w:r>
                <w:rPr>
                  <w:rFonts w:ascii="Arial" w:cs="Arial" w:eastAsia="Arial" w:hAnsi="Arial"/>
                  <w:sz w:val="18"/>
                  <w:szCs w:val="18"/>
                  <w:u w:val="single" w:color="auto"/>
                  <w:color w:val="0000FF"/>
                </w:rPr>
                <w:t>Exhibits</w:t>
              </w:r>
            </w:hyperlink>
          </w:p>
        </w:tc>
        <w:tc>
          <w:tcPr>
            <w:tcW w:w="580" w:type="dxa"/>
            <w:vAlign w:val="bottom"/>
          </w:tcPr>
          <w:p>
            <w:pPr>
              <w:jc w:val="right"/>
              <w:spacing w:after="0"/>
              <w:rPr>
                <w:rFonts w:ascii="Arial" w:cs="Arial" w:eastAsia="Arial" w:hAnsi="Arial"/>
                <w:sz w:val="18"/>
                <w:szCs w:val="18"/>
                <w:u w:val="single" w:color="auto"/>
                <w:color w:val="0000FF"/>
              </w:rPr>
            </w:pPr>
            <w:hyperlink w:anchor="page64">
              <w:r>
                <w:rPr>
                  <w:rFonts w:ascii="Arial" w:cs="Arial" w:eastAsia="Arial" w:hAnsi="Arial"/>
                  <w:sz w:val="18"/>
                  <w:szCs w:val="18"/>
                  <w:u w:val="single" w:color="auto"/>
                  <w:color w:val="0000FF"/>
                </w:rPr>
                <w:t>64</w:t>
              </w:r>
            </w:hyperlink>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9700" w:type="dxa"/>
            <w:vAlign w:val="bottom"/>
            <w:gridSpan w:val="7"/>
          </w:tcPr>
          <w:p>
            <w:pPr>
              <w:spacing w:after="0"/>
              <w:rPr>
                <w:rFonts w:ascii="Arial" w:cs="Arial" w:eastAsia="Arial" w:hAnsi="Arial"/>
                <w:sz w:val="18"/>
                <w:szCs w:val="18"/>
                <w:u w:val="single" w:color="auto"/>
                <w:color w:val="0000FF"/>
              </w:rPr>
            </w:pPr>
            <w:hyperlink w:anchor="page65">
              <w:r>
                <w:rPr>
                  <w:rFonts w:ascii="Arial" w:cs="Arial" w:eastAsia="Arial" w:hAnsi="Arial"/>
                  <w:sz w:val="18"/>
                  <w:szCs w:val="18"/>
                  <w:u w:val="single" w:color="auto"/>
                  <w:color w:val="0000FF"/>
                </w:rPr>
                <w:t>Signatures</w:t>
              </w:r>
            </w:hyperlink>
          </w:p>
        </w:tc>
        <w:tc>
          <w:tcPr>
            <w:tcW w:w="580" w:type="dxa"/>
            <w:vAlign w:val="bottom"/>
          </w:tcPr>
          <w:p>
            <w:pPr>
              <w:jc w:val="right"/>
              <w:spacing w:after="0"/>
              <w:rPr>
                <w:rFonts w:ascii="Arial" w:cs="Arial" w:eastAsia="Arial" w:hAnsi="Arial"/>
                <w:sz w:val="18"/>
                <w:szCs w:val="18"/>
                <w:u w:val="single" w:color="auto"/>
                <w:color w:val="0000FF"/>
              </w:rPr>
            </w:pPr>
            <w:hyperlink w:anchor="page65">
              <w:r>
                <w:rPr>
                  <w:rFonts w:ascii="Arial" w:cs="Arial" w:eastAsia="Arial" w:hAnsi="Arial"/>
                  <w:sz w:val="18"/>
                  <w:szCs w:val="18"/>
                  <w:u w:val="single" w:color="auto"/>
                  <w:color w:val="0000FF"/>
                </w:rPr>
                <w:t>65</w:t>
              </w:r>
            </w:hyperlink>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31,</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r>
      <w:tr>
        <w:trPr>
          <w:trHeight w:val="211"/>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832,041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490,271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492,346</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268,396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322,980</w:t>
            </w:r>
          </w:p>
        </w:tc>
      </w:tr>
      <w:tr>
        <w:trPr>
          <w:trHeight w:val="229"/>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68,618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74,567</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1,659,326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1,537,497</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331,769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357,092</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5,336,356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5,337,405</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2,380,382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2,764,600</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646,837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639,791</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470,102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496,850</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10,824,772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29"/>
        </w:trPr>
        <w:tc>
          <w:tcPr>
            <w:tcW w:w="3620" w:type="dxa"/>
            <w:vAlign w:val="bottom"/>
            <w:shd w:val="clear" w:color="auto" w:fill="CCEEFF"/>
          </w:tcPr>
          <w:p>
            <w:pPr>
              <w:spacing w:after="0"/>
              <w:rPr>
                <w:sz w:val="19"/>
                <w:szCs w:val="19"/>
                <w:color w:val="auto"/>
              </w:rPr>
            </w:pPr>
          </w:p>
        </w:tc>
        <w:tc>
          <w:tcPr>
            <w:tcW w:w="4880" w:type="dxa"/>
            <w:vAlign w:val="bottom"/>
            <w:gridSpan w:val="2"/>
            <w:shd w:val="clear" w:color="auto" w:fill="CCEEFF"/>
          </w:tcPr>
          <w:p>
            <w:pPr>
              <w:jc w:val="right"/>
              <w:ind w:right="830"/>
              <w:spacing w:after="0"/>
              <w:rPr>
                <w:sz w:val="20"/>
                <w:szCs w:val="20"/>
                <w:color w:val="auto"/>
              </w:rPr>
            </w:pPr>
            <w:r>
              <w:rPr>
                <w:rFonts w:ascii="Arial" w:cs="Arial" w:eastAsia="Arial" w:hAnsi="Arial"/>
                <w:sz w:val="18"/>
                <w:szCs w:val="18"/>
                <w:b w:val="1"/>
                <w:bCs w:val="1"/>
                <w:color w:val="auto"/>
              </w:rPr>
              <w:t>LIABILITIES AND SHAREHOLDERS’ EQUITY</w:t>
            </w: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224,112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213,747</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406,986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346,639</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187,982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149,780</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349,004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1,168,084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710,166</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992,801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1,439,024</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274,270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2,435,155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2,454,655</w:t>
            </w:r>
          </w:p>
        </w:tc>
      </w:tr>
      <w:tr>
        <w:trPr>
          <w:trHeight w:val="20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Shareholders’ equity:</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shares, $0.002 par value</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6,260,906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6,135,939</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2,127,368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shareholders’ equity</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8,389,617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8,678,580</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2"/>
              </w:rPr>
              <w:t>Total liabilities and shareholders’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10,824,772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2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2"/>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52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0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2"/>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2"/>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5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2019</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662,470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1,981,490</w:t>
            </w:r>
          </w:p>
        </w:tc>
      </w:tr>
      <w:tr>
        <w:trPr>
          <w:trHeight w:val="229"/>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369,083</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322,403</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1,103,863</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929,293</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381,060</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340,067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1,067,218</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1,052,197</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255,637</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267,781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812,360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801,002</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115,501</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118,993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350,322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342,988</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14,802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161,189</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37,070</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390,450</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401,576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1,323,871</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1,181,060</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(9,390)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(61,509)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(256,653)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(128,863)</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608</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2,243</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3,437</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(16,066)</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(21,241)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(48,531)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(62,975)</w:t>
            </w:r>
          </w:p>
        </w:tc>
      </w:tr>
      <w:tr>
        <w:trPr>
          <w:trHeight w:val="230"/>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income (loss), net</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3,613</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(1,624)</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(15,159)</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(19,460)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(42,675)</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(61,162)</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(24,549)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(80,969)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(299,328)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(190,025)</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(5,494)</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(1,743)</w:t>
            </w:r>
          </w:p>
        </w:tc>
      </w:tr>
      <w:tr>
        <w:trPr>
          <w:trHeight w:val="196"/>
        </w:trPr>
        <w:tc>
          <w:tcPr>
            <w:tcW w:w="5200" w:type="dxa"/>
            <w:vAlign w:val="bottom"/>
          </w:tcPr>
          <w:p>
            <w:pPr>
              <w:ind w:left="20"/>
              <w:spacing w:after="0" w:line="196" w:lineRule="exact"/>
              <w:rPr>
                <w:sz w:val="20"/>
                <w:szCs w:val="20"/>
                <w:color w:val="auto"/>
              </w:rPr>
            </w:pPr>
            <w:r>
              <w:rPr>
                <w:rFonts w:ascii="Arial" w:cs="Arial" w:eastAsia="Arial" w:hAnsi="Arial"/>
                <w:sz w:val="18"/>
                <w:szCs w:val="18"/>
                <w:color w:val="auto"/>
              </w:rPr>
              <w:t>Net loss</w:t>
            </w:r>
          </w:p>
        </w:tc>
        <w:tc>
          <w:tcPr>
            <w:tcW w:w="24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(22,908)</w:t>
            </w:r>
          </w:p>
        </w:tc>
        <w:tc>
          <w:tcPr>
            <w:tcW w:w="120" w:type="dxa"/>
            <w:vAlign w:val="bottom"/>
          </w:tcPr>
          <w:p>
            <w:pPr>
              <w:spacing w:after="0"/>
              <w:rPr>
                <w:sz w:val="17"/>
                <w:szCs w:val="17"/>
                <w:color w:val="auto"/>
              </w:rPr>
            </w:pPr>
          </w:p>
        </w:tc>
        <w:tc>
          <w:tcPr>
            <w:tcW w:w="200" w:type="dxa"/>
            <w:vAlign w:val="bottom"/>
            <w:tcBorders>
              <w:bottom w:val="single" w:sz="8" w:color="auto"/>
            </w:tcBorders>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(82,501)</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(293,834)</w:t>
            </w:r>
          </w:p>
        </w:tc>
        <w:tc>
          <w:tcPr>
            <w:tcW w:w="100" w:type="dxa"/>
            <w:vAlign w:val="bottom"/>
          </w:tcPr>
          <w:p>
            <w:pPr>
              <w:spacing w:after="0"/>
              <w:rPr>
                <w:sz w:val="17"/>
                <w:szCs w:val="17"/>
                <w:color w:val="auto"/>
              </w:rPr>
            </w:pPr>
          </w:p>
        </w:tc>
        <w:tc>
          <w:tcPr>
            <w:tcW w:w="220" w:type="dxa"/>
            <w:vAlign w:val="bottom"/>
            <w:tcBorders>
              <w:bottom w:val="single" w:sz="8" w:color="auto"/>
            </w:tcBorders>
          </w:tcPr>
          <w:p>
            <w:pPr>
              <w:jc w:val="right"/>
              <w:ind w:right="10"/>
              <w:spacing w:after="0" w:line="196" w:lineRule="exact"/>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(188,282)</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12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(0.44)</w:t>
            </w:r>
          </w:p>
        </w:tc>
        <w:tc>
          <w:tcPr>
            <w:tcW w:w="1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(0.28)</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12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(0.44)</w:t>
            </w:r>
          </w:p>
        </w:tc>
        <w:tc>
          <w:tcPr>
            <w:tcW w:w="1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(0.28)</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20" w:type="dxa"/>
            <w:vAlign w:val="bottom"/>
            <w:shd w:val="clear" w:color="auto" w:fill="CCEEFF"/>
          </w:tcPr>
          <w:p>
            <w:pPr>
              <w:spacing w:after="0"/>
              <w:rPr>
                <w:sz w:val="20"/>
                <w:szCs w:val="20"/>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55"/>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670,487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668,178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667,186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667,184</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5200" w:type="dxa"/>
            <w:vAlign w:val="bottom"/>
          </w:tcPr>
          <w:p>
            <w:pPr>
              <w:ind w:left="360"/>
              <w:spacing w:after="0" w:line="203" w:lineRule="exact"/>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670,487</w:t>
            </w:r>
          </w:p>
        </w:tc>
        <w:tc>
          <w:tcPr>
            <w:tcW w:w="12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668,178</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667,186</w:t>
            </w:r>
          </w:p>
        </w:tc>
        <w:tc>
          <w:tcPr>
            <w:tcW w:w="10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667,184</w:t>
            </w:r>
          </w:p>
        </w:tc>
      </w:tr>
      <w:tr>
        <w:trPr>
          <w:trHeight w:val="20"/>
        </w:trPr>
        <w:tc>
          <w:tcPr>
            <w:tcW w:w="52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2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6"/>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52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0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6"/>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6"/>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5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8"/>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(82,501)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(293,834)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(188,282)</w:t>
            </w: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cash flow hedges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top w:val="single" w:sz="8" w:color="auto"/>
              <w:bottom w:val="single" w:sz="8" w:color="auto"/>
            </w:tcBorders>
          </w:tcPr>
          <w:p>
            <w:pPr>
              <w:spacing w:after="0"/>
              <w:rPr>
                <w:sz w:val="19"/>
                <w:szCs w:val="19"/>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20" w:type="dxa"/>
            <w:vAlign w:val="bottom"/>
            <w:tcBorders>
              <w:bottom w:val="single" w:sz="8" w:color="CCEEFF"/>
            </w:tcBorders>
          </w:tcPr>
          <w:p>
            <w:pPr>
              <w:spacing w:after="0"/>
              <w:rPr>
                <w:sz w:val="19"/>
                <w:szCs w:val="19"/>
                <w:color w:val="auto"/>
              </w:rPr>
            </w:pPr>
          </w:p>
        </w:tc>
        <w:tc>
          <w:tcPr>
            <w:tcW w:w="200" w:type="dxa"/>
            <w:vAlign w:val="bottom"/>
            <w:tcBorders>
              <w:top w:val="single" w:sz="8" w:color="auto"/>
              <w:bottom w:val="single" w:sz="8" w:color="auto"/>
            </w:tcBorders>
          </w:tcPr>
          <w:p>
            <w:pPr>
              <w:spacing w:after="0"/>
              <w:rPr>
                <w:sz w:val="19"/>
                <w:szCs w:val="19"/>
                <w:color w:val="auto"/>
              </w:rPr>
            </w:pP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w:t>
            </w:r>
          </w:p>
        </w:tc>
        <w:tc>
          <w:tcPr>
            <w:tcW w:w="10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ind w:left="94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220" w:type="dxa"/>
            <w:vAlign w:val="bottom"/>
            <w:tcBorders>
              <w:top w:val="single" w:sz="8" w:color="auto"/>
              <w:bottom w:val="single" w:sz="8" w:color="auto"/>
            </w:tcBorders>
          </w:tcPr>
          <w:p>
            <w:pPr>
              <w:spacing w:after="0"/>
              <w:rPr>
                <w:sz w:val="19"/>
                <w:szCs w:val="19"/>
                <w:color w:val="auto"/>
              </w:rPr>
            </w:pP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(23,358)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(82,464)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(293,834)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(188,245)</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80" w:type="dxa"/>
            <w:vAlign w:val="bottom"/>
          </w:tcPr>
          <w:p>
            <w:pPr>
              <w:spacing w:after="0"/>
              <w:rPr>
                <w:sz w:val="16"/>
                <w:szCs w:val="16"/>
                <w:color w:val="auto"/>
              </w:rPr>
            </w:pPr>
          </w:p>
        </w:tc>
        <w:tc>
          <w:tcPr>
            <w:tcW w:w="2160" w:type="dxa"/>
            <w:vAlign w:val="bottom"/>
            <w:gridSpan w:val="5"/>
          </w:tcPr>
          <w:p>
            <w:pPr>
              <w:ind w:left="540"/>
              <w:spacing w:after="0"/>
              <w:rPr>
                <w:sz w:val="20"/>
                <w:szCs w:val="20"/>
                <w:color w:val="auto"/>
              </w:rPr>
            </w:pPr>
            <w:r>
              <w:rPr>
                <w:rFonts w:ascii="Arial" w:cs="Arial" w:eastAsia="Arial" w:hAnsi="Arial"/>
                <w:sz w:val="14"/>
                <w:szCs w:val="14"/>
                <w:b w:val="1"/>
                <w:bCs w:val="1"/>
                <w:color w:val="auto"/>
              </w:rPr>
              <w:t>Common Stock</w:t>
            </w:r>
          </w:p>
        </w:tc>
        <w:tc>
          <w:tcPr>
            <w:tcW w:w="20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98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132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5"/>
              </w:rPr>
              <w:t>Additional Paid-</w:t>
            </w:r>
          </w:p>
        </w:tc>
        <w:tc>
          <w:tcPr>
            <w:tcW w:w="1480" w:type="dxa"/>
            <w:vAlign w:val="bottom"/>
            <w:gridSpan w:val="3"/>
          </w:tcPr>
          <w:p>
            <w:pPr>
              <w:jc w:val="center"/>
              <w:ind w:right="140"/>
              <w:spacing w:after="0" w:line="135" w:lineRule="exact"/>
              <w:rPr>
                <w:sz w:val="20"/>
                <w:szCs w:val="20"/>
                <w:color w:val="auto"/>
              </w:rPr>
            </w:pPr>
            <w:r>
              <w:rPr>
                <w:rFonts w:ascii="Arial" w:cs="Arial" w:eastAsia="Arial" w:hAnsi="Arial"/>
                <w:sz w:val="14"/>
                <w:szCs w:val="14"/>
                <w:b w:val="1"/>
                <w:bCs w:val="1"/>
                <w:color w:val="auto"/>
                <w:w w:val="94"/>
              </w:rPr>
              <w:t>Accumulated Other</w:t>
            </w:r>
          </w:p>
        </w:tc>
        <w:tc>
          <w:tcPr>
            <w:tcW w:w="3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1120" w:type="dxa"/>
            <w:vAlign w:val="bottom"/>
            <w:gridSpan w:val="2"/>
            <w:vMerge w:val="restart"/>
          </w:tcPr>
          <w:p>
            <w:pPr>
              <w:ind w:left="28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1"/>
                <w:szCs w:val="11"/>
                <w:color w:val="auto"/>
              </w:rPr>
            </w:pPr>
          </w:p>
        </w:tc>
        <w:tc>
          <w:tcPr>
            <w:tcW w:w="8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20" w:type="dxa"/>
            <w:vAlign w:val="bottom"/>
            <w:gridSpan w:val="3"/>
            <w:vMerge w:val="continue"/>
          </w:tcPr>
          <w:p>
            <w:pPr>
              <w:spacing w:after="0"/>
              <w:rPr>
                <w:sz w:val="11"/>
                <w:szCs w:val="11"/>
                <w:color w:val="auto"/>
              </w:rPr>
            </w:pPr>
          </w:p>
        </w:tc>
        <w:tc>
          <w:tcPr>
            <w:tcW w:w="160" w:type="dxa"/>
            <w:vAlign w:val="bottom"/>
          </w:tcPr>
          <w:p>
            <w:pPr>
              <w:spacing w:after="0"/>
              <w:rPr>
                <w:sz w:val="11"/>
                <w:szCs w:val="11"/>
                <w:color w:val="auto"/>
              </w:rPr>
            </w:pPr>
          </w:p>
        </w:tc>
        <w:tc>
          <w:tcPr>
            <w:tcW w:w="13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1"/>
              </w:rPr>
              <w:t>Comprehensive</w:t>
            </w:r>
          </w:p>
        </w:tc>
        <w:tc>
          <w:tcPr>
            <w:tcW w:w="140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Retained Earnings</w:t>
            </w:r>
          </w:p>
        </w:tc>
        <w:tc>
          <w:tcPr>
            <w:tcW w:w="300" w:type="dxa"/>
            <w:vAlign w:val="bottom"/>
          </w:tcPr>
          <w:p>
            <w:pPr>
              <w:spacing w:after="0"/>
              <w:rPr>
                <w:sz w:val="11"/>
                <w:szCs w:val="11"/>
                <w:color w:val="auto"/>
              </w:rPr>
            </w:pPr>
          </w:p>
        </w:tc>
        <w:tc>
          <w:tcPr>
            <w:tcW w:w="1000" w:type="dxa"/>
            <w:vAlign w:val="bottom"/>
            <w:vMerge w:val="restart"/>
          </w:tcPr>
          <w:p>
            <w:pPr>
              <w:jc w:val="right"/>
              <w:ind w:right="41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580" w:type="dxa"/>
            <w:vAlign w:val="bottom"/>
          </w:tcPr>
          <w:p>
            <w:pPr>
              <w:spacing w:after="0"/>
              <w:rPr>
                <w:sz w:val="16"/>
                <w:szCs w:val="16"/>
                <w:color w:val="auto"/>
              </w:rPr>
            </w:pPr>
          </w:p>
        </w:tc>
        <w:tc>
          <w:tcPr>
            <w:tcW w:w="112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8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1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rPr>
              <w:t>in-Capital</w:t>
            </w:r>
          </w:p>
        </w:tc>
        <w:tc>
          <w:tcPr>
            <w:tcW w:w="160" w:type="dxa"/>
            <w:vAlign w:val="bottom"/>
          </w:tcPr>
          <w:p>
            <w:pPr>
              <w:spacing w:after="0"/>
              <w:rPr>
                <w:sz w:val="16"/>
                <w:szCs w:val="16"/>
                <w:color w:val="auto"/>
              </w:rPr>
            </w:pPr>
          </w:p>
        </w:tc>
        <w:tc>
          <w:tcPr>
            <w:tcW w:w="13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Income (Loss)</w:t>
            </w:r>
          </w:p>
        </w:tc>
        <w:tc>
          <w:tcPr>
            <w:tcW w:w="1400" w:type="dxa"/>
            <w:vAlign w:val="bottom"/>
            <w:gridSpan w:val="3"/>
            <w:vMerge w:val="continue"/>
          </w:tcPr>
          <w:p>
            <w:pPr>
              <w:spacing w:after="0"/>
              <w:rPr>
                <w:sz w:val="16"/>
                <w:szCs w:val="16"/>
                <w:color w:val="auto"/>
              </w:rPr>
            </w:pPr>
          </w:p>
        </w:tc>
        <w:tc>
          <w:tcPr>
            <w:tcW w:w="300" w:type="dxa"/>
            <w:vAlign w:val="bottom"/>
          </w:tcPr>
          <w:p>
            <w:pPr>
              <w:spacing w:after="0"/>
              <w:rPr>
                <w:sz w:val="16"/>
                <w:szCs w:val="16"/>
                <w:color w:val="auto"/>
              </w:rPr>
            </w:pPr>
          </w:p>
        </w:tc>
        <w:tc>
          <w:tcPr>
            <w:tcW w:w="10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5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1, 2020</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663,481</w:t>
            </w:r>
          </w:p>
        </w:tc>
        <w:tc>
          <w:tcPr>
            <w:tcW w:w="14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12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6,135,939</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c>
          <w:tcPr>
            <w:tcW w:w="14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4"/>
              </w:rPr>
              <w:t>Issuance of common shares in connection with</w:t>
            </w: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2,993</w:t>
            </w: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5,466</w:t>
            </w: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0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1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3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10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0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60,199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60,199</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(1,251)</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(25,199)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176"/>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13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Other comprehensive income</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48"/>
        </w:trPr>
        <w:tc>
          <w:tcPr>
            <w:tcW w:w="3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2, 2020</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665,223</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6,144,907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2,388,517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8,535,622</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bottom w:val="single" w:sz="8" w:color="CCEEFF"/>
            </w:tcBorders>
            <w:vMerge w:val="restart"/>
          </w:tcPr>
          <w:p>
            <w:pPr>
              <w:ind w:left="20"/>
              <w:spacing w:after="0" w:line="163" w:lineRule="exact"/>
              <w:rPr>
                <w:sz w:val="20"/>
                <w:szCs w:val="20"/>
                <w:color w:val="auto"/>
              </w:rPr>
            </w:pPr>
            <w:r>
              <w:rPr>
                <w:rFonts w:ascii="Arial" w:cs="Arial" w:eastAsia="Arial" w:hAnsi="Arial"/>
                <w:sz w:val="18"/>
                <w:szCs w:val="18"/>
                <w:color w:val="auto"/>
                <w:w w:val="94"/>
              </w:rPr>
              <w:t>Issuance of common shares in connection with</w:t>
            </w: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3"/>
        </w:trPr>
        <w:tc>
          <w:tcPr>
            <w:tcW w:w="3580" w:type="dxa"/>
            <w:vAlign w:val="bottom"/>
            <w:vMerge w:val="continue"/>
          </w:tcPr>
          <w:p>
            <w:pPr>
              <w:spacing w:after="0"/>
              <w:rPr>
                <w:sz w:val="10"/>
                <w:szCs w:val="10"/>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4,794</w:t>
            </w: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60" w:type="dxa"/>
            <w:vAlign w:val="bottom"/>
            <w:vMerge w:val="restart"/>
          </w:tcPr>
          <w:p>
            <w:pPr>
              <w:jc w:val="right"/>
              <w:spacing w:after="0"/>
              <w:rPr>
                <w:sz w:val="20"/>
                <w:szCs w:val="20"/>
                <w:color w:val="auto"/>
              </w:rPr>
            </w:pPr>
            <w:r>
              <w:rPr>
                <w:rFonts w:ascii="Arial" w:cs="Arial" w:eastAsia="Arial" w:hAnsi="Arial"/>
                <w:sz w:val="18"/>
                <w:szCs w:val="18"/>
                <w:color w:val="auto"/>
              </w:rPr>
              <w:t>10</w:t>
            </w:r>
          </w:p>
        </w:tc>
        <w:tc>
          <w:tcPr>
            <w:tcW w:w="1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42,763</w:t>
            </w: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0"/>
                <w:szCs w:val="10"/>
                <w:color w:val="auto"/>
              </w:rPr>
            </w:pPr>
          </w:p>
        </w:tc>
        <w:tc>
          <w:tcPr>
            <w:tcW w:w="11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0"/>
                <w:szCs w:val="10"/>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42,773</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0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12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3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10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0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62,784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62,784</w:t>
            </w:r>
          </w:p>
        </w:tc>
        <w:tc>
          <w:tcPr>
            <w:tcW w:w="0" w:type="dxa"/>
            <w:vAlign w:val="bottom"/>
          </w:tcPr>
          <w:p>
            <w:pPr>
              <w:spacing w:after="0"/>
              <w:rPr>
                <w:sz w:val="1"/>
                <w:szCs w:val="1"/>
                <w:color w:val="auto"/>
              </w:rPr>
            </w:pPr>
          </w:p>
        </w:tc>
      </w:tr>
      <w:tr>
        <w:trPr>
          <w:trHeight w:val="176"/>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5"/>
                <w:szCs w:val="15"/>
                <w:color w:val="auto"/>
              </w:rPr>
            </w:pPr>
          </w:p>
        </w:tc>
        <w:tc>
          <w:tcPr>
            <w:tcW w:w="11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13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9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14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6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(157,893)</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(157,893)</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0" w:type="dxa"/>
            <w:vAlign w:val="bottom"/>
          </w:tcPr>
          <w:p>
            <w:pPr>
              <w:spacing w:after="0"/>
              <w:rPr>
                <w:sz w:val="1"/>
                <w:szCs w:val="1"/>
                <w:color w:val="auto"/>
              </w:rPr>
            </w:pPr>
          </w:p>
        </w:tc>
      </w:tr>
      <w:tr>
        <w:trPr>
          <w:trHeight w:val="223"/>
        </w:trPr>
        <w:tc>
          <w:tcPr>
            <w:tcW w:w="3580" w:type="dxa"/>
            <w:vAlign w:val="bottom"/>
          </w:tcPr>
          <w:p>
            <w:pPr>
              <w:ind w:left="20"/>
              <w:spacing w:after="0"/>
              <w:rPr>
                <w:sz w:val="20"/>
                <w:szCs w:val="20"/>
                <w:color w:val="auto"/>
              </w:rPr>
            </w:pPr>
            <w:r>
              <w:rPr>
                <w:rFonts w:ascii="Arial" w:cs="Arial" w:eastAsia="Arial" w:hAnsi="Arial"/>
                <w:sz w:val="18"/>
                <w:szCs w:val="18"/>
                <w:b w:val="1"/>
                <w:bCs w:val="1"/>
                <w:color w:val="auto"/>
              </w:rPr>
              <w:t>Balance at August 1, 2020</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670,017</w:t>
            </w:r>
          </w:p>
        </w:tc>
        <w:tc>
          <w:tcPr>
            <w:tcW w:w="14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1,340</w:t>
            </w:r>
          </w:p>
        </w:tc>
        <w:tc>
          <w:tcPr>
            <w:tcW w:w="120" w:type="dxa"/>
            <w:vAlign w:val="bottom"/>
          </w:tcPr>
          <w:p>
            <w:pPr>
              <w:spacing w:after="0"/>
              <w:rPr>
                <w:sz w:val="19"/>
                <w:szCs w:val="19"/>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6,225,242</w:t>
            </w:r>
          </w:p>
        </w:tc>
        <w:tc>
          <w:tcPr>
            <w:tcW w:w="1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4"/>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2,190,505</w:t>
            </w:r>
          </w:p>
        </w:tc>
        <w:tc>
          <w:tcPr>
            <w:tcW w:w="14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8,417,537</w:t>
            </w:r>
          </w:p>
        </w:tc>
        <w:tc>
          <w:tcPr>
            <w:tcW w:w="0" w:type="dxa"/>
            <w:vAlign w:val="bottom"/>
          </w:tcPr>
          <w:p>
            <w:pPr>
              <w:spacing w:after="0"/>
              <w:rPr>
                <w:sz w:val="1"/>
                <w:szCs w:val="1"/>
                <w:color w:val="auto"/>
              </w:rPr>
            </w:pPr>
          </w:p>
        </w:tc>
      </w:tr>
      <w:tr>
        <w:trPr>
          <w:trHeight w:val="20"/>
        </w:trPr>
        <w:tc>
          <w:tcPr>
            <w:tcW w:w="3580" w:type="dxa"/>
            <w:vAlign w:val="bottom"/>
            <w:tcBorders>
              <w:bottom w:val="single" w:sz="8" w:color="CCEEFF"/>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8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shares in connection with</w:t>
            </w: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1,720</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7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2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2,251</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3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2"/>
                <w:szCs w:val="12"/>
                <w:color w:val="auto"/>
              </w:rPr>
            </w:pPr>
          </w:p>
        </w:tc>
        <w:tc>
          <w:tcPr>
            <w:tcW w:w="110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2"/>
                <w:szCs w:val="12"/>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2,254</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9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6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0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(25,911)</w:t>
            </w: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3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0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(25,911)</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0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59,324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59,324</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13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(40,229)</w:t>
            </w: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(40,229)</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6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Other comprehensive income</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48"/>
        </w:trPr>
        <w:tc>
          <w:tcPr>
            <w:tcW w:w="3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October 31, 2020</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671,737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6,260,906</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2,127,368</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8,389,617</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80" w:type="dxa"/>
            <w:vAlign w:val="bottom"/>
          </w:tcPr>
          <w:p>
            <w:pPr>
              <w:spacing w:after="0"/>
              <w:rPr>
                <w:sz w:val="16"/>
                <w:szCs w:val="16"/>
                <w:color w:val="auto"/>
              </w:rPr>
            </w:pPr>
          </w:p>
        </w:tc>
        <w:tc>
          <w:tcPr>
            <w:tcW w:w="2240" w:type="dxa"/>
            <w:vAlign w:val="bottom"/>
            <w:gridSpan w:val="5"/>
          </w:tcPr>
          <w:p>
            <w:pPr>
              <w:ind w:left="58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10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132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5"/>
              </w:rPr>
              <w:t>Additional Paid-</w:t>
            </w:r>
          </w:p>
        </w:tc>
        <w:tc>
          <w:tcPr>
            <w:tcW w:w="1420" w:type="dxa"/>
            <w:vAlign w:val="bottom"/>
            <w:gridSpan w:val="3"/>
          </w:tcPr>
          <w:p>
            <w:pPr>
              <w:ind w:left="40"/>
              <w:spacing w:after="0" w:line="135" w:lineRule="exact"/>
              <w:rPr>
                <w:sz w:val="20"/>
                <w:szCs w:val="20"/>
                <w:color w:val="auto"/>
              </w:rPr>
            </w:pPr>
            <w:r>
              <w:rPr>
                <w:rFonts w:ascii="Arial" w:cs="Arial" w:eastAsia="Arial" w:hAnsi="Arial"/>
                <w:sz w:val="14"/>
                <w:szCs w:val="14"/>
                <w:b w:val="1"/>
                <w:bCs w:val="1"/>
                <w:color w:val="auto"/>
              </w:rPr>
              <w:t>Accumulated Other</w:t>
            </w:r>
          </w:p>
        </w:tc>
        <w:tc>
          <w:tcPr>
            <w:tcW w:w="3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11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1"/>
                <w:szCs w:val="11"/>
                <w:color w:val="auto"/>
              </w:rPr>
            </w:pPr>
          </w:p>
        </w:tc>
        <w:tc>
          <w:tcPr>
            <w:tcW w:w="94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Amount</w:t>
            </w:r>
          </w:p>
        </w:tc>
        <w:tc>
          <w:tcPr>
            <w:tcW w:w="132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128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rPr>
              <w:t>Comprehensive</w:t>
            </w:r>
          </w:p>
        </w:tc>
        <w:tc>
          <w:tcPr>
            <w:tcW w:w="142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1"/>
                <w:szCs w:val="11"/>
                <w:color w:val="auto"/>
              </w:rPr>
            </w:pPr>
          </w:p>
        </w:tc>
        <w:tc>
          <w:tcPr>
            <w:tcW w:w="980" w:type="dxa"/>
            <w:vAlign w:val="bottom"/>
            <w:vMerge w:val="restart"/>
          </w:tcPr>
          <w:p>
            <w:pPr>
              <w:jc w:val="right"/>
              <w:ind w:right="3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580" w:type="dxa"/>
            <w:vAlign w:val="bottom"/>
          </w:tcPr>
          <w:p>
            <w:pPr>
              <w:spacing w:after="0"/>
              <w:rPr>
                <w:sz w:val="16"/>
                <w:szCs w:val="16"/>
                <w:color w:val="auto"/>
              </w:rPr>
            </w:pPr>
          </w:p>
        </w:tc>
        <w:tc>
          <w:tcPr>
            <w:tcW w:w="112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94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11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7"/>
              </w:rPr>
              <w:t>in-Capital</w:t>
            </w:r>
          </w:p>
        </w:tc>
        <w:tc>
          <w:tcPr>
            <w:tcW w:w="140" w:type="dxa"/>
            <w:vAlign w:val="bottom"/>
          </w:tcPr>
          <w:p>
            <w:pPr>
              <w:spacing w:after="0"/>
              <w:rPr>
                <w:sz w:val="16"/>
                <w:szCs w:val="16"/>
                <w:color w:val="auto"/>
              </w:rPr>
            </w:pPr>
          </w:p>
        </w:tc>
        <w:tc>
          <w:tcPr>
            <w:tcW w:w="1280" w:type="dxa"/>
            <w:vAlign w:val="bottom"/>
            <w:gridSpan w:val="2"/>
          </w:tcPr>
          <w:p>
            <w:pPr>
              <w:ind w:left="80"/>
              <w:spacing w:after="0"/>
              <w:rPr>
                <w:sz w:val="20"/>
                <w:szCs w:val="20"/>
                <w:color w:val="auto"/>
              </w:rPr>
            </w:pPr>
            <w:r>
              <w:rPr>
                <w:rFonts w:ascii="Arial" w:cs="Arial" w:eastAsia="Arial" w:hAnsi="Arial"/>
                <w:sz w:val="14"/>
                <w:szCs w:val="14"/>
                <w:b w:val="1"/>
                <w:bCs w:val="1"/>
                <w:color w:val="auto"/>
              </w:rPr>
              <w:t>Income (Loss)</w:t>
            </w:r>
          </w:p>
        </w:tc>
        <w:tc>
          <w:tcPr>
            <w:tcW w:w="142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5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2, 2019</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658,514</w:t>
            </w:r>
          </w:p>
        </w:tc>
        <w:tc>
          <w:tcPr>
            <w:tcW w:w="12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14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6,188,598</w:t>
            </w:r>
          </w:p>
        </w:tc>
        <w:tc>
          <w:tcPr>
            <w:tcW w:w="1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1,116,495</w:t>
            </w:r>
          </w:p>
        </w:tc>
        <w:tc>
          <w:tcPr>
            <w:tcW w:w="1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4"/>
              </w:rPr>
              <w:t>Issuance of common shares in connection with</w:t>
            </w: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5,120</w:t>
            </w: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vMerge w:val="restart"/>
          </w:tcPr>
          <w:p>
            <w:pPr>
              <w:jc w:val="right"/>
              <w:spacing w:after="0"/>
              <w:rPr>
                <w:sz w:val="20"/>
                <w:szCs w:val="20"/>
                <w:color w:val="auto"/>
              </w:rPr>
            </w:pPr>
            <w:r>
              <w:rPr>
                <w:rFonts w:ascii="Arial" w:cs="Arial" w:eastAsia="Arial" w:hAnsi="Arial"/>
                <w:sz w:val="18"/>
                <w:szCs w:val="18"/>
                <w:color w:val="auto"/>
              </w:rPr>
              <w:t>11</w:t>
            </w: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30,985</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10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9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1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280" w:type="dxa"/>
            <w:vAlign w:val="bottom"/>
            <w:gridSpan w:val="2"/>
            <w:vMerge w:val="restart"/>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5"/>
                <w:szCs w:val="15"/>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gridSpan w:val="2"/>
            <w:vMerge w:val="continue"/>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59,422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(50,018)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176"/>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1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(39,467)</w:t>
            </w:r>
          </w:p>
        </w:tc>
        <w:tc>
          <w:tcPr>
            <w:tcW w:w="1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23"/>
        </w:trPr>
        <w:tc>
          <w:tcPr>
            <w:tcW w:w="3580" w:type="dxa"/>
            <w:vAlign w:val="bottom"/>
          </w:tcPr>
          <w:p>
            <w:pPr>
              <w:ind w:left="20"/>
              <w:spacing w:after="0"/>
              <w:rPr>
                <w:sz w:val="20"/>
                <w:szCs w:val="20"/>
                <w:color w:val="auto"/>
              </w:rPr>
            </w:pPr>
            <w:r>
              <w:rPr>
                <w:rFonts w:ascii="Arial" w:cs="Arial" w:eastAsia="Arial" w:hAnsi="Arial"/>
                <w:sz w:val="18"/>
                <w:szCs w:val="18"/>
                <w:b w:val="1"/>
                <w:bCs w:val="1"/>
                <w:color w:val="auto"/>
              </w:rPr>
              <w:t>Balance at May 4, 2019</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661,275</w:t>
            </w:r>
          </w:p>
        </w:tc>
        <w:tc>
          <w:tcPr>
            <w:tcW w:w="12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1,323</w:t>
            </w:r>
          </w:p>
        </w:tc>
        <w:tc>
          <w:tcPr>
            <w:tcW w:w="14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6,200,231</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94"/>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1,028,578</w:t>
            </w:r>
          </w:p>
        </w:tc>
        <w:tc>
          <w:tcPr>
            <w:tcW w:w="14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20"/>
        </w:trPr>
        <w:tc>
          <w:tcPr>
            <w:tcW w:w="3580" w:type="dxa"/>
            <w:vAlign w:val="bottom"/>
            <w:tcBorders>
              <w:bottom w:val="single" w:sz="8" w:color="CCEEFF"/>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8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shares in connection with</w:t>
            </w: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1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50,494</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80" w:type="dxa"/>
            <w:vAlign w:val="bottom"/>
            <w:gridSpan w:val="2"/>
            <w:vMerge w:val="restart"/>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2"/>
                <w:szCs w:val="12"/>
                <w:color w:val="auto"/>
              </w:rPr>
            </w:pP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2"/>
                <w:szCs w:val="12"/>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50,506</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10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gridSpan w:val="2"/>
            <w:vMerge w:val="continue"/>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(32,881)</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(32,881)</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64,117</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64,117</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Issuance of warrant for common stock</w:t>
            </w: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3,407</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3,407</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(627)</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(14,249)</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1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(39,889)</w:t>
            </w:r>
          </w:p>
        </w:tc>
        <w:tc>
          <w:tcPr>
            <w:tcW w:w="1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(39,889)</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14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0" w:type="dxa"/>
            <w:vAlign w:val="bottom"/>
          </w:tcPr>
          <w:p>
            <w:pPr>
              <w:spacing w:after="0"/>
              <w:rPr>
                <w:sz w:val="1"/>
                <w:szCs w:val="1"/>
                <w:color w:val="auto"/>
              </w:rPr>
            </w:pPr>
          </w:p>
        </w:tc>
      </w:tr>
      <w:tr>
        <w:trPr>
          <w:trHeight w:val="223"/>
        </w:trPr>
        <w:tc>
          <w:tcPr>
            <w:tcW w:w="3580" w:type="dxa"/>
            <w:vAlign w:val="bottom"/>
          </w:tcPr>
          <w:p>
            <w:pPr>
              <w:ind w:left="20"/>
              <w:spacing w:after="0"/>
              <w:rPr>
                <w:sz w:val="20"/>
                <w:szCs w:val="20"/>
                <w:color w:val="auto"/>
              </w:rPr>
            </w:pPr>
            <w:r>
              <w:rPr>
                <w:rFonts w:ascii="Arial" w:cs="Arial" w:eastAsia="Arial" w:hAnsi="Arial"/>
                <w:sz w:val="18"/>
                <w:szCs w:val="18"/>
                <w:b w:val="1"/>
                <w:bCs w:val="1"/>
                <w:color w:val="auto"/>
              </w:rPr>
              <w:t>Balance at August 3, 2019</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666,815</w:t>
            </w:r>
          </w:p>
        </w:tc>
        <w:tc>
          <w:tcPr>
            <w:tcW w:w="12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1,334</w:t>
            </w:r>
          </w:p>
        </w:tc>
        <w:tc>
          <w:tcPr>
            <w:tcW w:w="14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6,271,120</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ind w:left="9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94"/>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931,358</w:t>
            </w:r>
          </w:p>
        </w:tc>
        <w:tc>
          <w:tcPr>
            <w:tcW w:w="14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7,203,812</w:t>
            </w:r>
          </w:p>
        </w:tc>
        <w:tc>
          <w:tcPr>
            <w:tcW w:w="0" w:type="dxa"/>
            <w:vAlign w:val="bottom"/>
          </w:tcPr>
          <w:p>
            <w:pPr>
              <w:spacing w:after="0"/>
              <w:rPr>
                <w:sz w:val="1"/>
                <w:szCs w:val="1"/>
                <w:color w:val="auto"/>
              </w:rPr>
            </w:pPr>
          </w:p>
        </w:tc>
      </w:tr>
      <w:tr>
        <w:trPr>
          <w:trHeight w:val="20"/>
        </w:trPr>
        <w:tc>
          <w:tcPr>
            <w:tcW w:w="3580" w:type="dxa"/>
            <w:vAlign w:val="bottom"/>
            <w:tcBorders>
              <w:bottom w:val="single" w:sz="8" w:color="CCEEFF"/>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8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shares in connection with</w:t>
            </w: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3,479</w:t>
            </w:r>
          </w:p>
        </w:tc>
        <w:tc>
          <w:tcPr>
            <w:tcW w:w="1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7</w:t>
            </w:r>
          </w:p>
        </w:tc>
        <w:tc>
          <w:tcPr>
            <w:tcW w:w="1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21,562</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80" w:type="dxa"/>
            <w:vAlign w:val="bottom"/>
            <w:gridSpan w:val="2"/>
            <w:vMerge w:val="restart"/>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2"/>
                <w:szCs w:val="12"/>
                <w:color w:val="auto"/>
              </w:rPr>
            </w:pPr>
          </w:p>
        </w:tc>
        <w:tc>
          <w:tcPr>
            <w:tcW w:w="11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2"/>
                <w:szCs w:val="12"/>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21,569</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10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gridSpan w:val="2"/>
            <w:vMerge w:val="continue"/>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(19,217)</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(19,217)</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66,738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66,738</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4"/>
              </w:rPr>
              <w:t>Replacement equity awards attributable to pre-</w:t>
            </w:r>
          </w:p>
        </w:tc>
        <w:tc>
          <w:tcPr>
            <w:tcW w:w="11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94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5"/>
                <w:szCs w:val="15"/>
                <w:color w:val="auto"/>
              </w:rPr>
            </w:pPr>
          </w:p>
        </w:tc>
        <w:tc>
          <w:tcPr>
            <w:tcW w:w="1000" w:type="dxa"/>
            <w:vAlign w:val="bottom"/>
            <w:vMerge w:val="restart"/>
          </w:tcPr>
          <w:p>
            <w:pPr>
              <w:jc w:val="right"/>
              <w:spacing w:after="0"/>
              <w:rPr>
                <w:sz w:val="20"/>
                <w:szCs w:val="20"/>
                <w:color w:val="auto"/>
              </w:rPr>
            </w:pPr>
            <w:r>
              <w:rPr>
                <w:rFonts w:ascii="Arial" w:cs="Arial" w:eastAsia="Arial" w:hAnsi="Arial"/>
                <w:sz w:val="18"/>
                <w:szCs w:val="18"/>
                <w:color w:val="auto"/>
              </w:rPr>
              <w:t>15,520</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80" w:type="dxa"/>
            <w:vAlign w:val="bottom"/>
            <w:gridSpan w:val="2"/>
            <w:vMerge w:val="restart"/>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1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5"/>
                <w:szCs w:val="15"/>
                <w:color w:val="auto"/>
              </w:rPr>
            </w:pPr>
          </w:p>
        </w:tc>
        <w:tc>
          <w:tcPr>
            <w:tcW w:w="980" w:type="dxa"/>
            <w:vAlign w:val="bottom"/>
            <w:vMerge w:val="restart"/>
          </w:tcPr>
          <w:p>
            <w:pPr>
              <w:jc w:val="right"/>
              <w:spacing w:after="0"/>
              <w:rPr>
                <w:sz w:val="20"/>
                <w:szCs w:val="20"/>
                <w:color w:val="auto"/>
              </w:rPr>
            </w:pPr>
            <w:r>
              <w:rPr>
                <w:rFonts w:ascii="Arial" w:cs="Arial" w:eastAsia="Arial" w:hAnsi="Arial"/>
                <w:sz w:val="18"/>
                <w:szCs w:val="18"/>
                <w:color w:val="auto"/>
              </w:rPr>
              <w:t>15,520</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acquisition service</w:t>
            </w:r>
          </w:p>
        </w:tc>
        <w:tc>
          <w:tcPr>
            <w:tcW w:w="112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940" w:type="dxa"/>
            <w:vAlign w:val="bottom"/>
            <w:gridSpan w:val="2"/>
            <w:vMerge w:val="continue"/>
          </w:tcPr>
          <w:p>
            <w:pPr>
              <w:spacing w:after="0"/>
              <w:rPr>
                <w:sz w:val="19"/>
                <w:szCs w:val="19"/>
                <w:color w:val="auto"/>
              </w:rPr>
            </w:pPr>
          </w:p>
        </w:tc>
        <w:tc>
          <w:tcPr>
            <w:tcW w:w="180" w:type="dxa"/>
            <w:vAlign w:val="bottom"/>
          </w:tcPr>
          <w:p>
            <w:pPr>
              <w:spacing w:after="0"/>
              <w:rPr>
                <w:sz w:val="19"/>
                <w:szCs w:val="19"/>
                <w:color w:val="auto"/>
              </w:rPr>
            </w:pPr>
          </w:p>
        </w:tc>
        <w:tc>
          <w:tcPr>
            <w:tcW w:w="100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gridSpan w:val="2"/>
            <w:vMerge w:val="continue"/>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1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9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114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5"/>
                <w:szCs w:val="15"/>
                <w:color w:val="auto"/>
              </w:rPr>
            </w:pPr>
          </w:p>
        </w:tc>
        <w:tc>
          <w:tcPr>
            <w:tcW w:w="11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(40,140)</w:t>
            </w:r>
          </w:p>
        </w:tc>
        <w:tc>
          <w:tcPr>
            <w:tcW w:w="1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(40,140)</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2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4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gridSpan w:val="2"/>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Net loss</w:t>
            </w: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28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(82,501)</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(82,501)</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ind w:left="900"/>
              <w:spacing w:after="0"/>
              <w:rPr>
                <w:sz w:val="20"/>
                <w:szCs w:val="20"/>
                <w:color w:val="auto"/>
              </w:rPr>
            </w:pPr>
            <w:r>
              <w:rPr>
                <w:rFonts w:ascii="Arial" w:cs="Arial" w:eastAsia="Arial" w:hAnsi="Arial"/>
                <w:sz w:val="18"/>
                <w:szCs w:val="18"/>
                <w:color w:val="auto"/>
              </w:rPr>
              <w:t>37</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23"/>
        </w:trPr>
        <w:tc>
          <w:tcPr>
            <w:tcW w:w="3580" w:type="dxa"/>
            <w:vAlign w:val="bottom"/>
          </w:tcPr>
          <w:p>
            <w:pPr>
              <w:ind w:left="20"/>
              <w:spacing w:after="0"/>
              <w:rPr>
                <w:sz w:val="20"/>
                <w:szCs w:val="20"/>
                <w:color w:val="auto"/>
              </w:rPr>
            </w:pPr>
            <w:r>
              <w:rPr>
                <w:rFonts w:ascii="Arial" w:cs="Arial" w:eastAsia="Arial" w:hAnsi="Arial"/>
                <w:sz w:val="18"/>
                <w:szCs w:val="18"/>
                <w:b w:val="1"/>
                <w:bCs w:val="1"/>
                <w:color w:val="auto"/>
              </w:rPr>
              <w:t>Balance at November 2, 2019</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670,294</w:t>
            </w:r>
          </w:p>
        </w:tc>
        <w:tc>
          <w:tcPr>
            <w:tcW w:w="12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1,341</w:t>
            </w:r>
          </w:p>
        </w:tc>
        <w:tc>
          <w:tcPr>
            <w:tcW w:w="14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6,355,723</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ind w:left="900"/>
              <w:spacing w:after="0"/>
              <w:rPr>
                <w:sz w:val="20"/>
                <w:szCs w:val="20"/>
                <w:color w:val="auto"/>
              </w:rPr>
            </w:pPr>
            <w:r>
              <w:rPr>
                <w:rFonts w:ascii="Arial" w:cs="Arial" w:eastAsia="Arial" w:hAnsi="Arial"/>
                <w:sz w:val="18"/>
                <w:szCs w:val="18"/>
                <w:color w:val="auto"/>
              </w:rPr>
              <w:t>37</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94"/>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808,717</w:t>
            </w:r>
          </w:p>
        </w:tc>
        <w:tc>
          <w:tcPr>
            <w:tcW w:w="14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7,165,818</w:t>
            </w: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left="360" w:right="2320"/>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91"/>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8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220" w:type="dxa"/>
            <w:vAlign w:val="bottom"/>
          </w:tcPr>
          <w:p>
            <w:pPr>
              <w:jc w:val="right"/>
              <w:ind w:right="251"/>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2019</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Net loss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(293,834)</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(188,282)</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Depreciation and amortization</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149,922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112,662</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182,060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189,036</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333,934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253,467</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3,316</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Restructuring related impairment charges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123,559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16,243</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expense, net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23,080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14,814</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Changes in assets and liabilities:</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30"/>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Accounts receivable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2,075</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8,374</w:t>
            </w:r>
          </w:p>
        </w:tc>
      </w:tr>
      <w:tr>
        <w:trPr>
          <w:trHeight w:val="229"/>
        </w:trPr>
        <w:tc>
          <w:tcPr>
            <w:tcW w:w="8240" w:type="dxa"/>
            <w:vAlign w:val="bottom"/>
          </w:tcPr>
          <w:p>
            <w:pPr>
              <w:ind w:left="1120"/>
              <w:spacing w:after="0"/>
              <w:rPr>
                <w:sz w:val="20"/>
                <w:szCs w:val="20"/>
                <w:color w:val="auto"/>
              </w:rPr>
            </w:pPr>
            <w:r>
              <w:rPr>
                <w:rFonts w:ascii="Arial" w:cs="Arial" w:eastAsia="Arial" w:hAnsi="Arial"/>
                <w:sz w:val="18"/>
                <w:szCs w:val="18"/>
                <w:color w:val="auto"/>
              </w:rPr>
              <w:t>Inventories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29,817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(30,602)</w:t>
            </w:r>
          </w:p>
        </w:tc>
      </w:tr>
      <w:tr>
        <w:trPr>
          <w:trHeight w:val="229"/>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Prepaid expenses and other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(8,692)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(11,039)</w:t>
            </w:r>
          </w:p>
        </w:tc>
      </w:tr>
      <w:tr>
        <w:trPr>
          <w:trHeight w:val="230"/>
        </w:trPr>
        <w:tc>
          <w:tcPr>
            <w:tcW w:w="8240" w:type="dxa"/>
            <w:vAlign w:val="bottom"/>
          </w:tcPr>
          <w:p>
            <w:pPr>
              <w:ind w:left="1120"/>
              <w:spacing w:after="0"/>
              <w:rPr>
                <w:sz w:val="20"/>
                <w:szCs w:val="20"/>
                <w:color w:val="auto"/>
              </w:rPr>
            </w:pPr>
            <w:r>
              <w:rPr>
                <w:rFonts w:ascii="Arial" w:cs="Arial" w:eastAsia="Arial" w:hAnsi="Arial"/>
                <w:sz w:val="18"/>
                <w:szCs w:val="18"/>
                <w:color w:val="auto"/>
              </w:rPr>
              <w:t>Accounts payable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34,768</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30,801</w:t>
            </w:r>
          </w:p>
        </w:tc>
      </w:tr>
      <w:tr>
        <w:trPr>
          <w:trHeight w:val="229"/>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Accrued liabilities and other non-current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26,817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(106,258)</w:t>
            </w:r>
          </w:p>
        </w:tc>
      </w:tr>
      <w:tr>
        <w:trPr>
          <w:trHeight w:val="230"/>
        </w:trPr>
        <w:tc>
          <w:tcPr>
            <w:tcW w:w="824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38,202</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11,927</w:t>
            </w:r>
          </w:p>
        </w:tc>
      </w:tr>
      <w:tr>
        <w:trPr>
          <w:trHeight w:val="223"/>
        </w:trPr>
        <w:tc>
          <w:tcPr>
            <w:tcW w:w="8240" w:type="dxa"/>
            <w:vAlign w:val="bottom"/>
            <w:shd w:val="clear" w:color="auto" w:fill="CCEEFF"/>
          </w:tcPr>
          <w:p>
            <w:pPr>
              <w:ind w:left="1440"/>
              <w:spacing w:after="0"/>
              <w:rPr>
                <w:sz w:val="20"/>
                <w:szCs w:val="20"/>
                <w:color w:val="auto"/>
              </w:rPr>
            </w:pPr>
            <w:r>
              <w:rPr>
                <w:rFonts w:ascii="Arial" w:cs="Arial" w:eastAsia="Arial" w:hAnsi="Arial"/>
                <w:sz w:val="18"/>
                <w:szCs w:val="18"/>
                <w:color w:val="auto"/>
              </w:rPr>
              <w:t>Net cash provided by operating activities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658,992</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304,459</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Sales of available-for-sale securities</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18,832</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Purchases of technology licenses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(8,476)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(1,936)</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Purchases of property and equipment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(62,935)</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24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(477,579)</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net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(1,793)</w:t>
            </w:r>
          </w:p>
        </w:tc>
      </w:tr>
      <w:tr>
        <w:trPr>
          <w:trHeight w:val="223"/>
        </w:trPr>
        <w:tc>
          <w:tcPr>
            <w:tcW w:w="8240" w:type="dxa"/>
            <w:vAlign w:val="bottom"/>
            <w:tcBorders>
              <w:bottom w:val="single" w:sz="8" w:color="CCEEFF"/>
            </w:tcBorders>
          </w:tcPr>
          <w:p>
            <w:pPr>
              <w:ind w:left="1440"/>
              <w:spacing w:after="0"/>
              <w:rPr>
                <w:sz w:val="20"/>
                <w:szCs w:val="20"/>
                <w:color w:val="auto"/>
              </w:rPr>
            </w:pPr>
            <w:r>
              <w:rPr>
                <w:rFonts w:ascii="Arial" w:cs="Arial" w:eastAsia="Arial" w:hAnsi="Arial"/>
                <w:sz w:val="18"/>
                <w:szCs w:val="18"/>
                <w:color w:val="auto"/>
              </w:rPr>
              <w:t>Net cash used in investing activities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(96,495)</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(525,411)</w:t>
            </w:r>
          </w:p>
        </w:tc>
      </w:tr>
      <w:tr>
        <w:trPr>
          <w:trHeight w:val="21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Repurchases of common stock</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(25,202)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(64,272)</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Proceeds from employee stock plans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50,490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103,109</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(82,626)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(80,862)</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Dividend payments to shareholders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(120,111)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(119,496)</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Payments on technology license obligations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(76,794)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(57,213)</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Proceeds from issuance of debt</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350,000</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Principal payments of debt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(100,000)</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(50,000)</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Payment of debt financing costs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(22,313)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net</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(1,504)</w:t>
            </w:r>
          </w:p>
        </w:tc>
        <w:tc>
          <w:tcPr>
            <w:tcW w:w="100" w:type="dxa"/>
            <w:vAlign w:val="bottom"/>
            <w:tcBorders>
              <w:bottom w:val="single" w:sz="8" w:color="auto"/>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(4,355)</w:t>
            </w:r>
          </w:p>
        </w:tc>
      </w:tr>
      <w:tr>
        <w:trPr>
          <w:trHeight w:val="223"/>
        </w:trPr>
        <w:tc>
          <w:tcPr>
            <w:tcW w:w="8240" w:type="dxa"/>
            <w:vAlign w:val="bottom"/>
            <w:shd w:val="clear" w:color="auto" w:fill="CCEEFF"/>
          </w:tcPr>
          <w:p>
            <w:pPr>
              <w:ind w:left="1440"/>
              <w:spacing w:after="0"/>
              <w:rPr>
                <w:sz w:val="20"/>
                <w:szCs w:val="20"/>
                <w:color w:val="auto"/>
              </w:rPr>
            </w:pPr>
            <w:r>
              <w:rPr>
                <w:rFonts w:ascii="Arial" w:cs="Arial" w:eastAsia="Arial" w:hAnsi="Arial"/>
                <w:sz w:val="18"/>
                <w:szCs w:val="18"/>
                <w:color w:val="auto"/>
              </w:rPr>
              <w:t>Net cash provided by (used in) financing activities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(378,060)</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76,911</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184,437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(144,041)</w:t>
            </w: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582,410</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832,041</w:t>
            </w:r>
          </w:p>
        </w:tc>
        <w:tc>
          <w:tcPr>
            <w:tcW w:w="1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438,369</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and nine months ended October 31, 2020,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2020 audited financial statements included in the Company's Annual Report on Form 10-K for the fiscal year ended February 1, 2020.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1, 2020 and those included in this Form 10-Q below.</w:t>
      </w:r>
    </w:p>
    <w:p>
      <w:pPr>
        <w:spacing w:after="0" w:line="210"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2020 had a 52-week year. Fiscal 2021 is a 52-week year.</w:t>
      </w:r>
    </w:p>
    <w:p>
      <w:pPr>
        <w:spacing w:after="0" w:line="209"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On October 29, 2020, the Company entered into a merger agreement (the “Merger Agreement”) with Inphi Corporation (“Inphi”), whereby the Company will pay Inphi's stockholders $66 per share in cash and 2.323 common shares for each Inphi share, which represents purchase consideration of approximately $10 billion. The Company intends to fund the cash consideration with $4.0 billion in debt financing, and has obtained commitments consisting of a $2.5 billion bridge loan commitment, a $750 million 3-year term loan facility commitment and a $750 million 5-year term loan facility commitment from JP Morgan Chase Bank, N.A., in each case subject to customary terms and conditions. The transaction is not subject to any financing condition. The Company has recorded $22.3 million of associated deferred debt financing costs, with $11.2 million recorded in prepaid expenses and other current assets and $11.1 million recorded in other non-current assets on the accompanying unaudited condensed consolidated balance sheet as of October 31, 2020.</w:t>
      </w:r>
    </w:p>
    <w:p>
      <w:pPr>
        <w:spacing w:after="0" w:line="221"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The transaction is expected to close in the second half of calendar 2021, pending approval by Inphi's and the Company's stockholders, as well as regulatory approval and satisfaction of other customary closing conditions. As a result of the transaction, the parent company will be domiciled in the United States upon closing of the transaction. For periods after closing, the combined company will be subject to taxation in the United States, which may adversely impact the Company's future effective tax rates and tax liabilities. A fee of up to $460 million may be payable by the Company or $300 million payable by Inphi upon termination of the transaction, as more fully described in the Merger Agreement. If the Merger Agreement is terminated due to failure to obtain stockholder approval, the party whose stockholders did not approve the transaction will be obligated to reimburse the other party up to $25 million for its merger related fees and costs.</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jc w:val="both"/>
        <w:ind w:right="280" w:firstLine="405"/>
        <w:spacing w:after="0"/>
        <w:rPr>
          <w:sz w:val="20"/>
          <w:szCs w:val="20"/>
          <w:color w:val="auto"/>
        </w:rPr>
      </w:pPr>
      <w:r>
        <w:rPr>
          <w:rFonts w:ascii="Arial" w:cs="Arial" w:eastAsia="Arial" w:hAnsi="Arial"/>
          <w:sz w:val="18"/>
          <w:szCs w:val="18"/>
          <w:color w:val="auto"/>
        </w:rPr>
        <w:t>In June 2016, the Financial Accounting Standards Board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threshold and reflects an entity’s current estimate of all expected credit losses. The measurement of expected credit losses is based on historical experience, current conditions, and reasonable and supportable forecasts that affect the collectability of the financial assets. The new standard was adopted by the Company on February 2, 2020 and did not have a material effect on the Company's consolidated financial statements.</w:t>
      </w:r>
    </w:p>
    <w:p>
      <w:pPr>
        <w:spacing w:after="0" w:line="21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In August 2018, the FASB issued an accounting standards update to align the requirements for capitalizing implementation costs incurred in a software hosting arrangement that is a service contract and costs to develop or obtain internal-use software. The new standard was adopted by the Company on February 2, 2020 on a prospective basis and did not have a material effect on the Company's consolidated financial statements.</w:t>
      </w:r>
    </w:p>
    <w:p>
      <w:pPr>
        <w:spacing w:after="0" w:line="191"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new standard was adopted by the Company on February 2, 2020 and did not have a material effect on the Company's consolidated financial statements.</w:t>
      </w:r>
    </w:p>
    <w:p>
      <w:pPr>
        <w:spacing w:after="0" w:line="209"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new standard was adopted by the Company on February 2, 2020 and did not have a material effect on the Company's consolidated financial statements.</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Company does not expect the adoption of this guidance to have a material effect on its consolidated financial statements.</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Avera</w:t>
      </w:r>
    </w:p>
    <w:p>
      <w:pPr>
        <w:spacing w:after="0" w:line="239"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An additional $90 million in cash would have been paid to acquire additional assets if certain conditions were satisfied. GlobalFoundries and the Company have agreed to terminate this requirement to acquire the additional assets.</w:t>
      </w:r>
    </w:p>
    <w:p>
      <w:pPr>
        <w:spacing w:after="0" w:line="21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color w:val="auto"/>
        </w:rPr>
        <w:t>The purchase consideration allocation set forth herein is preliminary and may be revised as additional information becomes available during the measurement period of up to 12 months from the closing date of the acquisition. Any such revisions or changes may be material.</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60" w:type="dxa"/>
            <w:vAlign w:val="bottom"/>
          </w:tcPr>
          <w:p>
            <w:pPr>
              <w:spacing w:after="0"/>
              <w:rPr>
                <w:sz w:val="20"/>
                <w:szCs w:val="20"/>
                <w:color w:val="auto"/>
              </w:rPr>
            </w:pPr>
          </w:p>
        </w:tc>
        <w:tc>
          <w:tcPr>
            <w:tcW w:w="2220" w:type="dxa"/>
            <w:vAlign w:val="bottom"/>
          </w:tcPr>
          <w:p>
            <w:pPr>
              <w:spacing w:after="0"/>
              <w:rPr>
                <w:sz w:val="20"/>
                <w:szCs w:val="20"/>
                <w:color w:val="auto"/>
              </w:rPr>
            </w:pPr>
          </w:p>
        </w:tc>
      </w:tr>
      <w:tr>
        <w:trPr>
          <w:trHeight w:val="135"/>
        </w:trPr>
        <w:tc>
          <w:tcPr>
            <w:tcW w:w="736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2220" w:type="dxa"/>
            <w:vAlign w:val="bottom"/>
          </w:tcPr>
          <w:p>
            <w:pPr>
              <w:spacing w:after="0"/>
              <w:rPr>
                <w:sz w:val="11"/>
                <w:szCs w:val="11"/>
                <w:color w:val="auto"/>
              </w:rPr>
            </w:pP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60" w:type="dxa"/>
            <w:vAlign w:val="bottom"/>
            <w:shd w:val="clear" w:color="auto" w:fill="CCEEFF"/>
          </w:tcPr>
          <w:p>
            <w:pPr>
              <w:jc w:val="right"/>
              <w:ind w:right="1450"/>
              <w:spacing w:after="0"/>
              <w:rPr>
                <w:sz w:val="20"/>
                <w:szCs w:val="20"/>
                <w:color w:val="auto"/>
              </w:rPr>
            </w:pPr>
            <w:r>
              <w:rPr>
                <w:rFonts w:ascii="Arial" w:cs="Arial" w:eastAsia="Arial" w:hAnsi="Arial"/>
                <w:sz w:val="18"/>
                <w:szCs w:val="18"/>
                <w:color w:val="auto"/>
                <w:w w:val="99"/>
              </w:rPr>
              <w:t>$</w:t>
            </w:r>
          </w:p>
        </w:tc>
        <w:tc>
          <w:tcPr>
            <w:tcW w:w="2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106,465</w:t>
            </w:r>
          </w:p>
        </w:tc>
      </w:tr>
      <w:tr>
        <w:trPr>
          <w:trHeight w:val="230"/>
        </w:trPr>
        <w:tc>
          <w:tcPr>
            <w:tcW w:w="736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1660" w:type="dxa"/>
            <w:vAlign w:val="bottom"/>
          </w:tcPr>
          <w:p>
            <w:pPr>
              <w:spacing w:after="0"/>
              <w:rPr>
                <w:sz w:val="19"/>
                <w:szCs w:val="19"/>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17,495</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1660" w:type="dxa"/>
            <w:vAlign w:val="bottom"/>
            <w:shd w:val="clear" w:color="auto" w:fill="CCEEFF"/>
          </w:tcPr>
          <w:p>
            <w:pPr>
              <w:spacing w:after="0"/>
              <w:rPr>
                <w:sz w:val="19"/>
                <w:szCs w:val="19"/>
                <w:color w:val="auto"/>
              </w:rPr>
            </w:pPr>
          </w:p>
        </w:tc>
        <w:tc>
          <w:tcPr>
            <w:tcW w:w="2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25,677</w:t>
            </w:r>
          </w:p>
        </w:tc>
      </w:tr>
      <w:tr>
        <w:trPr>
          <w:trHeight w:val="230"/>
        </w:trPr>
        <w:tc>
          <w:tcPr>
            <w:tcW w:w="736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660" w:type="dxa"/>
            <w:vAlign w:val="bottom"/>
          </w:tcPr>
          <w:p>
            <w:pPr>
              <w:spacing w:after="0"/>
              <w:rPr>
                <w:sz w:val="19"/>
                <w:szCs w:val="19"/>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379,000</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60" w:type="dxa"/>
            <w:vAlign w:val="bottom"/>
            <w:shd w:val="clear" w:color="auto" w:fill="CCEEFF"/>
          </w:tcPr>
          <w:p>
            <w:pPr>
              <w:spacing w:after="0"/>
              <w:rPr>
                <w:sz w:val="19"/>
                <w:szCs w:val="19"/>
                <w:color w:val="auto"/>
              </w:rPr>
            </w:pPr>
          </w:p>
        </w:tc>
        <w:tc>
          <w:tcPr>
            <w:tcW w:w="2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6,870</w:t>
            </w:r>
          </w:p>
        </w:tc>
      </w:tr>
      <w:tr>
        <w:trPr>
          <w:trHeight w:val="229"/>
        </w:trPr>
        <w:tc>
          <w:tcPr>
            <w:tcW w:w="73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60" w:type="dxa"/>
            <w:vAlign w:val="bottom"/>
          </w:tcPr>
          <w:p>
            <w:pPr>
              <w:spacing w:after="0"/>
              <w:rPr>
                <w:sz w:val="19"/>
                <w:szCs w:val="19"/>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129,392</w:t>
            </w:r>
          </w:p>
        </w:tc>
      </w:tr>
      <w:tr>
        <w:trPr>
          <w:trHeight w:val="230"/>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660" w:type="dxa"/>
            <w:vAlign w:val="bottom"/>
            <w:shd w:val="clear" w:color="auto" w:fill="CCEEFF"/>
          </w:tcPr>
          <w:p>
            <w:pPr>
              <w:spacing w:after="0"/>
              <w:rPr>
                <w:sz w:val="19"/>
                <w:szCs w:val="19"/>
                <w:color w:val="auto"/>
              </w:rPr>
            </w:pPr>
          </w:p>
        </w:tc>
        <w:tc>
          <w:tcPr>
            <w:tcW w:w="2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(64,155)</w:t>
            </w:r>
          </w:p>
        </w:tc>
      </w:tr>
      <w:tr>
        <w:trPr>
          <w:trHeight w:val="229"/>
        </w:trPr>
        <w:tc>
          <w:tcPr>
            <w:tcW w:w="73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660" w:type="dxa"/>
            <w:vAlign w:val="bottom"/>
          </w:tcPr>
          <w:p>
            <w:pPr>
              <w:spacing w:after="0"/>
              <w:rPr>
                <w:sz w:val="19"/>
                <w:szCs w:val="19"/>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(6,594)</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660" w:type="dxa"/>
            <w:vAlign w:val="bottom"/>
            <w:tcBorders>
              <w:bottom w:val="single" w:sz="8" w:color="auto"/>
            </w:tcBorders>
            <w:shd w:val="clear" w:color="auto" w:fill="CCEEFF"/>
          </w:tcPr>
          <w:p>
            <w:pPr>
              <w:spacing w:after="0"/>
              <w:rPr>
                <w:sz w:val="19"/>
                <w:szCs w:val="19"/>
                <w:color w:val="auto"/>
              </w:rPr>
            </w:pPr>
          </w:p>
        </w:tc>
        <w:tc>
          <w:tcPr>
            <w:tcW w:w="2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(650)</w:t>
            </w:r>
          </w:p>
        </w:tc>
      </w:tr>
      <w:tr>
        <w:trPr>
          <w:trHeight w:val="223"/>
        </w:trPr>
        <w:tc>
          <w:tcPr>
            <w:tcW w:w="73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660" w:type="dxa"/>
            <w:vAlign w:val="bottom"/>
            <w:tcBorders>
              <w:bottom w:val="single" w:sz="8" w:color="auto"/>
            </w:tcBorders>
          </w:tcPr>
          <w:p>
            <w:pPr>
              <w:jc w:val="right"/>
              <w:ind w:right="1450"/>
              <w:spacing w:after="0"/>
              <w:rPr>
                <w:sz w:val="20"/>
                <w:szCs w:val="20"/>
                <w:color w:val="auto"/>
              </w:rPr>
            </w:pPr>
            <w:r>
              <w:rPr>
                <w:rFonts w:ascii="Arial" w:cs="Arial" w:eastAsia="Arial" w:hAnsi="Arial"/>
                <w:sz w:val="18"/>
                <w:szCs w:val="18"/>
                <w:color w:val="auto"/>
                <w:w w:val="99"/>
              </w:rPr>
              <w:t>$</w:t>
            </w:r>
          </w:p>
        </w:tc>
        <w:tc>
          <w:tcPr>
            <w:tcW w:w="2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593,500</w:t>
            </w:r>
          </w:p>
        </w:tc>
      </w:tr>
      <w:tr>
        <w:trPr>
          <w:trHeight w:val="21"/>
        </w:trPr>
        <w:tc>
          <w:tcPr>
            <w:tcW w:w="736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222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incurred total acquisition related costs of $5.7 million related to the acquisition.</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Aquantia Corp.</w:t>
      </w:r>
    </w:p>
    <w:p>
      <w:pPr>
        <w:spacing w:after="0" w:line="239" w:lineRule="exact"/>
        <w:rPr>
          <w:sz w:val="20"/>
          <w:szCs w:val="20"/>
          <w:color w:val="auto"/>
        </w:rPr>
      </w:pPr>
    </w:p>
    <w:p>
      <w:pPr>
        <w:jc w:val="both"/>
        <w:ind w:right="180" w:firstLine="405"/>
        <w:spacing w:after="0" w:line="243" w:lineRule="auto"/>
        <w:rPr>
          <w:sz w:val="20"/>
          <w:szCs w:val="20"/>
          <w:color w:val="auto"/>
        </w:rPr>
      </w:pPr>
      <w:r>
        <w:rPr>
          <w:rFonts w:ascii="Arial" w:cs="Arial" w:eastAsia="Arial" w:hAnsi="Arial"/>
          <w:sz w:val="18"/>
          <w:szCs w:val="18"/>
          <w:color w:val="auto"/>
        </w:rPr>
        <w:t>On September 19, 2019, the Company completed the acquisition of Aquantia. Aquantia is a manufacturer of high speed transceivers which includes copper and optical physical layer products. The Company acquired Aquantia to further its position in automatic in-vehicle networking and strengthen its multi-gig ethernet PHY portfolio for enterprise infrastructure, data center and access application. The total consideration paid to acquire Aquantia, which consisted of cash and share based compensation awards was approximately $502.2 million.</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580" w:type="dxa"/>
            <w:vAlign w:val="bottom"/>
          </w:tcPr>
          <w:p>
            <w:pPr>
              <w:jc w:val="right"/>
              <w:ind w:right="94"/>
              <w:spacing w:after="0"/>
              <w:rPr>
                <w:sz w:val="20"/>
                <w:szCs w:val="20"/>
                <w:color w:val="auto"/>
              </w:rPr>
            </w:pPr>
            <w:r>
              <w:rPr>
                <w:rFonts w:ascii="Arial" w:cs="Arial" w:eastAsia="Arial" w:hAnsi="Arial"/>
                <w:sz w:val="14"/>
                <w:szCs w:val="14"/>
                <w:b w:val="1"/>
                <w:bCs w:val="1"/>
                <w:color w:val="auto"/>
                <w:w w:val="94"/>
              </w:rPr>
              <w:t>Previously Reported February 1, 2020</w:t>
            </w:r>
          </w:p>
        </w:tc>
        <w:tc>
          <w:tcPr>
            <w:tcW w:w="220" w:type="dxa"/>
            <w:vAlign w:val="bottom"/>
          </w:tcPr>
          <w:p>
            <w:pPr>
              <w:spacing w:after="0"/>
              <w:rPr>
                <w:sz w:val="14"/>
                <w:szCs w:val="14"/>
                <w:color w:val="auto"/>
              </w:rPr>
            </w:pPr>
          </w:p>
        </w:tc>
        <w:tc>
          <w:tcPr>
            <w:tcW w:w="2980" w:type="dxa"/>
            <w:vAlign w:val="bottom"/>
            <w:vMerge w:val="restart"/>
          </w:tcPr>
          <w:p>
            <w:pPr>
              <w:jc w:val="right"/>
              <w:ind w:right="693"/>
              <w:spacing w:after="0"/>
              <w:rPr>
                <w:sz w:val="20"/>
                <w:szCs w:val="20"/>
                <w:color w:val="auto"/>
              </w:rPr>
            </w:pPr>
            <w:r>
              <w:rPr>
                <w:rFonts w:ascii="Arial" w:cs="Arial" w:eastAsia="Arial" w:hAnsi="Arial"/>
                <w:sz w:val="14"/>
                <w:szCs w:val="14"/>
                <w:b w:val="1"/>
                <w:bCs w:val="1"/>
                <w:color w:val="auto"/>
                <w:w w:val="96"/>
              </w:rPr>
              <w:t>Measurement Period Adjustments</w:t>
            </w:r>
          </w:p>
        </w:tc>
        <w:tc>
          <w:tcPr>
            <w:tcW w:w="2260" w:type="dxa"/>
            <w:vAlign w:val="bottom"/>
            <w:vMerge w:val="restart"/>
          </w:tcPr>
          <w:p>
            <w:pPr>
              <w:jc w:val="right"/>
              <w:ind w:right="752"/>
              <w:spacing w:after="0"/>
              <w:rPr>
                <w:sz w:val="20"/>
                <w:szCs w:val="20"/>
                <w:color w:val="auto"/>
              </w:rPr>
            </w:pPr>
            <w:r>
              <w:rPr>
                <w:rFonts w:ascii="Arial" w:cs="Arial" w:eastAsia="Arial" w:hAnsi="Arial"/>
                <w:sz w:val="14"/>
                <w:szCs w:val="14"/>
                <w:b w:val="1"/>
                <w:bCs w:val="1"/>
                <w:color w:val="auto"/>
              </w:rPr>
              <w:t>October 31, 2020</w:t>
            </w:r>
          </w:p>
        </w:tc>
        <w:tc>
          <w:tcPr>
            <w:tcW w:w="0" w:type="dxa"/>
            <w:vAlign w:val="bottom"/>
          </w:tcPr>
          <w:p>
            <w:pPr>
              <w:spacing w:after="0"/>
              <w:rPr>
                <w:sz w:val="1"/>
                <w:szCs w:val="1"/>
                <w:color w:val="auto"/>
              </w:rPr>
            </w:pPr>
          </w:p>
        </w:tc>
      </w:tr>
      <w:tr>
        <w:trPr>
          <w:trHeight w:val="188"/>
        </w:trPr>
        <w:tc>
          <w:tcPr>
            <w:tcW w:w="306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tcPr>
          <w:p>
            <w:pPr>
              <w:jc w:val="right"/>
              <w:ind w:right="874"/>
              <w:spacing w:after="0"/>
              <w:rPr>
                <w:sz w:val="20"/>
                <w:szCs w:val="20"/>
                <w:color w:val="auto"/>
              </w:rPr>
            </w:pPr>
            <w:r>
              <w:rPr>
                <w:rFonts w:ascii="Arial" w:cs="Arial" w:eastAsia="Arial" w:hAnsi="Arial"/>
                <w:sz w:val="14"/>
                <w:szCs w:val="14"/>
                <w:b w:val="1"/>
                <w:bCs w:val="1"/>
                <w:color w:val="auto"/>
              </w:rPr>
              <w:t>(Provisional)</w:t>
            </w:r>
          </w:p>
        </w:tc>
        <w:tc>
          <w:tcPr>
            <w:tcW w:w="220" w:type="dxa"/>
            <w:vAlign w:val="bottom"/>
            <w:tcBorders>
              <w:bottom w:val="single" w:sz="8" w:color="auto"/>
            </w:tcBorders>
          </w:tcPr>
          <w:p>
            <w:pPr>
              <w:spacing w:after="0"/>
              <w:rPr>
                <w:sz w:val="16"/>
                <w:szCs w:val="16"/>
                <w:color w:val="auto"/>
              </w:rPr>
            </w:pPr>
          </w:p>
        </w:tc>
        <w:tc>
          <w:tcPr>
            <w:tcW w:w="2980" w:type="dxa"/>
            <w:vAlign w:val="bottom"/>
            <w:tcBorders>
              <w:bottom w:val="single" w:sz="8" w:color="auto"/>
            </w:tcBorders>
            <w:vMerge w:val="continue"/>
          </w:tcPr>
          <w:p>
            <w:pPr>
              <w:spacing w:after="0"/>
              <w:rPr>
                <w:sz w:val="16"/>
                <w:szCs w:val="16"/>
                <w:color w:val="auto"/>
              </w:rPr>
            </w:pPr>
          </w:p>
        </w:tc>
        <w:tc>
          <w:tcPr>
            <w:tcW w:w="226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0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short term investments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27,914</w:t>
            </w:r>
          </w:p>
        </w:tc>
        <w:tc>
          <w:tcPr>
            <w:tcW w:w="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2980" w:type="dxa"/>
            <w:vAlign w:val="bottom"/>
            <w:shd w:val="clear" w:color="auto" w:fill="CCEEFF"/>
          </w:tcPr>
          <w:p>
            <w:pPr>
              <w:jc w:val="right"/>
              <w:ind w:right="273"/>
              <w:spacing w:after="0"/>
              <w:rPr>
                <w:sz w:val="20"/>
                <w:szCs w:val="20"/>
                <w:color w:val="auto"/>
              </w:rPr>
            </w:pPr>
            <w:r>
              <w:rPr>
                <w:rFonts w:ascii="Arial" w:cs="Arial" w:eastAsia="Arial" w:hAnsi="Arial"/>
                <w:sz w:val="18"/>
                <w:szCs w:val="18"/>
                <w:color w:val="auto"/>
              </w:rPr>
              <w:t>— $</w:t>
            </w:r>
          </w:p>
        </w:tc>
        <w:tc>
          <w:tcPr>
            <w:tcW w:w="2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27,914</w:t>
            </w:r>
          </w:p>
        </w:tc>
        <w:tc>
          <w:tcPr>
            <w:tcW w:w="0" w:type="dxa"/>
            <w:vAlign w:val="bottom"/>
          </w:tcPr>
          <w:p>
            <w:pPr>
              <w:spacing w:after="0"/>
              <w:rPr>
                <w:sz w:val="1"/>
                <w:szCs w:val="1"/>
                <w:color w:val="auto"/>
              </w:rPr>
            </w:pPr>
          </w:p>
        </w:tc>
      </w:tr>
      <w:tr>
        <w:trPr>
          <w:trHeight w:val="229"/>
        </w:trPr>
        <w:tc>
          <w:tcPr>
            <w:tcW w:w="3060" w:type="dxa"/>
            <w:vAlign w:val="bottom"/>
          </w:tcPr>
          <w:p>
            <w:pPr>
              <w:ind w:left="20"/>
              <w:spacing w:after="0"/>
              <w:rPr>
                <w:sz w:val="20"/>
                <w:szCs w:val="20"/>
                <w:color w:val="auto"/>
              </w:rPr>
            </w:pPr>
            <w:r>
              <w:rPr>
                <w:rFonts w:ascii="Arial" w:cs="Arial" w:eastAsia="Arial" w:hAnsi="Arial"/>
                <w:sz w:val="18"/>
                <w:szCs w:val="18"/>
                <w:color w:val="auto"/>
              </w:rPr>
              <w:t>Inventory</w:t>
            </w:r>
          </w:p>
        </w:tc>
        <w:tc>
          <w:tcPr>
            <w:tcW w:w="140" w:type="dxa"/>
            <w:vAlign w:val="bottom"/>
          </w:tcPr>
          <w:p>
            <w:pPr>
              <w:spacing w:after="0"/>
              <w:rPr>
                <w:sz w:val="19"/>
                <w:szCs w:val="19"/>
                <w:color w:val="auto"/>
              </w:rPr>
            </w:pPr>
          </w:p>
        </w:tc>
        <w:tc>
          <w:tcPr>
            <w:tcW w:w="2580" w:type="dxa"/>
            <w:vAlign w:val="bottom"/>
          </w:tcPr>
          <w:p>
            <w:pPr>
              <w:jc w:val="right"/>
              <w:spacing w:after="0"/>
              <w:rPr>
                <w:sz w:val="20"/>
                <w:szCs w:val="20"/>
                <w:color w:val="auto"/>
              </w:rPr>
            </w:pPr>
            <w:r>
              <w:rPr>
                <w:rFonts w:ascii="Arial" w:cs="Arial" w:eastAsia="Arial" w:hAnsi="Arial"/>
                <w:sz w:val="18"/>
                <w:szCs w:val="18"/>
                <w:color w:val="auto"/>
              </w:rPr>
              <w:t>33,900</w:t>
            </w:r>
          </w:p>
        </w:tc>
        <w:tc>
          <w:tcPr>
            <w:tcW w:w="220" w:type="dxa"/>
            <w:vAlign w:val="bottom"/>
          </w:tcPr>
          <w:p>
            <w:pPr>
              <w:spacing w:after="0"/>
              <w:rPr>
                <w:sz w:val="19"/>
                <w:szCs w:val="19"/>
                <w:color w:val="auto"/>
              </w:rPr>
            </w:pPr>
          </w:p>
        </w:tc>
        <w:tc>
          <w:tcPr>
            <w:tcW w:w="2980" w:type="dxa"/>
            <w:vAlign w:val="bottom"/>
          </w:tcPr>
          <w:p>
            <w:pPr>
              <w:jc w:val="right"/>
              <w:ind w:right="453"/>
              <w:spacing w:after="0"/>
              <w:rPr>
                <w:sz w:val="20"/>
                <w:szCs w:val="20"/>
                <w:color w:val="auto"/>
              </w:rPr>
            </w:pPr>
            <w:r>
              <w:rPr>
                <w:rFonts w:ascii="Arial" w:cs="Arial" w:eastAsia="Arial" w:hAnsi="Arial"/>
                <w:sz w:val="18"/>
                <w:szCs w:val="18"/>
                <w:color w:val="auto"/>
              </w:rPr>
              <w:t>—</w:t>
            </w:r>
          </w:p>
        </w:tc>
        <w:tc>
          <w:tcPr>
            <w:tcW w:w="2260" w:type="dxa"/>
            <w:vAlign w:val="bottom"/>
          </w:tcPr>
          <w:p>
            <w:pPr>
              <w:jc w:val="right"/>
              <w:spacing w:after="0"/>
              <w:rPr>
                <w:sz w:val="20"/>
                <w:szCs w:val="20"/>
                <w:color w:val="auto"/>
              </w:rPr>
            </w:pPr>
            <w:r>
              <w:rPr>
                <w:rFonts w:ascii="Arial" w:cs="Arial" w:eastAsia="Arial" w:hAnsi="Arial"/>
                <w:sz w:val="18"/>
                <w:szCs w:val="18"/>
                <w:color w:val="auto"/>
              </w:rPr>
              <w:t>33,900</w:t>
            </w:r>
          </w:p>
        </w:tc>
        <w:tc>
          <w:tcPr>
            <w:tcW w:w="0" w:type="dxa"/>
            <w:vAlign w:val="bottom"/>
          </w:tcPr>
          <w:p>
            <w:pPr>
              <w:spacing w:after="0"/>
              <w:rPr>
                <w:sz w:val="1"/>
                <w:szCs w:val="1"/>
                <w:color w:val="auto"/>
              </w:rPr>
            </w:pPr>
          </w:p>
        </w:tc>
      </w:tr>
      <w:tr>
        <w:trPr>
          <w:trHeight w:val="230"/>
        </w:trPr>
        <w:tc>
          <w:tcPr>
            <w:tcW w:w="30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40" w:type="dxa"/>
            <w:vAlign w:val="bottom"/>
            <w:shd w:val="clear" w:color="auto" w:fill="CCEEFF"/>
          </w:tcPr>
          <w:p>
            <w:pPr>
              <w:spacing w:after="0"/>
              <w:rPr>
                <w:sz w:val="19"/>
                <w:szCs w:val="19"/>
                <w:color w:val="auto"/>
              </w:rPr>
            </w:pPr>
          </w:p>
        </w:tc>
        <w:tc>
          <w:tcPr>
            <w:tcW w:w="2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193,000</w:t>
            </w:r>
          </w:p>
        </w:tc>
        <w:tc>
          <w:tcPr>
            <w:tcW w:w="220" w:type="dxa"/>
            <w:vAlign w:val="bottom"/>
            <w:shd w:val="clear" w:color="auto" w:fill="CCEEFF"/>
          </w:tcPr>
          <w:p>
            <w:pPr>
              <w:spacing w:after="0"/>
              <w:rPr>
                <w:sz w:val="19"/>
                <w:szCs w:val="19"/>
                <w:color w:val="auto"/>
              </w:rPr>
            </w:pPr>
          </w:p>
        </w:tc>
        <w:tc>
          <w:tcPr>
            <w:tcW w:w="2980" w:type="dxa"/>
            <w:vAlign w:val="bottom"/>
            <w:shd w:val="clear" w:color="auto" w:fill="CCEEFF"/>
          </w:tcPr>
          <w:p>
            <w:pPr>
              <w:jc w:val="right"/>
              <w:ind w:right="453"/>
              <w:spacing w:after="0"/>
              <w:rPr>
                <w:sz w:val="20"/>
                <w:szCs w:val="20"/>
                <w:color w:val="auto"/>
              </w:rPr>
            </w:pPr>
            <w:r>
              <w:rPr>
                <w:rFonts w:ascii="Arial" w:cs="Arial" w:eastAsia="Arial" w:hAnsi="Arial"/>
                <w:sz w:val="18"/>
                <w:szCs w:val="18"/>
                <w:color w:val="auto"/>
              </w:rPr>
              <w:t>—</w:t>
            </w:r>
          </w:p>
        </w:tc>
        <w:tc>
          <w:tcPr>
            <w:tcW w:w="2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193,000</w:t>
            </w:r>
          </w:p>
        </w:tc>
        <w:tc>
          <w:tcPr>
            <w:tcW w:w="0" w:type="dxa"/>
            <w:vAlign w:val="bottom"/>
          </w:tcPr>
          <w:p>
            <w:pPr>
              <w:spacing w:after="0"/>
              <w:rPr>
                <w:sz w:val="1"/>
                <w:szCs w:val="1"/>
                <w:color w:val="auto"/>
              </w:rPr>
            </w:pPr>
          </w:p>
        </w:tc>
      </w:tr>
      <w:tr>
        <w:trPr>
          <w:trHeight w:val="230"/>
        </w:trPr>
        <w:tc>
          <w:tcPr>
            <w:tcW w:w="30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40" w:type="dxa"/>
            <w:vAlign w:val="bottom"/>
          </w:tcPr>
          <w:p>
            <w:pPr>
              <w:spacing w:after="0"/>
              <w:rPr>
                <w:sz w:val="19"/>
                <w:szCs w:val="19"/>
                <w:color w:val="auto"/>
              </w:rPr>
            </w:pPr>
          </w:p>
        </w:tc>
        <w:tc>
          <w:tcPr>
            <w:tcW w:w="2580" w:type="dxa"/>
            <w:vAlign w:val="bottom"/>
          </w:tcPr>
          <w:p>
            <w:pPr>
              <w:jc w:val="right"/>
              <w:spacing w:after="0"/>
              <w:rPr>
                <w:sz w:val="20"/>
                <w:szCs w:val="20"/>
                <w:color w:val="auto"/>
              </w:rPr>
            </w:pPr>
            <w:r>
              <w:rPr>
                <w:rFonts w:ascii="Arial" w:cs="Arial" w:eastAsia="Arial" w:hAnsi="Arial"/>
                <w:sz w:val="18"/>
                <w:szCs w:val="18"/>
                <w:color w:val="auto"/>
              </w:rPr>
              <w:t>227,594</w:t>
            </w:r>
          </w:p>
        </w:tc>
        <w:tc>
          <w:tcPr>
            <w:tcW w:w="220" w:type="dxa"/>
            <w:vAlign w:val="bottom"/>
          </w:tcPr>
          <w:p>
            <w:pPr>
              <w:spacing w:after="0"/>
              <w:rPr>
                <w:sz w:val="19"/>
                <w:szCs w:val="19"/>
                <w:color w:val="auto"/>
              </w:rPr>
            </w:pPr>
          </w:p>
        </w:tc>
        <w:tc>
          <w:tcPr>
            <w:tcW w:w="2980" w:type="dxa"/>
            <w:vAlign w:val="bottom"/>
          </w:tcPr>
          <w:p>
            <w:pPr>
              <w:jc w:val="right"/>
              <w:ind w:right="413"/>
              <w:spacing w:after="0"/>
              <w:rPr>
                <w:sz w:val="20"/>
                <w:szCs w:val="20"/>
                <w:color w:val="auto"/>
              </w:rPr>
            </w:pPr>
            <w:r>
              <w:rPr>
                <w:rFonts w:ascii="Arial" w:cs="Arial" w:eastAsia="Arial" w:hAnsi="Arial"/>
                <w:sz w:val="18"/>
                <w:szCs w:val="18"/>
                <w:color w:val="auto"/>
              </w:rPr>
              <w:t>(1,049)</w:t>
            </w:r>
          </w:p>
        </w:tc>
        <w:tc>
          <w:tcPr>
            <w:tcW w:w="2260" w:type="dxa"/>
            <w:vAlign w:val="bottom"/>
          </w:tcPr>
          <w:p>
            <w:pPr>
              <w:jc w:val="right"/>
              <w:spacing w:after="0"/>
              <w:rPr>
                <w:sz w:val="20"/>
                <w:szCs w:val="20"/>
                <w:color w:val="auto"/>
              </w:rPr>
            </w:pPr>
            <w:r>
              <w:rPr>
                <w:rFonts w:ascii="Arial" w:cs="Arial" w:eastAsia="Arial" w:hAnsi="Arial"/>
                <w:sz w:val="18"/>
                <w:szCs w:val="18"/>
                <w:color w:val="auto"/>
              </w:rPr>
              <w:t>226,545</w:t>
            </w:r>
          </w:p>
        </w:tc>
        <w:tc>
          <w:tcPr>
            <w:tcW w:w="0" w:type="dxa"/>
            <w:vAlign w:val="bottom"/>
          </w:tcPr>
          <w:p>
            <w:pPr>
              <w:spacing w:after="0"/>
              <w:rPr>
                <w:sz w:val="1"/>
                <w:szCs w:val="1"/>
                <w:color w:val="auto"/>
              </w:rPr>
            </w:pPr>
          </w:p>
        </w:tc>
      </w:tr>
      <w:tr>
        <w:trPr>
          <w:trHeight w:val="230"/>
        </w:trPr>
        <w:tc>
          <w:tcPr>
            <w:tcW w:w="30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40" w:type="dxa"/>
            <w:vAlign w:val="bottom"/>
            <w:shd w:val="clear" w:color="auto" w:fill="CCEEFF"/>
          </w:tcPr>
          <w:p>
            <w:pPr>
              <w:spacing w:after="0"/>
              <w:rPr>
                <w:sz w:val="19"/>
                <w:szCs w:val="19"/>
                <w:color w:val="auto"/>
              </w:rPr>
            </w:pPr>
          </w:p>
        </w:tc>
        <w:tc>
          <w:tcPr>
            <w:tcW w:w="2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35,123</w:t>
            </w:r>
          </w:p>
        </w:tc>
        <w:tc>
          <w:tcPr>
            <w:tcW w:w="220" w:type="dxa"/>
            <w:vAlign w:val="bottom"/>
            <w:shd w:val="clear" w:color="auto" w:fill="CCEEFF"/>
          </w:tcPr>
          <w:p>
            <w:pPr>
              <w:spacing w:after="0"/>
              <w:rPr>
                <w:sz w:val="19"/>
                <w:szCs w:val="19"/>
                <w:color w:val="auto"/>
              </w:rPr>
            </w:pPr>
          </w:p>
        </w:tc>
        <w:tc>
          <w:tcPr>
            <w:tcW w:w="2980" w:type="dxa"/>
            <w:vAlign w:val="bottom"/>
            <w:shd w:val="clear" w:color="auto" w:fill="CCEEFF"/>
          </w:tcPr>
          <w:p>
            <w:pPr>
              <w:jc w:val="right"/>
              <w:ind w:right="453"/>
              <w:spacing w:after="0"/>
              <w:rPr>
                <w:sz w:val="20"/>
                <w:szCs w:val="20"/>
                <w:color w:val="auto"/>
              </w:rPr>
            </w:pPr>
            <w:r>
              <w:rPr>
                <w:rFonts w:ascii="Arial" w:cs="Arial" w:eastAsia="Arial" w:hAnsi="Arial"/>
                <w:sz w:val="18"/>
                <w:szCs w:val="18"/>
                <w:color w:val="auto"/>
              </w:rPr>
              <w:t>1,049</w:t>
            </w:r>
          </w:p>
        </w:tc>
        <w:tc>
          <w:tcPr>
            <w:tcW w:w="2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36,172</w:t>
            </w:r>
          </w:p>
        </w:tc>
        <w:tc>
          <w:tcPr>
            <w:tcW w:w="0" w:type="dxa"/>
            <w:vAlign w:val="bottom"/>
          </w:tcPr>
          <w:p>
            <w:pPr>
              <w:spacing w:after="0"/>
              <w:rPr>
                <w:sz w:val="1"/>
                <w:szCs w:val="1"/>
                <w:color w:val="auto"/>
              </w:rPr>
            </w:pPr>
          </w:p>
        </w:tc>
      </w:tr>
      <w:tr>
        <w:trPr>
          <w:trHeight w:val="229"/>
        </w:trPr>
        <w:tc>
          <w:tcPr>
            <w:tcW w:w="306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140" w:type="dxa"/>
            <w:vAlign w:val="bottom"/>
          </w:tcPr>
          <w:p>
            <w:pPr>
              <w:spacing w:after="0"/>
              <w:rPr>
                <w:sz w:val="19"/>
                <w:szCs w:val="19"/>
                <w:color w:val="auto"/>
              </w:rPr>
            </w:pPr>
          </w:p>
        </w:tc>
        <w:tc>
          <w:tcPr>
            <w:tcW w:w="2580" w:type="dxa"/>
            <w:vAlign w:val="bottom"/>
          </w:tcPr>
          <w:p>
            <w:pPr>
              <w:jc w:val="right"/>
              <w:spacing w:after="0"/>
              <w:rPr>
                <w:sz w:val="20"/>
                <w:szCs w:val="20"/>
                <w:color w:val="auto"/>
              </w:rPr>
            </w:pPr>
            <w:r>
              <w:rPr>
                <w:rFonts w:ascii="Arial" w:cs="Arial" w:eastAsia="Arial" w:hAnsi="Arial"/>
                <w:sz w:val="18"/>
                <w:szCs w:val="18"/>
                <w:color w:val="auto"/>
              </w:rPr>
              <w:t>(21,813)</w:t>
            </w:r>
          </w:p>
        </w:tc>
        <w:tc>
          <w:tcPr>
            <w:tcW w:w="220" w:type="dxa"/>
            <w:vAlign w:val="bottom"/>
          </w:tcPr>
          <w:p>
            <w:pPr>
              <w:spacing w:after="0"/>
              <w:rPr>
                <w:sz w:val="19"/>
                <w:szCs w:val="19"/>
                <w:color w:val="auto"/>
              </w:rPr>
            </w:pPr>
          </w:p>
        </w:tc>
        <w:tc>
          <w:tcPr>
            <w:tcW w:w="2980" w:type="dxa"/>
            <w:vAlign w:val="bottom"/>
          </w:tcPr>
          <w:p>
            <w:pPr>
              <w:jc w:val="right"/>
              <w:ind w:right="453"/>
              <w:spacing w:after="0"/>
              <w:rPr>
                <w:sz w:val="20"/>
                <w:szCs w:val="20"/>
                <w:color w:val="auto"/>
              </w:rPr>
            </w:pPr>
            <w:r>
              <w:rPr>
                <w:rFonts w:ascii="Arial" w:cs="Arial" w:eastAsia="Arial" w:hAnsi="Arial"/>
                <w:sz w:val="18"/>
                <w:szCs w:val="18"/>
                <w:color w:val="auto"/>
              </w:rPr>
              <w:t>—</w:t>
            </w:r>
          </w:p>
        </w:tc>
        <w:tc>
          <w:tcPr>
            <w:tcW w:w="2260" w:type="dxa"/>
            <w:vAlign w:val="bottom"/>
          </w:tcPr>
          <w:p>
            <w:pPr>
              <w:jc w:val="right"/>
              <w:spacing w:after="0"/>
              <w:rPr>
                <w:sz w:val="20"/>
                <w:szCs w:val="20"/>
                <w:color w:val="auto"/>
              </w:rPr>
            </w:pPr>
            <w:r>
              <w:rPr>
                <w:rFonts w:ascii="Arial" w:cs="Arial" w:eastAsia="Arial" w:hAnsi="Arial"/>
                <w:sz w:val="18"/>
                <w:szCs w:val="18"/>
                <w:color w:val="auto"/>
              </w:rPr>
              <w:t>(21,813)</w:t>
            </w:r>
          </w:p>
        </w:tc>
        <w:tc>
          <w:tcPr>
            <w:tcW w:w="0" w:type="dxa"/>
            <w:vAlign w:val="bottom"/>
          </w:tcPr>
          <w:p>
            <w:pPr>
              <w:spacing w:after="0"/>
              <w:rPr>
                <w:sz w:val="1"/>
                <w:szCs w:val="1"/>
                <w:color w:val="auto"/>
              </w:rPr>
            </w:pPr>
          </w:p>
        </w:tc>
      </w:tr>
      <w:tr>
        <w:trPr>
          <w:trHeight w:val="230"/>
        </w:trPr>
        <w:tc>
          <w:tcPr>
            <w:tcW w:w="30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40" w:type="dxa"/>
            <w:vAlign w:val="bottom"/>
            <w:tcBorders>
              <w:bottom w:val="single" w:sz="8" w:color="auto"/>
            </w:tcBorders>
            <w:shd w:val="clear" w:color="auto" w:fill="CCEEFF"/>
          </w:tcPr>
          <w:p>
            <w:pPr>
              <w:spacing w:after="0"/>
              <w:rPr>
                <w:sz w:val="19"/>
                <w:szCs w:val="19"/>
                <w:color w:val="auto"/>
              </w:rPr>
            </w:pPr>
          </w:p>
        </w:tc>
        <w:tc>
          <w:tcPr>
            <w:tcW w:w="2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6,471</w:t>
            </w:r>
          </w:p>
        </w:tc>
        <w:tc>
          <w:tcPr>
            <w:tcW w:w="220" w:type="dxa"/>
            <w:vAlign w:val="bottom"/>
            <w:tcBorders>
              <w:bottom w:val="single" w:sz="8" w:color="auto"/>
            </w:tcBorders>
            <w:shd w:val="clear" w:color="auto" w:fill="CCEEFF"/>
          </w:tcPr>
          <w:p>
            <w:pPr>
              <w:spacing w:after="0"/>
              <w:rPr>
                <w:sz w:val="19"/>
                <w:szCs w:val="19"/>
                <w:color w:val="auto"/>
              </w:rPr>
            </w:pPr>
          </w:p>
        </w:tc>
        <w:tc>
          <w:tcPr>
            <w:tcW w:w="2980" w:type="dxa"/>
            <w:vAlign w:val="bottom"/>
            <w:tcBorders>
              <w:bottom w:val="single" w:sz="8" w:color="auto"/>
            </w:tcBorders>
            <w:shd w:val="clear" w:color="auto" w:fill="CCEEFF"/>
          </w:tcPr>
          <w:p>
            <w:pPr>
              <w:jc w:val="right"/>
              <w:ind w:right="453"/>
              <w:spacing w:after="0"/>
              <w:rPr>
                <w:sz w:val="20"/>
                <w:szCs w:val="20"/>
                <w:color w:val="auto"/>
              </w:rPr>
            </w:pPr>
            <w:r>
              <w:rPr>
                <w:rFonts w:ascii="Arial" w:cs="Arial" w:eastAsia="Arial" w:hAnsi="Arial"/>
                <w:sz w:val="18"/>
                <w:szCs w:val="18"/>
                <w:color w:val="auto"/>
              </w:rPr>
              <w:t>—</w:t>
            </w:r>
          </w:p>
        </w:tc>
        <w:tc>
          <w:tcPr>
            <w:tcW w:w="2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6,471</w:t>
            </w:r>
          </w:p>
        </w:tc>
        <w:tc>
          <w:tcPr>
            <w:tcW w:w="0" w:type="dxa"/>
            <w:vAlign w:val="bottom"/>
          </w:tcPr>
          <w:p>
            <w:pPr>
              <w:spacing w:after="0"/>
              <w:rPr>
                <w:sz w:val="1"/>
                <w:szCs w:val="1"/>
                <w:color w:val="auto"/>
              </w:rPr>
            </w:pPr>
          </w:p>
        </w:tc>
      </w:tr>
      <w:tr>
        <w:trPr>
          <w:trHeight w:val="223"/>
        </w:trPr>
        <w:tc>
          <w:tcPr>
            <w:tcW w:w="306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2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502,189</w:t>
            </w:r>
          </w:p>
        </w:tc>
        <w:tc>
          <w:tcPr>
            <w:tcW w:w="220" w:type="dxa"/>
            <w:vAlign w:val="bottom"/>
            <w:tcBorders>
              <w:bottom w:val="single" w:sz="8" w:color="auto"/>
            </w:tcBorders>
          </w:tcPr>
          <w:p>
            <w:pPr>
              <w:ind w:left="20"/>
              <w:spacing w:after="0"/>
              <w:rPr>
                <w:sz w:val="20"/>
                <w:szCs w:val="20"/>
                <w:color w:val="auto"/>
              </w:rPr>
            </w:pPr>
            <w:r>
              <w:rPr>
                <w:rFonts w:ascii="Arial" w:cs="Arial" w:eastAsia="Arial" w:hAnsi="Arial"/>
                <w:sz w:val="16"/>
                <w:szCs w:val="16"/>
                <w:color w:val="auto"/>
              </w:rPr>
              <w:t>$</w:t>
            </w:r>
          </w:p>
        </w:tc>
        <w:tc>
          <w:tcPr>
            <w:tcW w:w="2980" w:type="dxa"/>
            <w:vAlign w:val="bottom"/>
            <w:tcBorders>
              <w:bottom w:val="single" w:sz="8" w:color="auto"/>
            </w:tcBorders>
          </w:tcPr>
          <w:p>
            <w:pPr>
              <w:jc w:val="right"/>
              <w:ind w:right="273"/>
              <w:spacing w:after="0"/>
              <w:rPr>
                <w:sz w:val="20"/>
                <w:szCs w:val="20"/>
                <w:color w:val="auto"/>
              </w:rPr>
            </w:pPr>
            <w:r>
              <w:rPr>
                <w:rFonts w:ascii="Arial" w:cs="Arial" w:eastAsia="Arial" w:hAnsi="Arial"/>
                <w:sz w:val="16"/>
                <w:szCs w:val="16"/>
                <w:color w:val="auto"/>
              </w:rPr>
              <w:t xml:space="preserve">— </w:t>
            </w:r>
            <w:r>
              <w:rPr>
                <w:rFonts w:ascii="Arial" w:cs="Arial" w:eastAsia="Arial" w:hAnsi="Arial"/>
                <w:sz w:val="17"/>
                <w:szCs w:val="17"/>
                <w:color w:val="auto"/>
              </w:rPr>
              <w:t>$</w:t>
            </w:r>
          </w:p>
        </w:tc>
        <w:tc>
          <w:tcPr>
            <w:tcW w:w="2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502,189</w:t>
            </w:r>
          </w:p>
        </w:tc>
        <w:tc>
          <w:tcPr>
            <w:tcW w:w="0" w:type="dxa"/>
            <w:vAlign w:val="bottom"/>
          </w:tcPr>
          <w:p>
            <w:pPr>
              <w:spacing w:after="0"/>
              <w:rPr>
                <w:sz w:val="1"/>
                <w:szCs w:val="1"/>
                <w:color w:val="auto"/>
              </w:rPr>
            </w:pPr>
          </w:p>
        </w:tc>
      </w:tr>
      <w:tr>
        <w:trPr>
          <w:trHeight w:val="21"/>
        </w:trPr>
        <w:tc>
          <w:tcPr>
            <w:tcW w:w="30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25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980" w:type="dxa"/>
            <w:vAlign w:val="bottom"/>
            <w:tcBorders>
              <w:bottom w:val="single" w:sz="8" w:color="auto"/>
            </w:tcBorders>
          </w:tcPr>
          <w:p>
            <w:pPr>
              <w:spacing w:after="0" w:line="20" w:lineRule="exact"/>
              <w:rPr>
                <w:sz w:val="1"/>
                <w:szCs w:val="1"/>
                <w:color w:val="auto"/>
              </w:rPr>
            </w:pPr>
          </w:p>
        </w:tc>
        <w:tc>
          <w:tcPr>
            <w:tcW w:w="22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The previously reported provisional amounts presented in the table above pertained to the preliminary purchase price allocation reported in the Company's Form 10-K for the year ended February 1, 2020. The measurement period adjustments were primarily related to changes in estimates related to finalizing Aquantia's U.S. tax return. The Company does not believe that the measurement period adjustments had a material impact on its consolidated statements of operations, balance sheets or cash flows in any periods reported.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incurred total acquisition related costs of $5.3 million related to the acquisition.</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The following unaudited supplemental pro forma information presents the combined results of operations for each of the periods presented, as if Avera and Aquantia had been acquired as of the beginning of fiscal year 2019.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unaudited condensed consolidated results of operations of the combined business had the Avera and Aquantia acquisitions actually occurred at the beginning of fiscal year 2019 or of the results of our future operations of the combined business.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380" w:type="dxa"/>
            <w:vAlign w:val="bottom"/>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140" w:type="dxa"/>
            <w:vAlign w:val="bottom"/>
            <w:tcBorders>
              <w:bottom w:val="single" w:sz="8" w:color="auto"/>
            </w:tcBorders>
          </w:tcPr>
          <w:p>
            <w:pPr>
              <w:jc w:val="center"/>
              <w:ind w:right="641"/>
              <w:spacing w:after="0"/>
              <w:rPr>
                <w:sz w:val="20"/>
                <w:szCs w:val="20"/>
                <w:color w:val="auto"/>
              </w:rPr>
            </w:pPr>
            <w:r>
              <w:rPr>
                <w:rFonts w:ascii="Arial" w:cs="Arial" w:eastAsia="Arial" w:hAnsi="Arial"/>
                <w:sz w:val="14"/>
                <w:szCs w:val="14"/>
                <w:b w:val="1"/>
                <w:bCs w:val="1"/>
                <w:color w:val="auto"/>
                <w:w w:val="93"/>
              </w:rPr>
              <w:t>Nine Months Ended</w:t>
            </w:r>
          </w:p>
        </w:tc>
      </w:tr>
      <w:tr>
        <w:trPr>
          <w:trHeight w:val="135"/>
        </w:trPr>
        <w:tc>
          <w:tcPr>
            <w:tcW w:w="73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140" w:type="dxa"/>
            <w:vAlign w:val="bottom"/>
          </w:tcPr>
          <w:p>
            <w:pPr>
              <w:jc w:val="center"/>
              <w:ind w:right="641"/>
              <w:spacing w:after="0" w:line="135" w:lineRule="exact"/>
              <w:rPr>
                <w:sz w:val="20"/>
                <w:szCs w:val="20"/>
                <w:color w:val="auto"/>
              </w:rPr>
            </w:pPr>
            <w:r>
              <w:rPr>
                <w:rFonts w:ascii="Arial" w:cs="Arial" w:eastAsia="Arial" w:hAnsi="Arial"/>
                <w:sz w:val="14"/>
                <w:szCs w:val="14"/>
                <w:b w:val="1"/>
                <w:bCs w:val="1"/>
                <w:color w:val="auto"/>
                <w:w w:val="92"/>
              </w:rPr>
              <w:t>November 2,</w:t>
            </w:r>
          </w:p>
        </w:tc>
      </w:tr>
      <w:tr>
        <w:trPr>
          <w:trHeight w:val="188"/>
        </w:trPr>
        <w:tc>
          <w:tcPr>
            <w:tcW w:w="738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140" w:type="dxa"/>
            <w:vAlign w:val="bottom"/>
            <w:tcBorders>
              <w:bottom w:val="single" w:sz="8" w:color="auto"/>
            </w:tcBorders>
          </w:tcPr>
          <w:p>
            <w:pPr>
              <w:jc w:val="center"/>
              <w:ind w:right="641"/>
              <w:spacing w:after="0"/>
              <w:rPr>
                <w:sz w:val="20"/>
                <w:szCs w:val="20"/>
                <w:color w:val="auto"/>
              </w:rPr>
            </w:pPr>
            <w:r>
              <w:rPr>
                <w:rFonts w:ascii="Arial" w:cs="Arial" w:eastAsia="Arial" w:hAnsi="Arial"/>
                <w:sz w:val="14"/>
                <w:szCs w:val="14"/>
                <w:b w:val="1"/>
                <w:bCs w:val="1"/>
                <w:color w:val="auto"/>
                <w:w w:val="96"/>
              </w:rPr>
              <w:t>2019</w:t>
            </w:r>
          </w:p>
        </w:tc>
      </w:tr>
      <w:tr>
        <w:trPr>
          <w:trHeight w:val="224"/>
        </w:trPr>
        <w:tc>
          <w:tcPr>
            <w:tcW w:w="7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72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14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2,293,879</w:t>
            </w:r>
          </w:p>
        </w:tc>
      </w:tr>
      <w:tr>
        <w:trPr>
          <w:trHeight w:val="230"/>
        </w:trPr>
        <w:tc>
          <w:tcPr>
            <w:tcW w:w="73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720" w:type="dxa"/>
            <w:vAlign w:val="bottom"/>
          </w:tcPr>
          <w:p>
            <w:pPr>
              <w:jc w:val="right"/>
              <w:ind w:right="530"/>
              <w:spacing w:after="0"/>
              <w:rPr>
                <w:sz w:val="20"/>
                <w:szCs w:val="20"/>
                <w:color w:val="auto"/>
              </w:rPr>
            </w:pPr>
            <w:r>
              <w:rPr>
                <w:rFonts w:ascii="Arial" w:cs="Arial" w:eastAsia="Arial" w:hAnsi="Arial"/>
                <w:sz w:val="18"/>
                <w:szCs w:val="18"/>
                <w:color w:val="auto"/>
                <w:w w:val="79"/>
              </w:rPr>
              <w:t>$</w:t>
            </w:r>
          </w:p>
        </w:tc>
        <w:tc>
          <w:tcPr>
            <w:tcW w:w="3140" w:type="dxa"/>
            <w:vAlign w:val="bottom"/>
          </w:tcPr>
          <w:p>
            <w:pPr>
              <w:jc w:val="right"/>
              <w:spacing w:after="0"/>
              <w:rPr>
                <w:sz w:val="20"/>
                <w:szCs w:val="20"/>
                <w:color w:val="auto"/>
              </w:rPr>
            </w:pPr>
            <w:r>
              <w:rPr>
                <w:rFonts w:ascii="Arial" w:cs="Arial" w:eastAsia="Arial" w:hAnsi="Arial"/>
                <w:sz w:val="18"/>
                <w:szCs w:val="18"/>
                <w:color w:val="auto"/>
              </w:rPr>
              <w:t>(273,216)</w:t>
            </w:r>
          </w:p>
        </w:tc>
      </w:tr>
    </w:tbl>
    <w:p>
      <w:pPr>
        <w:spacing w:after="0" w:line="200" w:lineRule="exact"/>
        <w:rPr>
          <w:sz w:val="20"/>
          <w:szCs w:val="20"/>
          <w:color w:val="auto"/>
        </w:rPr>
      </w:pPr>
    </w:p>
    <w:p>
      <w:pPr>
        <w:spacing w:after="0" w:line="3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jc w:val="both"/>
        <w:ind w:right="56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October 31, 2020 and February 1, 2020 is $5.3 billion. See “Note 3 - Business Combinations” for discussion of the acquisitions and changes to the carrying value of goodwill.</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recognized $3.3 billion of intangible assets. As of October 31, 2020 and February 1, 2020, net carrying amounts are as follows (in thousands, except for weighted-average remaining amortization period):</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555"/>
              <w:spacing w:after="0"/>
              <w:rPr>
                <w:sz w:val="20"/>
                <w:szCs w:val="20"/>
                <w:color w:val="auto"/>
              </w:rPr>
            </w:pPr>
            <w:r>
              <w:rPr>
                <w:rFonts w:ascii="Arial" w:cs="Arial" w:eastAsia="Arial" w:hAnsi="Arial"/>
                <w:sz w:val="14"/>
                <w:szCs w:val="14"/>
                <w:b w:val="1"/>
                <w:bCs w:val="1"/>
                <w:color w:val="auto"/>
              </w:rPr>
              <w:t>October 31, 2020</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2,441,000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(640,888)</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1,800,112</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5.78</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(203,868)</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439,132</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5.87</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(12,862)</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10,138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2.37</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3,107,000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(857,618)</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2,249,382</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5.78</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(857,618)</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2,380,382</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240" w:firstLine="405"/>
        <w:spacing w:after="0" w:line="284" w:lineRule="auto"/>
        <w:rPr>
          <w:sz w:val="20"/>
          <w:szCs w:val="20"/>
          <w:color w:val="auto"/>
        </w:rPr>
      </w:pPr>
      <w:r>
        <w:rPr>
          <w:rFonts w:ascii="Arial" w:cs="Arial" w:eastAsia="Arial" w:hAnsi="Arial"/>
          <w:sz w:val="16"/>
          <w:szCs w:val="16"/>
          <w:color w:val="auto"/>
        </w:rPr>
        <w:t>The Company regularly analyzes the results of its business to determine whether events or circumstances exist that indicate whether the carrying amount of the intangible assets may not be recoverable. During the second quarter ended August 1, 2020, impairment charges of $50.3 million related to certain intangible assets acquired from Cavium were recognized as part of restructuring actions. The gross carrying amounts and the accumulated amortization of those impaired intangible assets were excluded from the table above. See “Note 5 - Restructuring”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555"/>
              <w:spacing w:after="0"/>
              <w:rPr>
                <w:sz w:val="20"/>
                <w:szCs w:val="20"/>
                <w:color w:val="auto"/>
              </w:rPr>
            </w:pPr>
            <w:r>
              <w:rPr>
                <w:rFonts w:ascii="Arial" w:cs="Arial" w:eastAsia="Arial" w:hAnsi="Arial"/>
                <w:sz w:val="14"/>
                <w:szCs w:val="14"/>
                <w:b w:val="1"/>
                <w:bCs w:val="1"/>
                <w:color w:val="auto"/>
              </w:rPr>
              <w:t>February 1, 2020</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2,511,000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(413,735)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2,097,265</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6.41</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(128,939)</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514,061</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6.61</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(8,726)</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14,274</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2.96</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3,177,000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2,625,600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6.43</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3,316,000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(551,400)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2,764,600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Amortization expense for acquired intangible assets for the three and nine months ended October 31, 2020 was $109.4 million and $333.9 million, respectively. Amortization expense for acquired intangible assets for the three and nine months ended November 2, 2019 was $92.8 million and $253.5 million, respectively.</w:t>
      </w:r>
    </w:p>
    <w:p>
      <w:pPr>
        <w:spacing w:after="0" w:line="209" w:lineRule="exact"/>
        <w:rPr>
          <w:sz w:val="20"/>
          <w:szCs w:val="20"/>
          <w:color w:val="auto"/>
        </w:rPr>
      </w:pPr>
    </w:p>
    <w:p>
      <w:pPr>
        <w:ind w:right="800" w:firstLine="405"/>
        <w:spacing w:after="0" w:line="253" w:lineRule="auto"/>
        <w:rPr>
          <w:sz w:val="20"/>
          <w:szCs w:val="20"/>
          <w:color w:val="auto"/>
        </w:rPr>
      </w:pPr>
      <w:r>
        <w:rPr>
          <w:rFonts w:ascii="Arial" w:cs="Arial" w:eastAsia="Arial" w:hAnsi="Arial"/>
          <w:sz w:val="18"/>
          <w:szCs w:val="18"/>
          <w:color w:val="auto"/>
        </w:rPr>
        <w:t>The following table presents the estimated future amortization expense of acquired amortizable intangible assets as of October 31, 2020 (in thousands):</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200" w:type="dxa"/>
            <w:vAlign w:val="bottom"/>
            <w:tcBorders>
              <w:top w:val="single" w:sz="8" w:color="CCEEFF"/>
            </w:tcBorders>
            <w:shd w:val="clear" w:color="auto" w:fill="CCEEFF"/>
          </w:tcPr>
          <w:p>
            <w:pPr>
              <w:spacing w:after="0"/>
              <w:rPr>
                <w:sz w:val="19"/>
                <w:szCs w:val="19"/>
                <w:color w:val="auto"/>
              </w:rPr>
            </w:pPr>
          </w:p>
        </w:tc>
        <w:tc>
          <w:tcPr>
            <w:tcW w:w="84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109,433</w:t>
            </w:r>
          </w:p>
        </w:tc>
      </w:tr>
      <w:tr>
        <w:trPr>
          <w:trHeight w:val="230"/>
        </w:trPr>
        <w:tc>
          <w:tcPr>
            <w:tcW w:w="732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428,015</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414,937</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393,863</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354,012</w:t>
            </w:r>
          </w:p>
        </w:tc>
      </w:tr>
      <w:tr>
        <w:trPr>
          <w:trHeight w:val="230"/>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549,122</w:t>
            </w:r>
          </w:p>
        </w:tc>
      </w:tr>
      <w:tr>
        <w:trPr>
          <w:trHeight w:val="248"/>
        </w:trPr>
        <w:tc>
          <w:tcPr>
            <w:tcW w:w="73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2,249,382</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Restructuring</w:t>
      </w:r>
    </w:p>
    <w:p>
      <w:pPr>
        <w:spacing w:after="0" w:line="243" w:lineRule="exact"/>
        <w:rPr>
          <w:sz w:val="20"/>
          <w:szCs w:val="20"/>
          <w:color w:val="auto"/>
        </w:rPr>
      </w:pPr>
    </w:p>
    <w:p>
      <w:pPr>
        <w:ind w:right="60" w:firstLine="405"/>
        <w:spacing w:after="0" w:line="270" w:lineRule="auto"/>
        <w:rPr>
          <w:sz w:val="20"/>
          <w:szCs w:val="20"/>
          <w:color w:val="auto"/>
        </w:rPr>
      </w:pPr>
      <w:r>
        <w:rPr>
          <w:rFonts w:ascii="Arial" w:cs="Arial" w:eastAsia="Arial" w:hAnsi="Arial"/>
          <w:sz w:val="17"/>
          <w:szCs w:val="17"/>
          <w:color w:val="auto"/>
        </w:rPr>
        <w:t>The Company continuously evaluates its existing operations to increase operational efficiency, decrease costs and increase profitability. In November 2019, as part of the integration of the acquired Avera business, the Company initiated a restructuring plan intended to further achieve the aforementioned goals. The Company expects to complete these restructuring actions by the end of fiscal 2021.</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During the second quarter ended August 1, 2020, the Company made changes to the scope of its server processor product line in response to changes</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in the associated market. The Company transitioned its product offering from standard server processors to the broad server market to focus only on</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customized server processors for a few targeted customers. This change in strategy required the Company to assess whether the carrying value of the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associated assets would be recoverable. As a result of the assessment, the Company determined the carrying amount of certain impacted assets were not</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recoverable, which resulted in recognition of $119.0 million of restructuring related charges associated with the server processor product during the second</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quarter ended August 1, 2020. The charges included $50.3 million in impairment of acquired intangibles, $36.0 million in purchased IP licenses and</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$32.7 million in equipment and inventory impairment and other related restructuring charges. The Company expects to complete these restructuring actions</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by the end of fiscal 2022.</w:t>
      </w:r>
    </w:p>
    <w:p>
      <w:pPr>
        <w:spacing w:after="0" w:line="223"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The following table provides a summary of restructuring related charges, including the impairments described above, as presented in the unaudited condensed consolidated statements of operations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4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97"/>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518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7"/>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57"/>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51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2019</w:t>
            </w:r>
          </w:p>
        </w:tc>
      </w:tr>
      <w:tr>
        <w:trPr>
          <w:trHeight w:val="224"/>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5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19,312</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14,802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161,189</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37,070</w:t>
            </w:r>
          </w:p>
        </w:tc>
      </w:tr>
      <w:tr>
        <w:trPr>
          <w:trHeight w:val="248"/>
        </w:trPr>
        <w:tc>
          <w:tcPr>
            <w:tcW w:w="51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170,783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37,070</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80"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unaudited condensed consolidated statements of operations (in thousands):</w:t>
      </w:r>
    </w:p>
    <w:p>
      <w:pPr>
        <w:spacing w:after="0" w:line="95"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4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2740" w:type="dxa"/>
            <w:vAlign w:val="bottom"/>
            <w:gridSpan w:val="4"/>
          </w:tcPr>
          <w:p>
            <w:pPr>
              <w:jc w:val="right"/>
              <w:ind w:right="774"/>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518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34"/>
              <w:spacing w:after="0" w:line="135" w:lineRule="exact"/>
              <w:rPr>
                <w:sz w:val="20"/>
                <w:szCs w:val="20"/>
                <w:color w:val="auto"/>
              </w:rPr>
            </w:pPr>
            <w:r>
              <w:rPr>
                <w:rFonts w:ascii="Arial" w:cs="Arial" w:eastAsia="Arial" w:hAnsi="Arial"/>
                <w:sz w:val="14"/>
                <w:szCs w:val="14"/>
                <w:b w:val="1"/>
                <w:bCs w:val="1"/>
                <w:color w:val="auto"/>
              </w:rPr>
              <w:t>November 2,</w:t>
            </w:r>
          </w:p>
        </w:tc>
        <w:tc>
          <w:tcPr>
            <w:tcW w:w="12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20" w:type="dxa"/>
            <w:vAlign w:val="bottom"/>
            <w:tcBorders>
              <w:top w:val="single" w:sz="8" w:color="auto"/>
            </w:tcBorders>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34"/>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51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2019</w:t>
            </w:r>
          </w:p>
        </w:tc>
      </w:tr>
      <w:tr>
        <w:trPr>
          <w:trHeight w:val="224"/>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Severance and related costs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12,300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40,125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15,501</w:t>
            </w: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5,741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7,546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11,825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18,590</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1,651</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535</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119,858</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3,991</w:t>
            </w:r>
          </w:p>
        </w:tc>
      </w:tr>
      <w:tr>
        <w:trPr>
          <w:trHeight w:val="223"/>
        </w:trPr>
        <w:tc>
          <w:tcPr>
            <w:tcW w:w="5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19,692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14,955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171,808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38,082</w:t>
            </w: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Release of reserves: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Severance</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(367)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(908)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Facilities and related costs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(873)</w:t>
            </w: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Other exit-related costs</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(127)</w:t>
            </w:r>
          </w:p>
        </w:tc>
      </w:tr>
      <w:tr>
        <w:trPr>
          <w:trHeight w:val="248"/>
        </w:trPr>
        <w:tc>
          <w:tcPr>
            <w:tcW w:w="518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14,802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170,783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37,070</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right="120" w:firstLine="405"/>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Severance and</w:t>
            </w:r>
          </w:p>
        </w:tc>
        <w:tc>
          <w:tcPr>
            <w:tcW w:w="154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2"/>
              </w:rPr>
              <w:t>Facilities and Related</w:t>
            </w:r>
          </w:p>
        </w:tc>
        <w:tc>
          <w:tcPr>
            <w:tcW w:w="120" w:type="dxa"/>
            <w:vAlign w:val="bottom"/>
          </w:tcPr>
          <w:p>
            <w:pPr>
              <w:spacing w:after="0"/>
              <w:rPr>
                <w:sz w:val="14"/>
                <w:szCs w:val="14"/>
                <w:color w:val="auto"/>
              </w:rPr>
            </w:pPr>
          </w:p>
        </w:tc>
        <w:tc>
          <w:tcPr>
            <w:tcW w:w="14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6"/>
              </w:rPr>
              <w:t>Other Exit-Related</w:t>
            </w:r>
          </w:p>
        </w:tc>
        <w:tc>
          <w:tcPr>
            <w:tcW w:w="340" w:type="dxa"/>
            <w:vAlign w:val="bottom"/>
          </w:tcPr>
          <w:p>
            <w:pPr>
              <w:spacing w:after="0"/>
              <w:rPr>
                <w:sz w:val="14"/>
                <w:szCs w:val="14"/>
                <w:color w:val="auto"/>
              </w:rPr>
            </w:pPr>
          </w:p>
        </w:tc>
        <w:tc>
          <w:tcPr>
            <w:tcW w:w="1100" w:type="dxa"/>
            <w:vAlign w:val="bottom"/>
            <w:vMerge w:val="restart"/>
          </w:tcPr>
          <w:p>
            <w:pPr>
              <w:jc w:val="right"/>
              <w:ind w:right="47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51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Related Costs</w:t>
            </w:r>
          </w:p>
        </w:tc>
        <w:tc>
          <w:tcPr>
            <w:tcW w:w="340" w:type="dxa"/>
            <w:vAlign w:val="bottom"/>
          </w:tcPr>
          <w:p>
            <w:pPr>
              <w:spacing w:after="0"/>
              <w:rPr>
                <w:sz w:val="16"/>
                <w:szCs w:val="16"/>
                <w:color w:val="auto"/>
              </w:rPr>
            </w:pPr>
          </w:p>
        </w:tc>
        <w:tc>
          <w:tcPr>
            <w:tcW w:w="12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2"/>
              </w:rPr>
              <w:t>Costs</w:t>
            </w:r>
          </w:p>
        </w:tc>
        <w:tc>
          <w:tcPr>
            <w:tcW w:w="120" w:type="dxa"/>
            <w:vAlign w:val="bottom"/>
          </w:tcPr>
          <w:p>
            <w:pPr>
              <w:spacing w:after="0"/>
              <w:rPr>
                <w:sz w:val="16"/>
                <w:szCs w:val="16"/>
                <w:color w:val="auto"/>
              </w:rPr>
            </w:pPr>
          </w:p>
        </w:tc>
        <w:tc>
          <w:tcPr>
            <w:tcW w:w="14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2"/>
              </w:rPr>
              <w:t>Costs</w:t>
            </w:r>
          </w:p>
        </w:tc>
        <w:tc>
          <w:tcPr>
            <w:tcW w:w="340" w:type="dxa"/>
            <w:vAlign w:val="bottom"/>
          </w:tcPr>
          <w:p>
            <w:pPr>
              <w:spacing w:after="0"/>
              <w:rPr>
                <w:sz w:val="16"/>
                <w:szCs w:val="16"/>
                <w:color w:val="auto"/>
              </w:rPr>
            </w:pPr>
          </w:p>
        </w:tc>
        <w:tc>
          <w:tcPr>
            <w:tcW w:w="11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13,228</w:t>
            </w:r>
          </w:p>
        </w:tc>
        <w:tc>
          <w:tcPr>
            <w:tcW w:w="1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36"/>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653</w:t>
            </w:r>
          </w:p>
        </w:tc>
        <w:tc>
          <w:tcPr>
            <w:tcW w:w="10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547</w:t>
            </w:r>
          </w:p>
        </w:tc>
        <w:tc>
          <w:tcPr>
            <w:tcW w:w="1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14,428</w:t>
            </w:r>
          </w:p>
        </w:tc>
        <w:tc>
          <w:tcPr>
            <w:tcW w:w="0" w:type="dxa"/>
            <w:vAlign w:val="bottom"/>
          </w:tcPr>
          <w:p>
            <w:pPr>
              <w:spacing w:after="0"/>
              <w:rPr>
                <w:sz w:val="1"/>
                <w:szCs w:val="1"/>
                <w:color w:val="auto"/>
              </w:rPr>
            </w:pPr>
          </w:p>
        </w:tc>
      </w:tr>
      <w:tr>
        <w:trPr>
          <w:trHeight w:val="230"/>
        </w:trPr>
        <w:tc>
          <w:tcPr>
            <w:tcW w:w="5180" w:type="dxa"/>
            <w:vAlign w:val="bottom"/>
          </w:tcPr>
          <w:p>
            <w:pPr>
              <w:ind w:left="160"/>
              <w:spacing w:after="0"/>
              <w:rPr>
                <w:sz w:val="20"/>
                <w:szCs w:val="20"/>
                <w:color w:val="auto"/>
              </w:rPr>
            </w:pPr>
            <w:r>
              <w:rPr>
                <w:rFonts w:ascii="Arial" w:cs="Arial" w:eastAsia="Arial" w:hAnsi="Arial"/>
                <w:sz w:val="18"/>
                <w:szCs w:val="18"/>
                <w:color w:val="auto"/>
              </w:rPr>
              <w:t>Restructuring charges (1)</w:t>
            </w:r>
          </w:p>
        </w:tc>
        <w:tc>
          <w:tcPr>
            <w:tcW w:w="18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40,125</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3,391</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6,622</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50,138</w:t>
            </w:r>
          </w:p>
        </w:tc>
        <w:tc>
          <w:tcPr>
            <w:tcW w:w="0" w:type="dxa"/>
            <w:vAlign w:val="bottom"/>
          </w:tcPr>
          <w:p>
            <w:pPr>
              <w:spacing w:after="0"/>
              <w:rPr>
                <w:sz w:val="1"/>
                <w:szCs w:val="1"/>
                <w:color w:val="auto"/>
              </w:rPr>
            </w:pPr>
          </w:p>
        </w:tc>
      </w:tr>
      <w:tr>
        <w:trPr>
          <w:trHeight w:val="229"/>
        </w:trPr>
        <w:tc>
          <w:tcPr>
            <w:tcW w:w="5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Release of reserves</w:t>
            </w:r>
          </w:p>
        </w:tc>
        <w:tc>
          <w:tcPr>
            <w:tcW w:w="180" w:type="dxa"/>
            <w:vAlign w:val="bottom"/>
            <w:shd w:val="clear" w:color="auto" w:fill="CCEEFF"/>
          </w:tcPr>
          <w:p>
            <w:pPr>
              <w:spacing w:after="0"/>
              <w:rPr>
                <w:sz w:val="19"/>
                <w:szCs w:val="19"/>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w:t>
            </w:r>
          </w:p>
        </w:tc>
        <w:tc>
          <w:tcPr>
            <w:tcW w:w="0" w:type="dxa"/>
            <w:vAlign w:val="bottom"/>
          </w:tcPr>
          <w:p>
            <w:pPr>
              <w:spacing w:after="0"/>
              <w:rPr>
                <w:sz w:val="1"/>
                <w:szCs w:val="1"/>
                <w:color w:val="auto"/>
              </w:rPr>
            </w:pPr>
          </w:p>
        </w:tc>
      </w:tr>
      <w:tr>
        <w:trPr>
          <w:trHeight w:val="230"/>
        </w:trPr>
        <w:tc>
          <w:tcPr>
            <w:tcW w:w="5180" w:type="dxa"/>
            <w:vAlign w:val="bottom"/>
          </w:tcPr>
          <w:p>
            <w:pPr>
              <w:ind w:left="160"/>
              <w:spacing w:after="0"/>
              <w:rPr>
                <w:sz w:val="20"/>
                <w:szCs w:val="20"/>
                <w:color w:val="auto"/>
              </w:rPr>
            </w:pPr>
            <w:r>
              <w:rPr>
                <w:rFonts w:ascii="Arial" w:cs="Arial" w:eastAsia="Arial" w:hAnsi="Arial"/>
                <w:sz w:val="18"/>
                <w:szCs w:val="18"/>
                <w:color w:val="auto"/>
              </w:rPr>
              <w:t>Net cash payments</w:t>
            </w:r>
          </w:p>
        </w:tc>
        <w:tc>
          <w:tcPr>
            <w:tcW w:w="18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(35,321)</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(3,866)</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(3,310)</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(42,497)</w:t>
            </w:r>
          </w:p>
        </w:tc>
        <w:tc>
          <w:tcPr>
            <w:tcW w:w="0" w:type="dxa"/>
            <w:vAlign w:val="bottom"/>
          </w:tcPr>
          <w:p>
            <w:pPr>
              <w:spacing w:after="0"/>
              <w:rPr>
                <w:sz w:val="1"/>
                <w:szCs w:val="1"/>
                <w:color w:val="auto"/>
              </w:rPr>
            </w:pPr>
          </w:p>
        </w:tc>
      </w:tr>
      <w:tr>
        <w:trPr>
          <w:trHeight w:val="229"/>
        </w:trPr>
        <w:tc>
          <w:tcPr>
            <w:tcW w:w="51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Exchange rate adjustment</w:t>
            </w:r>
          </w:p>
        </w:tc>
        <w:tc>
          <w:tcPr>
            <w:tcW w:w="180" w:type="dxa"/>
            <w:vAlign w:val="bottom"/>
            <w:shd w:val="clear" w:color="auto" w:fill="CCEEFF"/>
          </w:tcPr>
          <w:p>
            <w:pPr>
              <w:spacing w:after="0"/>
              <w:rPr>
                <w:sz w:val="19"/>
                <w:szCs w:val="19"/>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Balance at October 31, 2020 (1)</w:t>
            </w:r>
          </w:p>
        </w:tc>
        <w:tc>
          <w:tcPr>
            <w:tcW w:w="18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17,652</w:t>
            </w:r>
          </w:p>
        </w:tc>
        <w:tc>
          <w:tcPr>
            <w:tcW w:w="100" w:type="dxa"/>
            <w:vAlign w:val="bottom"/>
          </w:tcPr>
          <w:p>
            <w:pPr>
              <w:spacing w:after="0"/>
              <w:rPr>
                <w:sz w:val="19"/>
                <w:szCs w:val="19"/>
                <w:color w:val="auto"/>
              </w:rPr>
            </w:pPr>
          </w:p>
        </w:tc>
        <w:tc>
          <w:tcPr>
            <w:tcW w:w="34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w:t>
            </w: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3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3,856</w:t>
            </w:r>
          </w:p>
        </w:tc>
        <w:tc>
          <w:tcPr>
            <w:tcW w:w="100" w:type="dxa"/>
            <w:vAlign w:val="bottom"/>
          </w:tcPr>
          <w:p>
            <w:pPr>
              <w:spacing w:after="0"/>
              <w:rPr>
                <w:sz w:val="19"/>
                <w:szCs w:val="19"/>
                <w:color w:val="auto"/>
              </w:rPr>
            </w:pPr>
          </w:p>
        </w:tc>
        <w:tc>
          <w:tcPr>
            <w:tcW w:w="34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21,572</w:t>
            </w:r>
          </w:p>
        </w:tc>
        <w:tc>
          <w:tcPr>
            <w:tcW w:w="0" w:type="dxa"/>
            <w:vAlign w:val="bottom"/>
          </w:tcPr>
          <w:p>
            <w:pPr>
              <w:spacing w:after="0"/>
              <w:rPr>
                <w:sz w:val="1"/>
                <w:szCs w:val="1"/>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18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w:t>
            </w:r>
          </w:p>
        </w:tc>
        <w:tc>
          <w:tcPr>
            <w:tcW w:w="0" w:type="dxa"/>
            <w:vAlign w:val="bottom"/>
          </w:tcPr>
          <w:p>
            <w:pPr>
              <w:spacing w:after="0"/>
              <w:rPr>
                <w:sz w:val="1"/>
                <w:szCs w:val="1"/>
                <w:color w:val="auto"/>
              </w:rPr>
            </w:pP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17,652</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6"/>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3,267</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20,919</w:t>
            </w:r>
          </w:p>
        </w:tc>
        <w:tc>
          <w:tcPr>
            <w:tcW w:w="0" w:type="dxa"/>
            <w:vAlign w:val="bottom"/>
          </w:tcPr>
          <w:p>
            <w:pPr>
              <w:spacing w:after="0"/>
              <w:rPr>
                <w:sz w:val="1"/>
                <w:szCs w:val="1"/>
                <w:color w:val="auto"/>
              </w:rPr>
            </w:pPr>
          </w:p>
        </w:tc>
      </w:tr>
      <w:tr>
        <w:trPr>
          <w:trHeight w:val="21"/>
        </w:trPr>
        <w:tc>
          <w:tcPr>
            <w:tcW w:w="5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180" w:firstLine="413"/>
        <w:spacing w:after="0" w:line="291" w:lineRule="auto"/>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color w:val="auto"/>
        </w:rPr>
        <w:t>Impairment charges of $112.1 million, recognized in the second quarter ended August 1, 2020, associated with the server processor product line were recorded directly to the unaudited condensed consolidated statement of operations and were not included in the above liabilities.</w:t>
      </w:r>
    </w:p>
    <w:p>
      <w:pPr>
        <w:spacing w:after="0" w:line="174" w:lineRule="exact"/>
        <w:rPr>
          <w:sz w:val="20"/>
          <w:szCs w:val="20"/>
          <w:color w:val="auto"/>
        </w:rPr>
      </w:pPr>
    </w:p>
    <w:p>
      <w:pPr>
        <w:ind w:right="80" w:firstLine="405"/>
        <w:spacing w:after="0" w:line="324" w:lineRule="auto"/>
        <w:rPr>
          <w:sz w:val="20"/>
          <w:szCs w:val="20"/>
          <w:color w:val="auto"/>
        </w:rPr>
      </w:pPr>
      <w:r>
        <w:rPr>
          <w:rFonts w:ascii="Arial" w:cs="Arial" w:eastAsia="Arial" w:hAnsi="Arial"/>
          <w:sz w:val="16"/>
          <w:szCs w:val="16"/>
          <w:color w:val="auto"/>
        </w:rPr>
        <w:t>The remaining accrued severance and related costs are expected to be paid in fiscal 2022. The remaining other exit-related costs includes impairment charges associated with the future maintenance support for the sever processor product line that are expected to be paid through fiscal 2024.</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43"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24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36"/>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36"/>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Pr>
          <w:p>
            <w:pPr>
              <w:jc w:val="right"/>
              <w:ind w:right="116"/>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108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96"/>
              <w:spacing w:after="0" w:line="135" w:lineRule="exact"/>
              <w:rPr>
                <w:sz w:val="20"/>
                <w:szCs w:val="20"/>
                <w:color w:val="auto"/>
              </w:rPr>
            </w:pPr>
            <w:r>
              <w:rPr>
                <w:rFonts w:ascii="Arial" w:cs="Arial" w:eastAsia="Arial" w:hAnsi="Arial"/>
                <w:sz w:val="14"/>
                <w:szCs w:val="14"/>
                <w:b w:val="1"/>
                <w:bCs w:val="1"/>
                <w:color w:val="auto"/>
                <w:w w:val="95"/>
              </w:rPr>
              <w:t>November 2,</w:t>
            </w:r>
          </w:p>
        </w:tc>
        <w:tc>
          <w:tcPr>
            <w:tcW w:w="120" w:type="dxa"/>
            <w:vAlign w:val="bottom"/>
          </w:tcPr>
          <w:p>
            <w:pPr>
              <w:spacing w:after="0"/>
              <w:rPr>
                <w:sz w:val="11"/>
                <w:szCs w:val="11"/>
                <w:color w:val="auto"/>
              </w:rPr>
            </w:pPr>
          </w:p>
        </w:tc>
        <w:tc>
          <w:tcPr>
            <w:tcW w:w="112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6"/>
              <w:spacing w:after="0" w:line="135" w:lineRule="exact"/>
              <w:rPr>
                <w:sz w:val="20"/>
                <w:szCs w:val="20"/>
                <w:color w:val="auto"/>
              </w:rPr>
            </w:pPr>
            <w:r>
              <w:rPr>
                <w:rFonts w:ascii="Arial" w:cs="Arial" w:eastAsia="Arial" w:hAnsi="Arial"/>
                <w:sz w:val="14"/>
                <w:szCs w:val="14"/>
                <w:b w:val="1"/>
                <w:bCs w:val="1"/>
                <w:color w:val="auto"/>
                <w:w w:val="98"/>
              </w:rPr>
              <w:t>October 31,</w:t>
            </w:r>
          </w:p>
        </w:tc>
        <w:tc>
          <w:tcPr>
            <w:tcW w:w="12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1020" w:type="dxa"/>
            <w:vAlign w:val="bottom"/>
          </w:tcPr>
          <w:p>
            <w:pPr>
              <w:jc w:val="right"/>
              <w:ind w:right="116"/>
              <w:spacing w:after="0" w:line="135" w:lineRule="exact"/>
              <w:rPr>
                <w:sz w:val="20"/>
                <w:szCs w:val="20"/>
                <w:color w:val="auto"/>
              </w:rPr>
            </w:pPr>
            <w:r>
              <w:rPr>
                <w:rFonts w:ascii="Arial" w:cs="Arial" w:eastAsia="Arial" w:hAnsi="Arial"/>
                <w:sz w:val="14"/>
                <w:szCs w:val="14"/>
                <w:b w:val="1"/>
                <w:bCs w:val="1"/>
                <w:color w:val="auto"/>
                <w:w w:val="95"/>
              </w:rPr>
              <w:t>November 2,</w:t>
            </w:r>
          </w:p>
        </w:tc>
        <w:tc>
          <w:tcPr>
            <w:tcW w:w="100" w:type="dxa"/>
            <w:vAlign w:val="bottom"/>
          </w:tcPr>
          <w:p>
            <w:pPr>
              <w:spacing w:after="0"/>
              <w:rPr>
                <w:sz w:val="11"/>
                <w:szCs w:val="11"/>
                <w:color w:val="auto"/>
              </w:rPr>
            </w:pPr>
          </w:p>
        </w:tc>
        <w:tc>
          <w:tcPr>
            <w:tcW w:w="86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4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80" w:type="dxa"/>
            <w:vAlign w:val="bottom"/>
          </w:tcPr>
          <w:p>
            <w:pPr>
              <w:jc w:val="right"/>
              <w:ind w:right="33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080" w:type="dxa"/>
            <w:vAlign w:val="bottom"/>
            <w:gridSpan w:val="3"/>
            <w:vMerge w:val="continue"/>
          </w:tcPr>
          <w:p>
            <w:pPr>
              <w:spacing w:after="0"/>
              <w:rPr>
                <w:sz w:val="16"/>
                <w:szCs w:val="16"/>
                <w:color w:val="auto"/>
              </w:rPr>
            </w:pPr>
          </w:p>
        </w:tc>
        <w:tc>
          <w:tcPr>
            <w:tcW w:w="1000" w:type="dxa"/>
            <w:vAlign w:val="bottom"/>
          </w:tcPr>
          <w:p>
            <w:pPr>
              <w:jc w:val="right"/>
              <w:ind w:right="336"/>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1000" w:type="dxa"/>
            <w:vAlign w:val="bottom"/>
          </w:tcPr>
          <w:p>
            <w:pPr>
              <w:jc w:val="right"/>
              <w:ind w:right="356"/>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1020" w:type="dxa"/>
            <w:vAlign w:val="bottom"/>
          </w:tcPr>
          <w:p>
            <w:pPr>
              <w:jc w:val="right"/>
              <w:ind w:right="35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44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by product</w:t>
            </w:r>
          </w:p>
        </w:tc>
        <w:tc>
          <w:tcPr>
            <w:tcW w:w="14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2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10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44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group:</w:t>
            </w: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440" w:type="dxa"/>
            <w:vAlign w:val="bottom"/>
          </w:tcPr>
          <w:p>
            <w:pPr>
              <w:ind w:left="340"/>
              <w:spacing w:after="0"/>
              <w:rPr>
                <w:sz w:val="20"/>
                <w:szCs w:val="20"/>
                <w:color w:val="auto"/>
              </w:rPr>
            </w:pPr>
            <w:r>
              <w:rPr>
                <w:rFonts w:ascii="Arial" w:cs="Arial" w:eastAsia="Arial" w:hAnsi="Arial"/>
                <w:sz w:val="18"/>
                <w:szCs w:val="18"/>
                <w:color w:val="auto"/>
              </w:rPr>
              <w:t>Networking (1)</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444,756</w:t>
            </w: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59% $</w:t>
            </w:r>
          </w:p>
        </w:tc>
        <w:tc>
          <w:tcPr>
            <w:tcW w:w="1000" w:type="dxa"/>
            <w:vAlign w:val="bottom"/>
          </w:tcPr>
          <w:p>
            <w:pPr>
              <w:jc w:val="right"/>
              <w:spacing w:after="0"/>
              <w:rPr>
                <w:sz w:val="20"/>
                <w:szCs w:val="20"/>
                <w:color w:val="auto"/>
              </w:rPr>
            </w:pPr>
            <w:r>
              <w:rPr>
                <w:rFonts w:ascii="Arial" w:cs="Arial" w:eastAsia="Arial" w:hAnsi="Arial"/>
                <w:sz w:val="18"/>
                <w:szCs w:val="18"/>
                <w:color w:val="auto"/>
              </w:rPr>
              <w:t>329,962</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50%  $</w:t>
            </w:r>
          </w:p>
        </w:tc>
        <w:tc>
          <w:tcPr>
            <w:tcW w:w="1000" w:type="dxa"/>
            <w:vAlign w:val="bottom"/>
          </w:tcPr>
          <w:p>
            <w:pPr>
              <w:jc w:val="right"/>
              <w:spacing w:after="0"/>
              <w:rPr>
                <w:sz w:val="20"/>
                <w:szCs w:val="20"/>
                <w:color w:val="auto"/>
              </w:rPr>
            </w:pPr>
            <w:r>
              <w:rPr>
                <w:rFonts w:ascii="Arial" w:cs="Arial" w:eastAsia="Arial" w:hAnsi="Arial"/>
                <w:sz w:val="18"/>
                <w:szCs w:val="18"/>
                <w:color w:val="auto"/>
              </w:rPr>
              <w:t>1,244,684</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57% $</w:t>
            </w:r>
          </w:p>
        </w:tc>
        <w:tc>
          <w:tcPr>
            <w:tcW w:w="1020" w:type="dxa"/>
            <w:vAlign w:val="bottom"/>
          </w:tcPr>
          <w:p>
            <w:pPr>
              <w:jc w:val="right"/>
              <w:spacing w:after="0"/>
              <w:rPr>
                <w:sz w:val="20"/>
                <w:szCs w:val="20"/>
                <w:color w:val="auto"/>
              </w:rPr>
            </w:pPr>
            <w:r>
              <w:rPr>
                <w:rFonts w:ascii="Arial" w:cs="Arial" w:eastAsia="Arial" w:hAnsi="Arial"/>
                <w:sz w:val="18"/>
                <w:szCs w:val="18"/>
                <w:color w:val="auto"/>
              </w:rPr>
              <w:t>1,000,911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51 %</w:t>
            </w:r>
          </w:p>
        </w:tc>
        <w:tc>
          <w:tcPr>
            <w:tcW w:w="0" w:type="dxa"/>
            <w:vAlign w:val="bottom"/>
          </w:tcPr>
          <w:p>
            <w:pPr>
              <w:spacing w:after="0"/>
              <w:rPr>
                <w:sz w:val="1"/>
                <w:szCs w:val="1"/>
                <w:color w:val="auto"/>
              </w:rPr>
            </w:pPr>
          </w:p>
        </w:tc>
      </w:tr>
      <w:tr>
        <w:trPr>
          <w:trHeight w:val="230"/>
        </w:trPr>
        <w:tc>
          <w:tcPr>
            <w:tcW w:w="24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Storage (2)</w:t>
            </w: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276,279</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37 %</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287,708</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825,462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841,280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42 %</w:t>
            </w:r>
          </w:p>
        </w:tc>
        <w:tc>
          <w:tcPr>
            <w:tcW w:w="0" w:type="dxa"/>
            <w:vAlign w:val="bottom"/>
          </w:tcPr>
          <w:p>
            <w:pPr>
              <w:spacing w:after="0"/>
              <w:rPr>
                <w:sz w:val="1"/>
                <w:szCs w:val="1"/>
                <w:color w:val="auto"/>
              </w:rPr>
            </w:pPr>
          </w:p>
        </w:tc>
      </w:tr>
      <w:tr>
        <w:trPr>
          <w:trHeight w:val="229"/>
        </w:trPr>
        <w:tc>
          <w:tcPr>
            <w:tcW w:w="24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Other (3)</w:t>
            </w:r>
          </w:p>
        </w:tc>
        <w:tc>
          <w:tcPr>
            <w:tcW w:w="1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29,108</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Borders>
              <w:bottom w:val="single" w:sz="8" w:color="CCEEFF"/>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44,800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7 %</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100,935</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139,299</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48"/>
        </w:trPr>
        <w:tc>
          <w:tcPr>
            <w:tcW w:w="24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662,470</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1,981,490</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4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9" w:lineRule="exact"/>
        <w:rPr>
          <w:sz w:val="20"/>
          <w:szCs w:val="20"/>
          <w:color w:val="auto"/>
        </w:rPr>
      </w:pPr>
    </w:p>
    <w:p>
      <w:pPr>
        <w:ind w:left="660" w:hanging="247"/>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Networking products are comprised primarily of Ethernet Solutions, Embedded Processors and Custom ASICs.</w:t>
      </w:r>
    </w:p>
    <w:p>
      <w:pPr>
        <w:spacing w:after="0" w:line="11" w:lineRule="exact"/>
        <w:rPr>
          <w:rFonts w:ascii="Arial" w:cs="Arial" w:eastAsia="Arial" w:hAnsi="Arial"/>
          <w:sz w:val="18"/>
          <w:szCs w:val="18"/>
          <w:color w:val="auto"/>
        </w:rPr>
      </w:pPr>
    </w:p>
    <w:p>
      <w:pPr>
        <w:ind w:left="660" w:hanging="247"/>
        <w:spacing w:after="0" w:line="234"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ind w:left="660" w:hanging="247"/>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14"/>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4"/>
              <w:spacing w:after="0" w:line="135" w:lineRule="exact"/>
              <w:rPr>
                <w:sz w:val="20"/>
                <w:szCs w:val="20"/>
                <w:color w:val="auto"/>
              </w:rPr>
            </w:pPr>
            <w:r>
              <w:rPr>
                <w:rFonts w:ascii="Arial" w:cs="Arial" w:eastAsia="Arial" w:hAnsi="Arial"/>
                <w:sz w:val="14"/>
                <w:szCs w:val="14"/>
                <w:b w:val="1"/>
                <w:bCs w:val="1"/>
                <w:color w:val="auto"/>
                <w:w w:val="96"/>
              </w:rPr>
              <w:t>October 31,</w:t>
            </w:r>
          </w:p>
        </w:tc>
        <w:tc>
          <w:tcPr>
            <w:tcW w:w="120" w:type="dxa"/>
            <w:vAlign w:val="bottom"/>
          </w:tcPr>
          <w:p>
            <w:pPr>
              <w:spacing w:after="0"/>
              <w:rPr>
                <w:sz w:val="11"/>
                <w:szCs w:val="11"/>
                <w:color w:val="auto"/>
              </w:rPr>
            </w:pPr>
          </w:p>
        </w:tc>
        <w:tc>
          <w:tcPr>
            <w:tcW w:w="108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94"/>
              <w:spacing w:after="0" w:line="135" w:lineRule="exact"/>
              <w:rPr>
                <w:sz w:val="20"/>
                <w:szCs w:val="20"/>
                <w:color w:val="auto"/>
              </w:rPr>
            </w:pPr>
            <w:r>
              <w:rPr>
                <w:rFonts w:ascii="Arial" w:cs="Arial" w:eastAsia="Arial" w:hAnsi="Arial"/>
                <w:sz w:val="14"/>
                <w:szCs w:val="14"/>
                <w:b w:val="1"/>
                <w:bCs w:val="1"/>
                <w:color w:val="auto"/>
                <w:w w:val="95"/>
              </w:rPr>
              <w:t>November 2,</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4"/>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1020" w:type="dxa"/>
            <w:vAlign w:val="bottom"/>
          </w:tcPr>
          <w:p>
            <w:pPr>
              <w:jc w:val="right"/>
              <w:ind w:right="94"/>
              <w:spacing w:after="0" w:line="135" w:lineRule="exact"/>
              <w:rPr>
                <w:sz w:val="20"/>
                <w:szCs w:val="20"/>
                <w:color w:val="auto"/>
              </w:rPr>
            </w:pPr>
            <w:r>
              <w:rPr>
                <w:rFonts w:ascii="Arial" w:cs="Arial" w:eastAsia="Arial" w:hAnsi="Arial"/>
                <w:sz w:val="14"/>
                <w:szCs w:val="14"/>
                <w:b w:val="1"/>
                <w:bCs w:val="1"/>
                <w:color w:val="auto"/>
                <w:w w:val="97"/>
              </w:rPr>
              <w:t>November 2,</w:t>
            </w:r>
          </w:p>
        </w:tc>
        <w:tc>
          <w:tcPr>
            <w:tcW w:w="100" w:type="dxa"/>
            <w:vAlign w:val="bottom"/>
          </w:tcPr>
          <w:p>
            <w:pPr>
              <w:spacing w:after="0"/>
              <w:rPr>
                <w:sz w:val="11"/>
                <w:szCs w:val="11"/>
                <w:color w:val="auto"/>
              </w:rPr>
            </w:pPr>
          </w:p>
        </w:tc>
        <w:tc>
          <w:tcPr>
            <w:tcW w:w="88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4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34"/>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080" w:type="dxa"/>
            <w:vAlign w:val="bottom"/>
            <w:gridSpan w:val="3"/>
            <w:vMerge w:val="continue"/>
          </w:tcPr>
          <w:p>
            <w:pPr>
              <w:spacing w:after="0"/>
              <w:rPr>
                <w:sz w:val="16"/>
                <w:szCs w:val="16"/>
                <w:color w:val="auto"/>
              </w:rPr>
            </w:pPr>
          </w:p>
        </w:tc>
        <w:tc>
          <w:tcPr>
            <w:tcW w:w="1000" w:type="dxa"/>
            <w:vAlign w:val="bottom"/>
          </w:tcPr>
          <w:p>
            <w:pPr>
              <w:jc w:val="right"/>
              <w:ind w:right="354"/>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1000" w:type="dxa"/>
            <w:vAlign w:val="bottom"/>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1020" w:type="dxa"/>
            <w:vAlign w:val="bottom"/>
          </w:tcPr>
          <w:p>
            <w:pPr>
              <w:jc w:val="right"/>
              <w:ind w:right="354"/>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42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based on</w:t>
            </w:r>
          </w:p>
        </w:tc>
        <w:tc>
          <w:tcPr>
            <w:tcW w:w="160" w:type="dxa"/>
            <w:vAlign w:val="bottom"/>
            <w:tcBorders>
              <w:top w:val="single" w:sz="8" w:color="auto"/>
            </w:tcBorders>
            <w:shd w:val="clear" w:color="auto" w:fill="CCEEFF"/>
          </w:tcPr>
          <w:p>
            <w:pPr>
              <w:spacing w:after="0"/>
              <w:rPr>
                <w:sz w:val="13"/>
                <w:szCs w:val="13"/>
                <w:color w:val="auto"/>
              </w:rPr>
            </w:pPr>
          </w:p>
        </w:tc>
        <w:tc>
          <w:tcPr>
            <w:tcW w:w="96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2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10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8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42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2420" w:type="dxa"/>
            <w:vAlign w:val="bottom"/>
          </w:tcPr>
          <w:p>
            <w:pPr>
              <w:ind w:left="360"/>
              <w:spacing w:after="0"/>
              <w:rPr>
                <w:sz w:val="20"/>
                <w:szCs w:val="20"/>
                <w:color w:val="auto"/>
              </w:rPr>
            </w:pPr>
            <w:r>
              <w:rPr>
                <w:rFonts w:ascii="Arial" w:cs="Arial" w:eastAsia="Arial" w:hAnsi="Arial"/>
                <w:sz w:val="18"/>
                <w:szCs w:val="18"/>
                <w:color w:val="auto"/>
              </w:rPr>
              <w:t>China</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324,927</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43% $</w:t>
            </w:r>
          </w:p>
        </w:tc>
        <w:tc>
          <w:tcPr>
            <w:tcW w:w="1000" w:type="dxa"/>
            <w:vAlign w:val="bottom"/>
          </w:tcPr>
          <w:p>
            <w:pPr>
              <w:jc w:val="right"/>
              <w:spacing w:after="0"/>
              <w:rPr>
                <w:sz w:val="20"/>
                <w:szCs w:val="20"/>
                <w:color w:val="auto"/>
              </w:rPr>
            </w:pPr>
            <w:r>
              <w:rPr>
                <w:rFonts w:ascii="Arial" w:cs="Arial" w:eastAsia="Arial" w:hAnsi="Arial"/>
                <w:sz w:val="18"/>
                <w:szCs w:val="18"/>
                <w:color w:val="auto"/>
              </w:rPr>
              <w:t>258,028</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39%  $</w:t>
            </w:r>
          </w:p>
        </w:tc>
        <w:tc>
          <w:tcPr>
            <w:tcW w:w="1000" w:type="dxa"/>
            <w:vAlign w:val="bottom"/>
          </w:tcPr>
          <w:p>
            <w:pPr>
              <w:jc w:val="right"/>
              <w:spacing w:after="0"/>
              <w:rPr>
                <w:sz w:val="20"/>
                <w:szCs w:val="20"/>
                <w:color w:val="auto"/>
              </w:rPr>
            </w:pPr>
            <w:r>
              <w:rPr>
                <w:rFonts w:ascii="Arial" w:cs="Arial" w:eastAsia="Arial" w:hAnsi="Arial"/>
                <w:sz w:val="18"/>
                <w:szCs w:val="18"/>
                <w:color w:val="auto"/>
              </w:rPr>
              <w:t>908,255</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42% $</w:t>
            </w:r>
          </w:p>
        </w:tc>
        <w:tc>
          <w:tcPr>
            <w:tcW w:w="1020" w:type="dxa"/>
            <w:vAlign w:val="bottom"/>
          </w:tcPr>
          <w:p>
            <w:pPr>
              <w:jc w:val="right"/>
              <w:spacing w:after="0"/>
              <w:rPr>
                <w:sz w:val="20"/>
                <w:szCs w:val="20"/>
                <w:color w:val="auto"/>
              </w:rPr>
            </w:pPr>
            <w:r>
              <w:rPr>
                <w:rFonts w:ascii="Arial" w:cs="Arial" w:eastAsia="Arial" w:hAnsi="Arial"/>
                <w:sz w:val="18"/>
                <w:szCs w:val="18"/>
                <w:color w:val="auto"/>
              </w:rPr>
              <w:t>790,473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0" w:type="dxa"/>
            <w:vAlign w:val="bottom"/>
          </w:tcPr>
          <w:p>
            <w:pPr>
              <w:spacing w:after="0"/>
              <w:rPr>
                <w:sz w:val="1"/>
                <w:szCs w:val="1"/>
                <w:color w:val="auto"/>
              </w:rPr>
            </w:pPr>
          </w:p>
        </w:tc>
      </w:tr>
      <w:tr>
        <w:trPr>
          <w:trHeight w:val="229"/>
        </w:trPr>
        <w:tc>
          <w:tcPr>
            <w:tcW w:w="24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73,751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61,772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241,814</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190,357</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0" w:type="dxa"/>
            <w:vAlign w:val="bottom"/>
          </w:tcPr>
          <w:p>
            <w:pPr>
              <w:spacing w:after="0"/>
              <w:rPr>
                <w:sz w:val="1"/>
                <w:szCs w:val="1"/>
                <w:color w:val="auto"/>
              </w:rPr>
            </w:pPr>
          </w:p>
        </w:tc>
      </w:tr>
      <w:tr>
        <w:trPr>
          <w:trHeight w:val="230"/>
        </w:trPr>
        <w:tc>
          <w:tcPr>
            <w:tcW w:w="2420" w:type="dxa"/>
            <w:vAlign w:val="bottom"/>
          </w:tcPr>
          <w:p>
            <w:pPr>
              <w:ind w:left="360"/>
              <w:spacing w:after="0"/>
              <w:rPr>
                <w:sz w:val="20"/>
                <w:szCs w:val="20"/>
                <w:color w:val="auto"/>
              </w:rPr>
            </w:pPr>
            <w:r>
              <w:rPr>
                <w:rFonts w:ascii="Arial" w:cs="Arial" w:eastAsia="Arial" w:hAnsi="Arial"/>
                <w:sz w:val="18"/>
                <w:szCs w:val="18"/>
                <w:color w:val="auto"/>
              </w:rPr>
              <w:t>Malaysia</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73,582</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53,551</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198,436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152,890</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29"/>
        </w:trPr>
        <w:tc>
          <w:tcPr>
            <w:tcW w:w="24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Thailand</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55,617</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59,112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183,625</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169,289</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30"/>
        </w:trPr>
        <w:tc>
          <w:tcPr>
            <w:tcW w:w="2420" w:type="dxa"/>
            <w:vAlign w:val="bottom"/>
          </w:tcPr>
          <w:p>
            <w:pPr>
              <w:ind w:left="360"/>
              <w:spacing w:after="0"/>
              <w:rPr>
                <w:sz w:val="20"/>
                <w:szCs w:val="20"/>
                <w:color w:val="auto"/>
              </w:rPr>
            </w:pPr>
            <w:r>
              <w:rPr>
                <w:rFonts w:ascii="Arial" w:cs="Arial" w:eastAsia="Arial" w:hAnsi="Arial"/>
                <w:sz w:val="18"/>
                <w:szCs w:val="18"/>
                <w:color w:val="auto"/>
              </w:rPr>
              <w:t>Philippines</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44,356</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51,710</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118,485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174,484</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9"/>
        </w:trPr>
        <w:tc>
          <w:tcPr>
            <w:tcW w:w="24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Japan</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32,811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41,149</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104,676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121,239</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29"/>
        </w:trPr>
        <w:tc>
          <w:tcPr>
            <w:tcW w:w="24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145,099</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137,148</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21 %</w:t>
            </w:r>
          </w:p>
        </w:tc>
        <w:tc>
          <w:tcPr>
            <w:tcW w:w="14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415,790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382,758</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18 %</w:t>
            </w:r>
          </w:p>
        </w:tc>
        <w:tc>
          <w:tcPr>
            <w:tcW w:w="0" w:type="dxa"/>
            <w:vAlign w:val="bottom"/>
          </w:tcPr>
          <w:p>
            <w:pPr>
              <w:spacing w:after="0"/>
              <w:rPr>
                <w:sz w:val="1"/>
                <w:szCs w:val="1"/>
                <w:color w:val="auto"/>
              </w:rPr>
            </w:pPr>
          </w:p>
        </w:tc>
      </w:tr>
      <w:tr>
        <w:trPr>
          <w:trHeight w:val="248"/>
        </w:trPr>
        <w:tc>
          <w:tcPr>
            <w:tcW w:w="24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2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662,470</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1,981,490</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4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37"/>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17"/>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7"/>
              <w:spacing w:after="0" w:line="135" w:lineRule="exact"/>
              <w:rPr>
                <w:sz w:val="20"/>
                <w:szCs w:val="20"/>
                <w:color w:val="auto"/>
              </w:rPr>
            </w:pPr>
            <w:r>
              <w:rPr>
                <w:rFonts w:ascii="Arial" w:cs="Arial" w:eastAsia="Arial" w:hAnsi="Arial"/>
                <w:sz w:val="14"/>
                <w:szCs w:val="14"/>
                <w:b w:val="1"/>
                <w:bCs w:val="1"/>
                <w:color w:val="auto"/>
                <w:w w:val="96"/>
              </w:rPr>
              <w:t>October 31,</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77"/>
              <w:spacing w:after="0" w:line="135" w:lineRule="exact"/>
              <w:rPr>
                <w:sz w:val="20"/>
                <w:szCs w:val="20"/>
                <w:color w:val="auto"/>
              </w:rPr>
            </w:pPr>
            <w:r>
              <w:rPr>
                <w:rFonts w:ascii="Arial" w:cs="Arial" w:eastAsia="Arial" w:hAnsi="Arial"/>
                <w:sz w:val="14"/>
                <w:szCs w:val="14"/>
                <w:b w:val="1"/>
                <w:bCs w:val="1"/>
                <w:color w:val="auto"/>
                <w:w w:val="95"/>
              </w:rPr>
              <w:t>November 2,</w:t>
            </w:r>
          </w:p>
        </w:tc>
        <w:tc>
          <w:tcPr>
            <w:tcW w:w="120" w:type="dxa"/>
            <w:vAlign w:val="bottom"/>
          </w:tcPr>
          <w:p>
            <w:pPr>
              <w:spacing w:after="0"/>
              <w:rPr>
                <w:sz w:val="11"/>
                <w:szCs w:val="11"/>
                <w:color w:val="auto"/>
              </w:rPr>
            </w:pPr>
          </w:p>
        </w:tc>
        <w:tc>
          <w:tcPr>
            <w:tcW w:w="112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7"/>
              <w:spacing w:after="0" w:line="135" w:lineRule="exact"/>
              <w:rPr>
                <w:sz w:val="20"/>
                <w:szCs w:val="20"/>
                <w:color w:val="auto"/>
              </w:rPr>
            </w:pPr>
            <w:r>
              <w:rPr>
                <w:rFonts w:ascii="Arial" w:cs="Arial" w:eastAsia="Arial" w:hAnsi="Arial"/>
                <w:sz w:val="14"/>
                <w:szCs w:val="14"/>
                <w:b w:val="1"/>
                <w:bCs w:val="1"/>
                <w:color w:val="auto"/>
                <w:w w:val="98"/>
              </w:rPr>
              <w:t>October 31,</w:t>
            </w:r>
          </w:p>
        </w:tc>
        <w:tc>
          <w:tcPr>
            <w:tcW w:w="12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1020" w:type="dxa"/>
            <w:vAlign w:val="bottom"/>
          </w:tcPr>
          <w:p>
            <w:pPr>
              <w:jc w:val="right"/>
              <w:ind w:right="117"/>
              <w:spacing w:after="0" w:line="135" w:lineRule="exact"/>
              <w:rPr>
                <w:sz w:val="20"/>
                <w:szCs w:val="20"/>
                <w:color w:val="auto"/>
              </w:rPr>
            </w:pPr>
            <w:r>
              <w:rPr>
                <w:rFonts w:ascii="Arial" w:cs="Arial" w:eastAsia="Arial" w:hAnsi="Arial"/>
                <w:sz w:val="14"/>
                <w:szCs w:val="14"/>
                <w:b w:val="1"/>
                <w:bCs w:val="1"/>
                <w:color w:val="auto"/>
                <w:w w:val="95"/>
              </w:rPr>
              <w:t>November 2,</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4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jc w:val="right"/>
              <w:ind w:right="33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980" w:type="dxa"/>
            <w:vAlign w:val="bottom"/>
          </w:tcPr>
          <w:p>
            <w:pPr>
              <w:jc w:val="right"/>
              <w:ind w:right="337"/>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1000" w:type="dxa"/>
            <w:vAlign w:val="bottom"/>
          </w:tcPr>
          <w:p>
            <w:pPr>
              <w:jc w:val="right"/>
              <w:ind w:right="357"/>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1020" w:type="dxa"/>
            <w:vAlign w:val="bottom"/>
          </w:tcPr>
          <w:p>
            <w:pPr>
              <w:jc w:val="right"/>
              <w:ind w:right="357"/>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44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by customer</w:t>
            </w:r>
          </w:p>
        </w:tc>
        <w:tc>
          <w:tcPr>
            <w:tcW w:w="160" w:type="dxa"/>
            <w:vAlign w:val="bottom"/>
            <w:tcBorders>
              <w:top w:val="single" w:sz="8" w:color="auto"/>
            </w:tcBorders>
            <w:shd w:val="clear" w:color="auto" w:fill="CCEEFF"/>
          </w:tcPr>
          <w:p>
            <w:pPr>
              <w:spacing w:after="0"/>
              <w:rPr>
                <w:sz w:val="13"/>
                <w:szCs w:val="13"/>
                <w:color w:val="auto"/>
              </w:rPr>
            </w:pPr>
          </w:p>
        </w:tc>
        <w:tc>
          <w:tcPr>
            <w:tcW w:w="9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102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44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44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573,759</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76% $</w:t>
            </w:r>
          </w:p>
        </w:tc>
        <w:tc>
          <w:tcPr>
            <w:tcW w:w="980" w:type="dxa"/>
            <w:vAlign w:val="bottom"/>
          </w:tcPr>
          <w:p>
            <w:pPr>
              <w:jc w:val="right"/>
              <w:spacing w:after="0"/>
              <w:rPr>
                <w:sz w:val="20"/>
                <w:szCs w:val="20"/>
                <w:color w:val="auto"/>
              </w:rPr>
            </w:pPr>
            <w:r>
              <w:rPr>
                <w:rFonts w:ascii="Arial" w:cs="Arial" w:eastAsia="Arial" w:hAnsi="Arial"/>
                <w:sz w:val="18"/>
                <w:szCs w:val="18"/>
                <w:color w:val="auto"/>
              </w:rPr>
              <w:t>476,253</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72%  $</w:t>
            </w:r>
          </w:p>
        </w:tc>
        <w:tc>
          <w:tcPr>
            <w:tcW w:w="1000" w:type="dxa"/>
            <w:vAlign w:val="bottom"/>
          </w:tcPr>
          <w:p>
            <w:pPr>
              <w:jc w:val="right"/>
              <w:spacing w:after="0"/>
              <w:rPr>
                <w:sz w:val="20"/>
                <w:szCs w:val="20"/>
                <w:color w:val="auto"/>
              </w:rPr>
            </w:pPr>
            <w:r>
              <w:rPr>
                <w:rFonts w:ascii="Arial" w:cs="Arial" w:eastAsia="Arial" w:hAnsi="Arial"/>
                <w:sz w:val="18"/>
                <w:szCs w:val="18"/>
                <w:color w:val="auto"/>
              </w:rPr>
              <w:t>1,646,511</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76% $</w:t>
            </w:r>
          </w:p>
        </w:tc>
        <w:tc>
          <w:tcPr>
            <w:tcW w:w="1020" w:type="dxa"/>
            <w:vAlign w:val="bottom"/>
          </w:tcPr>
          <w:p>
            <w:pPr>
              <w:jc w:val="right"/>
              <w:spacing w:after="0"/>
              <w:rPr>
                <w:sz w:val="20"/>
                <w:szCs w:val="20"/>
                <w:color w:val="auto"/>
              </w:rPr>
            </w:pPr>
            <w:r>
              <w:rPr>
                <w:rFonts w:ascii="Arial" w:cs="Arial" w:eastAsia="Arial" w:hAnsi="Arial"/>
                <w:sz w:val="18"/>
                <w:szCs w:val="18"/>
                <w:color w:val="auto"/>
              </w:rPr>
              <w:t>1,475,554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74 %</w:t>
            </w:r>
          </w:p>
        </w:tc>
        <w:tc>
          <w:tcPr>
            <w:tcW w:w="0" w:type="dxa"/>
            <w:vAlign w:val="bottom"/>
          </w:tcPr>
          <w:p>
            <w:pPr>
              <w:spacing w:after="0"/>
              <w:rPr>
                <w:sz w:val="1"/>
                <w:szCs w:val="1"/>
                <w:color w:val="auto"/>
              </w:rPr>
            </w:pPr>
          </w:p>
        </w:tc>
      </w:tr>
      <w:tr>
        <w:trPr>
          <w:trHeight w:val="230"/>
        </w:trPr>
        <w:tc>
          <w:tcPr>
            <w:tcW w:w="2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176,384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2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186,217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28 %</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524,570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2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505,936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0" w:type="dxa"/>
            <w:vAlign w:val="bottom"/>
          </w:tcPr>
          <w:p>
            <w:pPr>
              <w:spacing w:after="0"/>
              <w:rPr>
                <w:sz w:val="1"/>
                <w:szCs w:val="1"/>
                <w:color w:val="auto"/>
              </w:rPr>
            </w:pPr>
          </w:p>
        </w:tc>
      </w:tr>
      <w:tr>
        <w:trPr>
          <w:trHeight w:val="223"/>
        </w:trPr>
        <w:tc>
          <w:tcPr>
            <w:tcW w:w="244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662,470</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2,171,081</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1,981,490</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4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October 31, 2020,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unaudited condensed consolidated balance sheets.</w:t>
      </w:r>
    </w:p>
    <w:p>
      <w:pPr>
        <w:spacing w:after="0" w:line="190"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2021 was $111.5 million. During the nine months ended October 31, 2020, contract liabilities increased by $617.7 million associated with variable consideration estimates, offset by $596.3 million decrease in such reserves primarily due to credit memos issued to customers. The ending balance of contract liabilities as of the third quarter of fiscal year 2021 was $132.9 million. The amount of revenue recognized during the nine months ended October 31, 2020 that was included in the contract liabilities balance at February 1, 2020 was not material.</w:t>
      </w:r>
    </w:p>
    <w:p>
      <w:pPr>
        <w:spacing w:after="0" w:line="200" w:lineRule="exact"/>
        <w:rPr>
          <w:sz w:val="20"/>
          <w:szCs w:val="20"/>
          <w:color w:val="auto"/>
        </w:rPr>
      </w:pPr>
    </w:p>
    <w:p>
      <w:pPr>
        <w:spacing w:after="0" w:line="36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6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31,</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181,961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216,496</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86,435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106,484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268,396</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322,980</w:t>
            </w:r>
          </w:p>
        </w:tc>
      </w:tr>
      <w:tr>
        <w:trPr>
          <w:trHeight w:val="21"/>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212"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October 31,</w:t>
      </w:r>
    </w:p>
    <w:p>
      <w:pPr>
        <w:spacing w:after="0" w:line="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br w:type="column"/>
      </w:r>
    </w:p>
    <w:p>
      <w:pPr>
        <w:spacing w:after="0" w:line="39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February 1,</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2020</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tcBorders>
              <w:top w:val="single" w:sz="8" w:color="auto"/>
            </w:tcBorders>
            <w:shd w:val="clear" w:color="auto" w:fill="CCEEFF"/>
          </w:tcPr>
          <w:p>
            <w:pPr>
              <w:spacing w:after="0"/>
              <w:rPr>
                <w:sz w:val="19"/>
                <w:szCs w:val="19"/>
                <w:color w:val="auto"/>
              </w:rPr>
            </w:pPr>
          </w:p>
        </w:tc>
        <w:tc>
          <w:tcPr>
            <w:tcW w:w="120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spacing w:after="0"/>
              <w:rPr>
                <w:sz w:val="19"/>
                <w:szCs w:val="19"/>
                <w:color w:val="auto"/>
              </w:rPr>
            </w:pPr>
          </w:p>
        </w:tc>
        <w:tc>
          <w:tcPr>
            <w:tcW w:w="1200" w:type="dxa"/>
            <w:vAlign w:val="bottom"/>
            <w:tcBorders>
              <w:top w:val="single" w:sz="8" w:color="auto"/>
            </w:tcBorders>
            <w:shd w:val="clear" w:color="auto" w:fill="CCEEFF"/>
          </w:tcPr>
          <w:p>
            <w:pPr>
              <w:spacing w:after="0"/>
              <w:rPr>
                <w:sz w:val="19"/>
                <w:szCs w:val="19"/>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677,843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686,351</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288,859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285,084</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101,955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100,613</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27,152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24,582</w:t>
            </w:r>
          </w:p>
        </w:tc>
      </w:tr>
      <w:tr>
        <w:trPr>
          <w:trHeight w:val="223"/>
        </w:trPr>
        <w:tc>
          <w:tcPr>
            <w:tcW w:w="8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1,095,809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1,096,630</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 and amortization</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(764,040)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(739,538)</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331,769</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357,092</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750"/>
        </w:trPr>
        <w:tc>
          <w:tcPr>
            <w:tcW w:w="8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31,</w:t>
            </w:r>
          </w:p>
        </w:tc>
        <w:tc>
          <w:tcPr>
            <w:tcW w:w="240" w:type="dxa"/>
            <w:vAlign w:val="bottom"/>
          </w:tcPr>
          <w:p>
            <w:pPr>
              <w:spacing w:after="0"/>
              <w:rPr>
                <w:sz w:val="24"/>
                <w:szCs w:val="2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218,666</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277,634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Operating right-of-use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108,659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110,907</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Prepaid ship and debit *</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88,989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75,362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53,788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32,947</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470,102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496,850</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140" w:firstLine="8"/>
        <w:spacing w:after="0" w:line="261" w:lineRule="auto"/>
        <w:tabs>
          <w:tab w:leader="none" w:pos="135" w:val="left"/>
        </w:tabs>
        <w:numPr>
          <w:ilvl w:val="0"/>
          <w:numId w:val="5"/>
        </w:numPr>
        <w:rPr>
          <w:rFonts w:ascii="Arial" w:cs="Arial" w:eastAsia="Arial" w:hAnsi="Arial"/>
          <w:sz w:val="18"/>
          <w:szCs w:val="18"/>
          <w:color w:val="auto"/>
        </w:rPr>
      </w:pPr>
      <w:r>
        <w:rPr>
          <w:rFonts w:ascii="Arial" w:cs="Arial" w:eastAsia="Arial" w:hAnsi="Arial"/>
          <w:sz w:val="18"/>
          <w:szCs w:val="18"/>
          <w:color w:val="auto"/>
        </w:rPr>
        <w:t>Prepaid ship and debit of $89.0 million and $75.4 million as of October 31, 2020 and February 1, 2020, respectively, relate to certain prepaid distributor arrangements for ship and debit claims.</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2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4"/>
                <w:szCs w:val="14"/>
                <w:color w:val="auto"/>
              </w:rPr>
            </w:pPr>
          </w:p>
        </w:tc>
        <w:tc>
          <w:tcPr>
            <w:tcW w:w="1200" w:type="dxa"/>
            <w:vAlign w:val="bottom"/>
          </w:tcPr>
          <w:p>
            <w:pPr>
              <w:jc w:val="right"/>
              <w:ind w:right="253"/>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2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Contract liabilities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132,850</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111,486</w:t>
            </w:r>
          </w:p>
        </w:tc>
      </w:tr>
      <w:tr>
        <w:trPr>
          <w:trHeight w:val="229"/>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Technology license obligations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81,182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71,623</w:t>
            </w:r>
          </w:p>
        </w:tc>
      </w:tr>
      <w:tr>
        <w:trPr>
          <w:trHeight w:val="229"/>
        </w:trPr>
        <w:tc>
          <w:tcPr>
            <w:tcW w:w="8240" w:type="dxa"/>
            <w:vAlign w:val="bottom"/>
          </w:tcPr>
          <w:p>
            <w:pPr>
              <w:ind w:left="120"/>
              <w:spacing w:after="0"/>
              <w:rPr>
                <w:sz w:val="20"/>
                <w:szCs w:val="20"/>
                <w:color w:val="auto"/>
              </w:rPr>
            </w:pPr>
            <w:r>
              <w:rPr>
                <w:rFonts w:ascii="Arial" w:cs="Arial" w:eastAsia="Arial" w:hAnsi="Arial"/>
                <w:sz w:val="18"/>
                <w:szCs w:val="18"/>
                <w:color w:val="auto"/>
              </w:rPr>
              <w:t>Deferred non-recurring engineering credits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47,804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51,109</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Lease liabilities-current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32,134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28,662</w:t>
            </w:r>
          </w:p>
        </w:tc>
      </w:tr>
      <w:tr>
        <w:trPr>
          <w:trHeight w:val="229"/>
        </w:trPr>
        <w:tc>
          <w:tcPr>
            <w:tcW w:w="8240" w:type="dxa"/>
            <w:vAlign w:val="bottom"/>
          </w:tcPr>
          <w:p>
            <w:pPr>
              <w:ind w:left="120"/>
              <w:spacing w:after="0"/>
              <w:rPr>
                <w:sz w:val="20"/>
                <w:szCs w:val="20"/>
                <w:color w:val="auto"/>
              </w:rPr>
            </w:pPr>
            <w:r>
              <w:rPr>
                <w:rFonts w:ascii="Arial" w:cs="Arial" w:eastAsia="Arial" w:hAnsi="Arial"/>
                <w:sz w:val="18"/>
                <w:szCs w:val="18"/>
                <w:color w:val="auto"/>
              </w:rPr>
              <w:t>Accrued restructuring</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20,919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14,302</w:t>
            </w:r>
          </w:p>
        </w:tc>
      </w:tr>
      <w:tr>
        <w:trPr>
          <w:trHeight w:val="229"/>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Deferred revenue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19,466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5,647</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Accrued interest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19,085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7,892</w:t>
            </w:r>
          </w:p>
        </w:tc>
      </w:tr>
      <w:tr>
        <w:trPr>
          <w:trHeight w:val="229"/>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53,546</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55,918</w:t>
            </w:r>
          </w:p>
        </w:tc>
      </w:tr>
      <w:tr>
        <w:trPr>
          <w:trHeight w:val="223"/>
        </w:trPr>
        <w:tc>
          <w:tcPr>
            <w:tcW w:w="8240" w:type="dxa"/>
            <w:vAlign w:val="bottom"/>
          </w:tcPr>
          <w:p>
            <w:pPr>
              <w:ind w:left="680"/>
              <w:spacing w:after="0"/>
              <w:rPr>
                <w:sz w:val="20"/>
                <w:szCs w:val="20"/>
                <w:color w:val="auto"/>
              </w:rPr>
            </w:pPr>
            <w:r>
              <w:rPr>
                <w:rFonts w:ascii="Arial" w:cs="Arial" w:eastAsia="Arial" w:hAnsi="Arial"/>
                <w:sz w:val="18"/>
                <w:szCs w:val="18"/>
                <w:color w:val="auto"/>
              </w:rPr>
              <w:t>Accrued liabilities</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406,986</w:t>
            </w: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346,639</w:t>
            </w:r>
          </w:p>
        </w:tc>
      </w:tr>
      <w:tr>
        <w:trPr>
          <w:trHeight w:val="20"/>
        </w:trPr>
        <w:tc>
          <w:tcPr>
            <w:tcW w:w="82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12"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October 31,</w:t>
      </w:r>
    </w:p>
    <w:p>
      <w:pPr>
        <w:spacing w:after="0" w:line="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2020</w:t>
      </w:r>
    </w:p>
    <w:p>
      <w:pPr>
        <w:spacing w:after="0" w:line="20" w:lineRule="exact"/>
        <w:rPr>
          <w:sz w:val="20"/>
          <w:szCs w:val="20"/>
          <w:color w:val="auto"/>
        </w:rPr>
      </w:pPr>
      <w:r>
        <w:rPr>
          <w:sz w:val="20"/>
          <w:szCs w:val="20"/>
          <w:color w:val="auto"/>
        </w:rPr>
        <w:br w:type="column"/>
      </w:r>
    </w:p>
    <w:p>
      <w:pPr>
        <w:spacing w:after="0" w:line="392" w:lineRule="exact"/>
        <w:rPr>
          <w:sz w:val="20"/>
          <w:szCs w:val="20"/>
          <w:color w:val="auto"/>
        </w:rPr>
      </w:pPr>
    </w:p>
    <w:p>
      <w:pPr>
        <w:jc w:val="center"/>
        <w:ind w:right="380"/>
        <w:spacing w:after="0"/>
        <w:rPr>
          <w:sz w:val="20"/>
          <w:szCs w:val="20"/>
          <w:color w:val="auto"/>
        </w:rPr>
      </w:pPr>
      <w:r>
        <w:rPr>
          <w:rFonts w:ascii="Arial" w:cs="Arial" w:eastAsia="Arial" w:hAnsi="Arial"/>
          <w:sz w:val="13"/>
          <w:szCs w:val="13"/>
          <w:b w:val="1"/>
          <w:bCs w:val="1"/>
          <w:color w:val="auto"/>
        </w:rPr>
        <w:t>February 1,</w:t>
      </w:r>
    </w:p>
    <w:p>
      <w:pPr>
        <w:spacing w:after="0" w:line="2" w:lineRule="exact"/>
        <w:rPr>
          <w:sz w:val="20"/>
          <w:szCs w:val="20"/>
          <w:color w:val="auto"/>
        </w:rPr>
      </w:pPr>
    </w:p>
    <w:p>
      <w:pPr>
        <w:jc w:val="center"/>
        <w:ind w:right="380"/>
        <w:spacing w:after="0"/>
        <w:rPr>
          <w:sz w:val="20"/>
          <w:szCs w:val="20"/>
          <w:color w:val="auto"/>
        </w:rPr>
      </w:pPr>
      <w:r>
        <w:rPr>
          <w:rFonts w:ascii="Arial" w:cs="Arial" w:eastAsia="Arial" w:hAnsi="Arial"/>
          <w:sz w:val="14"/>
          <w:szCs w:val="14"/>
          <w:b w:val="1"/>
          <w:bCs w:val="1"/>
          <w:color w:val="auto"/>
        </w:rPr>
        <w:t>2020</w:t>
      </w:r>
    </w:p>
    <w:p>
      <w:pPr>
        <w:spacing w:after="0" w:line="9" w:lineRule="exact"/>
        <w:rPr>
          <w:sz w:val="20"/>
          <w:szCs w:val="20"/>
          <w:color w:val="auto"/>
        </w:rPr>
      </w:pPr>
    </w:p>
    <w:p>
      <w:pPr>
        <w:sectPr>
          <w:pgSz w:w="11900" w:h="16838" w:orient="portrait"/>
          <w:cols w:equalWidth="0" w:num="2">
            <w:col w:w="9420" w:space="720"/>
            <w:col w:w="1100"/>
          </w:cols>
          <w:pgMar w:left="320" w:top="130" w:right="33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Lease liabilities-non current</w:t>
            </w: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111,760</w:t>
            </w:r>
          </w:p>
        </w:tc>
        <w:tc>
          <w:tcPr>
            <w:tcW w:w="100" w:type="dxa"/>
            <w:vAlign w:val="bottom"/>
          </w:tcPr>
          <w:p>
            <w:pPr>
              <w:spacing w:after="0"/>
              <w:rPr>
                <w:sz w:val="19"/>
                <w:szCs w:val="19"/>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115,778</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 obligations</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72,896</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107,893</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tax liabilities</w:t>
            </w: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37,645</w:t>
            </w: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31,233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Non-current income tax payable</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26,263</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37,983</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25,706</w:t>
            </w:r>
          </w:p>
        </w:tc>
        <w:tc>
          <w:tcPr>
            <w:tcW w:w="100" w:type="dxa"/>
            <w:vAlign w:val="bottom"/>
            <w:tcBorders>
              <w:bottom w:val="single" w:sz="8" w:color="CCEEFF"/>
            </w:tcBorders>
          </w:tcPr>
          <w:p>
            <w:pPr>
              <w:spacing w:after="0"/>
              <w:rPr>
                <w:sz w:val="19"/>
                <w:szCs w:val="19"/>
                <w:color w:val="auto"/>
              </w:rPr>
            </w:pP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12,578</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274,270</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by components for the current period are presented in the following table:</w:t>
      </w:r>
    </w:p>
    <w:p>
      <w:pPr>
        <w:spacing w:after="0" w:line="18" w:lineRule="exact"/>
        <w:rPr>
          <w:sz w:val="20"/>
          <w:szCs w:val="20"/>
          <w:color w:val="auto"/>
        </w:rPr>
      </w:pPr>
    </w:p>
    <w:p>
      <w:pPr>
        <w:jc w:val="center"/>
        <w:ind w:left="9760"/>
        <w:spacing w:after="0"/>
        <w:rPr>
          <w:sz w:val="20"/>
          <w:szCs w:val="20"/>
          <w:color w:val="auto"/>
        </w:rPr>
      </w:pPr>
      <w:r>
        <w:rPr>
          <w:rFonts w:ascii="Arial" w:cs="Arial" w:eastAsia="Arial" w:hAnsi="Arial"/>
          <w:sz w:val="14"/>
          <w:szCs w:val="14"/>
          <w:b w:val="1"/>
          <w:bCs w:val="1"/>
          <w:color w:val="auto"/>
        </w:rPr>
        <w:t>Unrealized Gain</w:t>
      </w:r>
    </w:p>
    <w:p>
      <w:pPr>
        <w:jc w:val="center"/>
        <w:ind w:left="9760"/>
        <w:spacing w:after="0" w:line="201" w:lineRule="auto"/>
        <w:rPr>
          <w:sz w:val="20"/>
          <w:szCs w:val="20"/>
          <w:color w:val="auto"/>
        </w:rPr>
      </w:pPr>
      <w:r>
        <w:rPr>
          <w:rFonts w:ascii="Arial" w:cs="Arial" w:eastAsia="Arial" w:hAnsi="Arial"/>
          <w:sz w:val="14"/>
          <w:szCs w:val="14"/>
          <w:b w:val="1"/>
          <w:bCs w:val="1"/>
          <w:color w:val="auto"/>
        </w:rPr>
        <w:t>(Loss) on Cash</w:t>
      </w:r>
    </w:p>
    <w:p>
      <w:pPr>
        <w:jc w:val="center"/>
        <w:ind w:left="9760"/>
        <w:spacing w:after="0"/>
        <w:rPr>
          <w:sz w:val="20"/>
          <w:szCs w:val="20"/>
          <w:color w:val="auto"/>
        </w:rPr>
      </w:pPr>
      <w:r>
        <w:rPr>
          <w:rFonts w:ascii="Arial" w:cs="Arial" w:eastAsia="Arial" w:hAnsi="Arial"/>
          <w:sz w:val="14"/>
          <w:szCs w:val="14"/>
          <w:b w:val="1"/>
          <w:bCs w:val="1"/>
          <w:color w:val="auto"/>
        </w:rPr>
        <w:t>Flow Hedges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30480</wp:posOffset>
            </wp:positionH>
            <wp:positionV relativeFrom="paragraph">
              <wp:posOffset>13335</wp:posOffset>
            </wp:positionV>
            <wp:extent cx="7089140" cy="1543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089140" cy="15430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p>
      <w:pPr>
        <w:spacing w:after="0" w:line="34" w:lineRule="exact"/>
        <w:rPr>
          <w:sz w:val="20"/>
          <w:szCs w:val="20"/>
          <w:color w:val="auto"/>
        </w:rPr>
      </w:pPr>
    </w:p>
    <w:p>
      <w:pPr>
        <w:ind w:left="60"/>
        <w:spacing w:after="0"/>
        <w:rPr>
          <w:sz w:val="20"/>
          <w:szCs w:val="20"/>
          <w:color w:val="auto"/>
        </w:rPr>
      </w:pPr>
      <w:r>
        <w:rPr>
          <w:rFonts w:ascii="Arial" w:cs="Arial" w:eastAsia="Arial" w:hAnsi="Arial"/>
          <w:sz w:val="18"/>
          <w:szCs w:val="18"/>
          <w:color w:val="auto"/>
        </w:rPr>
        <w:t>Balance at February 1, 2020</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Other comprehensive income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30480</wp:posOffset>
            </wp:positionH>
            <wp:positionV relativeFrom="paragraph">
              <wp:posOffset>14605</wp:posOffset>
            </wp:positionV>
            <wp:extent cx="7089140" cy="1460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089140" cy="146050"/>
                    </a:xfrm>
                    <a:prstGeom prst="rect">
                      <a:avLst/>
                    </a:prstGeom>
                    <a:noFill/>
                  </pic:spPr>
                </pic:pic>
              </a:graphicData>
            </a:graphic>
          </wp:anchor>
        </w:drawing>
      </w:r>
    </w:p>
    <w:p>
      <w:pPr>
        <w:spacing w:after="0" w:line="3" w:lineRule="exact"/>
        <w:rPr>
          <w:sz w:val="20"/>
          <w:szCs w:val="20"/>
          <w:color w:val="auto"/>
        </w:rPr>
      </w:pPr>
    </w:p>
    <w:p>
      <w:pPr>
        <w:ind w:left="700" w:right="3734" w:hanging="323"/>
        <w:spacing w:after="0" w:line="334" w:lineRule="auto"/>
        <w:rPr>
          <w:sz w:val="20"/>
          <w:szCs w:val="20"/>
          <w:color w:val="auto"/>
        </w:rPr>
      </w:pPr>
      <w:r>
        <w:rPr>
          <w:rFonts w:ascii="Arial" w:cs="Arial" w:eastAsia="Arial" w:hAnsi="Arial"/>
          <w:sz w:val="16"/>
          <w:szCs w:val="16"/>
          <w:color w:val="auto"/>
        </w:rPr>
        <w:t>Amounts reclassified from accumulated other comprehensive income Net current-period other comprehensive income,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30480</wp:posOffset>
            </wp:positionH>
            <wp:positionV relativeFrom="paragraph">
              <wp:posOffset>-24765</wp:posOffset>
            </wp:positionV>
            <wp:extent cx="7089140" cy="1714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089140" cy="171450"/>
                    </a:xfrm>
                    <a:prstGeom prst="rect">
                      <a:avLst/>
                    </a:prstGeom>
                    <a:noFill/>
                  </pic:spPr>
                </pic:pic>
              </a:graphicData>
            </a:graphic>
          </wp:anchor>
        </w:drawing>
      </w:r>
    </w:p>
    <w:p>
      <w:pPr>
        <w:ind w:left="60"/>
        <w:spacing w:after="0"/>
        <w:rPr>
          <w:sz w:val="20"/>
          <w:szCs w:val="20"/>
          <w:color w:val="auto"/>
        </w:rPr>
      </w:pPr>
      <w:r>
        <w:rPr>
          <w:rFonts w:ascii="Arial" w:cs="Arial" w:eastAsia="Arial" w:hAnsi="Arial"/>
          <w:sz w:val="18"/>
          <w:szCs w:val="18"/>
          <w:color w:val="auto"/>
        </w:rPr>
        <w:t>Balance at October 31, 2020</w:t>
      </w:r>
    </w:p>
    <w:p>
      <w:pPr>
        <w:spacing w:after="0" w:line="20" w:lineRule="exact"/>
        <w:rPr>
          <w:sz w:val="20"/>
          <w:szCs w:val="20"/>
          <w:color w:val="auto"/>
        </w:rPr>
      </w:pPr>
      <w:r>
        <w:rPr>
          <w:sz w:val="20"/>
          <w:szCs w:val="20"/>
          <w:color w:val="auto"/>
        </w:rPr>
        <w:br w:type="column"/>
      </w:r>
    </w:p>
    <w:p>
      <w:pPr>
        <w:spacing w:after="0" w:line="14" w:lineRule="exact"/>
        <w:rPr>
          <w:sz w:val="20"/>
          <w:szCs w:val="20"/>
          <w:color w:val="auto"/>
        </w:rPr>
      </w:pPr>
    </w:p>
    <w:p>
      <w:pPr>
        <w:ind w:left="1126" w:hanging="1126"/>
        <w:spacing w:after="0"/>
        <w:tabs>
          <w:tab w:leader="none" w:pos="1126" w:val="left"/>
        </w:tabs>
        <w:numPr>
          <w:ilvl w:val="0"/>
          <w:numId w:val="6"/>
        </w:numPr>
        <w:rPr>
          <w:rFonts w:ascii="Arial" w:cs="Arial" w:eastAsia="Arial" w:hAnsi="Arial"/>
          <w:sz w:val="18"/>
          <w:szCs w:val="18"/>
          <w:color w:val="auto"/>
        </w:rPr>
      </w:pPr>
      <w:r>
        <w:rPr>
          <w:rFonts w:ascii="Arial" w:cs="Arial" w:eastAsia="Arial" w:hAnsi="Arial"/>
          <w:sz w:val="18"/>
          <w:szCs w:val="18"/>
          <w:color w:val="auto"/>
        </w:rPr>
        <w:t>—</w:t>
      </w:r>
    </w:p>
    <w:p>
      <w:pPr>
        <w:spacing w:after="0" w:line="23" w:lineRule="exact"/>
        <w:rPr>
          <w:rFonts w:ascii="Arial" w:cs="Arial" w:eastAsia="Arial" w:hAnsi="Arial"/>
          <w:sz w:val="18"/>
          <w:szCs w:val="18"/>
          <w:color w:val="auto"/>
        </w:rPr>
      </w:pPr>
    </w:p>
    <w:p>
      <w:pPr>
        <w:ind w:left="886"/>
        <w:spacing w:after="0"/>
        <w:rPr>
          <w:rFonts w:ascii="Arial" w:cs="Arial" w:eastAsia="Arial" w:hAnsi="Arial"/>
          <w:sz w:val="18"/>
          <w:szCs w:val="18"/>
          <w:color w:val="auto"/>
        </w:rPr>
      </w:pPr>
      <w:r>
        <w:rPr>
          <w:rFonts w:ascii="Arial" w:cs="Arial" w:eastAsia="Arial" w:hAnsi="Arial"/>
          <w:sz w:val="18"/>
          <w:szCs w:val="18"/>
          <w:color w:val="auto"/>
        </w:rPr>
        <w:t>1,214</w:t>
      </w:r>
    </w:p>
    <w:p>
      <w:pPr>
        <w:spacing w:after="0" w:line="23" w:lineRule="exact"/>
        <w:rPr>
          <w:sz w:val="20"/>
          <w:szCs w:val="20"/>
          <w:color w:val="auto"/>
        </w:rPr>
      </w:pPr>
    </w:p>
    <w:p>
      <w:pPr>
        <w:jc w:val="right"/>
        <w:ind w:right="60"/>
        <w:spacing w:after="0"/>
        <w:rPr>
          <w:sz w:val="20"/>
          <w:szCs w:val="20"/>
          <w:color w:val="auto"/>
        </w:rPr>
      </w:pPr>
      <w:r>
        <w:rPr>
          <w:rFonts w:ascii="Arial" w:cs="Arial" w:eastAsia="Arial" w:hAnsi="Arial"/>
          <w:sz w:val="18"/>
          <w:szCs w:val="18"/>
          <w:color w:val="auto"/>
        </w:rPr>
        <w:t>(1,214)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14605</wp:posOffset>
            </wp:positionV>
            <wp:extent cx="883285"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883285" cy="8255"/>
                    </a:xfrm>
                    <a:prstGeom prst="rect">
                      <a:avLst/>
                    </a:prstGeom>
                    <a:noFill/>
                  </pic:spPr>
                </pic:pic>
              </a:graphicData>
            </a:graphic>
          </wp:anchor>
        </w:drawing>
      </w:r>
    </w:p>
    <w:p>
      <w:pPr>
        <w:spacing w:after="0" w:line="15" w:lineRule="exact"/>
        <w:rPr>
          <w:sz w:val="20"/>
          <w:szCs w:val="20"/>
          <w:color w:val="auto"/>
        </w:rPr>
      </w:pPr>
    </w:p>
    <w:p>
      <w:pPr>
        <w:jc w:val="right"/>
        <w:ind w:right="100"/>
        <w:spacing w:after="0"/>
        <w:rPr>
          <w:sz w:val="20"/>
          <w:szCs w:val="20"/>
          <w:color w:val="auto"/>
        </w:rPr>
      </w:pPr>
      <w:r>
        <w:rPr>
          <w:rFonts w:ascii="Arial" w:cs="Arial" w:eastAsia="Arial" w:hAnsi="Arial"/>
          <w:sz w:val="18"/>
          <w:szCs w:val="18"/>
          <w:color w:val="auto"/>
        </w:rPr>
        <w:t>—</w:t>
      </w:r>
    </w:p>
    <w:p>
      <w:pPr>
        <w:spacing w:after="0" w:line="36" w:lineRule="exact"/>
        <w:rPr>
          <w:sz w:val="20"/>
          <w:szCs w:val="20"/>
          <w:color w:val="auto"/>
        </w:rPr>
      </w:pPr>
    </w:p>
    <w:p>
      <w:pPr>
        <w:ind w:left="1126" w:hanging="1126"/>
        <w:spacing w:after="0"/>
        <w:tabs>
          <w:tab w:leader="none" w:pos="1126" w:val="left"/>
        </w:tabs>
        <w:numPr>
          <w:ilvl w:val="0"/>
          <w:numId w:val="7"/>
        </w:numPr>
        <w:rPr>
          <w:rFonts w:ascii="Arial" w:cs="Arial" w:eastAsia="Arial" w:hAnsi="Arial"/>
          <w:sz w:val="18"/>
          <w:szCs w:val="18"/>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40640</wp:posOffset>
            </wp:positionV>
            <wp:extent cx="88328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88328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center"/>
        <w:ind w:right="114"/>
        <w:spacing w:after="0"/>
        <w:rPr>
          <w:sz w:val="20"/>
          <w:szCs w:val="20"/>
          <w:color w:val="auto"/>
        </w:rPr>
      </w:pPr>
      <w:r>
        <w:rPr>
          <w:rFonts w:ascii="Arial" w:cs="Arial" w:eastAsia="Arial" w:hAnsi="Arial"/>
          <w:sz w:val="14"/>
          <w:szCs w:val="14"/>
          <w:b w:val="1"/>
          <w:bCs w:val="1"/>
          <w:color w:val="auto"/>
        </w:rPr>
        <w:t>Unrealized Gain</w:t>
      </w:r>
    </w:p>
    <w:p>
      <w:pPr>
        <w:jc w:val="center"/>
        <w:ind w:right="114"/>
        <w:spacing w:after="0" w:line="201" w:lineRule="auto"/>
        <w:rPr>
          <w:sz w:val="20"/>
          <w:szCs w:val="20"/>
          <w:color w:val="auto"/>
        </w:rPr>
      </w:pPr>
      <w:r>
        <w:rPr>
          <w:rFonts w:ascii="Arial" w:cs="Arial" w:eastAsia="Arial" w:hAnsi="Arial"/>
          <w:sz w:val="14"/>
          <w:szCs w:val="14"/>
          <w:b w:val="1"/>
          <w:bCs w:val="1"/>
          <w:color w:val="auto"/>
        </w:rPr>
        <w:t>(Loss) on Cash</w:t>
      </w:r>
    </w:p>
    <w:p>
      <w:pPr>
        <w:jc w:val="center"/>
        <w:ind w:right="114"/>
        <w:spacing w:after="0"/>
        <w:rPr>
          <w:sz w:val="20"/>
          <w:szCs w:val="20"/>
          <w:color w:val="auto"/>
        </w:rPr>
      </w:pPr>
      <w:r>
        <w:rPr>
          <w:rFonts w:ascii="Arial" w:cs="Arial" w:eastAsia="Arial" w:hAnsi="Arial"/>
          <w:sz w:val="14"/>
          <w:szCs w:val="14"/>
          <w:b w:val="1"/>
          <w:bCs w:val="1"/>
          <w:color w:val="auto"/>
        </w:rPr>
        <w:t>Flow Hedges</w:t>
      </w:r>
    </w:p>
    <w:p>
      <w:pPr>
        <w:spacing w:after="0" w:line="9" w:lineRule="exact"/>
        <w:rPr>
          <w:sz w:val="20"/>
          <w:szCs w:val="20"/>
          <w:color w:val="auto"/>
        </w:rPr>
      </w:pPr>
    </w:p>
    <w:p>
      <w:pPr>
        <w:sectPr>
          <w:pgSz w:w="11900" w:h="16838" w:orient="portrait"/>
          <w:cols w:equalWidth="0" w:num="2">
            <w:col w:w="9114" w:space="720"/>
            <w:col w:w="1406"/>
          </w:cols>
          <w:pgMar w:left="320" w:top="130" w:right="339" w:bottom="1440" w:gutter="0" w:footer="0" w:header="0"/>
          <w:type w:val="continuous"/>
        </w:sectPr>
      </w:pPr>
    </w:p>
    <w:tbl>
      <w:tblPr>
        <w:tblLayout w:type="fixed"/>
        <w:tblInd w:w="0" w:type="dxa"/>
        <w:tblCellMar>
          <w:top w:w="0" w:type="dxa"/>
          <w:left w:w="0" w:type="dxa"/>
          <w:bottom w:w="0" w:type="dxa"/>
          <w:right w:w="0" w:type="dxa"/>
        </w:tblCellMar>
      </w:tblPr>
      <w:tr>
        <w:trPr>
          <w:trHeight w:val="235"/>
        </w:trPr>
        <w:tc>
          <w:tcPr>
            <w:tcW w:w="54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4340" w:type="dxa"/>
            <w:vAlign w:val="bottom"/>
            <w:tcBorders>
              <w:top w:val="single" w:sz="8" w:color="CCEEFF"/>
            </w:tcBorders>
            <w:shd w:val="clear" w:color="auto" w:fill="CCEEFF"/>
          </w:tcPr>
          <w:p>
            <w:pPr>
              <w:spacing w:after="0"/>
              <w:rPr>
                <w:sz w:val="20"/>
                <w:szCs w:val="20"/>
                <w:color w:val="auto"/>
              </w:rPr>
            </w:pPr>
          </w:p>
        </w:tc>
        <w:tc>
          <w:tcPr>
            <w:tcW w:w="620" w:type="dxa"/>
            <w:vAlign w:val="bottom"/>
            <w:tcBorders>
              <w:top w:val="single" w:sz="8" w:color="auto"/>
            </w:tcBorders>
            <w:shd w:val="clear" w:color="auto" w:fill="CCEEFF"/>
          </w:tcPr>
          <w:p>
            <w:pPr>
              <w:jc w:val="right"/>
              <w:ind w:right="410"/>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r>
      <w:tr>
        <w:trPr>
          <w:trHeight w:val="229"/>
        </w:trPr>
        <w:tc>
          <w:tcPr>
            <w:tcW w:w="5440" w:type="dxa"/>
            <w:vAlign w:val="bottom"/>
          </w:tcPr>
          <w:p>
            <w:pPr>
              <w:ind w:left="360"/>
              <w:spacing w:after="0"/>
              <w:rPr>
                <w:sz w:val="20"/>
                <w:szCs w:val="20"/>
                <w:color w:val="auto"/>
              </w:rPr>
            </w:pPr>
            <w:r>
              <w:rPr>
                <w:rFonts w:ascii="Arial" w:cs="Arial" w:eastAsia="Arial" w:hAnsi="Arial"/>
                <w:sz w:val="18"/>
                <w:szCs w:val="18"/>
                <w:color w:val="auto"/>
              </w:rPr>
              <w:t>Other comprehensive income before reclassifications</w:t>
            </w:r>
          </w:p>
        </w:tc>
        <w:tc>
          <w:tcPr>
            <w:tcW w:w="43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ind w:left="5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9"/>
                <w:szCs w:val="19"/>
                <w:color w:val="auto"/>
              </w:rPr>
            </w:pPr>
          </w:p>
        </w:tc>
      </w:tr>
      <w:tr>
        <w:trPr>
          <w:trHeight w:val="230"/>
        </w:trPr>
        <w:tc>
          <w:tcPr>
            <w:tcW w:w="54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4340" w:type="dxa"/>
            <w:vAlign w:val="bottom"/>
            <w:shd w:val="clear" w:color="auto" w:fill="CCEEFF"/>
          </w:tcPr>
          <w:p>
            <w:pPr>
              <w:spacing w:after="0"/>
              <w:rPr>
                <w:sz w:val="19"/>
                <w:szCs w:val="19"/>
                <w:color w:val="auto"/>
              </w:rPr>
            </w:pPr>
          </w:p>
        </w:tc>
        <w:tc>
          <w:tcPr>
            <w:tcW w:w="62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rPr>
              <w:t>37</w:t>
            </w:r>
          </w:p>
        </w:tc>
        <w:tc>
          <w:tcPr>
            <w:tcW w:w="60" w:type="dxa"/>
            <w:vAlign w:val="bottom"/>
          </w:tcPr>
          <w:p>
            <w:pPr>
              <w:spacing w:after="0"/>
              <w:rPr>
                <w:sz w:val="19"/>
                <w:szCs w:val="19"/>
                <w:color w:val="auto"/>
              </w:rPr>
            </w:pPr>
          </w:p>
        </w:tc>
      </w:tr>
      <w:tr>
        <w:trPr>
          <w:trHeight w:val="223"/>
        </w:trPr>
        <w:tc>
          <w:tcPr>
            <w:tcW w:w="54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net of tax</w:t>
            </w:r>
          </w:p>
        </w:tc>
        <w:tc>
          <w:tcPr>
            <w:tcW w:w="4340" w:type="dxa"/>
            <w:vAlign w:val="bottom"/>
            <w:tcBorders>
              <w:bottom w:val="single" w:sz="8" w:color="CCEEFF"/>
            </w:tcBorders>
          </w:tcPr>
          <w:p>
            <w:pPr>
              <w:spacing w:after="0"/>
              <w:rPr>
                <w:sz w:val="19"/>
                <w:szCs w:val="19"/>
                <w:color w:val="auto"/>
              </w:rPr>
            </w:pPr>
          </w:p>
        </w:tc>
        <w:tc>
          <w:tcPr>
            <w:tcW w:w="6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ind w:left="520"/>
              <w:spacing w:after="0"/>
              <w:rPr>
                <w:sz w:val="20"/>
                <w:szCs w:val="20"/>
                <w:color w:val="auto"/>
              </w:rPr>
            </w:pPr>
            <w:r>
              <w:rPr>
                <w:rFonts w:ascii="Arial" w:cs="Arial" w:eastAsia="Arial" w:hAnsi="Arial"/>
                <w:sz w:val="18"/>
                <w:szCs w:val="18"/>
                <w:color w:val="auto"/>
              </w:rPr>
              <w:t>37</w:t>
            </w:r>
          </w:p>
        </w:tc>
        <w:tc>
          <w:tcPr>
            <w:tcW w:w="60" w:type="dxa"/>
            <w:vAlign w:val="bottom"/>
          </w:tcPr>
          <w:p>
            <w:pPr>
              <w:spacing w:after="0"/>
              <w:rPr>
                <w:sz w:val="19"/>
                <w:szCs w:val="19"/>
                <w:color w:val="auto"/>
              </w:rPr>
            </w:pPr>
          </w:p>
        </w:tc>
      </w:tr>
      <w:tr>
        <w:trPr>
          <w:trHeight w:val="223"/>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November 2, 2019</w:t>
            </w:r>
          </w:p>
        </w:tc>
        <w:tc>
          <w:tcPr>
            <w:tcW w:w="4340" w:type="dxa"/>
            <w:vAlign w:val="bottom"/>
            <w:shd w:val="clear" w:color="auto" w:fill="CCEEFF"/>
          </w:tcPr>
          <w:p>
            <w:pPr>
              <w:spacing w:after="0"/>
              <w:rPr>
                <w:sz w:val="19"/>
                <w:szCs w:val="19"/>
                <w:color w:val="auto"/>
              </w:rPr>
            </w:pPr>
          </w:p>
        </w:tc>
        <w:tc>
          <w:tcPr>
            <w:tcW w:w="620" w:type="dxa"/>
            <w:vAlign w:val="bottom"/>
            <w:shd w:val="clear" w:color="auto" w:fill="CCEEFF"/>
          </w:tcPr>
          <w:p>
            <w:pPr>
              <w:jc w:val="right"/>
              <w:ind w:right="410"/>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37</w:t>
            </w:r>
          </w:p>
        </w:tc>
        <w:tc>
          <w:tcPr>
            <w:tcW w:w="60" w:type="dxa"/>
            <w:vAlign w:val="bottom"/>
          </w:tcPr>
          <w:p>
            <w:pPr>
              <w:spacing w:after="0"/>
              <w:rPr>
                <w:sz w:val="19"/>
                <w:szCs w:val="19"/>
                <w:color w:val="auto"/>
              </w:rPr>
            </w:pPr>
          </w:p>
        </w:tc>
      </w:tr>
      <w:tr>
        <w:trPr>
          <w:trHeight w:val="918"/>
        </w:trPr>
        <w:tc>
          <w:tcPr>
            <w:tcW w:w="5440" w:type="dxa"/>
            <w:vAlign w:val="bottom"/>
          </w:tcPr>
          <w:p>
            <w:pPr>
              <w:spacing w:after="0"/>
              <w:rPr>
                <w:sz w:val="24"/>
                <w:szCs w:val="24"/>
                <w:color w:val="auto"/>
              </w:rPr>
            </w:pPr>
          </w:p>
        </w:tc>
        <w:tc>
          <w:tcPr>
            <w:tcW w:w="4340" w:type="dxa"/>
            <w:vAlign w:val="bottom"/>
          </w:tcPr>
          <w:p>
            <w:pPr>
              <w:jc w:val="right"/>
              <w:ind w:right="3970"/>
              <w:spacing w:after="0"/>
              <w:rPr>
                <w:sz w:val="20"/>
                <w:szCs w:val="20"/>
                <w:color w:val="auto"/>
              </w:rPr>
            </w:pPr>
            <w:r>
              <w:rPr>
                <w:rFonts w:ascii="Arial" w:cs="Arial" w:eastAsia="Arial" w:hAnsi="Arial"/>
                <w:sz w:val="18"/>
                <w:szCs w:val="18"/>
                <w:color w:val="auto"/>
              </w:rPr>
              <w:t>17</w:t>
            </w: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115"/>
        </w:trPr>
        <w:tc>
          <w:tcPr>
            <w:tcW w:w="5440" w:type="dxa"/>
            <w:vAlign w:val="bottom"/>
            <w:tcBorders>
              <w:bottom w:val="single" w:sz="8" w:color="9A9A9A"/>
            </w:tcBorders>
          </w:tcPr>
          <w:p>
            <w:pPr>
              <w:spacing w:after="0"/>
              <w:rPr>
                <w:sz w:val="10"/>
                <w:szCs w:val="10"/>
                <w:color w:val="auto"/>
              </w:rPr>
            </w:pPr>
          </w:p>
        </w:tc>
        <w:tc>
          <w:tcPr>
            <w:tcW w:w="4340" w:type="dxa"/>
            <w:vAlign w:val="bottom"/>
            <w:tcBorders>
              <w:bottom w:val="single" w:sz="8" w:color="9A9A9A"/>
            </w:tcBorders>
          </w:tcPr>
          <w:p>
            <w:pPr>
              <w:spacing w:after="0"/>
              <w:rPr>
                <w:sz w:val="10"/>
                <w:szCs w:val="10"/>
                <w:color w:val="auto"/>
              </w:rPr>
            </w:pPr>
          </w:p>
        </w:tc>
        <w:tc>
          <w:tcPr>
            <w:tcW w:w="620" w:type="dxa"/>
            <w:vAlign w:val="bottom"/>
            <w:tcBorders>
              <w:bottom w:val="single" w:sz="8" w:color="9A9A9A"/>
            </w:tcBorders>
          </w:tcPr>
          <w:p>
            <w:pPr>
              <w:spacing w:after="0"/>
              <w:rPr>
                <w:sz w:val="10"/>
                <w:szCs w:val="10"/>
                <w:color w:val="auto"/>
              </w:rPr>
            </w:pPr>
          </w:p>
        </w:tc>
        <w:tc>
          <w:tcPr>
            <w:tcW w:w="780" w:type="dxa"/>
            <w:vAlign w:val="bottom"/>
            <w:tcBorders>
              <w:bottom w:val="single" w:sz="8" w:color="9A9A9A"/>
            </w:tcBorders>
          </w:tcPr>
          <w:p>
            <w:pPr>
              <w:spacing w:after="0"/>
              <w:rPr>
                <w:sz w:val="10"/>
                <w:szCs w:val="10"/>
                <w:color w:val="auto"/>
              </w:rPr>
            </w:pPr>
          </w:p>
        </w:tc>
        <w:tc>
          <w:tcPr>
            <w:tcW w:w="60" w:type="dxa"/>
            <w:vAlign w:val="bottom"/>
            <w:tcBorders>
              <w:bottom w:val="single" w:sz="8" w:color="9A9A9A"/>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7128510</wp:posOffset>
            </wp:positionH>
            <wp:positionV relativeFrom="paragraph">
              <wp:posOffset>-8255</wp:posOffset>
            </wp:positionV>
            <wp:extent cx="825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825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889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889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43" w:lineRule="exact"/>
        <w:rPr>
          <w:sz w:val="20"/>
          <w:szCs w:val="20"/>
          <w:color w:val="auto"/>
        </w:rPr>
      </w:pPr>
    </w:p>
    <w:p>
      <w:pPr>
        <w:ind w:right="10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October 31, 2020,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The Company repurchased 1.3 million of its common shares for $25.2 million during the nine months ended October 31, 2020. The Company temporarily suspended the share repurchase program in late March 2020 as the Company believed it was prudent to strengthen its liquidity to increase its cash balance during the macroeconomic environment affected by COVID-19. The share repurchase program remains temporarily suspended in anticipation of the funding of the Company's acquisition of Inphi. As a result, the Company did not repurchase any shares during the three months ended October 31, 2020. The Company repurchased 3.0 million of its common shares for $64.3 million during the nine months ended November 2, 2019.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6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the severance pay fund is classified as a Level 2 asset as the valuation inputs are based on quoted prices and market observable data of similar instruments.</w:t>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30"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October 31, 2020</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20" w:type="dxa"/>
            <w:vAlign w:val="bottom"/>
            <w:tcBorders>
              <w:top w:val="single" w:sz="8" w:color="auto"/>
            </w:tcBorders>
            <w:gridSpan w:val="3"/>
          </w:tcPr>
          <w:p>
            <w:pPr>
              <w:ind w:left="180"/>
              <w:spacing w:after="0"/>
              <w:rPr>
                <w:sz w:val="20"/>
                <w:szCs w:val="20"/>
                <w:color w:val="auto"/>
              </w:rPr>
            </w:pPr>
            <w:r>
              <w:rPr>
                <w:rFonts w:ascii="Arial" w:cs="Arial" w:eastAsia="Arial" w:hAnsi="Arial"/>
                <w:sz w:val="14"/>
                <w:szCs w:val="14"/>
                <w:b w:val="1"/>
                <w:bCs w:val="1"/>
                <w:color w:val="auto"/>
              </w:rPr>
              <w:t>Level 1</w:t>
            </w:r>
          </w:p>
        </w:tc>
        <w:tc>
          <w:tcPr>
            <w:tcW w:w="2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20" w:type="dxa"/>
            <w:vAlign w:val="bottom"/>
            <w:tcBorders>
              <w:top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Level 2</w:t>
            </w:r>
          </w:p>
        </w:tc>
        <w:tc>
          <w:tcPr>
            <w:tcW w:w="2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20" w:type="dxa"/>
            <w:vAlign w:val="bottom"/>
            <w:tcBorders>
              <w:top w:val="single" w:sz="8" w:color="auto"/>
            </w:tcBorders>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220" w:type="dxa"/>
            <w:vAlign w:val="bottom"/>
            <w:gridSpan w:val="3"/>
          </w:tcPr>
          <w:p>
            <w:pPr>
              <w:ind w:left="86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119"/>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132,456</w:t>
            </w:r>
          </w:p>
        </w:tc>
        <w:tc>
          <w:tcPr>
            <w:tcW w:w="100" w:type="dxa"/>
            <w:vAlign w:val="bottom"/>
          </w:tcPr>
          <w:p>
            <w:pPr>
              <w:spacing w:after="0"/>
              <w:rPr>
                <w:sz w:val="19"/>
                <w:szCs w:val="19"/>
                <w:color w:val="auto"/>
              </w:rPr>
            </w:pPr>
          </w:p>
        </w:tc>
        <w:tc>
          <w:tcPr>
            <w:tcW w:w="320" w:type="dxa"/>
            <w:vAlign w:val="bottom"/>
            <w:gridSpan w:val="2"/>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132,456</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300" w:type="dxa"/>
            <w:vAlign w:val="bottom"/>
          </w:tcPr>
          <w:p>
            <w:pPr>
              <w:spacing w:after="0"/>
              <w:rPr>
                <w:sz w:val="19"/>
                <w:szCs w:val="19"/>
                <w:color w:val="auto"/>
              </w:rPr>
            </w:pPr>
          </w:p>
        </w:tc>
        <w:tc>
          <w:tcPr>
            <w:tcW w:w="1220" w:type="dxa"/>
            <w:vAlign w:val="bottom"/>
            <w:gridSpan w:val="3"/>
          </w:tcPr>
          <w:p>
            <w:pPr>
              <w:ind w:left="86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588</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588</w:t>
            </w:r>
          </w:p>
        </w:tc>
      </w:tr>
      <w:tr>
        <w:trPr>
          <w:trHeight w:val="248"/>
        </w:trPr>
        <w:tc>
          <w:tcPr>
            <w:tcW w:w="51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20" w:type="dxa"/>
            <w:vAlign w:val="bottom"/>
            <w:tcBorders>
              <w:top w:val="single" w:sz="8" w:color="CCEEFF"/>
              <w:bottom w:val="single" w:sz="8" w:color="CCEEFF"/>
            </w:tcBorders>
            <w:shd w:val="clear" w:color="auto" w:fill="CCEEFF"/>
          </w:tcPr>
          <w:p>
            <w:pPr>
              <w:spacing w:after="0"/>
              <w:rPr>
                <w:sz w:val="21"/>
                <w:szCs w:val="21"/>
                <w:color w:val="auto"/>
              </w:rPr>
            </w:pP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auto"/>
            </w:tcBorders>
            <w:gridSpan w:val="2"/>
            <w:shd w:val="clear" w:color="auto" w:fill="CCEEFF"/>
          </w:tcPr>
          <w:p>
            <w:pPr>
              <w:jc w:val="right"/>
              <w:ind w:right="119"/>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133,044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auto"/>
            </w:tcBorders>
            <w:gridSpan w:val="2"/>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133,044</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420" w:type="dxa"/>
            <w:vAlign w:val="bottom"/>
            <w:tcBorders>
              <w:top w:val="single" w:sz="8" w:color="CCEEFF"/>
              <w:bottom w:val="single" w:sz="8" w:color="auto"/>
            </w:tcBorders>
            <w:gridSpan w:val="2"/>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420" w:type="dxa"/>
            <w:vAlign w:val="bottom"/>
            <w:tcBorders>
              <w:top w:val="single" w:sz="8" w:color="CCEEFF"/>
              <w:bottom w:val="single" w:sz="8" w:color="auto"/>
            </w:tcBorders>
            <w:gridSpan w:val="2"/>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r>
        <w:trPr>
          <w:trHeight w:val="683"/>
        </w:trPr>
        <w:tc>
          <w:tcPr>
            <w:tcW w:w="518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3060" w:type="dxa"/>
            <w:vAlign w:val="bottom"/>
            <w:tcBorders>
              <w:bottom w:val="single" w:sz="8" w:color="auto"/>
            </w:tcBorders>
            <w:gridSpan w:val="7"/>
          </w:tcPr>
          <w:p>
            <w:pPr>
              <w:jc w:val="right"/>
              <w:ind w:right="180"/>
              <w:spacing w:after="0"/>
              <w:rPr>
                <w:sz w:val="20"/>
                <w:szCs w:val="20"/>
                <w:color w:val="auto"/>
              </w:rPr>
            </w:pPr>
            <w:r>
              <w:rPr>
                <w:rFonts w:ascii="Arial" w:cs="Arial" w:eastAsia="Arial" w:hAnsi="Arial"/>
                <w:sz w:val="14"/>
                <w:szCs w:val="14"/>
                <w:b w:val="1"/>
                <w:bCs w:val="1"/>
                <w:color w:val="auto"/>
                <w:w w:val="95"/>
              </w:rPr>
              <w:t>Fair Value Measurements at February 1, 2020</w:t>
            </w:r>
          </w:p>
        </w:tc>
        <w:tc>
          <w:tcPr>
            <w:tcW w:w="34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spacing w:after="0"/>
              <w:rPr>
                <w:sz w:val="24"/>
                <w:szCs w:val="24"/>
                <w:color w:val="auto"/>
              </w:rPr>
            </w:pPr>
          </w:p>
        </w:tc>
      </w:tr>
      <w:tr>
        <w:trPr>
          <w:trHeight w:val="187"/>
        </w:trPr>
        <w:tc>
          <w:tcPr>
            <w:tcW w:w="5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20" w:type="dxa"/>
            <w:vAlign w:val="bottom"/>
            <w:gridSpan w:val="3"/>
          </w:tcPr>
          <w:p>
            <w:pPr>
              <w:ind w:left="20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2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20" w:type="dxa"/>
            <w:vAlign w:val="bottom"/>
            <w:gridSpan w:val="2"/>
          </w:tcPr>
          <w:p>
            <w:pPr>
              <w:ind w:left="18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00" w:type="dxa"/>
            <w:vAlign w:val="bottom"/>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Money market funds</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46,355</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20" w:type="dxa"/>
            <w:vAlign w:val="bottom"/>
            <w:gridSpan w:val="2"/>
          </w:tcPr>
          <w:p>
            <w:pPr>
              <w:jc w:val="right"/>
              <w:ind w:right="119"/>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110"/>
              <w:spacing w:after="0"/>
              <w:rPr>
                <w:sz w:val="20"/>
                <w:szCs w:val="20"/>
                <w:color w:val="auto"/>
              </w:rPr>
            </w:pPr>
            <w:r>
              <w:rPr>
                <w:rFonts w:ascii="Arial" w:cs="Arial" w:eastAsia="Arial" w:hAnsi="Arial"/>
                <w:sz w:val="18"/>
                <w:szCs w:val="18"/>
                <w:color w:val="auto"/>
                <w:w w:val="99"/>
              </w:rPr>
              <w:t>$</w:t>
            </w: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46,355</w:t>
            </w: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Time deposits</w:t>
            </w:r>
          </w:p>
        </w:tc>
        <w:tc>
          <w:tcPr>
            <w:tcW w:w="300" w:type="dxa"/>
            <w:vAlign w:val="bottom"/>
            <w:shd w:val="clear" w:color="auto" w:fill="CCEEFF"/>
          </w:tcPr>
          <w:p>
            <w:pPr>
              <w:spacing w:after="0"/>
              <w:rPr>
                <w:sz w:val="19"/>
                <w:szCs w:val="19"/>
                <w:color w:val="auto"/>
              </w:rPr>
            </w:pPr>
          </w:p>
        </w:tc>
        <w:tc>
          <w:tcPr>
            <w:tcW w:w="12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88,177</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88,177</w:t>
            </w: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300" w:type="dxa"/>
            <w:vAlign w:val="bottom"/>
            <w:shd w:val="clear" w:color="auto" w:fill="CCEEFF"/>
          </w:tcPr>
          <w:p>
            <w:pPr>
              <w:spacing w:after="0"/>
              <w:rPr>
                <w:sz w:val="19"/>
                <w:szCs w:val="19"/>
                <w:color w:val="auto"/>
              </w:rPr>
            </w:pPr>
          </w:p>
        </w:tc>
        <w:tc>
          <w:tcPr>
            <w:tcW w:w="12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46,355</w:t>
            </w:r>
          </w:p>
        </w:tc>
        <w:tc>
          <w:tcPr>
            <w:tcW w:w="20" w:type="dxa"/>
            <w:vAlign w:val="bottom"/>
            <w:tcBorders>
              <w:top w:val="single" w:sz="8" w:color="auto"/>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9"/>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88,870</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135,225</w:t>
            </w:r>
          </w:p>
        </w:tc>
      </w:tr>
      <w:tr>
        <w:trPr>
          <w:trHeight w:val="20"/>
        </w:trPr>
        <w:tc>
          <w:tcPr>
            <w:tcW w:w="51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The estimated aggregate fair value of the 2023 Notes and 2028 Notes was $1.1 billion at October 31, 2020 and at February 1, 2020, and were classified as Level 2 as there are quoted prices from less active markets for the notes.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Debt</w:t>
      </w:r>
    </w:p>
    <w:p>
      <w:pPr>
        <w:spacing w:after="0" w:line="243"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In connection with the acquisition of Cavium, the Company executed debt agreements in June 2018 to obtain a $900.0 million term loan, a $500.0 million revolving credit facility and $1.0 billion of senior unsecured notes.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239"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On June 13, 2018, the Company entered into a credit agreement (“Credit Agreement”) with twelve lenders.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As of October 31, 2020, there was no outstanding balance related to the Revolving Credit Facility. Following is further detail of the terms of the various debt agreements.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The Term Loan has a three year term which matures on July 6, 2021 and has a stated floating interest rate which equates to reserve-adjusted LIBOR + 137.5 bps. The effective interest rate for the Term Loan was 3.684% as of October 31, 2020. The Term Loan does not require any scheduled principal payments prior to final maturity but does permit the Company to make early principal payments without premium or penalty. During the three months ended October 31, 2020, the Company repaid $100.0 million of the principal outstanding and wrote off $0.3 million of associated unamortized debt issuance costs. The Revolving Credit Facility has a five year term and has a stated floating interest rate which equates to reserve-adjusted LIBOR + 150.0 bps. As of October 31, 2020, the full amount of the Revolving Credit Facility of $500.0 million was undrawn and will be available for draw down through June 13, 2023. An unused commitment fee is payable quarterly based on unused balances at a rate that is based on the ratings of the Company's senior unsecured long-term indebtedness. This rate was 0.175% at October 31, 2020.</w:t>
      </w:r>
    </w:p>
    <w:p>
      <w:pPr>
        <w:spacing w:after="0" w:line="208"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The Company currently carries debt that rely on the LIBOR as the benchmark rate, with the Term Loan maturing on July 6, 2021. LIBOR is expected to be phased out as a benchmark rate by the end of 2021. The Company expects its debt to continue to use LIBOR until the rate is no longer available or a relevant governmental authority makes a public statement that LIBOR will no longer be available after a certain date. To the extent LIBOR ceases to exist, the Company will need to amend its credit agreements that utilize LIBOR as a factor in determining the interest rate. Currently, there is not a firm timeframe for this change. This update currently has no foreseeable impact on the Company's unaudited condensed consolidated financial statements; however, it may have an effect in the future.</w:t>
      </w:r>
    </w:p>
    <w:p>
      <w:pPr>
        <w:spacing w:after="0" w:line="216"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October 31, 2020, the Company was in compliance with all of its debt covenants.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209" w:lineRule="exact"/>
        <w:rPr>
          <w:sz w:val="20"/>
          <w:szCs w:val="20"/>
          <w:color w:val="auto"/>
        </w:rPr>
      </w:pPr>
    </w:p>
    <w:p>
      <w:pPr>
        <w:ind w:right="80" w:firstLine="405"/>
        <w:spacing w:after="0" w:line="253" w:lineRule="auto"/>
        <w:rPr>
          <w:sz w:val="20"/>
          <w:szCs w:val="20"/>
          <w:color w:val="auto"/>
        </w:rPr>
      </w:pPr>
      <w:r>
        <w:rPr>
          <w:rFonts w:ascii="Arial" w:cs="Arial" w:eastAsia="Arial" w:hAnsi="Arial"/>
          <w:sz w:val="17"/>
          <w:szCs w:val="17"/>
          <w:color w:val="auto"/>
        </w:rPr>
        <w:t>The 2023 Notes mature on June 22, 2023 and the 2028 Notes mature on June 22, 2028. The stated and effective interest rates for the 2023 Notes are 4.200% and 4.423%, respectively. The stated and effective interest rates for the 2028 Notes are 4.875% and 5.012%, respectively. The Company may redeem the Senior Notes, in whole or in part, at any time prior to their maturity at the redemption prices set forth in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October 31, 2020 and February 1, 2020 (in thousands):</w:t>
      </w:r>
    </w:p>
    <w:p>
      <w:pPr>
        <w:spacing w:after="0" w:line="11"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4"/>
                <w:szCs w:val="14"/>
                <w:color w:val="auto"/>
              </w:rPr>
            </w:pPr>
          </w:p>
        </w:tc>
        <w:tc>
          <w:tcPr>
            <w:tcW w:w="1180" w:type="dxa"/>
            <w:vAlign w:val="bottom"/>
          </w:tcPr>
          <w:p>
            <w:pPr>
              <w:jc w:val="right"/>
              <w:ind w:right="254"/>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81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2020</w:t>
            </w:r>
          </w:p>
        </w:tc>
      </w:tr>
      <w:tr>
        <w:trPr>
          <w:trHeight w:val="211"/>
        </w:trPr>
        <w:tc>
          <w:tcPr>
            <w:tcW w:w="8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30"/>
        </w:trPr>
        <w:tc>
          <w:tcPr>
            <w:tcW w:w="8180" w:type="dxa"/>
            <w:vAlign w:val="bottom"/>
          </w:tcPr>
          <w:p>
            <w:pPr>
              <w:ind w:left="20"/>
              <w:spacing w:after="0"/>
              <w:rPr>
                <w:sz w:val="20"/>
                <w:szCs w:val="20"/>
                <w:color w:val="auto"/>
              </w:rPr>
            </w:pPr>
            <w:r>
              <w:rPr>
                <w:rFonts w:ascii="Arial" w:cs="Arial" w:eastAsia="Arial" w:hAnsi="Arial"/>
                <w:sz w:val="18"/>
                <w:szCs w:val="18"/>
                <w:color w:val="auto"/>
              </w:rPr>
              <w:t>Term Loan</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350,000</w:t>
            </w:r>
          </w:p>
        </w:tc>
        <w:tc>
          <w:tcPr>
            <w:tcW w:w="22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450,000</w:t>
            </w:r>
          </w:p>
        </w:tc>
      </w:tr>
      <w:tr>
        <w:trPr>
          <w:trHeight w:val="229"/>
        </w:trPr>
        <w:tc>
          <w:tcPr>
            <w:tcW w:w="8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29"/>
        </w:trPr>
        <w:tc>
          <w:tcPr>
            <w:tcW w:w="8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2028 Notes</w:t>
            </w: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r>
      <w:tr>
        <w:trPr>
          <w:trHeight w:val="223"/>
        </w:trPr>
        <w:tc>
          <w:tcPr>
            <w:tcW w:w="8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1,450,000</w:t>
            </w:r>
          </w:p>
        </w:tc>
      </w:tr>
      <w:tr>
        <w:trPr>
          <w:trHeight w:val="229"/>
        </w:trPr>
        <w:tc>
          <w:tcPr>
            <w:tcW w:w="8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(8,195)</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(10,976)</w:t>
            </w:r>
          </w:p>
        </w:tc>
      </w:tr>
      <w:tr>
        <w:trPr>
          <w:trHeight w:val="223"/>
        </w:trPr>
        <w:tc>
          <w:tcPr>
            <w:tcW w:w="8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1,341,805</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29"/>
        </w:trPr>
        <w:tc>
          <w:tcPr>
            <w:tcW w:w="8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Less: Current portion (1)</w:t>
            </w: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349,004</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48"/>
        </w:trPr>
        <w:tc>
          <w:tcPr>
            <w:tcW w:w="8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992,801</w:t>
            </w:r>
          </w:p>
        </w:tc>
        <w:tc>
          <w:tcPr>
            <w:tcW w:w="2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1,439,024</w:t>
            </w:r>
          </w:p>
        </w:tc>
      </w:tr>
      <w:tr>
        <w:trPr>
          <w:trHeight w:val="20"/>
        </w:trPr>
        <w:tc>
          <w:tcPr>
            <w:tcW w:w="81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firstLine="413"/>
        <w:spacing w:after="0" w:line="261" w:lineRule="auto"/>
        <w:tabs>
          <w:tab w:leader="none" w:pos="683" w:val="left"/>
        </w:tabs>
        <w:numPr>
          <w:ilvl w:val="0"/>
          <w:numId w:val="8"/>
        </w:numPr>
        <w:rPr>
          <w:rFonts w:ascii="Arial" w:cs="Arial" w:eastAsia="Arial" w:hAnsi="Arial"/>
          <w:sz w:val="18"/>
          <w:szCs w:val="18"/>
          <w:color w:val="auto"/>
        </w:rPr>
      </w:pPr>
      <w:r>
        <w:rPr>
          <w:rFonts w:ascii="Arial" w:cs="Arial" w:eastAsia="Arial" w:hAnsi="Arial"/>
          <w:sz w:val="18"/>
          <w:szCs w:val="18"/>
          <w:color w:val="auto"/>
        </w:rPr>
        <w:t>As of October 31, 2020, the current portion of outstanding debt includes the Term Loan, which is due within twelve months. The Company intends to repay the amount with operating cash flow.</w:t>
      </w:r>
    </w:p>
    <w:p>
      <w:pPr>
        <w:spacing w:after="0" w:line="198"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During the three and nine months ended October 31, 2020, the Company recognized $14.1 million and $43.6 million of interest expense in its unaudited condensed consolidated statements of operations related to interest, amortization of debt issuance costs and accretion of discount associated with the outstanding Term Loan and Senior Notes, respectively.</w:t>
      </w:r>
    </w:p>
    <w:p>
      <w:pPr>
        <w:spacing w:after="0" w:line="20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During the three and nine months ended November 2, 2019, the Company recognized $20.6 million and $59.8 million of interest expense in its unaudited condensed consolidated statements of operations related to interest, amortization of debt issuance costs and accretion of discount associated with the outstanding Term Loan and Senior Notes, respectively.</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October 31, 2020, the aggregate future contractual maturities of the Company's outstanding debt, at face value, were as follows (in thousands):</w:t>
      </w:r>
    </w:p>
    <w:p>
      <w:pPr>
        <w:spacing w:after="0" w:line="159"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50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2021</w:t>
            </w:r>
          </w:p>
        </w:tc>
        <w:tc>
          <w:tcPr>
            <w:tcW w:w="200" w:type="dxa"/>
            <w:vAlign w:val="bottom"/>
            <w:tcBorders>
              <w:top w:val="single" w:sz="8" w:color="CCEEFF"/>
            </w:tcBorders>
            <w:shd w:val="clear" w:color="auto" w:fill="CCEEFF"/>
          </w:tcPr>
          <w:p>
            <w:pPr>
              <w:spacing w:after="0"/>
              <w:rPr>
                <w:sz w:val="19"/>
                <w:szCs w:val="19"/>
                <w:color w:val="auto"/>
              </w:rPr>
            </w:pPr>
          </w:p>
        </w:tc>
        <w:tc>
          <w:tcPr>
            <w:tcW w:w="86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7300" w:type="dxa"/>
            <w:vAlign w:val="bottom"/>
          </w:tcPr>
          <w:p>
            <w:pPr>
              <w:ind w:left="2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350,000</w:t>
            </w:r>
          </w:p>
        </w:tc>
      </w:tr>
      <w:tr>
        <w:trPr>
          <w:trHeight w:val="230"/>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30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30"/>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750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w:t>
            </w:r>
          </w:p>
        </w:tc>
      </w:tr>
      <w:tr>
        <w:trPr>
          <w:trHeight w:val="248"/>
        </w:trPr>
        <w:tc>
          <w:tcPr>
            <w:tcW w:w="75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1,350,000</w:t>
            </w:r>
          </w:p>
        </w:tc>
      </w:tr>
      <w:tr>
        <w:trPr>
          <w:trHeight w:val="20"/>
        </w:trPr>
        <w:tc>
          <w:tcPr>
            <w:tcW w:w="7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39"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October 31, 2020, these foundries had incurred approximately $237.8 million of manufacturing costs and expenses relating to the Company’s outstanding purchase orders.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0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2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Income Tax</w:t>
      </w:r>
    </w:p>
    <w:p>
      <w:pPr>
        <w:spacing w:after="0" w:line="243"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and acquisitions, as well as the integration of such acquisitions.</w:t>
      </w:r>
    </w:p>
    <w:p>
      <w:pPr>
        <w:spacing w:after="0" w:line="216"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a substantial portion of its earnings being taxed at rates lower than the U.S. statutory rate. The Company's negative effective tax rate is the result of anticipated annual income tax expense attributed to certain jurisdictions which have pretax income. The Company's effective tax rate was adversely affected by pre-tax losses in certain non-U.S. tax jurisdictions that are benefited at tax rates that are lower than 21%. These losses significantly reduce the Company's pre-tax income without a corresponding reduction in its tax expense, and can therefore increase its effective tax rate in periods with pre-tax income, or cause a negative effective tax rate in periods where there is an income tax expense and a pre-tax loss.</w:t>
      </w:r>
    </w:p>
    <w:p>
      <w:pPr>
        <w:spacing w:after="0" w:line="200" w:lineRule="exact"/>
        <w:rPr>
          <w:sz w:val="20"/>
          <w:szCs w:val="20"/>
          <w:color w:val="auto"/>
        </w:rPr>
      </w:pPr>
    </w:p>
    <w:p>
      <w:pPr>
        <w:spacing w:after="0" w:line="35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The Coronavirus Aid, Relief, and Economic Security (“CARES”) Act was enacted into US federal law on March 27, 2020. The CARES Act provides numerous tax provisions and other stimulus measures, including temporary changes regarding the prior and future utilization of net operating losses, temporary changes to the prior and future limitations on interest deductions, and technical corrections from prior tax legislation for tax depreciation of certain qualified improvement property. The Company evaluated the provisions of the CARES Act and does not anticipate any material impact on its financial statements. The tax effects of other related foreign government assistance enacted into law this period are also not material to the Company this period.</w:t>
      </w:r>
    </w:p>
    <w:p>
      <w:pPr>
        <w:spacing w:after="0" w:line="214"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income tax benefit of $1.6 million for the three months ended October 31, 2020 includes a current tax benefit of $1.9 million primarily as a result of losses incurred on a year to date basis.</w:t>
      </w:r>
    </w:p>
    <w:p>
      <w:pPr>
        <w:spacing w:after="0" w:line="198" w:lineRule="exact"/>
        <w:rPr>
          <w:sz w:val="20"/>
          <w:szCs w:val="20"/>
          <w:color w:val="auto"/>
        </w:rPr>
      </w:pPr>
    </w:p>
    <w:p>
      <w:pPr>
        <w:ind w:right="140" w:firstLine="405"/>
        <w:spacing w:after="0" w:line="324" w:lineRule="auto"/>
        <w:rPr>
          <w:sz w:val="20"/>
          <w:szCs w:val="20"/>
          <w:color w:val="auto"/>
        </w:rPr>
      </w:pPr>
      <w:r>
        <w:rPr>
          <w:rFonts w:ascii="Arial" w:cs="Arial" w:eastAsia="Arial" w:hAnsi="Arial"/>
          <w:sz w:val="16"/>
          <w:szCs w:val="16"/>
          <w:color w:val="auto"/>
        </w:rPr>
        <w:t>The income tax benefit of $5.5 million for the nine months ended October 31, 2020 includes a tax benefit from a net reduction in unrecognized tax benefits of $15.0 million and a tax benefit attributable to the Company's asset impairment of $10.8 million, offset by $17.4 million of current tax expense.</w:t>
      </w:r>
    </w:p>
    <w:p>
      <w:pPr>
        <w:spacing w:after="0" w:line="151" w:lineRule="exact"/>
        <w:rPr>
          <w:sz w:val="20"/>
          <w:szCs w:val="20"/>
          <w:color w:val="auto"/>
        </w:rPr>
      </w:pPr>
    </w:p>
    <w:p>
      <w:pPr>
        <w:ind w:right="220" w:firstLine="405"/>
        <w:spacing w:after="0"/>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it is reasonably possible that uncertain tax positions may decrease by as much as $5.3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or financial position at this time.</w:t>
      </w:r>
    </w:p>
    <w:p>
      <w:pPr>
        <w:spacing w:after="0" w:line="216"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 Company operates under tax incentives in certain countries that may be extended and/or renewed if certain additional requirements are satisfied. The tax incentives are conditional upon meeting certain employment and investment thresholds. There were no cash tax benefits as a result of these tax incentives on foreign taxes for the three and nine months ended October 31, 2020, but foreign taxes were decreased by $1.0 million and $2.7 million for the three and nine months ended November 2, 2019, respectively. The benefit of the tax incentives on net income per share was less than $0.01 per share for the three and nine months ended November 2, 2019.</w:t>
      </w:r>
    </w:p>
    <w:p>
      <w:pPr>
        <w:spacing w:after="0" w:line="21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Company’s principal source of liquidity as of October 31, 2020 consisted of approximately $832.0 million of cash and cash equivalents, of which approximately $694.1 million was held by subsidiaries outside of Bermuda. The Company has not recognized a deferred tax liability on $280.9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182"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On October 29, 2020, the Company entered into a merger agreement with Inphi Corporation. As a result of this transaction, upon closing, the parent company will be domiciled in the United States and not Bermuda. Therefore, for periods after closing, the combined group will be subject to taxation in the United States, which may adversely impact future effective tax rates and tax liabilities.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Net Loss Per Share</w:t>
      </w:r>
    </w:p>
    <w:p>
      <w:pPr>
        <w:spacing w:after="0" w:line="243"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4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5"/>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2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0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5"/>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35"/>
              <w:spacing w:after="0" w:line="135" w:lineRule="exact"/>
              <w:rPr>
                <w:sz w:val="20"/>
                <w:szCs w:val="20"/>
                <w:color w:val="auto"/>
              </w:rPr>
            </w:pPr>
            <w:r>
              <w:rPr>
                <w:rFonts w:ascii="Arial" w:cs="Arial" w:eastAsia="Arial" w:hAnsi="Arial"/>
                <w:sz w:val="14"/>
                <w:szCs w:val="14"/>
                <w:b w:val="1"/>
                <w:bCs w:val="1"/>
                <w:color w:val="auto"/>
              </w:rPr>
              <w:t>November 2,</w:t>
            </w:r>
          </w:p>
        </w:tc>
        <w:tc>
          <w:tcPr>
            <w:tcW w:w="0" w:type="dxa"/>
            <w:vAlign w:val="bottom"/>
          </w:tcPr>
          <w:p>
            <w:pPr>
              <w:spacing w:after="0"/>
              <w:rPr>
                <w:sz w:val="1"/>
                <w:szCs w:val="1"/>
                <w:color w:val="auto"/>
              </w:rPr>
            </w:pPr>
          </w:p>
        </w:tc>
      </w:tr>
      <w:tr>
        <w:trPr>
          <w:trHeight w:val="188"/>
        </w:trPr>
        <w:tc>
          <w:tcPr>
            <w:tcW w:w="52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11"/>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Net loss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(22,908)</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(82,501)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(293,834)</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(188,282)</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Weighted-average shares — basic</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670,487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668,178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667,186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667,184</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Share-based awards</w:t>
            </w:r>
          </w:p>
        </w:tc>
        <w:tc>
          <w:tcPr>
            <w:tcW w:w="220" w:type="dxa"/>
            <w:vAlign w:val="bottom"/>
          </w:tcPr>
          <w:p>
            <w:pPr>
              <w:spacing w:after="0"/>
              <w:rPr>
                <w:sz w:val="19"/>
                <w:szCs w:val="19"/>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5200" w:type="dxa"/>
            <w:vAlign w:val="bottom"/>
            <w:tcBorders>
              <w:top w:val="single" w:sz="8" w:color="CCEEFF"/>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Weighted-average shares — diluted</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670,487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668,178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667,186</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2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667,184</w:t>
            </w:r>
          </w:p>
        </w:tc>
        <w:tc>
          <w:tcPr>
            <w:tcW w:w="0" w:type="dxa"/>
            <w:vAlign w:val="bottom"/>
          </w:tcPr>
          <w:p>
            <w:pPr>
              <w:spacing w:after="0"/>
              <w:rPr>
                <w:sz w:val="1"/>
                <w:szCs w:val="1"/>
                <w:color w:val="auto"/>
              </w:rPr>
            </w:pPr>
          </w:p>
        </w:tc>
      </w:tr>
      <w:tr>
        <w:trPr>
          <w:trHeight w:val="20"/>
        </w:trPr>
        <w:tc>
          <w:tcPr>
            <w:tcW w:w="52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loss per share:</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520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(0.28)</w:t>
            </w:r>
          </w:p>
        </w:tc>
        <w:tc>
          <w:tcPr>
            <w:tcW w:w="0" w:type="dxa"/>
            <w:vAlign w:val="bottom"/>
          </w:tcPr>
          <w:p>
            <w:pPr>
              <w:spacing w:after="0"/>
              <w:rPr>
                <w:sz w:val="1"/>
                <w:szCs w:val="1"/>
                <w:color w:val="auto"/>
              </w:rPr>
            </w:pPr>
          </w:p>
        </w:tc>
      </w:tr>
      <w:tr>
        <w:trPr>
          <w:trHeight w:val="230"/>
        </w:trPr>
        <w:tc>
          <w:tcPr>
            <w:tcW w:w="5200" w:type="dxa"/>
            <w:vAlign w:val="bottom"/>
          </w:tcPr>
          <w:p>
            <w:pPr>
              <w:ind w:left="340"/>
              <w:spacing w:after="0"/>
              <w:rPr>
                <w:sz w:val="20"/>
                <w:szCs w:val="20"/>
                <w:color w:val="auto"/>
              </w:rPr>
            </w:pPr>
            <w:r>
              <w:rPr>
                <w:rFonts w:ascii="Arial" w:cs="Arial" w:eastAsia="Arial" w:hAnsi="Arial"/>
                <w:sz w:val="18"/>
                <w:szCs w:val="18"/>
                <w:color w:val="auto"/>
              </w:rPr>
              <w:t>Diluted</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(0.03)</w:t>
            </w:r>
          </w:p>
        </w:tc>
        <w:tc>
          <w:tcPr>
            <w:tcW w:w="120" w:type="dxa"/>
            <w:vAlign w:val="bottom"/>
          </w:tcPr>
          <w:p>
            <w:pPr>
              <w:spacing w:after="0"/>
              <w:rPr>
                <w:sz w:val="20"/>
                <w:szCs w:val="20"/>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20"/>
                <w:szCs w:val="20"/>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(0.44)</w:t>
            </w:r>
          </w:p>
        </w:tc>
        <w:tc>
          <w:tcPr>
            <w:tcW w:w="100" w:type="dxa"/>
            <w:vAlign w:val="bottom"/>
          </w:tcPr>
          <w:p>
            <w:pPr>
              <w:spacing w:after="0"/>
              <w:rPr>
                <w:sz w:val="20"/>
                <w:szCs w:val="20"/>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(0.28)</w:t>
            </w:r>
          </w:p>
        </w:tc>
        <w:tc>
          <w:tcPr>
            <w:tcW w:w="0" w:type="dxa"/>
            <w:vAlign w:val="bottom"/>
          </w:tcPr>
          <w:p>
            <w:pPr>
              <w:spacing w:after="0"/>
              <w:rPr>
                <w:sz w:val="1"/>
                <w:szCs w:val="1"/>
                <w:color w:val="auto"/>
              </w:rPr>
            </w:pPr>
          </w:p>
        </w:tc>
      </w:tr>
    </w:tbl>
    <w:p>
      <w:pPr>
        <w:spacing w:after="0" w:line="336"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80" w:type="dxa"/>
            <w:vAlign w:val="bottom"/>
            <w:gridSpan w:val="4"/>
          </w:tcPr>
          <w:p>
            <w:pPr>
              <w:ind w:left="840"/>
              <w:spacing w:after="0"/>
              <w:rPr>
                <w:sz w:val="20"/>
                <w:szCs w:val="20"/>
                <w:color w:val="auto"/>
              </w:rPr>
            </w:pPr>
            <w:r>
              <w:rPr>
                <w:rFonts w:ascii="Arial" w:cs="Arial" w:eastAsia="Arial" w:hAnsi="Arial"/>
                <w:sz w:val="14"/>
                <w:szCs w:val="14"/>
                <w:b w:val="1"/>
                <w:bCs w:val="1"/>
                <w:color w:val="auto"/>
              </w:rPr>
              <w:t>Three Months Ended</w:t>
            </w:r>
          </w:p>
        </w:tc>
        <w:tc>
          <w:tcPr>
            <w:tcW w:w="3000" w:type="dxa"/>
            <w:vAlign w:val="bottom"/>
            <w:gridSpan w:val="3"/>
          </w:tcPr>
          <w:p>
            <w:pPr>
              <w:ind w:left="880"/>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5160" w:type="dxa"/>
            <w:vAlign w:val="bottom"/>
          </w:tcPr>
          <w:p>
            <w:pPr>
              <w:spacing w:after="0"/>
              <w:rPr>
                <w:sz w:val="11"/>
                <w:szCs w:val="11"/>
                <w:color w:val="auto"/>
              </w:rPr>
            </w:pPr>
          </w:p>
        </w:tc>
        <w:tc>
          <w:tcPr>
            <w:tcW w:w="1540" w:type="dxa"/>
            <w:vAlign w:val="bottom"/>
            <w:tcBorders>
              <w:top w:val="single" w:sz="8" w:color="auto"/>
            </w:tcBorders>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440" w:type="dxa"/>
            <w:vAlign w:val="bottom"/>
            <w:tcBorders>
              <w:top w:val="single" w:sz="8" w:color="auto"/>
            </w:tcBorders>
          </w:tcPr>
          <w:p>
            <w:pPr>
              <w:jc w:val="center"/>
              <w:spacing w:after="0" w:line="135" w:lineRule="exact"/>
              <w:rPr>
                <w:sz w:val="20"/>
                <w:szCs w:val="20"/>
                <w:color w:val="auto"/>
              </w:rPr>
            </w:pPr>
            <w:r>
              <w:rPr>
                <w:rFonts w:ascii="Arial" w:cs="Arial" w:eastAsia="Arial" w:hAnsi="Arial"/>
                <w:sz w:val="14"/>
                <w:szCs w:val="14"/>
                <w:b w:val="1"/>
                <w:bCs w:val="1"/>
                <w:color w:val="auto"/>
                <w:w w:val="95"/>
              </w:rPr>
              <w:t>November 2,</w:t>
            </w:r>
          </w:p>
        </w:tc>
        <w:tc>
          <w:tcPr>
            <w:tcW w:w="100" w:type="dxa"/>
            <w:vAlign w:val="bottom"/>
          </w:tcPr>
          <w:p>
            <w:pPr>
              <w:spacing w:after="0"/>
              <w:rPr>
                <w:sz w:val="11"/>
                <w:szCs w:val="11"/>
                <w:color w:val="auto"/>
              </w:rPr>
            </w:pPr>
          </w:p>
        </w:tc>
        <w:tc>
          <w:tcPr>
            <w:tcW w:w="1560" w:type="dxa"/>
            <w:vAlign w:val="bottom"/>
            <w:tcBorders>
              <w:top w:val="single" w:sz="8" w:color="auto"/>
            </w:tcBorders>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440" w:type="dxa"/>
            <w:vAlign w:val="bottom"/>
            <w:tcBorders>
              <w:top w:val="single" w:sz="8" w:color="auto"/>
            </w:tcBorders>
          </w:tcPr>
          <w:p>
            <w:pPr>
              <w:jc w:val="center"/>
              <w:spacing w:after="0" w:line="135" w:lineRule="exact"/>
              <w:rPr>
                <w:sz w:val="20"/>
                <w:szCs w:val="20"/>
                <w:color w:val="auto"/>
              </w:rPr>
            </w:pPr>
            <w:r>
              <w:rPr>
                <w:rFonts w:ascii="Arial" w:cs="Arial" w:eastAsia="Arial" w:hAnsi="Arial"/>
                <w:sz w:val="14"/>
                <w:szCs w:val="14"/>
                <w:b w:val="1"/>
                <w:bCs w:val="1"/>
                <w:color w:val="auto"/>
                <w:w w:val="92"/>
              </w:rPr>
              <w:t>November 2,</w:t>
            </w:r>
          </w:p>
        </w:tc>
      </w:tr>
      <w:tr>
        <w:trPr>
          <w:trHeight w:val="188"/>
        </w:trPr>
        <w:tc>
          <w:tcPr>
            <w:tcW w:w="516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4"/>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2019</w:t>
            </w:r>
          </w:p>
        </w:tc>
      </w:tr>
      <w:tr>
        <w:trPr>
          <w:trHeight w:val="211"/>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440" w:type="dxa"/>
            <w:vAlign w:val="bottom"/>
          </w:tcPr>
          <w:p>
            <w:pPr>
              <w:jc w:val="right"/>
              <w:ind w:right="4"/>
              <w:spacing w:after="0"/>
              <w:rPr>
                <w:sz w:val="20"/>
                <w:szCs w:val="20"/>
                <w:color w:val="auto"/>
              </w:rPr>
            </w:pPr>
            <w:r>
              <w:rPr>
                <w:rFonts w:ascii="Arial" w:cs="Arial" w:eastAsia="Arial" w:hAnsi="Arial"/>
                <w:sz w:val="18"/>
                <w:szCs w:val="18"/>
                <w:color w:val="auto"/>
              </w:rPr>
              <w:t>12,456</w:t>
            </w:r>
          </w:p>
        </w:tc>
        <w:tc>
          <w:tcPr>
            <w:tcW w:w="100" w:type="dxa"/>
            <w:vAlign w:val="bottom"/>
          </w:tcPr>
          <w:p>
            <w:pPr>
              <w:spacing w:after="0"/>
              <w:rPr>
                <w:sz w:val="20"/>
                <w:szCs w:val="20"/>
                <w:color w:val="auto"/>
              </w:rPr>
            </w:pPr>
          </w:p>
        </w:tc>
        <w:tc>
          <w:tcPr>
            <w:tcW w:w="1440" w:type="dxa"/>
            <w:vAlign w:val="bottom"/>
          </w:tcPr>
          <w:p>
            <w:pPr>
              <w:jc w:val="right"/>
              <w:ind w:right="2"/>
              <w:spacing w:after="0"/>
              <w:rPr>
                <w:sz w:val="20"/>
                <w:szCs w:val="20"/>
                <w:color w:val="auto"/>
              </w:rPr>
            </w:pPr>
            <w:r>
              <w:rPr>
                <w:rFonts w:ascii="Arial" w:cs="Arial" w:eastAsia="Arial" w:hAnsi="Arial"/>
                <w:sz w:val="18"/>
                <w:szCs w:val="18"/>
                <w:color w:val="auto"/>
              </w:rPr>
              <w:t>13,000</w:t>
            </w:r>
          </w:p>
        </w:tc>
        <w:tc>
          <w:tcPr>
            <w:tcW w:w="100" w:type="dxa"/>
            <w:vAlign w:val="bottom"/>
          </w:tcPr>
          <w:p>
            <w:pPr>
              <w:spacing w:after="0"/>
              <w:rPr>
                <w:sz w:val="20"/>
                <w:szCs w:val="20"/>
                <w:color w:val="auto"/>
              </w:rPr>
            </w:pPr>
          </w:p>
        </w:tc>
        <w:tc>
          <w:tcPr>
            <w:tcW w:w="1440" w:type="dxa"/>
            <w:vAlign w:val="bottom"/>
          </w:tcPr>
          <w:p>
            <w:pPr>
              <w:ind w:left="860"/>
              <w:spacing w:after="0"/>
              <w:rPr>
                <w:sz w:val="20"/>
                <w:szCs w:val="20"/>
                <w:color w:val="auto"/>
              </w:rPr>
            </w:pPr>
            <w:r>
              <w:rPr>
                <w:rFonts w:ascii="Arial" w:cs="Arial" w:eastAsia="Arial" w:hAnsi="Arial"/>
                <w:sz w:val="18"/>
                <w:szCs w:val="18"/>
                <w:color w:val="auto"/>
              </w:rPr>
              <w:t>10,401</w:t>
            </w:r>
          </w:p>
        </w:tc>
        <w:tc>
          <w:tcPr>
            <w:tcW w:w="120" w:type="dxa"/>
            <w:vAlign w:val="bottom"/>
          </w:tcPr>
          <w:p>
            <w:pPr>
              <w:spacing w:after="0"/>
              <w:rPr>
                <w:sz w:val="20"/>
                <w:szCs w:val="20"/>
                <w:color w:val="auto"/>
              </w:rPr>
            </w:pPr>
          </w:p>
        </w:tc>
        <w:tc>
          <w:tcPr>
            <w:tcW w:w="1440" w:type="dxa"/>
            <w:vAlign w:val="bottom"/>
          </w:tcPr>
          <w:p>
            <w:pPr>
              <w:jc w:val="right"/>
              <w:ind w:right="2"/>
              <w:spacing w:after="0"/>
              <w:rPr>
                <w:sz w:val="20"/>
                <w:szCs w:val="20"/>
                <w:color w:val="auto"/>
              </w:rPr>
            </w:pPr>
            <w:r>
              <w:rPr>
                <w:rFonts w:ascii="Arial" w:cs="Arial" w:eastAsia="Arial" w:hAnsi="Arial"/>
                <w:sz w:val="18"/>
                <w:szCs w:val="18"/>
                <w:color w:val="auto"/>
              </w:rPr>
              <w:t>13,380</w:t>
            </w:r>
          </w:p>
        </w:tc>
      </w:tr>
    </w:tbl>
    <w:p>
      <w:pPr>
        <w:spacing w:after="0" w:line="336" w:lineRule="exact"/>
        <w:rPr>
          <w:sz w:val="20"/>
          <w:szCs w:val="20"/>
          <w:color w:val="auto"/>
        </w:rPr>
      </w:pPr>
    </w:p>
    <w:p>
      <w:pPr>
        <w:ind w:right="40" w:firstLine="405"/>
        <w:spacing w:after="0" w:line="284"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 based awards are excluded from the calculation of diluted earnings per share for the three and nine months ended October 31, 2020 and November 2, 2019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8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9"/>
        </w:numPr>
        <w:rPr>
          <w:rFonts w:ascii="Arial" w:cs="Arial" w:eastAsia="Arial" w:hAnsi="Arial"/>
          <w:sz w:val="16"/>
          <w:szCs w:val="16"/>
          <w:i w:val="1"/>
          <w:iCs w:val="1"/>
          <w:color w:val="auto"/>
        </w:rPr>
      </w:pPr>
      <w:r>
        <w:rPr>
          <w:rFonts w:ascii="Arial" w:cs="Arial" w:eastAsia="Arial" w:hAnsi="Arial"/>
          <w:sz w:val="16"/>
          <w:szCs w:val="16"/>
          <w:i w:val="1"/>
          <w:iCs w:val="1"/>
          <w:color w:val="auto"/>
        </w:rPr>
        <w:t>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480" w:hanging="148"/>
        <w:spacing w:after="0" w:line="234" w:lineRule="auto"/>
        <w:tabs>
          <w:tab w:leader="none" w:pos="480"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complete our planned merger with Inphi Corporation. on a timely basis, or at all;</w:t>
      </w:r>
    </w:p>
    <w:p>
      <w:pPr>
        <w:ind w:left="480" w:hanging="148"/>
        <w:spacing w:after="0" w:line="234" w:lineRule="auto"/>
        <w:tabs>
          <w:tab w:leader="none" w:pos="480"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anticipated synergies in connection with the Inphi merger;</w:t>
      </w:r>
    </w:p>
    <w:p>
      <w:pPr>
        <w:ind w:left="440" w:hanging="108"/>
        <w:spacing w:after="0"/>
        <w:tabs>
          <w:tab w:leader="none" w:pos="440" w:val="left"/>
        </w:tabs>
        <w:numPr>
          <w:ilvl w:val="0"/>
          <w:numId w:val="9"/>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define, design and develop products for the infrastructure and 5G market and to market and sell those products to infrastructure</w:t>
      </w:r>
    </w:p>
    <w:p>
      <w:pPr>
        <w:spacing w:after="0" w:line="1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customers;</w:t>
      </w:r>
    </w:p>
    <w:p>
      <w:pPr>
        <w:spacing w:after="0" w:line="9" w:lineRule="exact"/>
        <w:rPr>
          <w:sz w:val="20"/>
          <w:szCs w:val="20"/>
          <w:color w:val="auto"/>
        </w:rPr>
      </w:pPr>
    </w:p>
    <w:p>
      <w:pPr>
        <w:ind w:left="340" w:right="340" w:hanging="8"/>
        <w:spacing w:after="0" w:line="250" w:lineRule="auto"/>
        <w:tabs>
          <w:tab w:leader="none" w:pos="448"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340" w:right="420" w:hanging="8"/>
        <w:spacing w:after="0" w:line="250" w:lineRule="auto"/>
        <w:tabs>
          <w:tab w:leader="none" w:pos="448"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ind w:left="340" w:right="180" w:hanging="8"/>
        <w:spacing w:after="0" w:line="235" w:lineRule="auto"/>
        <w:tabs>
          <w:tab w:leader="none" w:pos="448"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extension of lead time due to supply chain disruption, component shortage that impacts the production of our products and constrained availability from other electronic suppliers impacting our customers' ability to ship their products, which in turn may adversely impact our sales to those customers;</w:t>
      </w:r>
    </w:p>
    <w:p>
      <w:pPr>
        <w:spacing w:after="0" w:line="1"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7"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440" w:hanging="108"/>
        <w:spacing w:after="0" w:line="236" w:lineRule="auto"/>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on changes in strategy and realize the expected benefits from restructuring activities;</w:t>
      </w:r>
    </w:p>
    <w:p>
      <w:pPr>
        <w:ind w:left="340" w:right="40" w:hanging="8"/>
        <w:spacing w:after="0" w:line="249" w:lineRule="auto"/>
        <w:tabs>
          <w:tab w:leader="none" w:pos="448"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340" w:hanging="8"/>
        <w:spacing w:after="0" w:line="250" w:lineRule="auto"/>
        <w:tabs>
          <w:tab w:leader="none" w:pos="448"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10"/>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3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40" w:firstLine="405"/>
        <w:spacing w:after="0" w:line="241"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216"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In the third quarter of fiscal 2021, our net revenue increased year over year by 13% from $662.5 million net revenue in the third quarter of fiscal 2020 compared with $750.1 million in the third quarter of fiscal 2021. The increase was primarily due to increased sales of our networking products by 35%, partially offset by decreased sales of our storage products by 4% and our other products by 35%. Our net revenue for the nine months ended October 31, 2020 increased by $189.6 million compared to net revenue for the nine months ended November 2, 2019. This was primarily due to increased sales of our networking products by 24% with sales benefiting from acquisitions and the demand increase for our networking products, partially offset by the divestiture of the Wi-Fi Connectivity business in fiscal 2020 and decreased sales of our storage products and other products by 2% and 28%, respectively.</w:t>
      </w:r>
    </w:p>
    <w:p>
      <w:pPr>
        <w:spacing w:after="0" w:line="18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In response to growth in demand from customers for our products, our operations team is continuing to ramp production with our global supply chain partners. However, we have begun to experience a number of industry-wide supply constraints affecting the type of high complexity products we provide for data infrastructure. These supply challenges are currently limiting our ability to fully satisfy the increase in demand for some of our networking products.</w:t>
      </w:r>
    </w:p>
    <w:p>
      <w:pPr>
        <w:spacing w:after="0" w:line="215"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Recently, some of our customers have reported adverse impacts on demand for their products due to COVID-19. We have seen a reduction in demand for products from customers in the enterprise networking, and enterprise server and storage end markets.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7"/>
          <w:szCs w:val="17"/>
          <w:i w:val="1"/>
          <w:iCs w:val="1"/>
          <w:color w:val="auto"/>
        </w:rPr>
        <w:t>We face risks related to COVID-19 pandemic which could significantly disrupt our manufacturing, research</w:t>
      </w:r>
      <w:r>
        <w:rPr>
          <w:rFonts w:ascii="Arial" w:cs="Arial" w:eastAsia="Arial" w:hAnsi="Arial"/>
          <w:sz w:val="17"/>
          <w:szCs w:val="17"/>
          <w:color w:val="auto"/>
        </w:rPr>
        <w:t xml:space="preserve"> </w:t>
      </w:r>
      <w:r>
        <w:rPr>
          <w:rFonts w:ascii="Arial" w:cs="Arial" w:eastAsia="Arial" w:hAnsi="Arial"/>
          <w:sz w:val="17"/>
          <w:szCs w:val="17"/>
          <w:i w:val="1"/>
          <w:iCs w:val="1"/>
          <w:color w:val="auto"/>
        </w:rPr>
        <w:t>and development, operations, sales and financial results</w:t>
      </w:r>
      <w:r>
        <w:rPr>
          <w:rFonts w:ascii="Arial" w:cs="Arial" w:eastAsia="Arial" w:hAnsi="Arial"/>
          <w:sz w:val="17"/>
          <w:szCs w:val="17"/>
          <w:color w:val="auto"/>
        </w:rPr>
        <w:t>.”</w:t>
      </w:r>
    </w:p>
    <w:p>
      <w:pPr>
        <w:spacing w:after="0" w:line="207" w:lineRule="exact"/>
        <w:rPr>
          <w:sz w:val="20"/>
          <w:szCs w:val="20"/>
          <w:color w:val="auto"/>
        </w:rPr>
      </w:pPr>
    </w:p>
    <w:p>
      <w:pPr>
        <w:ind w:right="100" w:firstLine="405"/>
        <w:spacing w:after="0" w:line="257"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2021.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 not easily quantify such as the fact that some of our other customers' products which use our solutions may also be impacted by export restrictions.</w:t>
      </w:r>
    </w:p>
    <w:p>
      <w:pPr>
        <w:spacing w:after="0" w:line="202"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i w:val="1"/>
          <w:iCs w:val="1"/>
          <w:color w:val="auto"/>
        </w:rPr>
        <w:t>Pending Business Combination</w:t>
      </w:r>
      <w:r>
        <w:rPr>
          <w:rFonts w:ascii="Arial" w:cs="Arial" w:eastAsia="Arial" w:hAnsi="Arial"/>
          <w:sz w:val="17"/>
          <w:szCs w:val="17"/>
          <w:color w:val="auto"/>
        </w:rPr>
        <w:t>. On October 29, 2020, we entered into a merger agreement (the “Merger Agreement”) with Inphi Corporation</w:t>
      </w:r>
      <w:r>
        <w:rPr>
          <w:rFonts w:ascii="Arial" w:cs="Arial" w:eastAsia="Arial" w:hAnsi="Arial"/>
          <w:sz w:val="17"/>
          <w:szCs w:val="17"/>
          <w:i w:val="1"/>
          <w:iCs w:val="1"/>
          <w:color w:val="auto"/>
        </w:rPr>
        <w:t xml:space="preserve"> </w:t>
      </w:r>
      <w:r>
        <w:rPr>
          <w:rFonts w:ascii="Arial" w:cs="Arial" w:eastAsia="Arial" w:hAnsi="Arial"/>
          <w:sz w:val="17"/>
          <w:szCs w:val="17"/>
          <w:color w:val="auto"/>
        </w:rPr>
        <w:t>(“Inphi”), whereby we will acquire Inphi with cash and stock consideration. Under the terms of the agreement, we will pay Inphi's stockholders $66 per share in cash and 2.323 common shares for each Inphi share, which represents purchase consideration of approximately $10 billion. The merger consideration will be financed by new debt financing and issuance of our common shares. The transaction is expected to close in the second half of calendar 2021, pending approval by Inphi's and our shareholders, as well as regulatory approval and satisfaction of other customary closing conditions. As a result of the transaction, the parent company will be domiciled in the United States upon closing of the transaction.</w:t>
      </w:r>
    </w:p>
    <w:p>
      <w:pPr>
        <w:spacing w:after="0" w:line="202"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Inphi is a global leader in high-speed data movement enabled by optical interconnects. Their product portfolio includes laser drivers, trans-impedance amplifiers, PAM (Pulse Amplitude Modulation) and Coherent DSPs (Digital Signal Processors) and data center interconnects. We and Inphi both have growing positions in carrier and datacenter, and Inphi’s high-speed electro-optics platform is highly complementary to our storage, networking, compute, and security portfolio. Inphi’s electro-optics portfolio combined with our copper Ethernet PHY franchise is expected to create an industry-leading high-speed data interconnect platform serving the enterprise, carrier, data center, and automotive end markets.</w:t>
      </w:r>
    </w:p>
    <w:p>
      <w:pPr>
        <w:spacing w:after="0" w:line="201" w:lineRule="exact"/>
        <w:rPr>
          <w:sz w:val="20"/>
          <w:szCs w:val="20"/>
          <w:color w:val="auto"/>
        </w:rPr>
      </w:pPr>
    </w:p>
    <w:p>
      <w:pPr>
        <w:ind w:right="160" w:firstLine="405"/>
        <w:spacing w:after="0" w:line="248" w:lineRule="auto"/>
        <w:rPr>
          <w:sz w:val="20"/>
          <w:szCs w:val="20"/>
          <w:color w:val="auto"/>
        </w:rPr>
      </w:pPr>
      <w:r>
        <w:rPr>
          <w:rFonts w:ascii="Arial" w:cs="Arial" w:eastAsia="Arial" w:hAnsi="Arial"/>
          <w:sz w:val="18"/>
          <w:szCs w:val="18"/>
          <w:i w:val="1"/>
          <w:iCs w:val="1"/>
          <w:color w:val="auto"/>
        </w:rPr>
        <w:t xml:space="preserve">Restructuring. </w:t>
      </w:r>
      <w:r>
        <w:rPr>
          <w:rFonts w:ascii="Arial" w:cs="Arial" w:eastAsia="Arial" w:hAnsi="Arial"/>
          <w:sz w:val="18"/>
          <w:szCs w:val="18"/>
          <w:color w:val="auto"/>
        </w:rPr>
        <w:t>We continuously evaluate our existing operations to increase operational efficiency, decrease costs and increase profitability. In</w:t>
      </w:r>
      <w:r>
        <w:rPr>
          <w:rFonts w:ascii="Arial" w:cs="Arial" w:eastAsia="Arial" w:hAnsi="Arial"/>
          <w:sz w:val="18"/>
          <w:szCs w:val="18"/>
          <w:i w:val="1"/>
          <w:iCs w:val="1"/>
          <w:color w:val="auto"/>
        </w:rPr>
        <w:t xml:space="preserve"> </w:t>
      </w:r>
      <w:r>
        <w:rPr>
          <w:rFonts w:ascii="Arial" w:cs="Arial" w:eastAsia="Arial" w:hAnsi="Arial"/>
          <w:sz w:val="18"/>
          <w:szCs w:val="18"/>
          <w:color w:val="auto"/>
        </w:rPr>
        <w:t>November 2019, as part of the integration of the acquired Avera business, we initiated a restructuring plan intended to further achieve the aforementioned goals.</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20" w:firstLine="405"/>
        <w:spacing w:after="0" w:line="276" w:lineRule="auto"/>
        <w:rPr>
          <w:sz w:val="20"/>
          <w:szCs w:val="20"/>
          <w:color w:val="auto"/>
        </w:rPr>
      </w:pPr>
      <w:r>
        <w:rPr>
          <w:rFonts w:ascii="Arial" w:cs="Arial" w:eastAsia="Arial" w:hAnsi="Arial"/>
          <w:sz w:val="16"/>
          <w:szCs w:val="16"/>
          <w:color w:val="auto"/>
        </w:rPr>
        <w:t>During the second quarter ended August 1, 2020, we made changes to the scope of our server processor product line in response to changes in the associated market. We transitioned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of $119.0 million of restructuring related charges associated with the server processor product line during the second quarter ended August 1, 2020. See “Note 5 - Restructuring” in the Notes to the Unaudited Condensed Consolidated Financial Statements for further information.</w:t>
      </w:r>
    </w:p>
    <w:p>
      <w:pPr>
        <w:spacing w:after="0" w:line="189" w:lineRule="exact"/>
        <w:rPr>
          <w:sz w:val="20"/>
          <w:szCs w:val="20"/>
          <w:color w:val="auto"/>
        </w:rPr>
      </w:pPr>
    </w:p>
    <w:p>
      <w:pPr>
        <w:ind w:right="60" w:firstLine="405"/>
        <w:spacing w:after="0" w:line="273"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shareholder value through our share repurchase and dividend programs. On October 16,</w:t>
      </w:r>
      <w:r>
        <w:rPr>
          <w:rFonts w:ascii="Arial" w:cs="Arial" w:eastAsia="Arial" w:hAnsi="Arial"/>
          <w:sz w:val="16"/>
          <w:szCs w:val="16"/>
          <w:i w:val="1"/>
          <w:iCs w:val="1"/>
          <w:color w:val="auto"/>
        </w:rPr>
        <w:t xml:space="preserve"> </w:t>
      </w:r>
      <w:r>
        <w:rPr>
          <w:rFonts w:ascii="Arial" w:cs="Arial" w:eastAsia="Arial" w:hAnsi="Arial"/>
          <w:sz w:val="16"/>
          <w:szCs w:val="16"/>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and remains temporarily suspended in anticipation of the funding of our acquisition of Inphi. As a result, we did not repurchase any shares during the three months ended October 31, 2020. We will continue to evaluate business conditions to decide when we can restart the share repurchase program</w:t>
      </w:r>
      <w:r>
        <w:rPr>
          <w:rFonts w:ascii="Arial" w:cs="Arial" w:eastAsia="Arial" w:hAnsi="Arial"/>
          <w:sz w:val="17"/>
          <w:szCs w:val="17"/>
          <w:color w:val="auto"/>
        </w:rPr>
        <w:t>.</w:t>
      </w:r>
      <w:r>
        <w:rPr>
          <w:rFonts w:ascii="Arial" w:cs="Arial" w:eastAsia="Arial" w:hAnsi="Arial"/>
          <w:sz w:val="16"/>
          <w:szCs w:val="16"/>
          <w:color w:val="auto"/>
        </w:rPr>
        <w:t xml:space="preserve"> As of October 31, 2020, there was $564.5 million remaining available for future share repurchases of the authorization.</w:t>
      </w:r>
    </w:p>
    <w:p>
      <w:pPr>
        <w:spacing w:after="0" w:line="189" w:lineRule="exact"/>
        <w:rPr>
          <w:sz w:val="20"/>
          <w:szCs w:val="20"/>
          <w:color w:val="auto"/>
        </w:rPr>
      </w:pPr>
    </w:p>
    <w:p>
      <w:pPr>
        <w:ind w:right="40" w:firstLine="405"/>
        <w:spacing w:after="0" w:line="294" w:lineRule="auto"/>
        <w:rPr>
          <w:sz w:val="20"/>
          <w:szCs w:val="20"/>
          <w:color w:val="auto"/>
        </w:rPr>
      </w:pPr>
      <w:r>
        <w:rPr>
          <w:rFonts w:ascii="Arial" w:cs="Arial" w:eastAsia="Arial" w:hAnsi="Arial"/>
          <w:sz w:val="16"/>
          <w:szCs w:val="16"/>
          <w:color w:val="auto"/>
        </w:rPr>
        <w:t>For the nine months ended October 31, 2020, we repurchased 1.3 million shares of our common stock for $25.2 million. As of October 31, 2020, a total of 308.1 million shares have been repurchased to date under our share repurchase programs for a total $4.3 billion in cash. We returned $145.3 million to stockholders in the nine months ended October 31, 2020, including our repurchases of common stock and $120.1 million of cash dividends.</w:t>
      </w:r>
    </w:p>
    <w:p>
      <w:pPr>
        <w:spacing w:after="0" w:line="174"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$832.0 million at October 31, 2020, which was $184.4 higher than our balance at</w:t>
      </w:r>
      <w:r>
        <w:rPr>
          <w:rFonts w:ascii="Arial" w:cs="Arial" w:eastAsia="Arial" w:hAnsi="Arial"/>
          <w:sz w:val="18"/>
          <w:szCs w:val="18"/>
          <w:i w:val="1"/>
          <w:iCs w:val="1"/>
          <w:color w:val="auto"/>
        </w:rPr>
        <w:t xml:space="preserve"> </w:t>
      </w:r>
      <w:r>
        <w:rPr>
          <w:rFonts w:ascii="Arial" w:cs="Arial" w:eastAsia="Arial" w:hAnsi="Arial"/>
          <w:sz w:val="18"/>
          <w:szCs w:val="18"/>
          <w:color w:val="auto"/>
        </w:rPr>
        <w:t>our fiscal year ended February 1, 2020 of $647.6 million.</w:t>
      </w:r>
    </w:p>
    <w:p>
      <w:pPr>
        <w:spacing w:after="0" w:line="198" w:lineRule="exact"/>
        <w:rPr>
          <w:sz w:val="20"/>
          <w:szCs w:val="20"/>
          <w:color w:val="auto"/>
        </w:rPr>
      </w:pPr>
    </w:p>
    <w:p>
      <w:pPr>
        <w:jc w:val="both"/>
        <w:ind w:right="20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w:t>
      </w:r>
      <w:r>
        <w:rPr>
          <w:rFonts w:ascii="Arial" w:cs="Arial" w:eastAsia="Arial" w:hAnsi="Arial"/>
          <w:sz w:val="18"/>
          <w:szCs w:val="18"/>
          <w:i w:val="1"/>
          <w:iCs w:val="1"/>
          <w:color w:val="auto"/>
        </w:rPr>
        <w:t xml:space="preserve"> </w:t>
      </w:r>
      <w:r>
        <w:rPr>
          <w:rFonts w:ascii="Arial" w:cs="Arial" w:eastAsia="Arial" w:hAnsi="Arial"/>
          <w:sz w:val="18"/>
          <w:szCs w:val="18"/>
          <w:color w:val="auto"/>
        </w:rPr>
        <w:t>During the third quarter of fiscal 2021, there was no net revenue attributable to a customer, other than one distributor, whose revenues as a percentage of net revenue was 10% or greater of total net revenues. Net revenue attributable to significant customers whose revenue as a percentage of net revenue was 10% or greater of total net revenue is presented in the following table:</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60" w:type="dxa"/>
            <w:vAlign w:val="bottom"/>
          </w:tcPr>
          <w:p>
            <w:pPr>
              <w:spacing w:after="0"/>
              <w:rPr>
                <w:sz w:val="16"/>
                <w:szCs w:val="16"/>
                <w:color w:val="auto"/>
              </w:rPr>
            </w:pPr>
          </w:p>
        </w:tc>
        <w:tc>
          <w:tcPr>
            <w:tcW w:w="3240" w:type="dxa"/>
            <w:vAlign w:val="bottom"/>
            <w:gridSpan w:val="4"/>
          </w:tcPr>
          <w:p>
            <w:pPr>
              <w:ind w:left="920"/>
              <w:spacing w:after="0"/>
              <w:rPr>
                <w:sz w:val="20"/>
                <w:szCs w:val="20"/>
                <w:color w:val="auto"/>
              </w:rPr>
            </w:pPr>
            <w:r>
              <w:rPr>
                <w:rFonts w:ascii="Arial" w:cs="Arial" w:eastAsia="Arial" w:hAnsi="Arial"/>
                <w:sz w:val="14"/>
                <w:szCs w:val="14"/>
                <w:b w:val="1"/>
                <w:bCs w:val="1"/>
                <w:color w:val="auto"/>
              </w:rPr>
              <w:t>Three Months Ended</w:t>
            </w:r>
          </w:p>
        </w:tc>
        <w:tc>
          <w:tcPr>
            <w:tcW w:w="3140" w:type="dxa"/>
            <w:vAlign w:val="bottom"/>
            <w:gridSpan w:val="3"/>
          </w:tcPr>
          <w:p>
            <w:pPr>
              <w:jc w:val="right"/>
              <w:ind w:right="879"/>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4860" w:type="dxa"/>
            <w:vAlign w:val="bottom"/>
          </w:tcPr>
          <w:p>
            <w:pPr>
              <w:spacing w:after="0"/>
              <w:rPr>
                <w:sz w:val="11"/>
                <w:szCs w:val="11"/>
                <w:color w:val="auto"/>
              </w:rPr>
            </w:pPr>
          </w:p>
        </w:tc>
        <w:tc>
          <w:tcPr>
            <w:tcW w:w="1620" w:type="dxa"/>
            <w:vAlign w:val="bottom"/>
            <w:tcBorders>
              <w:top w:val="single" w:sz="8" w:color="auto"/>
            </w:tcBorders>
            <w:gridSpan w:val="2"/>
          </w:tcPr>
          <w:p>
            <w:pPr>
              <w:ind w:left="400"/>
              <w:spacing w:after="0" w:line="135" w:lineRule="exact"/>
              <w:rPr>
                <w:sz w:val="20"/>
                <w:szCs w:val="20"/>
                <w:color w:val="auto"/>
              </w:rPr>
            </w:pPr>
            <w:r>
              <w:rPr>
                <w:rFonts w:ascii="Arial" w:cs="Arial" w:eastAsia="Arial" w:hAnsi="Arial"/>
                <w:sz w:val="14"/>
                <w:szCs w:val="14"/>
                <w:b w:val="1"/>
                <w:bCs w:val="1"/>
                <w:color w:val="auto"/>
              </w:rPr>
              <w:t>October 31,</w:t>
            </w:r>
          </w:p>
        </w:tc>
        <w:tc>
          <w:tcPr>
            <w:tcW w:w="1520" w:type="dxa"/>
            <w:vAlign w:val="bottom"/>
            <w:tcBorders>
              <w:top w:val="single" w:sz="8" w:color="auto"/>
            </w:tcBorders>
          </w:tcPr>
          <w:p>
            <w:pPr>
              <w:jc w:val="right"/>
              <w:ind w:right="299"/>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1620" w:type="dxa"/>
            <w:vAlign w:val="bottom"/>
            <w:tcBorders>
              <w:top w:val="single" w:sz="8" w:color="auto"/>
            </w:tcBorders>
            <w:gridSpan w:val="2"/>
          </w:tcPr>
          <w:p>
            <w:pPr>
              <w:ind w:left="400"/>
              <w:spacing w:after="0" w:line="135" w:lineRule="exact"/>
              <w:rPr>
                <w:sz w:val="20"/>
                <w:szCs w:val="20"/>
                <w:color w:val="auto"/>
              </w:rPr>
            </w:pPr>
            <w:r>
              <w:rPr>
                <w:rFonts w:ascii="Arial" w:cs="Arial" w:eastAsia="Arial" w:hAnsi="Arial"/>
                <w:sz w:val="14"/>
                <w:szCs w:val="14"/>
                <w:b w:val="1"/>
                <w:bCs w:val="1"/>
                <w:color w:val="auto"/>
              </w:rPr>
              <w:t>October 31,</w:t>
            </w:r>
          </w:p>
        </w:tc>
        <w:tc>
          <w:tcPr>
            <w:tcW w:w="1520" w:type="dxa"/>
            <w:vAlign w:val="bottom"/>
            <w:tcBorders>
              <w:top w:val="single" w:sz="8" w:color="auto"/>
            </w:tcBorders>
          </w:tcPr>
          <w:p>
            <w:pPr>
              <w:jc w:val="right"/>
              <w:ind w:right="299"/>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48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41"/>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2019</w:t>
            </w:r>
          </w:p>
        </w:tc>
      </w:tr>
      <w:tr>
        <w:trPr>
          <w:trHeight w:val="211"/>
        </w:trPr>
        <w:tc>
          <w:tcPr>
            <w:tcW w:w="4860" w:type="dxa"/>
            <w:vAlign w:val="bottom"/>
            <w:shd w:val="clear" w:color="auto" w:fill="CCEEFF"/>
          </w:tcPr>
          <w:p>
            <w:pPr>
              <w:jc w:val="right"/>
              <w:ind w:right="3550"/>
              <w:spacing w:after="0"/>
              <w:rPr>
                <w:sz w:val="20"/>
                <w:szCs w:val="20"/>
                <w:color w:val="auto"/>
              </w:rPr>
            </w:pPr>
            <w:r>
              <w:rPr>
                <w:rFonts w:ascii="Arial" w:cs="Arial" w:eastAsia="Arial" w:hAnsi="Arial"/>
                <w:sz w:val="18"/>
                <w:szCs w:val="18"/>
                <w:b w:val="1"/>
                <w:bCs w:val="1"/>
                <w:color w:val="auto"/>
                <w:w w:val="92"/>
              </w:rPr>
              <w:t>End Customer:</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r>
      <w:tr>
        <w:trPr>
          <w:trHeight w:val="230"/>
        </w:trPr>
        <w:tc>
          <w:tcPr>
            <w:tcW w:w="4860" w:type="dxa"/>
            <w:vAlign w:val="bottom"/>
          </w:tcPr>
          <w:p>
            <w:pPr>
              <w:jc w:val="right"/>
              <w:ind w:right="3370"/>
              <w:spacing w:after="0"/>
              <w:rPr>
                <w:sz w:val="20"/>
                <w:szCs w:val="20"/>
                <w:color w:val="auto"/>
              </w:rPr>
            </w:pPr>
            <w:r>
              <w:rPr>
                <w:rFonts w:ascii="Arial" w:cs="Arial" w:eastAsia="Arial" w:hAnsi="Arial"/>
                <w:sz w:val="18"/>
                <w:szCs w:val="18"/>
                <w:color w:val="auto"/>
              </w:rPr>
              <w:t>Cisco Systems</w:t>
            </w:r>
          </w:p>
        </w:tc>
        <w:tc>
          <w:tcPr>
            <w:tcW w:w="1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10 %</w:t>
            </w:r>
          </w:p>
        </w:tc>
      </w:tr>
      <w:tr>
        <w:trPr>
          <w:trHeight w:val="230"/>
        </w:trPr>
        <w:tc>
          <w:tcPr>
            <w:tcW w:w="4860" w:type="dxa"/>
            <w:vAlign w:val="bottom"/>
            <w:shd w:val="clear" w:color="auto" w:fill="CCEEFF"/>
          </w:tcPr>
          <w:p>
            <w:pPr>
              <w:jc w:val="right"/>
              <w:ind w:right="3810"/>
              <w:spacing w:after="0"/>
              <w:rPr>
                <w:sz w:val="20"/>
                <w:szCs w:val="20"/>
                <w:color w:val="auto"/>
              </w:rPr>
            </w:pPr>
            <w:r>
              <w:rPr>
                <w:rFonts w:ascii="Arial" w:cs="Arial" w:eastAsia="Arial" w:hAnsi="Arial"/>
                <w:sz w:val="18"/>
                <w:szCs w:val="18"/>
                <w:b w:val="1"/>
                <w:bCs w:val="1"/>
                <w:color w:val="auto"/>
                <w:w w:val="95"/>
              </w:rPr>
              <w:t>Distributor:</w:t>
            </w:r>
          </w:p>
        </w:tc>
        <w:tc>
          <w:tcPr>
            <w:tcW w:w="15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spacing w:after="0"/>
              <w:rPr>
                <w:sz w:val="19"/>
                <w:szCs w:val="19"/>
                <w:color w:val="auto"/>
              </w:rPr>
            </w:pPr>
          </w:p>
        </w:tc>
      </w:tr>
      <w:tr>
        <w:trPr>
          <w:trHeight w:val="230"/>
        </w:trPr>
        <w:tc>
          <w:tcPr>
            <w:tcW w:w="4860" w:type="dxa"/>
            <w:vAlign w:val="bottom"/>
          </w:tcPr>
          <w:p>
            <w:pPr>
              <w:jc w:val="right"/>
              <w:ind w:right="3810"/>
              <w:spacing w:after="0"/>
              <w:rPr>
                <w:sz w:val="20"/>
                <w:szCs w:val="20"/>
                <w:color w:val="auto"/>
              </w:rPr>
            </w:pPr>
            <w:r>
              <w:rPr>
                <w:rFonts w:ascii="Arial" w:cs="Arial" w:eastAsia="Arial" w:hAnsi="Arial"/>
                <w:sz w:val="18"/>
                <w:szCs w:val="18"/>
                <w:color w:val="auto"/>
              </w:rPr>
              <w:t>Wintech</w:t>
            </w:r>
          </w:p>
        </w:tc>
        <w:tc>
          <w:tcPr>
            <w:tcW w:w="1500" w:type="dxa"/>
            <w:vAlign w:val="bottom"/>
          </w:tcPr>
          <w:p>
            <w:pPr>
              <w:jc w:val="right"/>
              <w:spacing w:after="0"/>
              <w:rPr>
                <w:sz w:val="20"/>
                <w:szCs w:val="20"/>
                <w:color w:val="auto"/>
              </w:rPr>
            </w:pPr>
            <w:r>
              <w:rPr>
                <w:rFonts w:ascii="Arial" w:cs="Arial" w:eastAsia="Arial" w:hAnsi="Arial"/>
                <w:sz w:val="18"/>
                <w:szCs w:val="18"/>
                <w:color w:val="auto"/>
              </w:rPr>
              <w:t>12 %</w:t>
            </w:r>
          </w:p>
        </w:tc>
        <w:tc>
          <w:tcPr>
            <w:tcW w:w="12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r>
    </w:tbl>
    <w:p>
      <w:pPr>
        <w:spacing w:after="0" w:line="322" w:lineRule="exact"/>
        <w:rPr>
          <w:sz w:val="20"/>
          <w:szCs w:val="20"/>
          <w:color w:val="auto"/>
        </w:rPr>
      </w:pPr>
    </w:p>
    <w:p>
      <w:pPr>
        <w:ind w:left="680" w:hanging="654"/>
        <w:spacing w:after="0"/>
        <w:tabs>
          <w:tab w:leader="none" w:pos="6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17" w:lineRule="exact"/>
        <w:rPr>
          <w:sz w:val="20"/>
          <w:szCs w:val="20"/>
          <w:color w:val="auto"/>
        </w:rPr>
      </w:pPr>
    </w:p>
    <w:p>
      <w:pPr>
        <w:ind w:right="320" w:firstLine="405"/>
        <w:spacing w:after="0" w:line="261" w:lineRule="auto"/>
        <w:rPr>
          <w:sz w:val="20"/>
          <w:szCs w:val="20"/>
          <w:color w:val="auto"/>
        </w:rPr>
      </w:pPr>
      <w:r>
        <w:rPr>
          <w:rFonts w:ascii="Arial" w:cs="Arial" w:eastAsia="Arial" w:hAnsi="Arial"/>
          <w:sz w:val="18"/>
          <w:szCs w:val="18"/>
          <w:color w:val="auto"/>
        </w:rPr>
        <w:t>We continuously monitor the creditworthiness of our distributors and believe their sales to diverse end customers and geographies further serve to mitigate our exposure to credit risk.</w:t>
      </w:r>
    </w:p>
    <w:p>
      <w:pPr>
        <w:spacing w:after="0" w:line="198" w:lineRule="exact"/>
        <w:rPr>
          <w:sz w:val="20"/>
          <w:szCs w:val="20"/>
          <w:color w:val="auto"/>
        </w:rPr>
      </w:pPr>
    </w:p>
    <w:p>
      <w:pPr>
        <w:ind w:right="40" w:firstLine="405"/>
        <w:spacing w:after="0" w:line="254"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81% and 80% of our net revenue in the three and nine months ended October 31, 2020, and approximately 83% and 82% of net revenue in the three and nine months ended November 2, 2019,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w:t>
      </w:r>
      <w:r>
        <w:rPr>
          <w:rFonts w:ascii="Arial" w:cs="Arial" w:eastAsia="Arial" w:hAnsi="Arial"/>
          <w:sz w:val="17"/>
          <w:szCs w:val="17"/>
          <w:color w:val="auto"/>
        </w:rPr>
        <w:t xml:space="preserve"> </w:t>
      </w:r>
      <w:r>
        <w:rPr>
          <w:rFonts w:ascii="Arial" w:cs="Arial" w:eastAsia="Arial" w:hAnsi="Arial"/>
          <w:sz w:val="17"/>
          <w:szCs w:val="17"/>
          <w:i w:val="1"/>
          <w:iCs w:val="1"/>
          <w:color w:val="auto"/>
        </w:rPr>
        <w:t>of our customers, are manufactured and sold outside of the United States. The occurrence of any or a combination of the additional risks described below would significantly and negatively impact our business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There have been no material changes during the three months ended October 31, 2020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1, 2020.</w:t>
      </w:r>
    </w:p>
    <w:p>
      <w:pPr>
        <w:spacing w:after="0" w:line="209"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20" w:type="dxa"/>
            <w:vAlign w:val="bottom"/>
          </w:tcPr>
          <w:p>
            <w:pPr>
              <w:spacing w:after="0"/>
              <w:rPr>
                <w:sz w:val="16"/>
                <w:szCs w:val="16"/>
                <w:color w:val="auto"/>
              </w:rPr>
            </w:pPr>
          </w:p>
        </w:tc>
        <w:tc>
          <w:tcPr>
            <w:tcW w:w="3240" w:type="dxa"/>
            <w:vAlign w:val="bottom"/>
            <w:gridSpan w:val="4"/>
          </w:tcPr>
          <w:p>
            <w:pPr>
              <w:ind w:left="920"/>
              <w:spacing w:after="0"/>
              <w:rPr>
                <w:sz w:val="20"/>
                <w:szCs w:val="20"/>
                <w:color w:val="auto"/>
              </w:rPr>
            </w:pPr>
            <w:r>
              <w:rPr>
                <w:rFonts w:ascii="Arial" w:cs="Arial" w:eastAsia="Arial" w:hAnsi="Arial"/>
                <w:sz w:val="14"/>
                <w:szCs w:val="14"/>
                <w:b w:val="1"/>
                <w:bCs w:val="1"/>
                <w:color w:val="auto"/>
              </w:rPr>
              <w:t>Three Months Ended</w:t>
            </w:r>
          </w:p>
        </w:tc>
        <w:tc>
          <w:tcPr>
            <w:tcW w:w="3120" w:type="dxa"/>
            <w:vAlign w:val="bottom"/>
            <w:gridSpan w:val="3"/>
          </w:tcPr>
          <w:p>
            <w:pPr>
              <w:jc w:val="right"/>
              <w:ind w:right="852"/>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4820" w:type="dxa"/>
            <w:vAlign w:val="bottom"/>
          </w:tcPr>
          <w:p>
            <w:pPr>
              <w:spacing w:after="0"/>
              <w:rPr>
                <w:sz w:val="11"/>
                <w:szCs w:val="11"/>
                <w:color w:val="auto"/>
              </w:rPr>
            </w:pPr>
          </w:p>
        </w:tc>
        <w:tc>
          <w:tcPr>
            <w:tcW w:w="1620" w:type="dxa"/>
            <w:vAlign w:val="bottom"/>
            <w:tcBorders>
              <w:top w:val="single" w:sz="8" w:color="auto"/>
            </w:tcBorders>
            <w:gridSpan w:val="2"/>
          </w:tcPr>
          <w:p>
            <w:pPr>
              <w:ind w:left="400"/>
              <w:spacing w:after="0" w:line="135" w:lineRule="exact"/>
              <w:rPr>
                <w:sz w:val="20"/>
                <w:szCs w:val="20"/>
                <w:color w:val="auto"/>
              </w:rPr>
            </w:pPr>
            <w:r>
              <w:rPr>
                <w:rFonts w:ascii="Arial" w:cs="Arial" w:eastAsia="Arial" w:hAnsi="Arial"/>
                <w:sz w:val="14"/>
                <w:szCs w:val="14"/>
                <w:b w:val="1"/>
                <w:bCs w:val="1"/>
                <w:color w:val="auto"/>
              </w:rPr>
              <w:t>October 31,</w:t>
            </w:r>
          </w:p>
        </w:tc>
        <w:tc>
          <w:tcPr>
            <w:tcW w:w="1520" w:type="dxa"/>
            <w:vAlign w:val="bottom"/>
            <w:tcBorders>
              <w:top w:val="single" w:sz="8" w:color="auto"/>
            </w:tcBorders>
          </w:tcPr>
          <w:p>
            <w:pPr>
              <w:jc w:val="right"/>
              <w:ind w:right="292"/>
              <w:spacing w:after="0" w:line="135"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1600" w:type="dxa"/>
            <w:vAlign w:val="bottom"/>
            <w:tcBorders>
              <w:top w:val="single" w:sz="8" w:color="auto"/>
            </w:tcBorders>
            <w:gridSpan w:val="2"/>
          </w:tcPr>
          <w:p>
            <w:pPr>
              <w:ind w:left="400"/>
              <w:spacing w:after="0" w:line="135" w:lineRule="exact"/>
              <w:rPr>
                <w:sz w:val="20"/>
                <w:szCs w:val="20"/>
                <w:color w:val="auto"/>
              </w:rPr>
            </w:pPr>
            <w:r>
              <w:rPr>
                <w:rFonts w:ascii="Arial" w:cs="Arial" w:eastAsia="Arial" w:hAnsi="Arial"/>
                <w:sz w:val="14"/>
                <w:szCs w:val="14"/>
                <w:b w:val="1"/>
                <w:bCs w:val="1"/>
                <w:color w:val="auto"/>
              </w:rPr>
              <w:t>October 31,</w:t>
            </w:r>
          </w:p>
        </w:tc>
        <w:tc>
          <w:tcPr>
            <w:tcW w:w="1520" w:type="dxa"/>
            <w:vAlign w:val="bottom"/>
            <w:tcBorders>
              <w:top w:val="single" w:sz="8" w:color="auto"/>
            </w:tcBorders>
          </w:tcPr>
          <w:p>
            <w:pPr>
              <w:jc w:val="right"/>
              <w:ind w:right="272"/>
              <w:spacing w:after="0" w:line="135" w:lineRule="exact"/>
              <w:rPr>
                <w:sz w:val="20"/>
                <w:szCs w:val="20"/>
                <w:color w:val="auto"/>
              </w:rPr>
            </w:pPr>
            <w:r>
              <w:rPr>
                <w:rFonts w:ascii="Arial" w:cs="Arial" w:eastAsia="Arial" w:hAnsi="Arial"/>
                <w:sz w:val="14"/>
                <w:szCs w:val="14"/>
                <w:b w:val="1"/>
                <w:bCs w:val="1"/>
                <w:color w:val="auto"/>
              </w:rPr>
              <w:t>November 2,</w:t>
            </w:r>
          </w:p>
        </w:tc>
      </w:tr>
      <w:tr>
        <w:trPr>
          <w:trHeight w:val="188"/>
        </w:trPr>
        <w:tc>
          <w:tcPr>
            <w:tcW w:w="482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2019</w:t>
            </w:r>
          </w:p>
        </w:tc>
      </w:tr>
      <w:tr>
        <w:trPr>
          <w:trHeight w:val="224"/>
        </w:trPr>
        <w:tc>
          <w:tcPr>
            <w:tcW w:w="4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29"/>
        </w:trPr>
        <w:tc>
          <w:tcPr>
            <w:tcW w:w="48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49.2</w:t>
            </w: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48.7</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50.8</w:t>
            </w:r>
          </w:p>
        </w:tc>
        <w:tc>
          <w:tcPr>
            <w:tcW w:w="10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46.9</w:t>
            </w:r>
          </w:p>
        </w:tc>
      </w:tr>
      <w:tr>
        <w:trPr>
          <w:trHeight w:val="223"/>
        </w:trPr>
        <w:tc>
          <w:tcPr>
            <w:tcW w:w="4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50.8</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51.3</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49.2</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53.1</w:t>
            </w:r>
          </w:p>
        </w:tc>
      </w:tr>
      <w:tr>
        <w:trPr>
          <w:trHeight w:val="229"/>
        </w:trPr>
        <w:tc>
          <w:tcPr>
            <w:tcW w:w="482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1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20" w:type="dxa"/>
            <w:vAlign w:val="bottom"/>
          </w:tcPr>
          <w:p>
            <w:pPr>
              <w:spacing w:after="0"/>
              <w:rPr>
                <w:sz w:val="19"/>
                <w:szCs w:val="19"/>
                <w:color w:val="auto"/>
              </w:rPr>
            </w:pPr>
          </w:p>
        </w:tc>
      </w:tr>
      <w:tr>
        <w:trPr>
          <w:trHeight w:val="230"/>
        </w:trPr>
        <w:tc>
          <w:tcPr>
            <w:tcW w:w="48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40.4</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37.4</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40.4</w:t>
            </w:r>
          </w:p>
        </w:tc>
      </w:tr>
      <w:tr>
        <w:trPr>
          <w:trHeight w:val="230"/>
        </w:trPr>
        <w:tc>
          <w:tcPr>
            <w:tcW w:w="482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15.4</w:t>
            </w:r>
          </w:p>
        </w:tc>
        <w:tc>
          <w:tcPr>
            <w:tcW w:w="120" w:type="dxa"/>
            <w:vAlign w:val="bottom"/>
          </w:tcPr>
          <w:p>
            <w:pPr>
              <w:spacing w:after="0"/>
              <w:rPr>
                <w:sz w:val="19"/>
                <w:szCs w:val="19"/>
                <w:color w:val="auto"/>
              </w:rPr>
            </w:pPr>
          </w:p>
        </w:tc>
        <w:tc>
          <w:tcPr>
            <w:tcW w:w="1520" w:type="dxa"/>
            <w:vAlign w:val="bottom"/>
          </w:tcPr>
          <w:p>
            <w:pPr>
              <w:jc w:val="right"/>
              <w:ind w:right="132"/>
              <w:spacing w:after="0"/>
              <w:rPr>
                <w:sz w:val="20"/>
                <w:szCs w:val="20"/>
                <w:color w:val="auto"/>
              </w:rPr>
            </w:pPr>
            <w:r>
              <w:rPr>
                <w:rFonts w:ascii="Arial" w:cs="Arial" w:eastAsia="Arial" w:hAnsi="Arial"/>
                <w:sz w:val="18"/>
                <w:szCs w:val="18"/>
                <w:color w:val="auto"/>
              </w:rPr>
              <w:t>18.0</w:t>
            </w:r>
          </w:p>
        </w:tc>
        <w:tc>
          <w:tcPr>
            <w:tcW w:w="10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16.1</w:t>
            </w:r>
          </w:p>
        </w:tc>
        <w:tc>
          <w:tcPr>
            <w:tcW w:w="100" w:type="dxa"/>
            <w:vAlign w:val="bottom"/>
          </w:tcPr>
          <w:p>
            <w:pPr>
              <w:spacing w:after="0"/>
              <w:rPr>
                <w:sz w:val="19"/>
                <w:szCs w:val="19"/>
                <w:color w:val="auto"/>
              </w:rPr>
            </w:pPr>
          </w:p>
        </w:tc>
        <w:tc>
          <w:tcPr>
            <w:tcW w:w="1520" w:type="dxa"/>
            <w:vAlign w:val="bottom"/>
          </w:tcPr>
          <w:p>
            <w:pPr>
              <w:jc w:val="right"/>
              <w:ind w:right="132"/>
              <w:spacing w:after="0"/>
              <w:rPr>
                <w:sz w:val="20"/>
                <w:szCs w:val="20"/>
                <w:color w:val="auto"/>
              </w:rPr>
            </w:pPr>
            <w:r>
              <w:rPr>
                <w:rFonts w:ascii="Arial" w:cs="Arial" w:eastAsia="Arial" w:hAnsi="Arial"/>
                <w:sz w:val="18"/>
                <w:szCs w:val="18"/>
                <w:color w:val="auto"/>
              </w:rPr>
              <w:t>17.3</w:t>
            </w:r>
          </w:p>
        </w:tc>
      </w:tr>
      <w:tr>
        <w:trPr>
          <w:trHeight w:val="230"/>
        </w:trPr>
        <w:tc>
          <w:tcPr>
            <w:tcW w:w="48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2.6</w:t>
            </w:r>
          </w:p>
        </w:tc>
        <w:tc>
          <w:tcPr>
            <w:tcW w:w="120" w:type="dxa"/>
            <w:vAlign w:val="bottom"/>
            <w:shd w:val="clear" w:color="auto" w:fill="CCEEFF"/>
          </w:tcPr>
          <w:p>
            <w:pPr>
              <w:spacing w:after="0"/>
              <w:rPr>
                <w:sz w:val="19"/>
                <w:szCs w:val="19"/>
                <w:color w:val="auto"/>
              </w:rPr>
            </w:pPr>
          </w:p>
        </w:tc>
        <w:tc>
          <w:tcPr>
            <w:tcW w:w="15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2.2</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7.4</w:t>
            </w:r>
          </w:p>
        </w:tc>
        <w:tc>
          <w:tcPr>
            <w:tcW w:w="100" w:type="dxa"/>
            <w:vAlign w:val="bottom"/>
            <w:shd w:val="clear" w:color="auto" w:fill="CCEEFF"/>
          </w:tcPr>
          <w:p>
            <w:pPr>
              <w:spacing w:after="0"/>
              <w:rPr>
                <w:sz w:val="19"/>
                <w:szCs w:val="19"/>
                <w:color w:val="auto"/>
              </w:rPr>
            </w:pPr>
          </w:p>
        </w:tc>
        <w:tc>
          <w:tcPr>
            <w:tcW w:w="152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1.9</w:t>
            </w:r>
          </w:p>
        </w:tc>
      </w:tr>
      <w:tr>
        <w:trPr>
          <w:trHeight w:val="223"/>
        </w:trPr>
        <w:tc>
          <w:tcPr>
            <w:tcW w:w="48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52.1</w:t>
            </w: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60.6</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60.9</w:t>
            </w:r>
          </w:p>
        </w:tc>
        <w:tc>
          <w:tcPr>
            <w:tcW w:w="10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59.6</w:t>
            </w:r>
          </w:p>
        </w:tc>
      </w:tr>
      <w:tr>
        <w:trPr>
          <w:trHeight w:val="223"/>
        </w:trPr>
        <w:tc>
          <w:tcPr>
            <w:tcW w:w="4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1500" w:type="dxa"/>
            <w:vAlign w:val="bottom"/>
            <w:shd w:val="clear" w:color="auto" w:fill="CCEEFF"/>
          </w:tcPr>
          <w:p>
            <w:pPr>
              <w:ind w:left="980"/>
              <w:spacing w:after="0"/>
              <w:rPr>
                <w:sz w:val="20"/>
                <w:szCs w:val="20"/>
                <w:color w:val="auto"/>
              </w:rPr>
            </w:pPr>
            <w:r>
              <w:rPr>
                <w:rFonts w:ascii="Arial" w:cs="Arial" w:eastAsia="Arial" w:hAnsi="Arial"/>
                <w:sz w:val="18"/>
                <w:szCs w:val="18"/>
                <w:color w:val="auto"/>
              </w:rPr>
              <w:t>(1.3)</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(9.3)</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(11.7)</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ind w:left="1000"/>
              <w:spacing w:after="0"/>
              <w:rPr>
                <w:sz w:val="20"/>
                <w:szCs w:val="20"/>
                <w:color w:val="auto"/>
              </w:rPr>
            </w:pPr>
            <w:r>
              <w:rPr>
                <w:rFonts w:ascii="Arial" w:cs="Arial" w:eastAsia="Arial" w:hAnsi="Arial"/>
                <w:sz w:val="18"/>
                <w:szCs w:val="18"/>
                <w:color w:val="auto"/>
              </w:rPr>
              <w:t>(6.5)</w:t>
            </w:r>
          </w:p>
        </w:tc>
      </w:tr>
      <w:tr>
        <w:trPr>
          <w:trHeight w:val="230"/>
        </w:trPr>
        <w:tc>
          <w:tcPr>
            <w:tcW w:w="482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0.1</w:t>
            </w:r>
          </w:p>
        </w:tc>
        <w:tc>
          <w:tcPr>
            <w:tcW w:w="120" w:type="dxa"/>
            <w:vAlign w:val="bottom"/>
          </w:tcPr>
          <w:p>
            <w:pPr>
              <w:spacing w:after="0"/>
              <w:rPr>
                <w:sz w:val="19"/>
                <w:szCs w:val="19"/>
                <w:color w:val="auto"/>
              </w:rPr>
            </w:pPr>
          </w:p>
        </w:tc>
        <w:tc>
          <w:tcPr>
            <w:tcW w:w="1520" w:type="dxa"/>
            <w:vAlign w:val="bottom"/>
          </w:tcPr>
          <w:p>
            <w:pPr>
              <w:jc w:val="right"/>
              <w:ind w:right="13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9"/>
                <w:szCs w:val="19"/>
                <w:color w:val="auto"/>
              </w:rPr>
            </w:pPr>
          </w:p>
        </w:tc>
        <w:tc>
          <w:tcPr>
            <w:tcW w:w="1520" w:type="dxa"/>
            <w:vAlign w:val="bottom"/>
          </w:tcPr>
          <w:p>
            <w:pPr>
              <w:jc w:val="right"/>
              <w:ind w:right="132"/>
              <w:spacing w:after="0"/>
              <w:rPr>
                <w:sz w:val="20"/>
                <w:szCs w:val="20"/>
                <w:color w:val="auto"/>
              </w:rPr>
            </w:pPr>
            <w:r>
              <w:rPr>
                <w:rFonts w:ascii="Arial" w:cs="Arial" w:eastAsia="Arial" w:hAnsi="Arial"/>
                <w:sz w:val="18"/>
                <w:szCs w:val="18"/>
                <w:color w:val="auto"/>
              </w:rPr>
              <w:t>0.2</w:t>
            </w:r>
          </w:p>
        </w:tc>
      </w:tr>
      <w:tr>
        <w:trPr>
          <w:trHeight w:val="229"/>
        </w:trPr>
        <w:tc>
          <w:tcPr>
            <w:tcW w:w="48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500" w:type="dxa"/>
            <w:vAlign w:val="bottom"/>
            <w:shd w:val="clear" w:color="auto" w:fill="CCEEFF"/>
          </w:tcPr>
          <w:p>
            <w:pPr>
              <w:ind w:left="980"/>
              <w:spacing w:after="0"/>
              <w:rPr>
                <w:sz w:val="20"/>
                <w:szCs w:val="20"/>
                <w:color w:val="auto"/>
              </w:rPr>
            </w:pPr>
            <w:r>
              <w:rPr>
                <w:rFonts w:ascii="Arial" w:cs="Arial" w:eastAsia="Arial" w:hAnsi="Arial"/>
                <w:sz w:val="18"/>
                <w:szCs w:val="18"/>
                <w:color w:val="auto"/>
              </w:rPr>
              <w:t>(2.1)</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(3.2)</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(2.2)</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ind w:left="1000"/>
              <w:spacing w:after="0"/>
              <w:rPr>
                <w:sz w:val="20"/>
                <w:szCs w:val="20"/>
                <w:color w:val="auto"/>
              </w:rPr>
            </w:pPr>
            <w:r>
              <w:rPr>
                <w:rFonts w:ascii="Arial" w:cs="Arial" w:eastAsia="Arial" w:hAnsi="Arial"/>
                <w:sz w:val="18"/>
                <w:szCs w:val="18"/>
                <w:color w:val="auto"/>
              </w:rPr>
              <w:t>(3.2)</w:t>
            </w:r>
          </w:p>
        </w:tc>
      </w:tr>
      <w:tr>
        <w:trPr>
          <w:trHeight w:val="230"/>
        </w:trPr>
        <w:tc>
          <w:tcPr>
            <w:tcW w:w="4820" w:type="dxa"/>
            <w:vAlign w:val="bottom"/>
          </w:tcPr>
          <w:p>
            <w:pPr>
              <w:ind w:left="20"/>
              <w:spacing w:after="0"/>
              <w:rPr>
                <w:sz w:val="20"/>
                <w:szCs w:val="20"/>
                <w:color w:val="auto"/>
              </w:rPr>
            </w:pPr>
            <w:r>
              <w:rPr>
                <w:rFonts w:ascii="Arial" w:cs="Arial" w:eastAsia="Arial" w:hAnsi="Arial"/>
                <w:sz w:val="18"/>
                <w:szCs w:val="18"/>
                <w:color w:val="auto"/>
              </w:rPr>
              <w:t>Other income (loss), net</w:t>
            </w:r>
          </w:p>
        </w:tc>
        <w:tc>
          <w:tcPr>
            <w:tcW w:w="16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520" w:type="dxa"/>
            <w:vAlign w:val="bottom"/>
          </w:tcPr>
          <w:p>
            <w:pPr>
              <w:jc w:val="right"/>
              <w:ind w:right="132"/>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9"/>
                <w:szCs w:val="19"/>
                <w:color w:val="auto"/>
              </w:rPr>
            </w:pPr>
          </w:p>
        </w:tc>
        <w:tc>
          <w:tcPr>
            <w:tcW w:w="1520" w:type="dxa"/>
            <w:vAlign w:val="bottom"/>
          </w:tcPr>
          <w:p>
            <w:pPr>
              <w:ind w:left="1000"/>
              <w:spacing w:after="0"/>
              <w:rPr>
                <w:sz w:val="20"/>
                <w:szCs w:val="20"/>
                <w:color w:val="auto"/>
              </w:rPr>
            </w:pPr>
            <w:r>
              <w:rPr>
                <w:rFonts w:ascii="Arial" w:cs="Arial" w:eastAsia="Arial" w:hAnsi="Arial"/>
                <w:sz w:val="18"/>
                <w:szCs w:val="18"/>
                <w:color w:val="auto"/>
              </w:rPr>
              <w:t>(0.1)</w:t>
            </w:r>
          </w:p>
        </w:tc>
      </w:tr>
      <w:tr>
        <w:trPr>
          <w:trHeight w:val="223"/>
        </w:trPr>
        <w:tc>
          <w:tcPr>
            <w:tcW w:w="48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Loss before income taxes</w:t>
            </w:r>
          </w:p>
        </w:tc>
        <w:tc>
          <w:tcPr>
            <w:tcW w:w="1500" w:type="dxa"/>
            <w:vAlign w:val="bottom"/>
            <w:tcBorders>
              <w:top w:val="single" w:sz="8" w:color="auto"/>
            </w:tcBorders>
            <w:shd w:val="clear" w:color="auto" w:fill="CCEEFF"/>
          </w:tcPr>
          <w:p>
            <w:pPr>
              <w:ind w:left="980"/>
              <w:spacing w:after="0"/>
              <w:rPr>
                <w:sz w:val="20"/>
                <w:szCs w:val="20"/>
                <w:color w:val="auto"/>
              </w:rPr>
            </w:pPr>
            <w:r>
              <w:rPr>
                <w:rFonts w:ascii="Arial" w:cs="Arial" w:eastAsia="Arial" w:hAnsi="Arial"/>
                <w:sz w:val="18"/>
                <w:szCs w:val="18"/>
                <w:color w:val="auto"/>
              </w:rPr>
              <w:t>(3.3)</w:t>
            </w:r>
          </w:p>
        </w:tc>
        <w:tc>
          <w:tcPr>
            <w:tcW w:w="120" w:type="dxa"/>
            <w:vAlign w:val="bottom"/>
            <w:tcBorders>
              <w:top w:val="single" w:sz="8" w:color="CCEEFF"/>
            </w:tcBorders>
            <w:shd w:val="clear" w:color="auto" w:fill="CCEEFF"/>
          </w:tcPr>
          <w:p>
            <w:pPr>
              <w:spacing w:after="0"/>
              <w:rPr>
                <w:sz w:val="19"/>
                <w:szCs w:val="19"/>
                <w:color w:val="auto"/>
              </w:rPr>
            </w:pPr>
          </w:p>
        </w:tc>
        <w:tc>
          <w:tcPr>
            <w:tcW w:w="1520" w:type="dxa"/>
            <w:vAlign w:val="bottom"/>
            <w:tcBorders>
              <w:top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rPr>
              <w:t>(12.2)</w:t>
            </w:r>
          </w:p>
        </w:tc>
        <w:tc>
          <w:tcPr>
            <w:tcW w:w="100" w:type="dxa"/>
            <w:vAlign w:val="bottom"/>
            <w:tcBorders>
              <w:top w:val="single" w:sz="8" w:color="CCEEFF"/>
            </w:tcBorders>
            <w:shd w:val="clear" w:color="auto" w:fill="CCEEFF"/>
          </w:tcPr>
          <w:p>
            <w:pPr>
              <w:spacing w:after="0"/>
              <w:rPr>
                <w:sz w:val="19"/>
                <w:szCs w:val="19"/>
                <w:color w:val="auto"/>
              </w:rPr>
            </w:pPr>
          </w:p>
        </w:tc>
        <w:tc>
          <w:tcPr>
            <w:tcW w:w="1500" w:type="dxa"/>
            <w:vAlign w:val="bottom"/>
            <w:tcBorders>
              <w:top w:val="single" w:sz="8" w:color="auto"/>
            </w:tcBorders>
            <w:shd w:val="clear" w:color="auto" w:fill="CCEEFF"/>
          </w:tcPr>
          <w:p>
            <w:pPr>
              <w:jc w:val="right"/>
              <w:ind w:right="73"/>
              <w:spacing w:after="0"/>
              <w:rPr>
                <w:sz w:val="20"/>
                <w:szCs w:val="20"/>
                <w:color w:val="auto"/>
              </w:rPr>
            </w:pPr>
            <w:r>
              <w:rPr>
                <w:rFonts w:ascii="Arial" w:cs="Arial" w:eastAsia="Arial" w:hAnsi="Arial"/>
                <w:sz w:val="18"/>
                <w:szCs w:val="18"/>
                <w:color w:val="auto"/>
              </w:rPr>
              <w:t>(13.6)</w:t>
            </w:r>
          </w:p>
        </w:tc>
        <w:tc>
          <w:tcPr>
            <w:tcW w:w="100" w:type="dxa"/>
            <w:vAlign w:val="bottom"/>
            <w:tcBorders>
              <w:top w:val="single" w:sz="8" w:color="CCEEFF"/>
            </w:tcBorders>
            <w:shd w:val="clear" w:color="auto" w:fill="CCEEFF"/>
          </w:tcPr>
          <w:p>
            <w:pPr>
              <w:spacing w:after="0"/>
              <w:rPr>
                <w:sz w:val="19"/>
                <w:szCs w:val="19"/>
                <w:color w:val="auto"/>
              </w:rPr>
            </w:pPr>
          </w:p>
        </w:tc>
        <w:tc>
          <w:tcPr>
            <w:tcW w:w="1520" w:type="dxa"/>
            <w:vAlign w:val="bottom"/>
            <w:tcBorders>
              <w:top w:val="single" w:sz="8" w:color="auto"/>
            </w:tcBorders>
            <w:shd w:val="clear" w:color="auto" w:fill="CCEEFF"/>
          </w:tcPr>
          <w:p>
            <w:pPr>
              <w:ind w:left="1000"/>
              <w:spacing w:after="0"/>
              <w:rPr>
                <w:sz w:val="20"/>
                <w:szCs w:val="20"/>
                <w:color w:val="auto"/>
              </w:rPr>
            </w:pPr>
            <w:r>
              <w:rPr>
                <w:rFonts w:ascii="Arial" w:cs="Arial" w:eastAsia="Arial" w:hAnsi="Arial"/>
                <w:sz w:val="18"/>
                <w:szCs w:val="18"/>
                <w:color w:val="auto"/>
              </w:rPr>
              <w:t>(9.6)</w:t>
            </w:r>
          </w:p>
        </w:tc>
      </w:tr>
      <w:tr>
        <w:trPr>
          <w:trHeight w:val="230"/>
        </w:trPr>
        <w:tc>
          <w:tcPr>
            <w:tcW w:w="48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for income taxes</w:t>
            </w:r>
          </w:p>
        </w:tc>
        <w:tc>
          <w:tcPr>
            <w:tcW w:w="1500" w:type="dxa"/>
            <w:vAlign w:val="bottom"/>
            <w:tcBorders>
              <w:bottom w:val="single" w:sz="8" w:color="auto"/>
            </w:tcBorders>
          </w:tcPr>
          <w:p>
            <w:pPr>
              <w:ind w:left="980"/>
              <w:spacing w:after="0"/>
              <w:rPr>
                <w:sz w:val="20"/>
                <w:szCs w:val="20"/>
                <w:color w:val="auto"/>
              </w:rPr>
            </w:pPr>
            <w:r>
              <w:rPr>
                <w:rFonts w:ascii="Arial" w:cs="Arial" w:eastAsia="Arial" w:hAnsi="Arial"/>
                <w:sz w:val="18"/>
                <w:szCs w:val="18"/>
                <w:color w:val="auto"/>
              </w:rPr>
              <w:t>(0.2)</w:t>
            </w: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0.2</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73"/>
              <w:spacing w:after="0"/>
              <w:rPr>
                <w:sz w:val="20"/>
                <w:szCs w:val="20"/>
                <w:color w:val="auto"/>
              </w:rPr>
            </w:pPr>
            <w:r>
              <w:rPr>
                <w:rFonts w:ascii="Arial" w:cs="Arial" w:eastAsia="Arial" w:hAnsi="Arial"/>
                <w:sz w:val="18"/>
                <w:szCs w:val="18"/>
                <w:color w:val="auto"/>
              </w:rPr>
              <w:t>(0.3)</w:t>
            </w:r>
          </w:p>
        </w:tc>
        <w:tc>
          <w:tcPr>
            <w:tcW w:w="10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ind w:left="1000"/>
              <w:spacing w:after="0"/>
              <w:rPr>
                <w:sz w:val="20"/>
                <w:szCs w:val="20"/>
                <w:color w:val="auto"/>
              </w:rPr>
            </w:pPr>
            <w:r>
              <w:rPr>
                <w:rFonts w:ascii="Arial" w:cs="Arial" w:eastAsia="Arial" w:hAnsi="Arial"/>
                <w:sz w:val="18"/>
                <w:szCs w:val="18"/>
                <w:color w:val="auto"/>
              </w:rPr>
              <w:t>(0.1)</w:t>
            </w:r>
          </w:p>
        </w:tc>
      </w:tr>
      <w:tr>
        <w:trPr>
          <w:trHeight w:val="248"/>
        </w:trPr>
        <w:tc>
          <w:tcPr>
            <w:tcW w:w="48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500" w:type="dxa"/>
            <w:vAlign w:val="bottom"/>
            <w:tcBorders>
              <w:bottom w:val="single" w:sz="8" w:color="auto"/>
            </w:tcBorders>
            <w:shd w:val="clear" w:color="auto" w:fill="CCEEFF"/>
          </w:tcPr>
          <w:p>
            <w:pPr>
              <w:ind w:left="980"/>
              <w:spacing w:after="0"/>
              <w:rPr>
                <w:sz w:val="20"/>
                <w:szCs w:val="20"/>
                <w:color w:val="auto"/>
              </w:rPr>
            </w:pPr>
            <w:r>
              <w:rPr>
                <w:rFonts w:ascii="Arial" w:cs="Arial" w:eastAsia="Arial" w:hAnsi="Arial"/>
                <w:sz w:val="18"/>
                <w:szCs w:val="18"/>
                <w:color w:val="auto"/>
                <w:w w:val="94"/>
              </w:rPr>
              <w:t>(3.1)%</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0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auto"/>
            </w:tcBorders>
            <w:shd w:val="clear" w:color="auto" w:fill="CCEEFF"/>
          </w:tcPr>
          <w:p>
            <w:pPr>
              <w:ind w:left="1000"/>
              <w:spacing w:after="0"/>
              <w:rPr>
                <w:sz w:val="20"/>
                <w:szCs w:val="20"/>
                <w:color w:val="auto"/>
              </w:rPr>
            </w:pPr>
            <w:r>
              <w:rPr>
                <w:rFonts w:ascii="Arial" w:cs="Arial" w:eastAsia="Arial" w:hAnsi="Arial"/>
                <w:sz w:val="18"/>
                <w:szCs w:val="18"/>
                <w:color w:val="auto"/>
                <w:w w:val="94"/>
              </w:rPr>
              <w:t>(9.5)%</w:t>
            </w:r>
          </w:p>
        </w:tc>
      </w:tr>
      <w:tr>
        <w:trPr>
          <w:trHeight w:val="20"/>
        </w:trPr>
        <w:tc>
          <w:tcPr>
            <w:tcW w:w="482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2020 and November 2, 2019</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Nine Months Ended</w:t>
            </w:r>
          </w:p>
        </w:tc>
        <w:tc>
          <w:tcPr>
            <w:tcW w:w="1380" w:type="dxa"/>
            <w:vAlign w:val="bottom"/>
            <w:tcBorders>
              <w:bottom w:val="single" w:sz="8" w:color="auto"/>
            </w:tcBorders>
          </w:tcPr>
          <w:p>
            <w:pPr>
              <w:spacing w:after="0"/>
              <w:rPr>
                <w:sz w:val="16"/>
                <w:szCs w:val="16"/>
                <w:color w:val="auto"/>
              </w:rPr>
            </w:pPr>
          </w:p>
        </w:tc>
      </w:tr>
      <w:tr>
        <w:trPr>
          <w:trHeight w:val="135"/>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128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2"/>
              </w:rPr>
              <w:t>November 2,</w:t>
            </w:r>
          </w:p>
        </w:tc>
        <w:tc>
          <w:tcPr>
            <w:tcW w:w="1380" w:type="dxa"/>
            <w:vAlign w:val="bottom"/>
          </w:tcPr>
          <w:p>
            <w:pPr>
              <w:jc w:val="right"/>
              <w:ind w:right="544"/>
              <w:spacing w:after="0" w:line="135"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128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2"/>
              </w:rPr>
              <w:t>November 2,</w:t>
            </w:r>
          </w:p>
        </w:tc>
        <w:tc>
          <w:tcPr>
            <w:tcW w:w="138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5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8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8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40" w:type="dxa"/>
            <w:vAlign w:val="bottom"/>
            <w:gridSpan w:val="5"/>
          </w:tcPr>
          <w:p>
            <w:pPr>
              <w:ind w:left="400"/>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tcPr>
          <w:p>
            <w:pPr>
              <w:spacing w:after="0"/>
              <w:rPr>
                <w:sz w:val="18"/>
                <w:szCs w:val="18"/>
                <w:color w:val="auto"/>
              </w:rPr>
            </w:pPr>
          </w:p>
        </w:tc>
      </w:tr>
      <w:tr>
        <w:trPr>
          <w:trHeight w:val="236"/>
        </w:trPr>
        <w:tc>
          <w:tcPr>
            <w:tcW w:w="2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662,470</w:t>
            </w:r>
          </w:p>
        </w:tc>
        <w:tc>
          <w:tcPr>
            <w:tcW w:w="100" w:type="dxa"/>
            <w:vAlign w:val="bottom"/>
            <w:shd w:val="clear" w:color="auto" w:fill="CCEEFF"/>
          </w:tcPr>
          <w:p>
            <w:pPr>
              <w:spacing w:after="0"/>
              <w:rPr>
                <w:sz w:val="20"/>
                <w:szCs w:val="20"/>
                <w:color w:val="auto"/>
              </w:rPr>
            </w:pPr>
          </w:p>
        </w:tc>
        <w:tc>
          <w:tcPr>
            <w:tcW w:w="1380" w:type="dxa"/>
            <w:vAlign w:val="bottom"/>
            <w:shd w:val="clear" w:color="auto" w:fill="CCEEFF"/>
          </w:tcPr>
          <w:p>
            <w:pPr>
              <w:jc w:val="right"/>
              <w:ind w:right="384"/>
              <w:spacing w:after="0"/>
              <w:rPr>
                <w:sz w:val="20"/>
                <w:szCs w:val="20"/>
                <w:color w:val="auto"/>
              </w:rPr>
            </w:pPr>
            <w:r>
              <w:rPr>
                <w:rFonts w:ascii="Arial" w:cs="Arial" w:eastAsia="Arial" w:hAnsi="Arial"/>
                <w:sz w:val="18"/>
                <w:szCs w:val="18"/>
                <w:color w:val="auto"/>
              </w:rPr>
              <w:t>13.2%</w:t>
            </w:r>
          </w:p>
        </w:tc>
        <w:tc>
          <w:tcPr>
            <w:tcW w:w="8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1,981,490</w:t>
            </w:r>
          </w:p>
        </w:tc>
        <w:tc>
          <w:tcPr>
            <w:tcW w:w="100" w:type="dxa"/>
            <w:vAlign w:val="bottom"/>
            <w:shd w:val="clear" w:color="auto" w:fill="CCEEFF"/>
          </w:tcPr>
          <w:p>
            <w:pPr>
              <w:spacing w:after="0"/>
              <w:rPr>
                <w:sz w:val="20"/>
                <w:szCs w:val="20"/>
                <w:color w:val="auto"/>
              </w:rPr>
            </w:pPr>
          </w:p>
        </w:tc>
        <w:tc>
          <w:tcPr>
            <w:tcW w:w="1380" w:type="dxa"/>
            <w:vAlign w:val="bottom"/>
            <w:shd w:val="clear" w:color="auto" w:fill="CCEEFF"/>
          </w:tcPr>
          <w:p>
            <w:pPr>
              <w:jc w:val="right"/>
              <w:ind w:right="422"/>
              <w:spacing w:after="0"/>
              <w:rPr>
                <w:sz w:val="20"/>
                <w:szCs w:val="20"/>
                <w:color w:val="auto"/>
              </w:rPr>
            </w:pPr>
            <w:r>
              <w:rPr>
                <w:rFonts w:ascii="Arial" w:cs="Arial" w:eastAsia="Arial" w:hAnsi="Arial"/>
                <w:sz w:val="18"/>
                <w:szCs w:val="18"/>
                <w:color w:val="auto"/>
              </w:rPr>
              <w:t>9.6%</w:t>
            </w:r>
          </w:p>
        </w:tc>
      </w:tr>
    </w:tbl>
    <w:p>
      <w:pPr>
        <w:spacing w:after="0" w:line="337"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net revenue for the three months ended October 31, 2020 increased by $87.7 million compared to net revenue for the three months ended November 2, 2019. This was primarily due to increased sales of our networking products by 35%, partially offset by decreased sales of our storage products by 4% and our other products by 35% compared to the three months ended November 2, 2019. The increased sales of our networking products were primarily due to acquisitions and an increase in demand for our ethernet, embedded processor and automotive networking products, partially offset by the divestiture of the Wi-Fi Connectivity business in fiscal 2020. The decrease in sales of our storage products were primarily due to a decrease in demand for our fibre channel adapters and HDD storage controllers partially offset by an increase in demand for our SSD storage controllers. The decrease in sales of our other products is because we have stopped investing in these products and we expect that sales for these products will continue to decline over time.</w:t>
      </w:r>
    </w:p>
    <w:p>
      <w:pPr>
        <w:spacing w:after="0" w:line="190"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Our net revenue for the nine months ended October 31, 2020 increased by $189.6 million compared to net revenue for the nine months ended November 2, 2019. This was primarily due to increased sales of our networking products by 24%, partially offset by the decreased sales of our storage products and our other products by 2% and 28%, respectively. The increased sales of our networking products were primarily due to acquisitions and the increase in demand for our ethernet, automotive and embedded processor networking products, partially offset by the divestiture of the Wi-Fi connectivity business in fiscal 2020.The decrease in sales of our other products is because we have stopped investing in these products and we expect that sales for these products will continue to decline over time. The decrease in sales of our storage products was primarily due to a decrease in demand for our HDD storage controllers and our fibre channel adapters partially offset by an increase in demand for our SSD storage controllers.</w:t>
      </w:r>
    </w:p>
    <w:p>
      <w:pPr>
        <w:spacing w:after="0" w:line="190" w:lineRule="exact"/>
        <w:rPr>
          <w:sz w:val="20"/>
          <w:szCs w:val="20"/>
          <w:color w:val="auto"/>
        </w:rPr>
      </w:pPr>
    </w:p>
    <w:p>
      <w:pPr>
        <w:jc w:val="both"/>
        <w:ind w:right="80" w:firstLine="405"/>
        <w:spacing w:after="0" w:line="262" w:lineRule="auto"/>
        <w:rPr>
          <w:sz w:val="20"/>
          <w:szCs w:val="20"/>
          <w:color w:val="auto"/>
        </w:rPr>
      </w:pPr>
      <w:r>
        <w:rPr>
          <w:rFonts w:ascii="Arial" w:cs="Arial" w:eastAsia="Arial" w:hAnsi="Arial"/>
          <w:sz w:val="17"/>
          <w:szCs w:val="17"/>
          <w:color w:val="auto"/>
        </w:rPr>
        <w:t>In the three months ended October 31, 2020, unit shipments were 40% lower and average selling prices increased 39% compared to the three months ended November 2, 2019. In the nine months ended October 31, 2020, unit shipments were 39% lower and average selling prices increased 36% compared to the nine months ended November 2, 2019. This was primarily driven by the acquisition of Avera ASIC business characterized by higher average selling prices and divestiture of the Wi-Fi Connectivity business, represented by higher unit shipments.</w:t>
      </w:r>
    </w:p>
    <w:p>
      <w:pPr>
        <w:spacing w:after="0" w:line="200" w:lineRule="exact"/>
        <w:rPr>
          <w:sz w:val="20"/>
          <w:szCs w:val="20"/>
          <w:color w:val="auto"/>
        </w:rPr>
      </w:pPr>
    </w:p>
    <w:p>
      <w:pPr>
        <w:spacing w:after="0" w:line="24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7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816"/>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134"/>
        </w:trPr>
        <w:tc>
          <w:tcPr>
            <w:tcW w:w="2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240" w:type="dxa"/>
            <w:vAlign w:val="bottom"/>
          </w:tcPr>
          <w:p>
            <w:pPr>
              <w:jc w:val="right"/>
              <w:ind w:right="256"/>
              <w:spacing w:after="0" w:line="135" w:lineRule="exact"/>
              <w:rPr>
                <w:sz w:val="20"/>
                <w:szCs w:val="20"/>
                <w:color w:val="auto"/>
              </w:rPr>
            </w:pPr>
            <w:r>
              <w:rPr>
                <w:rFonts w:ascii="Arial" w:cs="Arial" w:eastAsia="Arial" w:hAnsi="Arial"/>
                <w:sz w:val="14"/>
                <w:szCs w:val="14"/>
                <w:b w:val="1"/>
                <w:bCs w:val="1"/>
                <w:color w:val="auto"/>
              </w:rPr>
              <w:t>November 2,</w:t>
            </w:r>
          </w:p>
        </w:tc>
        <w:tc>
          <w:tcPr>
            <w:tcW w:w="13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240" w:type="dxa"/>
            <w:vAlign w:val="bottom"/>
          </w:tcPr>
          <w:p>
            <w:pPr>
              <w:jc w:val="right"/>
              <w:ind w:right="256"/>
              <w:spacing w:after="0" w:line="135" w:lineRule="exact"/>
              <w:rPr>
                <w:sz w:val="20"/>
                <w:szCs w:val="20"/>
                <w:color w:val="auto"/>
              </w:rPr>
            </w:pPr>
            <w:r>
              <w:rPr>
                <w:rFonts w:ascii="Arial" w:cs="Arial" w:eastAsia="Arial" w:hAnsi="Arial"/>
                <w:sz w:val="14"/>
                <w:szCs w:val="14"/>
                <w:b w:val="1"/>
                <w:bCs w:val="1"/>
                <w:color w:val="auto"/>
              </w:rPr>
              <w:t>November 2,</w:t>
            </w:r>
          </w:p>
        </w:tc>
        <w:tc>
          <w:tcPr>
            <w:tcW w:w="1380" w:type="dxa"/>
            <w:vAlign w:val="bottom"/>
            <w:gridSpan w:val="2"/>
          </w:tcPr>
          <w:p>
            <w:pPr>
              <w:jc w:val="center"/>
              <w:ind w:left="16"/>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3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4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36"/>
        </w:trPr>
        <w:tc>
          <w:tcPr>
            <w:tcW w:w="2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369,083</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322,403</w:t>
            </w:r>
          </w:p>
        </w:tc>
        <w:tc>
          <w:tcPr>
            <w:tcW w:w="1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0"/>
              </w:rPr>
              <w:t>14.5%</w:t>
            </w:r>
          </w:p>
        </w:tc>
        <w:tc>
          <w:tcPr>
            <w:tcW w:w="8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1,103,863</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929,293</w:t>
            </w:r>
          </w:p>
        </w:tc>
        <w:tc>
          <w:tcPr>
            <w:tcW w:w="1380" w:type="dxa"/>
            <w:vAlign w:val="bottom"/>
            <w:gridSpan w:val="2"/>
            <w:shd w:val="clear" w:color="auto" w:fill="CCEEFF"/>
          </w:tcPr>
          <w:p>
            <w:pPr>
              <w:jc w:val="center"/>
              <w:ind w:left="16"/>
              <w:spacing w:after="0"/>
              <w:rPr>
                <w:sz w:val="20"/>
                <w:szCs w:val="20"/>
                <w:color w:val="auto"/>
              </w:rPr>
            </w:pPr>
            <w:r>
              <w:rPr>
                <w:rFonts w:ascii="Arial" w:cs="Arial" w:eastAsia="Arial" w:hAnsi="Arial"/>
                <w:sz w:val="18"/>
                <w:szCs w:val="18"/>
                <w:color w:val="auto"/>
                <w:w w:val="93"/>
              </w:rPr>
              <w:t>18.8%</w:t>
            </w:r>
          </w:p>
        </w:tc>
      </w:tr>
      <w:tr>
        <w:trPr>
          <w:trHeight w:val="229"/>
        </w:trPr>
        <w:tc>
          <w:tcPr>
            <w:tcW w:w="23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49.2 %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48.7 %</w:t>
            </w:r>
          </w:p>
        </w:tc>
        <w:tc>
          <w:tcPr>
            <w:tcW w:w="100" w:type="dxa"/>
            <w:vAlign w:val="bottom"/>
            <w:tcBorders>
              <w:bottom w:val="single" w:sz="8" w:color="CCEEFF"/>
            </w:tcBorders>
          </w:tcPr>
          <w:p>
            <w:pPr>
              <w:spacing w:after="0"/>
              <w:rPr>
                <w:sz w:val="19"/>
                <w:szCs w:val="19"/>
                <w:color w:val="auto"/>
              </w:rPr>
            </w:pPr>
          </w:p>
        </w:tc>
        <w:tc>
          <w:tcPr>
            <w:tcW w:w="1280" w:type="dxa"/>
            <w:vAlign w:val="bottom"/>
            <w:tcBorders>
              <w:bottom w:val="single" w:sz="8" w:color="CCEEFF"/>
            </w:tcBorders>
          </w:tcPr>
          <w:p>
            <w:pPr>
              <w:spacing w:after="0"/>
              <w:rPr>
                <w:sz w:val="19"/>
                <w:szCs w:val="19"/>
                <w:color w:val="auto"/>
              </w:rPr>
            </w:pPr>
          </w:p>
        </w:tc>
        <w:tc>
          <w:tcPr>
            <w:tcW w:w="8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50.8 %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46.9 %</w:t>
            </w:r>
          </w:p>
        </w:tc>
        <w:tc>
          <w:tcPr>
            <w:tcW w:w="100" w:type="dxa"/>
            <w:vAlign w:val="bottom"/>
            <w:tcBorders>
              <w:bottom w:val="single" w:sz="8" w:color="CCEEFF"/>
            </w:tcBorders>
          </w:tcPr>
          <w:p>
            <w:pPr>
              <w:spacing w:after="0"/>
              <w:rPr>
                <w:sz w:val="19"/>
                <w:szCs w:val="19"/>
                <w:color w:val="auto"/>
              </w:rPr>
            </w:pPr>
          </w:p>
        </w:tc>
        <w:tc>
          <w:tcPr>
            <w:tcW w:w="1280" w:type="dxa"/>
            <w:vAlign w:val="bottom"/>
            <w:tcBorders>
              <w:bottom w:val="single" w:sz="8" w:color="CCEEFF"/>
            </w:tcBorders>
          </w:tcPr>
          <w:p>
            <w:pPr>
              <w:spacing w:after="0"/>
              <w:rPr>
                <w:sz w:val="19"/>
                <w:szCs w:val="19"/>
                <w:color w:val="auto"/>
              </w:rPr>
            </w:pPr>
          </w:p>
        </w:tc>
      </w:tr>
      <w:tr>
        <w:trPr>
          <w:trHeight w:val="223"/>
        </w:trPr>
        <w:tc>
          <w:tcPr>
            <w:tcW w:w="2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ind w:right="138"/>
              <w:spacing w:after="0"/>
              <w:rPr>
                <w:sz w:val="20"/>
                <w:szCs w:val="20"/>
                <w:color w:val="auto"/>
              </w:rPr>
            </w:pPr>
            <w:r>
              <w:rPr>
                <w:rFonts w:ascii="Arial" w:cs="Arial" w:eastAsia="Arial" w:hAnsi="Arial"/>
                <w:sz w:val="18"/>
                <w:szCs w:val="18"/>
                <w:color w:val="auto"/>
              </w:rPr>
              <w:t>381,060</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36"/>
              <w:spacing w:after="0"/>
              <w:rPr>
                <w:sz w:val="20"/>
                <w:szCs w:val="20"/>
                <w:color w:val="auto"/>
              </w:rPr>
            </w:pPr>
            <w:r>
              <w:rPr>
                <w:rFonts w:ascii="Arial" w:cs="Arial" w:eastAsia="Arial" w:hAnsi="Arial"/>
                <w:sz w:val="18"/>
                <w:szCs w:val="18"/>
                <w:color w:val="auto"/>
              </w:rPr>
              <w:t>340,067</w:t>
            </w:r>
          </w:p>
        </w:tc>
        <w:tc>
          <w:tcPr>
            <w:tcW w:w="1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0"/>
              </w:rPr>
              <w:t>12.1%</w:t>
            </w:r>
          </w:p>
        </w:tc>
        <w:tc>
          <w:tcPr>
            <w:tcW w:w="8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38"/>
              <w:spacing w:after="0"/>
              <w:rPr>
                <w:sz w:val="20"/>
                <w:szCs w:val="20"/>
                <w:color w:val="auto"/>
              </w:rPr>
            </w:pPr>
            <w:r>
              <w:rPr>
                <w:rFonts w:ascii="Arial" w:cs="Arial" w:eastAsia="Arial" w:hAnsi="Arial"/>
                <w:sz w:val="18"/>
                <w:szCs w:val="18"/>
                <w:color w:val="auto"/>
              </w:rPr>
              <w:t>1,067,218</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shd w:val="clear" w:color="auto" w:fill="CCEEFF"/>
          </w:tcPr>
          <w:p>
            <w:pPr>
              <w:jc w:val="right"/>
              <w:ind w:right="136"/>
              <w:spacing w:after="0"/>
              <w:rPr>
                <w:sz w:val="20"/>
                <w:szCs w:val="20"/>
                <w:color w:val="auto"/>
              </w:rPr>
            </w:pPr>
            <w:r>
              <w:rPr>
                <w:rFonts w:ascii="Arial" w:cs="Arial" w:eastAsia="Arial" w:hAnsi="Arial"/>
                <w:sz w:val="18"/>
                <w:szCs w:val="18"/>
                <w:color w:val="auto"/>
              </w:rPr>
              <w:t>1,052,197</w:t>
            </w:r>
          </w:p>
        </w:tc>
        <w:tc>
          <w:tcPr>
            <w:tcW w:w="1380" w:type="dxa"/>
            <w:vAlign w:val="bottom"/>
            <w:gridSpan w:val="2"/>
            <w:shd w:val="clear" w:color="auto" w:fill="CCEEFF"/>
          </w:tcPr>
          <w:p>
            <w:pPr>
              <w:jc w:val="center"/>
              <w:ind w:left="16"/>
              <w:spacing w:after="0"/>
              <w:rPr>
                <w:sz w:val="20"/>
                <w:szCs w:val="20"/>
                <w:color w:val="auto"/>
              </w:rPr>
            </w:pPr>
            <w:r>
              <w:rPr>
                <w:rFonts w:ascii="Arial" w:cs="Arial" w:eastAsia="Arial" w:hAnsi="Arial"/>
                <w:sz w:val="18"/>
                <w:szCs w:val="18"/>
                <w:color w:val="auto"/>
                <w:w w:val="87"/>
              </w:rPr>
              <w:t>1.4%</w:t>
            </w:r>
          </w:p>
        </w:tc>
      </w:tr>
      <w:tr>
        <w:trPr>
          <w:trHeight w:val="224"/>
        </w:trPr>
        <w:tc>
          <w:tcPr>
            <w:tcW w:w="23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50.8 %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51.3 %</w:t>
            </w:r>
          </w:p>
        </w:tc>
        <w:tc>
          <w:tcPr>
            <w:tcW w:w="10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49.2 %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53.1 %</w:t>
            </w:r>
          </w:p>
        </w:tc>
        <w:tc>
          <w:tcPr>
            <w:tcW w:w="100" w:type="dxa"/>
            <w:vAlign w:val="bottom"/>
          </w:tcPr>
          <w:p>
            <w:pPr>
              <w:spacing w:after="0"/>
              <w:rPr>
                <w:sz w:val="19"/>
                <w:szCs w:val="19"/>
                <w:color w:val="auto"/>
              </w:rPr>
            </w:pPr>
          </w:p>
        </w:tc>
        <w:tc>
          <w:tcPr>
            <w:tcW w:w="1280" w:type="dxa"/>
            <w:vAlign w:val="bottom"/>
          </w:tcPr>
          <w:p>
            <w:pPr>
              <w:spacing w:after="0"/>
              <w:rPr>
                <w:sz w:val="19"/>
                <w:szCs w:val="19"/>
                <w:color w:val="auto"/>
              </w:rPr>
            </w:pPr>
          </w:p>
        </w:tc>
      </w:tr>
    </w:tbl>
    <w:p>
      <w:pPr>
        <w:spacing w:after="0" w:line="336"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Cost of goods sold as a percentage of net revenue increased for the three months ended October 31, 2020 compared to the three months ended November 2, 2019. Cost of goods sold as a percentage of net revenue was higher for the nine months ended October 31, 2020 compared to the nine months ended November 2, 2019, which primarily resulted from increased costs from amortization of acquired intangible assets, the amortization of inventory fair value adjustment associated with the Aquantia and Avera acquisitions as well as the inventory impairment associated with the change in strategy of our server processor product line. As a result, gross margin for the nine months ended October 31, 2020 decreased 3.9 percentage points compared to the nine months ended November 2, 2019.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2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Nine Months Ended</w:t>
            </w:r>
          </w:p>
        </w:tc>
        <w:tc>
          <w:tcPr>
            <w:tcW w:w="1280" w:type="dxa"/>
            <w:vAlign w:val="bottom"/>
            <w:tcBorders>
              <w:bottom w:val="single" w:sz="8" w:color="auto"/>
            </w:tcBorders>
          </w:tcPr>
          <w:p>
            <w:pPr>
              <w:spacing w:after="0"/>
              <w:rPr>
                <w:sz w:val="16"/>
                <w:szCs w:val="16"/>
                <w:color w:val="auto"/>
              </w:rPr>
            </w:pPr>
          </w:p>
        </w:tc>
      </w:tr>
      <w:tr>
        <w:trPr>
          <w:trHeight w:val="135"/>
        </w:trPr>
        <w:tc>
          <w:tcPr>
            <w:tcW w:w="24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280" w:type="dxa"/>
            <w:vAlign w:val="bottom"/>
          </w:tcPr>
          <w:p>
            <w:pPr>
              <w:jc w:val="right"/>
              <w:ind w:right="48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November 2,</w:t>
            </w:r>
          </w:p>
        </w:tc>
        <w:tc>
          <w:tcPr>
            <w:tcW w:w="1280" w:type="dxa"/>
            <w:vAlign w:val="bottom"/>
          </w:tcPr>
          <w:p>
            <w:pPr>
              <w:jc w:val="right"/>
              <w:ind w:right="48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4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20" w:type="dxa"/>
            <w:vAlign w:val="bottom"/>
            <w:gridSpan w:val="5"/>
          </w:tcPr>
          <w:p>
            <w:pPr>
              <w:ind w:left="30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35"/>
        </w:trPr>
        <w:tc>
          <w:tcPr>
            <w:tcW w:w="2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255,637</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267,781</w:t>
            </w:r>
          </w:p>
        </w:tc>
        <w:tc>
          <w:tcPr>
            <w:tcW w:w="100" w:type="dxa"/>
            <w:vAlign w:val="bottom"/>
            <w:shd w:val="clear" w:color="auto" w:fill="CCEEFF"/>
          </w:tcPr>
          <w:p>
            <w:pPr>
              <w:spacing w:after="0"/>
              <w:rPr>
                <w:sz w:val="20"/>
                <w:szCs w:val="20"/>
                <w:color w:val="auto"/>
              </w:rPr>
            </w:pPr>
          </w:p>
        </w:tc>
        <w:tc>
          <w:tcPr>
            <w:tcW w:w="128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(4.5)%</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812,360</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801,002</w:t>
            </w:r>
          </w:p>
        </w:tc>
        <w:tc>
          <w:tcPr>
            <w:tcW w:w="100" w:type="dxa"/>
            <w:vAlign w:val="bottom"/>
            <w:shd w:val="clear" w:color="auto" w:fill="CCEEFF"/>
          </w:tcPr>
          <w:p>
            <w:pPr>
              <w:spacing w:after="0"/>
              <w:rPr>
                <w:sz w:val="20"/>
                <w:szCs w:val="20"/>
                <w:color w:val="auto"/>
              </w:rPr>
            </w:pPr>
          </w:p>
        </w:tc>
        <w:tc>
          <w:tcPr>
            <w:tcW w:w="1280" w:type="dxa"/>
            <w:vAlign w:val="bottom"/>
            <w:shd w:val="clear" w:color="auto" w:fill="CCEEFF"/>
          </w:tcPr>
          <w:p>
            <w:pPr>
              <w:jc w:val="right"/>
              <w:ind w:right="382"/>
              <w:spacing w:after="0"/>
              <w:rPr>
                <w:sz w:val="20"/>
                <w:szCs w:val="20"/>
                <w:color w:val="auto"/>
              </w:rPr>
            </w:pPr>
            <w:r>
              <w:rPr>
                <w:rFonts w:ascii="Arial" w:cs="Arial" w:eastAsia="Arial" w:hAnsi="Arial"/>
                <w:sz w:val="18"/>
                <w:szCs w:val="18"/>
                <w:color w:val="auto"/>
              </w:rPr>
              <w:t>1.4%</w:t>
            </w:r>
          </w:p>
        </w:tc>
      </w:tr>
      <w:tr>
        <w:trPr>
          <w:trHeight w:val="230"/>
        </w:trPr>
        <w:tc>
          <w:tcPr>
            <w:tcW w:w="2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34.1 %</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40.4 %</w:t>
            </w:r>
          </w:p>
        </w:tc>
        <w:tc>
          <w:tcPr>
            <w:tcW w:w="10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37.4 %</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40.4 %</w:t>
            </w:r>
          </w:p>
        </w:tc>
        <w:tc>
          <w:tcPr>
            <w:tcW w:w="100" w:type="dxa"/>
            <w:vAlign w:val="bottom"/>
          </w:tcPr>
          <w:p>
            <w:pPr>
              <w:spacing w:after="0"/>
              <w:rPr>
                <w:sz w:val="20"/>
                <w:szCs w:val="20"/>
                <w:color w:val="auto"/>
              </w:rPr>
            </w:pPr>
          </w:p>
        </w:tc>
        <w:tc>
          <w:tcPr>
            <w:tcW w:w="1280" w:type="dxa"/>
            <w:vAlign w:val="bottom"/>
          </w:tcPr>
          <w:p>
            <w:pPr>
              <w:spacing w:after="0"/>
              <w:rPr>
                <w:sz w:val="20"/>
                <w:szCs w:val="20"/>
                <w:color w:val="auto"/>
              </w:rPr>
            </w:pPr>
          </w:p>
        </w:tc>
      </w:tr>
    </w:tbl>
    <w:p>
      <w:pPr>
        <w:spacing w:after="0" w:line="336" w:lineRule="exact"/>
        <w:rPr>
          <w:sz w:val="20"/>
          <w:szCs w:val="20"/>
          <w:color w:val="auto"/>
        </w:rPr>
      </w:pPr>
    </w:p>
    <w:p>
      <w:pPr>
        <w:ind w:right="360" w:firstLine="405"/>
        <w:spacing w:after="0" w:line="243" w:lineRule="auto"/>
        <w:rPr>
          <w:sz w:val="20"/>
          <w:szCs w:val="20"/>
          <w:color w:val="auto"/>
        </w:rPr>
      </w:pPr>
      <w:r>
        <w:rPr>
          <w:rFonts w:ascii="Arial" w:cs="Arial" w:eastAsia="Arial" w:hAnsi="Arial"/>
          <w:sz w:val="18"/>
          <w:szCs w:val="18"/>
          <w:color w:val="auto"/>
        </w:rPr>
        <w:t>Research and development expense decreased by $12.1 million in the three months ended October 31, 2020 compared to the three months ended November 2, 2019. The decrease was primarily due to increased non-recurring engineering credits of $26.3 million recognized in the current period, partially offset by higher employee personnel-related costs of $5.2 million, higher engineering design costs of $4.5 million and higher depreciation and amortization expense of $3.4 million.</w:t>
      </w:r>
    </w:p>
    <w:p>
      <w:pPr>
        <w:spacing w:after="0" w:line="215" w:lineRule="exact"/>
        <w:rPr>
          <w:sz w:val="20"/>
          <w:szCs w:val="20"/>
          <w:color w:val="auto"/>
        </w:rPr>
      </w:pPr>
    </w:p>
    <w:p>
      <w:pPr>
        <w:ind w:right="380" w:firstLine="445"/>
        <w:spacing w:after="0" w:line="279" w:lineRule="auto"/>
        <w:rPr>
          <w:sz w:val="20"/>
          <w:szCs w:val="20"/>
          <w:color w:val="auto"/>
        </w:rPr>
      </w:pPr>
      <w:r>
        <w:rPr>
          <w:rFonts w:ascii="Arial" w:cs="Arial" w:eastAsia="Arial" w:hAnsi="Arial"/>
          <w:sz w:val="17"/>
          <w:szCs w:val="17"/>
          <w:color w:val="auto"/>
        </w:rPr>
        <w:t>Research and development expense increased by $11.4 million in the nine months ended October 31, 2020 compared to the nine months ended November 2, 2019. The increase was primarily due to additional costs from our acquisition of Aquantia and Avera, including $32.1 million of higher employee personnel-related costs, $12.7 million of higher depreciation and amortization expense and $10.9 million of higher engineering design costs, partially offset by increased non-recurring engineering credits of $45.4 million recognized in the current period.</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Nine Months Ended</w:t>
            </w:r>
          </w:p>
        </w:tc>
        <w:tc>
          <w:tcPr>
            <w:tcW w:w="13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24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4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8"/>
        </w:trPr>
        <w:tc>
          <w:tcPr>
            <w:tcW w:w="24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60" w:type="dxa"/>
            <w:vAlign w:val="bottom"/>
            <w:gridSpan w:val="5"/>
          </w:tcPr>
          <w:p>
            <w:pPr>
              <w:ind w:left="40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420" w:type="dxa"/>
            <w:vAlign w:val="bottom"/>
            <w:shd w:val="clear" w:color="auto" w:fill="CCEEFF"/>
          </w:tcPr>
          <w:p>
            <w:pPr>
              <w:ind w:left="20"/>
              <w:spacing w:after="0" w:line="182" w:lineRule="exact"/>
              <w:rPr>
                <w:sz w:val="20"/>
                <w:szCs w:val="20"/>
                <w:color w:val="auto"/>
              </w:rPr>
            </w:pPr>
            <w:r>
              <w:rPr>
                <w:rFonts w:ascii="Arial" w:cs="Arial" w:eastAsia="Arial" w:hAnsi="Arial"/>
                <w:sz w:val="18"/>
                <w:szCs w:val="18"/>
                <w:color w:val="auto"/>
              </w:rPr>
              <w:t>Selling, general and</w:t>
            </w:r>
          </w:p>
        </w:tc>
        <w:tc>
          <w:tcPr>
            <w:tcW w:w="2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115,501</w:t>
            </w:r>
          </w:p>
        </w:tc>
        <w:tc>
          <w:tcPr>
            <w:tcW w:w="12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118,993</w:t>
            </w:r>
          </w:p>
        </w:tc>
        <w:tc>
          <w:tcPr>
            <w:tcW w:w="100" w:type="dxa"/>
            <w:vAlign w:val="bottom"/>
            <w:shd w:val="clear" w:color="auto" w:fill="CCEEFF"/>
          </w:tcPr>
          <w:p>
            <w:pPr>
              <w:spacing w:after="0"/>
              <w:rPr>
                <w:sz w:val="15"/>
                <w:szCs w:val="15"/>
                <w:color w:val="auto"/>
              </w:rPr>
            </w:pPr>
          </w:p>
        </w:tc>
        <w:tc>
          <w:tcPr>
            <w:tcW w:w="1300" w:type="dxa"/>
            <w:vAlign w:val="bottom"/>
            <w:vMerge w:val="restart"/>
            <w:shd w:val="clear" w:color="auto" w:fill="CCEEFF"/>
          </w:tcPr>
          <w:p>
            <w:pPr>
              <w:jc w:val="right"/>
              <w:ind w:right="324"/>
              <w:spacing w:after="0"/>
              <w:rPr>
                <w:sz w:val="20"/>
                <w:szCs w:val="20"/>
                <w:color w:val="auto"/>
              </w:rPr>
            </w:pPr>
            <w:r>
              <w:rPr>
                <w:rFonts w:ascii="Arial" w:cs="Arial" w:eastAsia="Arial" w:hAnsi="Arial"/>
                <w:sz w:val="18"/>
                <w:szCs w:val="18"/>
                <w:color w:val="auto"/>
              </w:rPr>
              <w:t>(2.9)%</w:t>
            </w:r>
          </w:p>
        </w:tc>
        <w:tc>
          <w:tcPr>
            <w:tcW w:w="100" w:type="dxa"/>
            <w:vAlign w:val="bottom"/>
            <w:shd w:val="clear" w:color="auto" w:fill="CCEEFF"/>
          </w:tcPr>
          <w:p>
            <w:pPr>
              <w:spacing w:after="0"/>
              <w:rPr>
                <w:sz w:val="15"/>
                <w:szCs w:val="15"/>
                <w:color w:val="auto"/>
              </w:rPr>
            </w:pPr>
          </w:p>
        </w:tc>
        <w:tc>
          <w:tcPr>
            <w:tcW w:w="240" w:type="dxa"/>
            <w:vAlign w:val="bottom"/>
            <w:vMerge w:val="restart"/>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350,322</w:t>
            </w:r>
          </w:p>
        </w:tc>
        <w:tc>
          <w:tcPr>
            <w:tcW w:w="10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342,988</w:t>
            </w:r>
          </w:p>
        </w:tc>
        <w:tc>
          <w:tcPr>
            <w:tcW w:w="100" w:type="dxa"/>
            <w:vAlign w:val="bottom"/>
            <w:shd w:val="clear" w:color="auto" w:fill="CCEEFF"/>
          </w:tcPr>
          <w:p>
            <w:pPr>
              <w:spacing w:after="0"/>
              <w:rPr>
                <w:sz w:val="15"/>
                <w:szCs w:val="15"/>
                <w:color w:val="auto"/>
              </w:rPr>
            </w:pPr>
          </w:p>
        </w:tc>
        <w:tc>
          <w:tcPr>
            <w:tcW w:w="1300" w:type="dxa"/>
            <w:vAlign w:val="bottom"/>
            <w:vMerge w:val="restart"/>
            <w:shd w:val="clear" w:color="auto" w:fill="CCEEFF"/>
          </w:tcPr>
          <w:p>
            <w:pPr>
              <w:jc w:val="right"/>
              <w:ind w:right="382"/>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30"/>
        </w:trPr>
        <w:tc>
          <w:tcPr>
            <w:tcW w:w="2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200" w:type="dxa"/>
            <w:vAlign w:val="bottom"/>
            <w:vMerge w:val="continue"/>
            <w:shd w:val="clear" w:color="auto" w:fill="CCEEFF"/>
          </w:tcPr>
          <w:p>
            <w:pPr>
              <w:spacing w:after="0"/>
              <w:rPr>
                <w:sz w:val="19"/>
                <w:szCs w:val="19"/>
                <w:color w:val="auto"/>
              </w:rPr>
            </w:pPr>
          </w:p>
        </w:tc>
        <w:tc>
          <w:tcPr>
            <w:tcW w:w="112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vMerge w:val="continue"/>
            <w:shd w:val="clear" w:color="auto" w:fill="CCEEFF"/>
          </w:tcPr>
          <w:p>
            <w:pPr>
              <w:spacing w:after="0"/>
              <w:rPr>
                <w:sz w:val="19"/>
                <w:szCs w:val="19"/>
                <w:color w:val="auto"/>
              </w:rPr>
            </w:pPr>
          </w:p>
        </w:tc>
        <w:tc>
          <w:tcPr>
            <w:tcW w:w="12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vMerge w:val="continue"/>
            <w:shd w:val="clear" w:color="auto" w:fill="CCEEFF"/>
          </w:tcPr>
          <w:p>
            <w:pPr>
              <w:spacing w:after="0"/>
              <w:rPr>
                <w:sz w:val="19"/>
                <w:szCs w:val="19"/>
                <w:color w:val="auto"/>
              </w:rPr>
            </w:pPr>
          </w:p>
        </w:tc>
        <w:tc>
          <w:tcPr>
            <w:tcW w:w="12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vMerge w:val="continue"/>
            <w:shd w:val="clear" w:color="auto" w:fill="CCEEFF"/>
          </w:tcPr>
          <w:p>
            <w:pPr>
              <w:spacing w:after="0"/>
              <w:rPr>
                <w:sz w:val="19"/>
                <w:szCs w:val="19"/>
                <w:color w:val="auto"/>
              </w:rPr>
            </w:pPr>
          </w:p>
        </w:tc>
        <w:tc>
          <w:tcPr>
            <w:tcW w:w="12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15.4 %</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18.0 %</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16.1 %</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17.3 %</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36" w:lineRule="exact"/>
        <w:rPr>
          <w:sz w:val="20"/>
          <w:szCs w:val="20"/>
          <w:color w:val="auto"/>
        </w:rPr>
      </w:pPr>
    </w:p>
    <w:p>
      <w:pPr>
        <w:ind w:right="140" w:firstLine="405"/>
        <w:spacing w:after="0" w:line="239" w:lineRule="auto"/>
        <w:rPr>
          <w:sz w:val="20"/>
          <w:szCs w:val="20"/>
          <w:color w:val="auto"/>
        </w:rPr>
      </w:pPr>
      <w:r>
        <w:rPr>
          <w:rFonts w:ascii="Arial" w:cs="Arial" w:eastAsia="Arial" w:hAnsi="Arial"/>
          <w:sz w:val="18"/>
          <w:szCs w:val="18"/>
          <w:color w:val="auto"/>
        </w:rPr>
        <w:t>Selling, general and administrative expense decreased by $3.5 million in the three months ended October 31, 2020 compared to the three months ended November 2, 2019. The decrease was reflective of one-time non-recurring Aquantia and Avera merger transaction costs incurred in the prior year when the deals were closing, and decreasing integration costs this year, contributing to an overall decrease of $12.6 million year over year. In addition, lower travel expenses of $2.0 million were incurred in the current year due to the COVID-19 pandemic. These collective expense decreases were partially offset by $2.6 million higher facility expense this year, $2.5 million higher employee compensation-related costs and $5.7 million higher intangible amortization expense recognized this year associated with new acquired intangible assets from the Company's prior year acquisitions of Aquantia and Avera.</w:t>
      </w:r>
    </w:p>
    <w:p>
      <w:pPr>
        <w:spacing w:after="0" w:line="218" w:lineRule="exact"/>
        <w:rPr>
          <w:sz w:val="20"/>
          <w:szCs w:val="20"/>
          <w:color w:val="auto"/>
        </w:rPr>
      </w:pPr>
    </w:p>
    <w:p>
      <w:pPr>
        <w:ind w:right="40" w:firstLine="405"/>
        <w:spacing w:after="0" w:line="284" w:lineRule="auto"/>
        <w:rPr>
          <w:sz w:val="20"/>
          <w:szCs w:val="20"/>
          <w:color w:val="auto"/>
        </w:rPr>
      </w:pPr>
      <w:r>
        <w:rPr>
          <w:rFonts w:ascii="Arial" w:cs="Arial" w:eastAsia="Arial" w:hAnsi="Arial"/>
          <w:sz w:val="16"/>
          <w:szCs w:val="16"/>
          <w:color w:val="auto"/>
        </w:rPr>
        <w:t>Selling, general and administrative expense increased by $7.3 million in the nine months ended October 31, 2020 compared to the nine months ended November 2, 2019. The increase was primarily due to additional costs associated with our acquisitions of Aquantia and Avera, including $18.8 million of higher intangible amortization expense and $5.3 million higher employee compensation-related costs, partially offset by lower merger transaction and integration costs of $10.3 million related to the Aquantia and Avera acquisitions and lower travel expenses of $5.7 million due to the COVID-19 pandemic.</w:t>
      </w:r>
    </w:p>
    <w:p>
      <w:pPr>
        <w:spacing w:after="0" w:line="200" w:lineRule="exact"/>
        <w:rPr>
          <w:sz w:val="20"/>
          <w:szCs w:val="20"/>
          <w:color w:val="auto"/>
        </w:rPr>
      </w:pP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300" w:type="dxa"/>
            <w:vAlign w:val="bottom"/>
            <w:tcBorders>
              <w:bottom w:val="single" w:sz="8" w:color="auto"/>
            </w:tcBorders>
          </w:tcPr>
          <w:p>
            <w:pPr>
              <w:spacing w:after="0"/>
              <w:rPr>
                <w:sz w:val="16"/>
                <w:szCs w:val="16"/>
                <w:color w:val="auto"/>
              </w:rPr>
            </w:pPr>
          </w:p>
        </w:tc>
      </w:tr>
      <w:tr>
        <w:trPr>
          <w:trHeight w:val="135"/>
        </w:trPr>
        <w:tc>
          <w:tcPr>
            <w:tcW w:w="2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November 2,</w:t>
            </w:r>
          </w:p>
        </w:tc>
        <w:tc>
          <w:tcPr>
            <w:tcW w:w="12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0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4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2019</w:t>
            </w:r>
          </w:p>
        </w:tc>
        <w:tc>
          <w:tcPr>
            <w:tcW w:w="80" w:type="dxa"/>
            <w:vAlign w:val="bottom"/>
          </w:tcPr>
          <w:p>
            <w:pPr>
              <w:spacing w:after="0"/>
              <w:rPr>
                <w:sz w:val="16"/>
                <w:szCs w:val="16"/>
                <w:color w:val="auto"/>
              </w:rPr>
            </w:pPr>
          </w:p>
        </w:tc>
        <w:tc>
          <w:tcPr>
            <w:tcW w:w="1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r>
      <w:tr>
        <w:trPr>
          <w:trHeight w:val="218"/>
        </w:trPr>
        <w:tc>
          <w:tcPr>
            <w:tcW w:w="2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80" w:type="dxa"/>
            <w:vAlign w:val="bottom"/>
            <w:gridSpan w:val="5"/>
          </w:tcPr>
          <w:p>
            <w:pPr>
              <w:ind w:left="280"/>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5"/>
        </w:trPr>
        <w:tc>
          <w:tcPr>
            <w:tcW w:w="2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19,312</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14,802</w:t>
            </w:r>
          </w:p>
        </w:tc>
        <w:tc>
          <w:tcPr>
            <w:tcW w:w="120" w:type="dxa"/>
            <w:vAlign w:val="bottom"/>
            <w:shd w:val="clear" w:color="auto" w:fill="CCEEFF"/>
          </w:tcPr>
          <w:p>
            <w:pPr>
              <w:spacing w:after="0"/>
              <w:rPr>
                <w:sz w:val="20"/>
                <w:szCs w:val="20"/>
                <w:color w:val="auto"/>
              </w:rPr>
            </w:pPr>
          </w:p>
        </w:tc>
        <w:tc>
          <w:tcPr>
            <w:tcW w:w="12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30.5%</w:t>
            </w:r>
          </w:p>
        </w:tc>
        <w:tc>
          <w:tcPr>
            <w:tcW w:w="8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161,189</w:t>
            </w:r>
          </w:p>
        </w:tc>
        <w:tc>
          <w:tcPr>
            <w:tcW w:w="8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37,070</w:t>
            </w:r>
          </w:p>
        </w:tc>
        <w:tc>
          <w:tcPr>
            <w:tcW w:w="80" w:type="dxa"/>
            <w:vAlign w:val="bottom"/>
            <w:shd w:val="clear" w:color="auto" w:fill="CCEEFF"/>
          </w:tcPr>
          <w:p>
            <w:pPr>
              <w:spacing w:after="0"/>
              <w:rPr>
                <w:sz w:val="20"/>
                <w:szCs w:val="20"/>
                <w:color w:val="auto"/>
              </w:rPr>
            </w:pPr>
          </w:p>
        </w:tc>
        <w:tc>
          <w:tcPr>
            <w:tcW w:w="13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334.8%</w:t>
            </w:r>
          </w:p>
        </w:tc>
      </w:tr>
      <w:tr>
        <w:trPr>
          <w:trHeight w:val="230"/>
        </w:trPr>
        <w:tc>
          <w:tcPr>
            <w:tcW w:w="24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2.6 %</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2.2 %</w:t>
            </w:r>
          </w:p>
        </w:tc>
        <w:tc>
          <w:tcPr>
            <w:tcW w:w="1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7.4 %</w:t>
            </w: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1.9 %</w:t>
            </w:r>
          </w:p>
        </w:tc>
        <w:tc>
          <w:tcPr>
            <w:tcW w:w="80" w:type="dxa"/>
            <w:vAlign w:val="bottom"/>
          </w:tcPr>
          <w:p>
            <w:pPr>
              <w:spacing w:after="0"/>
              <w:rPr>
                <w:sz w:val="20"/>
                <w:szCs w:val="20"/>
                <w:color w:val="auto"/>
              </w:rPr>
            </w:pPr>
          </w:p>
        </w:tc>
        <w:tc>
          <w:tcPr>
            <w:tcW w:w="1300" w:type="dxa"/>
            <w:vAlign w:val="bottom"/>
          </w:tcPr>
          <w:p>
            <w:pPr>
              <w:spacing w:after="0"/>
              <w:rPr>
                <w:sz w:val="20"/>
                <w:szCs w:val="20"/>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We recognized $19.3 million and $161.2 million of total restructuring related charges in the three and nine months ended October 31, 2020. During the second quarter ended August 1, 2020, we made changes to the scope of our server processor product line in response to changes in the associated market. We transitioned our product offering from standard server processors for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were not recoverable, which resulted in recognition of $119.0 million of restructuring related charges associated with the server processor product line during the second quarter ended August 1, 2020. See “Note 5 - Restructuring” in the Notes to the Unaudited Condensed Consolidated Financial Statements for further information.</w:t>
      </w:r>
    </w:p>
    <w:p>
      <w:pPr>
        <w:spacing w:after="0" w:line="200" w:lineRule="exact"/>
        <w:rPr>
          <w:sz w:val="20"/>
          <w:szCs w:val="20"/>
          <w:color w:val="auto"/>
        </w:rPr>
      </w:pPr>
    </w:p>
    <w:p>
      <w:pPr>
        <w:spacing w:after="0" w:line="2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Nine Months Ended</w:t>
            </w:r>
          </w:p>
        </w:tc>
        <w:tc>
          <w:tcPr>
            <w:tcW w:w="1300" w:type="dxa"/>
            <w:vAlign w:val="bottom"/>
            <w:tcBorders>
              <w:bottom w:val="single" w:sz="8" w:color="auto"/>
            </w:tcBorders>
          </w:tcPr>
          <w:p>
            <w:pPr>
              <w:spacing w:after="0"/>
              <w:rPr>
                <w:sz w:val="16"/>
                <w:szCs w:val="16"/>
                <w:color w:val="auto"/>
              </w:rPr>
            </w:pPr>
          </w:p>
        </w:tc>
      </w:tr>
      <w:tr>
        <w:trPr>
          <w:trHeight w:val="135"/>
        </w:trPr>
        <w:tc>
          <w:tcPr>
            <w:tcW w:w="2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4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2019</w:t>
            </w:r>
          </w:p>
        </w:tc>
        <w:tc>
          <w:tcPr>
            <w:tcW w:w="120" w:type="dxa"/>
            <w:vAlign w:val="bottom"/>
          </w:tcPr>
          <w:p>
            <w:pPr>
              <w:spacing w:after="0"/>
              <w:rPr>
                <w:sz w:val="16"/>
                <w:szCs w:val="16"/>
                <w:color w:val="auto"/>
              </w:rPr>
            </w:pPr>
          </w:p>
        </w:tc>
        <w:tc>
          <w:tcPr>
            <w:tcW w:w="13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92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5"/>
        </w:trPr>
        <w:tc>
          <w:tcPr>
            <w:tcW w:w="2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608</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1,092</w:t>
            </w:r>
          </w:p>
        </w:tc>
        <w:tc>
          <w:tcPr>
            <w:tcW w:w="12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84"/>
              <w:spacing w:after="0"/>
              <w:rPr>
                <w:sz w:val="20"/>
                <w:szCs w:val="20"/>
                <w:color w:val="auto"/>
              </w:rPr>
            </w:pPr>
            <w:r>
              <w:rPr>
                <w:rFonts w:ascii="Arial" w:cs="Arial" w:eastAsia="Arial" w:hAnsi="Arial"/>
                <w:sz w:val="18"/>
                <w:szCs w:val="18"/>
                <w:color w:val="auto"/>
              </w:rPr>
              <w:t>(44.3)%</w:t>
            </w:r>
          </w:p>
        </w:tc>
        <w:tc>
          <w:tcPr>
            <w:tcW w:w="8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2,243</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3,437</w:t>
            </w:r>
          </w:p>
        </w:tc>
        <w:tc>
          <w:tcPr>
            <w:tcW w:w="10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82"/>
              <w:spacing w:after="0"/>
              <w:rPr>
                <w:sz w:val="20"/>
                <w:szCs w:val="20"/>
                <w:color w:val="auto"/>
              </w:rPr>
            </w:pPr>
            <w:r>
              <w:rPr>
                <w:rFonts w:ascii="Arial" w:cs="Arial" w:eastAsia="Arial" w:hAnsi="Arial"/>
                <w:sz w:val="18"/>
                <w:szCs w:val="18"/>
                <w:color w:val="auto"/>
              </w:rPr>
              <w:t>(34.7)%</w:t>
            </w:r>
          </w:p>
        </w:tc>
      </w:tr>
      <w:tr>
        <w:trPr>
          <w:trHeight w:val="230"/>
        </w:trPr>
        <w:tc>
          <w:tcPr>
            <w:tcW w:w="2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0.1 %</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1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r>
    </w:tbl>
    <w:p>
      <w:pPr>
        <w:spacing w:after="0" w:line="336" w:lineRule="exact"/>
        <w:rPr>
          <w:sz w:val="20"/>
          <w:szCs w:val="20"/>
          <w:color w:val="auto"/>
        </w:rPr>
      </w:pPr>
    </w:p>
    <w:p>
      <w:pPr>
        <w:ind w:right="120" w:firstLine="405"/>
        <w:spacing w:after="0" w:line="261" w:lineRule="auto"/>
        <w:rPr>
          <w:sz w:val="20"/>
          <w:szCs w:val="20"/>
          <w:color w:val="auto"/>
        </w:rPr>
      </w:pPr>
      <w:r>
        <w:rPr>
          <w:rFonts w:ascii="Arial" w:cs="Arial" w:eastAsia="Arial" w:hAnsi="Arial"/>
          <w:sz w:val="18"/>
          <w:szCs w:val="18"/>
          <w:color w:val="auto"/>
        </w:rPr>
        <w:t>Interest income decreased by $0.5 million and $1.2 million, respectively, in the three and nine months ended October 31, 2020 compared to the three and nine months ended November 2, 2019 due to lower interest rates on our invested cash.</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Nine Months Ended</w:t>
            </w:r>
          </w:p>
        </w:tc>
        <w:tc>
          <w:tcPr>
            <w:tcW w:w="1300" w:type="dxa"/>
            <w:vAlign w:val="bottom"/>
            <w:tcBorders>
              <w:bottom w:val="single" w:sz="8" w:color="auto"/>
            </w:tcBorders>
          </w:tcPr>
          <w:p>
            <w:pPr>
              <w:spacing w:after="0"/>
              <w:rPr>
                <w:sz w:val="16"/>
                <w:szCs w:val="16"/>
                <w:color w:val="auto"/>
              </w:rPr>
            </w:pPr>
          </w:p>
        </w:tc>
      </w:tr>
      <w:tr>
        <w:trPr>
          <w:trHeight w:val="135"/>
        </w:trPr>
        <w:tc>
          <w:tcPr>
            <w:tcW w:w="2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3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40" w:type="dxa"/>
            <w:vAlign w:val="bottom"/>
            <w:gridSpan w:val="5"/>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6"/>
        </w:trPr>
        <w:tc>
          <w:tcPr>
            <w:tcW w:w="2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(16,066)</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(21,241)</w:t>
            </w:r>
          </w:p>
        </w:tc>
        <w:tc>
          <w:tcPr>
            <w:tcW w:w="10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84"/>
              <w:spacing w:after="0"/>
              <w:rPr>
                <w:sz w:val="20"/>
                <w:szCs w:val="20"/>
                <w:color w:val="auto"/>
              </w:rPr>
            </w:pPr>
            <w:r>
              <w:rPr>
                <w:rFonts w:ascii="Arial" w:cs="Arial" w:eastAsia="Arial" w:hAnsi="Arial"/>
                <w:sz w:val="18"/>
                <w:szCs w:val="18"/>
                <w:color w:val="auto"/>
              </w:rPr>
              <w:t>(24.4)%</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(48,531)</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(62,975)</w:t>
            </w:r>
          </w:p>
        </w:tc>
        <w:tc>
          <w:tcPr>
            <w:tcW w:w="10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82"/>
              <w:spacing w:after="0"/>
              <w:rPr>
                <w:sz w:val="20"/>
                <w:szCs w:val="20"/>
                <w:color w:val="auto"/>
              </w:rPr>
            </w:pPr>
            <w:r>
              <w:rPr>
                <w:rFonts w:ascii="Arial" w:cs="Arial" w:eastAsia="Arial" w:hAnsi="Arial"/>
                <w:sz w:val="18"/>
                <w:szCs w:val="18"/>
                <w:color w:val="auto"/>
              </w:rPr>
              <w:t>(22.9)%</w:t>
            </w:r>
          </w:p>
        </w:tc>
      </w:tr>
      <w:tr>
        <w:trPr>
          <w:trHeight w:val="230"/>
        </w:trPr>
        <w:tc>
          <w:tcPr>
            <w:tcW w:w="23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r>
    </w:tbl>
    <w:p>
      <w:pPr>
        <w:spacing w:after="0" w:line="33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Interest expense decreased by $5.2 million and $14.4 million in the three and nine months ended October 31, 2020 compared to the three and nine months ended November 2, 2019. The decrease was primarily due to lower outstanding term loan balances as well as lower borrowing rates.</w:t>
      </w:r>
    </w:p>
    <w:p>
      <w:pPr>
        <w:spacing w:after="0" w:line="39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(Loss),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300" w:type="dxa"/>
            <w:vAlign w:val="bottom"/>
            <w:tcBorders>
              <w:bottom w:val="single" w:sz="8" w:color="auto"/>
            </w:tcBorders>
          </w:tcPr>
          <w:p>
            <w:pPr>
              <w:spacing w:after="0"/>
              <w:rPr>
                <w:sz w:val="16"/>
                <w:szCs w:val="16"/>
                <w:color w:val="auto"/>
              </w:rPr>
            </w:pPr>
          </w:p>
        </w:tc>
      </w:tr>
      <w:tr>
        <w:trPr>
          <w:trHeight w:val="135"/>
        </w:trPr>
        <w:tc>
          <w:tcPr>
            <w:tcW w:w="2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2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8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31,</w:t>
            </w:r>
          </w:p>
        </w:tc>
        <w:tc>
          <w:tcPr>
            <w:tcW w:w="220" w:type="dxa"/>
            <w:vAlign w:val="bottom"/>
          </w:tcPr>
          <w:p>
            <w:pPr>
              <w:spacing w:after="0"/>
              <w:rPr>
                <w:sz w:val="11"/>
                <w:szCs w:val="11"/>
                <w:color w:val="auto"/>
              </w:rPr>
            </w:pPr>
          </w:p>
        </w:tc>
        <w:tc>
          <w:tcPr>
            <w:tcW w:w="132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November 2,</w:t>
            </w:r>
          </w:p>
        </w:tc>
        <w:tc>
          <w:tcPr>
            <w:tcW w:w="130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4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8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0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00" w:type="dxa"/>
            <w:vAlign w:val="bottom"/>
            <w:gridSpan w:val="5"/>
          </w:tcPr>
          <w:p>
            <w:pPr>
              <w:ind w:left="30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r>
      <w:tr>
        <w:trPr>
          <w:trHeight w:val="235"/>
        </w:trPr>
        <w:tc>
          <w:tcPr>
            <w:tcW w:w="2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299</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689</w:t>
            </w:r>
          </w:p>
        </w:tc>
        <w:tc>
          <w:tcPr>
            <w:tcW w:w="10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84"/>
              <w:spacing w:after="0"/>
              <w:rPr>
                <w:sz w:val="20"/>
                <w:szCs w:val="20"/>
                <w:color w:val="auto"/>
              </w:rPr>
            </w:pPr>
            <w:r>
              <w:rPr>
                <w:rFonts w:ascii="Arial" w:cs="Arial" w:eastAsia="Arial" w:hAnsi="Arial"/>
                <w:sz w:val="18"/>
                <w:szCs w:val="18"/>
                <w:color w:val="auto"/>
              </w:rPr>
              <w:t>(56.6)%</w:t>
            </w:r>
          </w:p>
        </w:tc>
        <w:tc>
          <w:tcPr>
            <w:tcW w:w="8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3,613</w:t>
            </w:r>
          </w:p>
        </w:tc>
        <w:tc>
          <w:tcPr>
            <w:tcW w:w="8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(1,624)</w:t>
            </w:r>
          </w:p>
        </w:tc>
        <w:tc>
          <w:tcPr>
            <w:tcW w:w="10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242"/>
              <w:spacing w:after="0"/>
              <w:rPr>
                <w:sz w:val="20"/>
                <w:szCs w:val="20"/>
                <w:color w:val="auto"/>
              </w:rPr>
            </w:pPr>
            <w:r>
              <w:rPr>
                <w:rFonts w:ascii="Arial" w:cs="Arial" w:eastAsia="Arial" w:hAnsi="Arial"/>
                <w:sz w:val="18"/>
                <w:szCs w:val="18"/>
                <w:color w:val="auto"/>
              </w:rPr>
              <w:t>(322.5)%</w:t>
            </w:r>
          </w:p>
        </w:tc>
      </w:tr>
      <w:tr>
        <w:trPr>
          <w:trHeight w:val="230"/>
        </w:trPr>
        <w:tc>
          <w:tcPr>
            <w:tcW w:w="2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20"/>
                <w:szCs w:val="20"/>
                <w:color w:val="auto"/>
              </w:rPr>
            </w:pPr>
          </w:p>
        </w:tc>
        <w:tc>
          <w:tcPr>
            <w:tcW w:w="1300" w:type="dxa"/>
            <w:vAlign w:val="bottom"/>
            <w:gridSpan w:val="2"/>
          </w:tcPr>
          <w:p>
            <w:pPr>
              <w:ind w:left="780"/>
              <w:spacing w:after="0"/>
              <w:rPr>
                <w:sz w:val="20"/>
                <w:szCs w:val="20"/>
                <w:color w:val="auto"/>
              </w:rPr>
            </w:pPr>
            <w:r>
              <w:rPr>
                <w:rFonts w:ascii="Arial" w:cs="Arial" w:eastAsia="Arial" w:hAnsi="Arial"/>
                <w:sz w:val="18"/>
                <w:szCs w:val="18"/>
                <w:color w:val="auto"/>
              </w:rPr>
              <w:t>— %</w:t>
            </w:r>
          </w:p>
        </w:tc>
        <w:tc>
          <w:tcPr>
            <w:tcW w:w="2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r>
    </w:tbl>
    <w:p>
      <w:pPr>
        <w:spacing w:after="0" w:line="336" w:lineRule="exact"/>
        <w:rPr>
          <w:sz w:val="20"/>
          <w:szCs w:val="20"/>
          <w:color w:val="auto"/>
        </w:rPr>
      </w:pPr>
    </w:p>
    <w:p>
      <w:pPr>
        <w:ind w:right="400" w:firstLine="405"/>
        <w:spacing w:after="0" w:line="291" w:lineRule="auto"/>
        <w:rPr>
          <w:sz w:val="20"/>
          <w:szCs w:val="20"/>
          <w:color w:val="auto"/>
        </w:rPr>
      </w:pPr>
      <w:r>
        <w:rPr>
          <w:rFonts w:ascii="Arial" w:cs="Arial" w:eastAsia="Arial" w:hAnsi="Arial"/>
          <w:sz w:val="17"/>
          <w:szCs w:val="17"/>
          <w:color w:val="auto"/>
        </w:rPr>
        <w:t>Other income (loss), net, changed by $0.4 million in the three months ended October 31, 2020 compared to the three months ended November 2, 2019. The higher income in the three months ended November 2, 2019 was primarily due to foreign currency rate fluctuations.</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Other income (loss), net, changed by $5.2 million in the nine months ended October 31, 2020 compared to the nine months ended November 2, 2019.</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The change is primarily due to income in fiscal 2021 related to the divestiture of the Wi-Fi connectivity business compared to loss in fiscal 2020 due to Wi-</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Fi divestiture-related costs and foreign currency rate fluctuations.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5"/>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5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126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2"/>
              </w:rPr>
              <w:t>November 2,</w:t>
            </w:r>
          </w:p>
        </w:tc>
        <w:tc>
          <w:tcPr>
            <w:tcW w:w="136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12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5"/>
              </w:rPr>
              <w:t>November 2,</w:t>
            </w:r>
          </w:p>
        </w:tc>
        <w:tc>
          <w:tcPr>
            <w:tcW w:w="136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25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44"/>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8"/>
        </w:trPr>
        <w:tc>
          <w:tcPr>
            <w:tcW w:w="2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92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2"/>
        </w:trPr>
        <w:tc>
          <w:tcPr>
            <w:tcW w:w="2580" w:type="dxa"/>
            <w:vAlign w:val="bottom"/>
            <w:shd w:val="clear" w:color="auto" w:fill="CCEEFF"/>
          </w:tcPr>
          <w:p>
            <w:pPr>
              <w:ind w:left="20"/>
              <w:spacing w:after="0" w:line="182" w:lineRule="exact"/>
              <w:rPr>
                <w:sz w:val="20"/>
                <w:szCs w:val="20"/>
                <w:color w:val="auto"/>
              </w:rPr>
            </w:pPr>
            <w:r>
              <w:rPr>
                <w:rFonts w:ascii="Arial" w:cs="Arial" w:eastAsia="Arial" w:hAnsi="Arial"/>
                <w:sz w:val="18"/>
                <w:szCs w:val="18"/>
                <w:color w:val="auto"/>
              </w:rPr>
              <w:t>Provision (benefit) for income</w:t>
            </w: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20" w:type="dxa"/>
            <w:vAlign w:val="bottom"/>
            <w:shd w:val="clear" w:color="auto" w:fill="CCEEFF"/>
          </w:tcPr>
          <w:p>
            <w:pPr>
              <w:spacing w:after="0"/>
              <w:rPr>
                <w:sz w:val="15"/>
                <w:szCs w:val="15"/>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vMerge w:val="restart"/>
            <w:shd w:val="clear" w:color="auto" w:fill="CCEEFF"/>
          </w:tcPr>
          <w:p>
            <w:pPr>
              <w:jc w:val="right"/>
              <w:ind w:right="2"/>
              <w:spacing w:after="0"/>
              <w:rPr>
                <w:sz w:val="20"/>
                <w:szCs w:val="20"/>
                <w:color w:val="auto"/>
              </w:rPr>
            </w:pPr>
            <w:r>
              <w:rPr>
                <w:rFonts w:ascii="Arial" w:cs="Arial" w:eastAsia="Arial" w:hAnsi="Arial"/>
                <w:sz w:val="18"/>
                <w:szCs w:val="18"/>
                <w:color w:val="auto"/>
              </w:rPr>
              <w:t>1,532</w:t>
            </w:r>
          </w:p>
        </w:tc>
        <w:tc>
          <w:tcPr>
            <w:tcW w:w="100" w:type="dxa"/>
            <w:vAlign w:val="bottom"/>
            <w:shd w:val="clear" w:color="auto" w:fill="CCEEFF"/>
          </w:tcPr>
          <w:p>
            <w:pPr>
              <w:spacing w:after="0"/>
              <w:rPr>
                <w:sz w:val="15"/>
                <w:szCs w:val="15"/>
                <w:color w:val="auto"/>
              </w:rPr>
            </w:pPr>
          </w:p>
        </w:tc>
        <w:tc>
          <w:tcPr>
            <w:tcW w:w="1360" w:type="dxa"/>
            <w:vAlign w:val="bottom"/>
            <w:vMerge w:val="restart"/>
            <w:shd w:val="clear" w:color="auto" w:fill="CCEEFF"/>
          </w:tcPr>
          <w:p>
            <w:pPr>
              <w:jc w:val="right"/>
              <w:ind w:right="264"/>
              <w:spacing w:after="0"/>
              <w:rPr>
                <w:sz w:val="20"/>
                <w:szCs w:val="20"/>
                <w:color w:val="auto"/>
              </w:rPr>
            </w:pPr>
            <w:r>
              <w:rPr>
                <w:rFonts w:ascii="Arial" w:cs="Arial" w:eastAsia="Arial" w:hAnsi="Arial"/>
                <w:sz w:val="18"/>
                <w:szCs w:val="18"/>
                <w:color w:val="auto"/>
              </w:rPr>
              <w:t>(207.1)%</w:t>
            </w:r>
          </w:p>
        </w:tc>
        <w:tc>
          <w:tcPr>
            <w:tcW w:w="10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vMerge w:val="restart"/>
            <w:shd w:val="clear" w:color="auto" w:fill="CCEEFF"/>
          </w:tcPr>
          <w:p>
            <w:pPr>
              <w:ind w:left="600"/>
              <w:spacing w:after="0"/>
              <w:rPr>
                <w:sz w:val="20"/>
                <w:szCs w:val="20"/>
                <w:color w:val="auto"/>
              </w:rPr>
            </w:pPr>
            <w:r>
              <w:rPr>
                <w:rFonts w:ascii="Arial" w:cs="Arial" w:eastAsia="Arial" w:hAnsi="Arial"/>
                <w:sz w:val="18"/>
                <w:szCs w:val="18"/>
                <w:color w:val="auto"/>
                <w:w w:val="91"/>
              </w:rPr>
              <w:t>(5,494)</w:t>
            </w:r>
          </w:p>
        </w:tc>
        <w:tc>
          <w:tcPr>
            <w:tcW w:w="100" w:type="dxa"/>
            <w:vAlign w:val="bottom"/>
            <w:shd w:val="clear" w:color="auto" w:fill="CCEEFF"/>
          </w:tcPr>
          <w:p>
            <w:pPr>
              <w:spacing w:after="0"/>
              <w:rPr>
                <w:sz w:val="15"/>
                <w:szCs w:val="15"/>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(1,743)</w:t>
            </w:r>
          </w:p>
        </w:tc>
        <w:tc>
          <w:tcPr>
            <w:tcW w:w="100" w:type="dxa"/>
            <w:vAlign w:val="bottom"/>
            <w:shd w:val="clear" w:color="auto" w:fill="CCEEFF"/>
          </w:tcPr>
          <w:p>
            <w:pPr>
              <w:spacing w:after="0"/>
              <w:rPr>
                <w:sz w:val="15"/>
                <w:szCs w:val="15"/>
                <w:color w:val="auto"/>
              </w:rPr>
            </w:pPr>
          </w:p>
        </w:tc>
        <w:tc>
          <w:tcPr>
            <w:tcW w:w="1360" w:type="dxa"/>
            <w:vAlign w:val="bottom"/>
            <w:vMerge w:val="restart"/>
            <w:shd w:val="clear" w:color="auto" w:fill="CCEEFF"/>
          </w:tcPr>
          <w:p>
            <w:pPr>
              <w:jc w:val="right"/>
              <w:ind w:right="322"/>
              <w:spacing w:after="0"/>
              <w:rPr>
                <w:sz w:val="20"/>
                <w:szCs w:val="20"/>
                <w:color w:val="auto"/>
              </w:rPr>
            </w:pPr>
            <w:r>
              <w:rPr>
                <w:rFonts w:ascii="Arial" w:cs="Arial" w:eastAsia="Arial" w:hAnsi="Arial"/>
                <w:sz w:val="18"/>
                <w:szCs w:val="18"/>
                <w:color w:val="auto"/>
              </w:rPr>
              <w:t>215.2%</w:t>
            </w:r>
          </w:p>
        </w:tc>
        <w:tc>
          <w:tcPr>
            <w:tcW w:w="0" w:type="dxa"/>
            <w:vAlign w:val="bottom"/>
          </w:tcPr>
          <w:p>
            <w:pPr>
              <w:spacing w:after="0"/>
              <w:rPr>
                <w:sz w:val="1"/>
                <w:szCs w:val="1"/>
                <w:color w:val="auto"/>
              </w:rPr>
            </w:pPr>
          </w:p>
        </w:tc>
      </w:tr>
      <w:tr>
        <w:trPr>
          <w:trHeight w:val="229"/>
        </w:trPr>
        <w:tc>
          <w:tcPr>
            <w:tcW w:w="2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taxes</w:t>
            </w:r>
          </w:p>
        </w:tc>
        <w:tc>
          <w:tcPr>
            <w:tcW w:w="200" w:type="dxa"/>
            <w:vAlign w:val="bottom"/>
            <w:vMerge w:val="continue"/>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vMerge w:val="continue"/>
            <w:shd w:val="clear" w:color="auto" w:fill="CCEEFF"/>
          </w:tcPr>
          <w:p>
            <w:pPr>
              <w:spacing w:after="0"/>
              <w:rPr>
                <w:sz w:val="19"/>
                <w:szCs w:val="19"/>
                <w:color w:val="auto"/>
              </w:rPr>
            </w:pPr>
          </w:p>
        </w:tc>
        <w:tc>
          <w:tcPr>
            <w:tcW w:w="11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vMerge w:val="continue"/>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vMerge w:val="continue"/>
            <w:shd w:val="clear" w:color="auto" w:fill="CCEEFF"/>
          </w:tcPr>
          <w:p>
            <w:pPr>
              <w:spacing w:after="0"/>
              <w:rPr>
                <w:sz w:val="19"/>
                <w:szCs w:val="19"/>
                <w:color w:val="auto"/>
              </w:rPr>
            </w:pPr>
          </w:p>
        </w:tc>
        <w:tc>
          <w:tcPr>
            <w:tcW w:w="11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Our income tax benefit for the three months ended October 31, 2020 was $1.6 million compared to a tax expense of $1.5 million for the three months ended November 2, 2019. Our income tax benefit for the three months ended October 31, 2020 differs from the same period in the prior year primarily due to a reduction of earnings of our non-U.S. subsidiaries that are subject to tax in the U.S. versus the prior period, combined with a decrease in non-US income taxes versus the prior period. The effective tax rate for the three months ended October 31, 2020 and November 2, 2019 differs from the U.S. statutory Federal rate of 21% primarily due to the rate differential on foreign earnings.</w:t>
      </w:r>
    </w:p>
    <w:p>
      <w:pPr>
        <w:spacing w:after="0" w:line="216" w:lineRule="exact"/>
        <w:rPr>
          <w:sz w:val="20"/>
          <w:szCs w:val="20"/>
          <w:color w:val="auto"/>
        </w:rPr>
      </w:pPr>
    </w:p>
    <w:p>
      <w:pPr>
        <w:ind w:right="120" w:firstLine="405"/>
        <w:spacing w:after="0" w:line="276" w:lineRule="auto"/>
        <w:rPr>
          <w:sz w:val="20"/>
          <w:szCs w:val="20"/>
          <w:color w:val="auto"/>
        </w:rPr>
      </w:pPr>
      <w:r>
        <w:rPr>
          <w:rFonts w:ascii="Arial" w:cs="Arial" w:eastAsia="Arial" w:hAnsi="Arial"/>
          <w:sz w:val="16"/>
          <w:szCs w:val="16"/>
          <w:color w:val="auto"/>
        </w:rPr>
        <w:t>Our income tax benefit for the nine months ended October 31, 2020 was $5.5 million compared to a tax benefit of $1.7 million for the nine months ended November 2, 2019. Our income tax benefit for the nine months ended October 31, 2020 differs from the same period in the prior year primarily due to a reduction of earnings of our non-U.S. subsidiaries that are subject to tax in the U.S. versus the prior period, combined with a decrease in non-US income taxes versus the prior period. The effective tax rate for the nine months ended October 31, 2020 and November 2, 2019 differs from the U.S. statutory Federal rate of 21% primarily due to the rate differential on foreign earnings, the expiration of the statutes of limitations on unrecognized tax benefits in various foreign jurisdictions, and discrete tax benefits on the asset impairment for the period ended October 31, 2020.</w:t>
      </w:r>
    </w:p>
    <w:p>
      <w:pPr>
        <w:spacing w:after="0" w:line="189"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on the assessment for income taxes, the implementation of tax planning strategies, tax rulings, court decisions, settlements with tax authorities and changes in tax laws. It is also possible that significant negative evidence may become available to reach a conclusion that a valuation allowance will be needed, and as such, we may recognize a valuation allowance in the next 12 months.</w:t>
      </w:r>
    </w:p>
    <w:p>
      <w:pPr>
        <w:spacing w:after="0" w:line="216" w:lineRule="exact"/>
        <w:rPr>
          <w:sz w:val="20"/>
          <w:szCs w:val="20"/>
          <w:color w:val="auto"/>
        </w:rPr>
      </w:pPr>
    </w:p>
    <w:p>
      <w:pPr>
        <w:jc w:val="both"/>
        <w:ind w:right="160" w:firstLine="405"/>
        <w:spacing w:after="0" w:line="248" w:lineRule="auto"/>
        <w:rPr>
          <w:sz w:val="20"/>
          <w:szCs w:val="20"/>
          <w:color w:val="auto"/>
        </w:rPr>
      </w:pPr>
      <w:r>
        <w:rPr>
          <w:rFonts w:ascii="Arial" w:cs="Arial" w:eastAsia="Arial" w:hAnsi="Arial"/>
          <w:sz w:val="18"/>
          <w:szCs w:val="18"/>
          <w:color w:val="auto"/>
        </w:rPr>
        <w:t>We also continuously evaluate realignment of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 taxation benefits,</w:t>
      </w:r>
      <w:r>
        <w:rPr>
          <w:rFonts w:ascii="Arial" w:cs="Arial" w:eastAsia="Arial" w:hAnsi="Arial"/>
          <w:sz w:val="18"/>
          <w:szCs w:val="18"/>
          <w:color w:val="auto"/>
        </w:rPr>
        <w:t xml:space="preserve"> </w:t>
      </w:r>
      <w:r>
        <w:rPr>
          <w:rFonts w:ascii="Arial" w:cs="Arial" w:eastAsia="Arial" w:hAnsi="Arial"/>
          <w:sz w:val="18"/>
          <w:szCs w:val="18"/>
          <w:i w:val="1"/>
          <w:iCs w:val="1"/>
          <w:color w:val="auto"/>
        </w:rPr>
        <w:t>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300" w:firstLine="405"/>
        <w:spacing w:after="0" w:line="270" w:lineRule="auto"/>
        <w:rPr>
          <w:sz w:val="20"/>
          <w:szCs w:val="20"/>
          <w:color w:val="auto"/>
        </w:rPr>
      </w:pPr>
      <w:r>
        <w:rPr>
          <w:rFonts w:ascii="Arial" w:cs="Arial" w:eastAsia="Arial" w:hAnsi="Arial"/>
          <w:sz w:val="17"/>
          <w:szCs w:val="17"/>
          <w:color w:val="auto"/>
        </w:rPr>
        <w:t>Our principal source of liquidity as of October 31, 2020 consisted of approximately $832.0 million of cash and cash equivalents, of which approximately $694.1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191"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During the quarter ended October 31, 2020, the Company repaid $100 million of the principal outstanding and as of October 31, 2020, the term loan had an outstanding balance of $350 million, which we intend to repay with operating cash flow. See “Note 9 - Debt” for additional information.</w:t>
      </w:r>
    </w:p>
    <w:p>
      <w:pPr>
        <w:spacing w:after="0" w:line="19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In October 2020, in order to fund the Inphi acquisition, we obtained commitments consisting of a $2.5 billion bridge loan commitment, a</w:t>
      </w:r>
    </w:p>
    <w:p>
      <w:pPr>
        <w:spacing w:after="0" w:line="12" w:lineRule="exact"/>
        <w:rPr>
          <w:sz w:val="20"/>
          <w:szCs w:val="20"/>
          <w:color w:val="auto"/>
        </w:rPr>
      </w:pPr>
    </w:p>
    <w:p>
      <w:pPr>
        <w:ind w:right="240"/>
        <w:spacing w:after="0" w:line="243" w:lineRule="auto"/>
        <w:rPr>
          <w:sz w:val="20"/>
          <w:szCs w:val="20"/>
          <w:color w:val="auto"/>
        </w:rPr>
      </w:pPr>
      <w:r>
        <w:rPr>
          <w:rFonts w:ascii="Arial" w:cs="Arial" w:eastAsia="Arial" w:hAnsi="Arial"/>
          <w:sz w:val="18"/>
          <w:szCs w:val="18"/>
          <w:color w:val="auto"/>
        </w:rPr>
        <w:t>$750 million 3-year term loan facility commitment and a $750 million 5-year term loan facility commitment from JP Morgan Chase Bank, N.A., in each case subject to customary terms and conditions. See “Note 1 - Basis of Presentation”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16"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16" w:lineRule="exact"/>
        <w:rPr>
          <w:sz w:val="20"/>
          <w:szCs w:val="20"/>
          <w:color w:val="auto"/>
        </w:rPr>
      </w:pPr>
    </w:p>
    <w:p>
      <w:pPr>
        <w:ind w:right="120" w:firstLine="405"/>
        <w:spacing w:after="0" w:line="275" w:lineRule="auto"/>
        <w:rPr>
          <w:sz w:val="20"/>
          <w:szCs w:val="20"/>
          <w:color w:val="auto"/>
        </w:rPr>
      </w:pPr>
      <w:r>
        <w:rPr>
          <w:rFonts w:ascii="Arial" w:cs="Arial" w:eastAsia="Arial" w:hAnsi="Arial"/>
          <w:sz w:val="16"/>
          <w:szCs w:val="16"/>
          <w:color w:val="auto"/>
        </w:rPr>
        <w:t>Future payment of a regular quarterly cash dividend on our common shares and our planned repurchases of common stock will be subject to, among other things, the best interests of us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and remains temporarily suspended in anticipation of the funding of our acquisition of Inphi. We will continue to evaluate business conditions to decide when we can restart the share repurchase program</w:t>
      </w:r>
      <w:r>
        <w:rPr>
          <w:rFonts w:ascii="Arial" w:cs="Arial" w:eastAsia="Arial" w:hAnsi="Arial"/>
          <w:sz w:val="17"/>
          <w:szCs w:val="17"/>
          <w:color w:val="auto"/>
        </w:rPr>
        <w:t>.</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Net cash flow provided by operating activities for the nine months ended October 31, 2020 was $659.0 million. We had a net loss of $293.8 million adjusted for the following non-cash items: amortization of acquired intangible assets of $333.9 million, share-based compensation expense of $182.1 million, depreciation and amortization of $149.9 million, restructuring related non cash charges of $123.6 million, amortization of inventory fair value adjustment associated with the Aquantia and Avera acquisition of $17.3 million and $23.1 million net loss from other non-cash items. Cash inflow from working capital of $123.0 million for the nine months ended October 31, 2020 was primarily driven by an increase in accrued employee compensation, an increase in accounts payable, an increase in accrued liabilities and other non-current liabilities, as well as a decrease in inventories. The increase in accrued employee compensation is due to increase in our bonus accrual and increase in employee contributions to the employee stock purchase plan. The increase in accounts payable is mainly due to timing of payments. The increase in accrued liabilities and other non current liabilities is due to an increase in ship and debit reserve. The decrease in inventory is due to improved supply chain management</w:t>
      </w:r>
    </w:p>
    <w:p>
      <w:pPr>
        <w:spacing w:after="0" w:line="211"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Net cash flow provided by operating activities for the nine months ended November 2, 2019 was $304.5 million. We had a net loss of $188.3 million adjusted for the following non-cash items: amortization of acquired intangible assets of $253.5 million, share-based compensation expense of $189.0 million, depreciation and amortization of $112.7 million, restructuring related non cash charges of $16.2 million, amortization of inventory fair value adjustment associated with the Aquantia acquisition of $3.3 million and $14.8 million net loss from other non-cash items. Cash outflow from working capital of $96.8 million for the nine months ended November 2, 2019 was primarily driven by a decrease in accrued liabilities and other non-current liabilities, as well as an increase in inventory, partially offset by an increase in accounts payable. The decrease in accrued liabilities and other non-current liabilities was due to a decrease in accrued rebates, ship and debit reserve and income tax payable, as well as a decrease due to severance payments. The increase in inventory was primarily due to slower inventory turns and inventory acquired from Aquantia. The increase in accounts payable was mainly due to timing of payments.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jc w:val="both"/>
        <w:ind w:right="80" w:firstLine="405"/>
        <w:spacing w:after="0" w:line="261" w:lineRule="auto"/>
        <w:rPr>
          <w:sz w:val="20"/>
          <w:szCs w:val="20"/>
          <w:color w:val="auto"/>
        </w:rPr>
      </w:pPr>
      <w:r>
        <w:rPr>
          <w:rFonts w:ascii="Arial" w:cs="Arial" w:eastAsia="Arial" w:hAnsi="Arial"/>
          <w:sz w:val="18"/>
          <w:szCs w:val="18"/>
          <w:color w:val="auto"/>
        </w:rPr>
        <w:t>For the nine months ended October 31, 2020, net cash used in investing activities of $96.5 million was primarily driven by purchases of property and equipment of $88.2 million, and purchases of technology licenses of $8.5 million.</w:t>
      </w:r>
    </w:p>
    <w:p>
      <w:pPr>
        <w:spacing w:after="0" w:line="198"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For the nine months ended November 2, 2019, net cash used in investing activities of $525.4 million was primarily driven by net cash paid to acquire Aquantia of $477.6 million, purchases of property and equipment of $62.9 million and purchases of technology licenses of $1.9 million, partially offset by proceeds from sale of available for sale securities acquired from Aquantia of $18.8 million.</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200" w:firstLine="405"/>
        <w:spacing w:after="0" w:line="262" w:lineRule="auto"/>
        <w:rPr>
          <w:sz w:val="20"/>
          <w:szCs w:val="20"/>
          <w:color w:val="auto"/>
        </w:rPr>
      </w:pPr>
      <w:r>
        <w:rPr>
          <w:rFonts w:ascii="Arial" w:cs="Arial" w:eastAsia="Arial" w:hAnsi="Arial"/>
          <w:sz w:val="17"/>
          <w:szCs w:val="17"/>
          <w:color w:val="auto"/>
        </w:rPr>
        <w:t>For the nine months ended October 31, 2020, net cash used in financing activities of $378.1 million was primarily attributable to $120.1 million for payment of our quarterly dividends, $100.0 million repayment of debt principal, $82.6 million tax withholding payments on behalf of employees for net share settlements, $76.8 million payments for technology license obligations, $25.2 million for repurchases of our common stock and $22.3 million payment of debt financing cost. These outflows were partially offset by $50.5 million proceeds from employee stock plans.</w:t>
      </w:r>
    </w:p>
    <w:p>
      <w:pPr>
        <w:spacing w:after="0" w:line="199" w:lineRule="exact"/>
        <w:rPr>
          <w:sz w:val="20"/>
          <w:szCs w:val="20"/>
          <w:color w:val="auto"/>
        </w:rPr>
      </w:pPr>
    </w:p>
    <w:p>
      <w:pPr>
        <w:ind w:right="220" w:firstLine="405"/>
        <w:spacing w:after="0" w:line="284" w:lineRule="auto"/>
        <w:rPr>
          <w:sz w:val="20"/>
          <w:szCs w:val="20"/>
          <w:color w:val="auto"/>
        </w:rPr>
      </w:pPr>
      <w:r>
        <w:rPr>
          <w:rFonts w:ascii="Arial" w:cs="Arial" w:eastAsia="Arial" w:hAnsi="Arial"/>
          <w:sz w:val="16"/>
          <w:szCs w:val="16"/>
          <w:color w:val="auto"/>
        </w:rPr>
        <w:t>For the nine months ended November 2, 2019, net cash used in financing activities of $76.9 million was primarily attributable to $119.5 million for payment of our quarterly dividends, $80.9 million tax withholding payments on behalf of employees for net share settlements, $64.3 million for repurchases of our common stock, $57.2 million payments for technology license obligations and $50.0 million repayment of debt principal. These outflows were partially offset by $350.0 million proceeds from issuance of debt and $103.1 million proceeds from employee stock plans.</w:t>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140" w:firstLine="405"/>
        <w:spacing w:after="0" w:line="291" w:lineRule="auto"/>
        <w:rPr>
          <w:sz w:val="20"/>
          <w:szCs w:val="20"/>
          <w:color w:val="auto"/>
        </w:rPr>
      </w:pPr>
      <w:r>
        <w:rPr>
          <w:rFonts w:ascii="Arial" w:cs="Arial" w:eastAsia="Arial" w:hAnsi="Arial"/>
          <w:sz w:val="17"/>
          <w:szCs w:val="17"/>
          <w:color w:val="auto"/>
        </w:rPr>
        <w:t>We presented our contractual obligations at February 1, 2020 in our Annual Report on Form 10-K for the fiscal year then ended. There have been no material changes outside the ordinary course of business in those obligations during the three months ended October 31, 2020.</w:t>
      </w:r>
    </w:p>
    <w:p>
      <w:pPr>
        <w:spacing w:after="0" w:line="200" w:lineRule="exact"/>
        <w:rPr>
          <w:sz w:val="20"/>
          <w:szCs w:val="20"/>
          <w:color w:val="auto"/>
        </w:rPr>
      </w:pP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80" w:firstLine="405"/>
        <w:spacing w:after="0" w:line="294"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With our outstanding debt, we are exposed to various forms of market risk, including the potential losses arising from adverse</w:t>
      </w:r>
      <w:r>
        <w:rPr>
          <w:rFonts w:ascii="Arial" w:cs="Arial" w:eastAsia="Arial" w:hAnsi="Arial"/>
          <w:sz w:val="16"/>
          <w:szCs w:val="16"/>
          <w:i w:val="1"/>
          <w:iCs w:val="1"/>
          <w:color w:val="auto"/>
        </w:rPr>
        <w:t xml:space="preserve"> </w:t>
      </w:r>
      <w:r>
        <w:rPr>
          <w:rFonts w:ascii="Arial" w:cs="Arial" w:eastAsia="Arial" w:hAnsi="Arial"/>
          <w:sz w:val="16"/>
          <w:szCs w:val="16"/>
          <w:color w:val="auto"/>
        </w:rPr>
        <w:t>changes in interest rates on our outstanding Term Loan and Revolving Credit Facility. See “Note 9 - Debt” for further information. A hypothetical increase or decrease in the interest rate by 1 percentage point would result in an increase or decrease in annual interest expense by approximately $2.4 million.</w:t>
      </w:r>
    </w:p>
    <w:p>
      <w:pPr>
        <w:spacing w:after="0" w:line="174"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We currently carry debt that relies on the LIBOR as the benchmark rate, with the Term Loan maturing on July 6, 2021. LIBOR is expected to be phased out as a benchmark rate by the end of 2021. We expect our debt to continue to use LIBOR until the rate is no longer available or a relevant governmental authority makes a public statement that LIBOR will no longer be available after a certain date. To the extent LIBOR ceases to exist, we may need to renegotiate our credit agreements that utilize LIBOR as a factor in determining the interest rate. Currently, there is not a firm timeframe for this change. This update currently has no foreseeable impact on our unaudited condensed consolidated financial statements; however, it may have an effect in the future.</w:t>
      </w:r>
    </w:p>
    <w:p>
      <w:pPr>
        <w:spacing w:after="0" w:line="216"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October 31, 2020, aside from cash and cash equivalents.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October 31, 2020,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October 31, 2020 that have materially affected, or are reasonably likely to materially affect, our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43" w:lineRule="exact"/>
        <w:rPr>
          <w:sz w:val="20"/>
          <w:szCs w:val="20"/>
          <w:color w:val="auto"/>
        </w:rPr>
      </w:pPr>
    </w:p>
    <w:p>
      <w:pPr>
        <w:ind w:right="18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40" w:firstLine="324"/>
        <w:spacing w:after="0" w:line="259"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228" w:lineRule="exact"/>
        <w:rPr>
          <w:sz w:val="20"/>
          <w:szCs w:val="20"/>
          <w:color w:val="auto"/>
        </w:rPr>
      </w:pPr>
    </w:p>
    <w:p>
      <w:pPr>
        <w:ind w:left="660" w:right="660" w:hanging="328"/>
        <w:spacing w:after="0" w:line="232"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right="480" w:hanging="328"/>
        <w:spacing w:after="0" w:line="232"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our ability to complete our planned merger with Inphi Corporation on a timely basis, or at all, and limitations and restrictions contained in the Merger Agreement;</w:t>
      </w:r>
    </w:p>
    <w:p>
      <w:pPr>
        <w:ind w:left="660" w:hanging="328"/>
        <w:spacing w:after="0" w:line="217" w:lineRule="auto"/>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our ability to realize anticipated synergies in connection with the Inphi merger and other strategic transactions;</w:t>
      </w:r>
    </w:p>
    <w:p>
      <w:pPr>
        <w:spacing w:after="0" w:line="10" w:lineRule="exact"/>
        <w:rPr>
          <w:rFonts w:ascii="Arial" w:cs="Arial" w:eastAsia="Arial" w:hAnsi="Arial"/>
          <w:sz w:val="22"/>
          <w:szCs w:val="22"/>
          <w:color w:val="auto"/>
        </w:rPr>
      </w:pPr>
    </w:p>
    <w:p>
      <w:pPr>
        <w:ind w:left="660" w:right="140" w:hanging="328"/>
        <w:spacing w:after="0" w:line="210"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the impact of Brexit on the economy in the E.U., political conditions, such as the recent tariffs and trade restrictions with China and other foreign nations, and specific conditions in the end markets we address, including the continuing volatility in the technology sector and semiconductor industry;</w:t>
      </w:r>
    </w:p>
    <w:p>
      <w:pPr>
        <w:ind w:left="660" w:right="120" w:hanging="328"/>
        <w:spacing w:after="0" w:line="225"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40" w:hanging="328"/>
        <w:spacing w:after="0" w:line="233"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ind w:left="660" w:right="500" w:hanging="328"/>
        <w:spacing w:after="0" w:line="232"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hanging="328"/>
        <w:spacing w:after="0" w:line="217" w:lineRule="auto"/>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0" w:lineRule="exact"/>
        <w:rPr>
          <w:rFonts w:ascii="Arial" w:cs="Arial" w:eastAsia="Arial" w:hAnsi="Arial"/>
          <w:sz w:val="22"/>
          <w:szCs w:val="22"/>
          <w:color w:val="auto"/>
        </w:rPr>
      </w:pPr>
    </w:p>
    <w:p>
      <w:pPr>
        <w:ind w:left="660" w:hanging="328"/>
        <w:spacing w:after="0" w:line="231" w:lineRule="auto"/>
        <w:tabs>
          <w:tab w:leader="none" w:pos="660" w:val="left"/>
        </w:tabs>
        <w:numPr>
          <w:ilvl w:val="0"/>
          <w:numId w:val="12"/>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60" w:hanging="328"/>
        <w:spacing w:after="0" w:line="213"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spacing w:after="0" w:line="200" w:lineRule="exact"/>
        <w:rPr>
          <w:sz w:val="20"/>
          <w:szCs w:val="20"/>
          <w:color w:val="auto"/>
        </w:rPr>
      </w:pPr>
    </w:p>
    <w:p>
      <w:pPr>
        <w:spacing w:after="0" w:line="3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60" w:right="360" w:hanging="328"/>
        <w:spacing w:after="0" w:line="212"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our ability to realize anticipated synergies in connection with our acquisitions and our loss of synergies in connection with our divestitures;</w:t>
      </w:r>
    </w:p>
    <w:p>
      <w:pPr>
        <w:spacing w:after="0" w:line="1" w:lineRule="exact"/>
        <w:rPr>
          <w:rFonts w:ascii="Arial" w:cs="Arial" w:eastAsia="Arial" w:hAnsi="Arial"/>
          <w:sz w:val="22"/>
          <w:szCs w:val="22"/>
          <w:color w:val="auto"/>
        </w:rPr>
      </w:pPr>
    </w:p>
    <w:p>
      <w:pPr>
        <w:ind w:left="660" w:hanging="328"/>
        <w:spacing w:after="0" w:line="210"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ind w:left="660" w:hanging="328"/>
        <w:spacing w:after="0" w:line="204" w:lineRule="auto"/>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0" w:lineRule="exact"/>
        <w:rPr>
          <w:rFonts w:ascii="Arial" w:cs="Arial" w:eastAsia="Arial" w:hAnsi="Arial"/>
          <w:sz w:val="22"/>
          <w:szCs w:val="22"/>
          <w:color w:val="auto"/>
        </w:rPr>
      </w:pPr>
    </w:p>
    <w:p>
      <w:pPr>
        <w:ind w:left="660" w:right="700" w:hanging="328"/>
        <w:spacing w:after="0" w:line="213"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a timely and effective manner, as well as our ability to anticipate and adapt to changes in technology;</w:t>
      </w:r>
    </w:p>
    <w:p>
      <w:pPr>
        <w:ind w:left="660" w:hanging="328"/>
        <w:spacing w:after="0" w:line="204" w:lineRule="auto"/>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U.S.;</w:t>
      </w:r>
    </w:p>
    <w:p>
      <w:pPr>
        <w:spacing w:after="0" w:line="13" w:lineRule="exact"/>
        <w:rPr>
          <w:rFonts w:ascii="Arial" w:cs="Arial" w:eastAsia="Arial" w:hAnsi="Arial"/>
          <w:sz w:val="22"/>
          <w:szCs w:val="22"/>
          <w:color w:val="auto"/>
        </w:rPr>
      </w:pPr>
    </w:p>
    <w:p>
      <w:pPr>
        <w:ind w:left="660" w:right="260" w:hanging="328"/>
        <w:spacing w:after="0" w:line="233"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22"/>
          <w:szCs w:val="22"/>
          <w:color w:val="auto"/>
        </w:rPr>
      </w:pPr>
    </w:p>
    <w:p>
      <w:pPr>
        <w:ind w:left="660" w:right="500" w:hanging="328"/>
        <w:spacing w:after="0" w:line="226"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managerial, engineering, sales and marketing personnel;</w:t>
      </w:r>
    </w:p>
    <w:p>
      <w:pPr>
        <w:ind w:left="660" w:hanging="328"/>
        <w:spacing w:after="0" w:line="234" w:lineRule="auto"/>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risks related to severe financial hardship or bankruptcy of one or more of our major customers; and</w:t>
      </w:r>
    </w:p>
    <w:p>
      <w:pPr>
        <w:spacing w:after="0" w:line="7" w:lineRule="exact"/>
        <w:rPr>
          <w:rFonts w:ascii="Arial" w:cs="Arial" w:eastAsia="Arial" w:hAnsi="Arial"/>
          <w:sz w:val="18"/>
          <w:szCs w:val="18"/>
          <w:color w:val="auto"/>
        </w:rPr>
      </w:pPr>
    </w:p>
    <w:p>
      <w:pPr>
        <w:ind w:left="660" w:right="100" w:hanging="328"/>
        <w:spacing w:after="0" w:line="218"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6"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60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could significantly disrupt and adversely impact our manufacturing, research and development, operations, sales and financial results.</w:t>
      </w:r>
    </w:p>
    <w:p>
      <w:pPr>
        <w:spacing w:after="0" w:line="193" w:lineRule="exact"/>
        <w:rPr>
          <w:sz w:val="20"/>
          <w:szCs w:val="20"/>
          <w:color w:val="auto"/>
        </w:rPr>
      </w:pPr>
    </w:p>
    <w:p>
      <w:pPr>
        <w:ind w:right="14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7"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51"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10" w:lineRule="exact"/>
        <w:rPr>
          <w:sz w:val="20"/>
          <w:szCs w:val="20"/>
          <w:color w:val="auto"/>
        </w:rPr>
      </w:pPr>
    </w:p>
    <w:p>
      <w:pPr>
        <w:ind w:right="380" w:firstLine="405"/>
        <w:spacing w:after="0" w:line="243"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remains temporarily suspended in anticipation of the funding of our acquisition of Inphi. See the Risk Factor entitled “</w:t>
      </w:r>
      <w:r>
        <w:rPr>
          <w:rFonts w:ascii="Arial" w:cs="Arial" w:eastAsia="Arial" w:hAnsi="Arial"/>
          <w:sz w:val="18"/>
          <w:szCs w:val="18"/>
          <w:i w:val="1"/>
          <w:iCs w:val="1"/>
          <w:color w:val="auto"/>
        </w:rPr>
        <w:t>There can be no assurance that we will</w:t>
      </w:r>
      <w:r>
        <w:rPr>
          <w:rFonts w:ascii="Arial" w:cs="Arial" w:eastAsia="Arial" w:hAnsi="Arial"/>
          <w:sz w:val="18"/>
          <w:szCs w:val="18"/>
          <w:color w:val="auto"/>
        </w:rPr>
        <w:t xml:space="preserve"> </w:t>
      </w:r>
      <w:r>
        <w:rPr>
          <w:rFonts w:ascii="Arial" w:cs="Arial" w:eastAsia="Arial" w:hAnsi="Arial"/>
          <w:sz w:val="18"/>
          <w:szCs w:val="18"/>
          <w:i w:val="1"/>
          <w:iCs w:val="1"/>
          <w:color w:val="auto"/>
        </w:rPr>
        <w:t>continue to declare cash dividends or effect share repurchases in any particular amount or at all, and statutory requirements under Bermuda Law may require us to defer payment of declared dividends or suspend share repurchases.</w:t>
      </w:r>
      <w:r>
        <w:rPr>
          <w:rFonts w:ascii="Arial" w:cs="Arial" w:eastAsia="Arial" w:hAnsi="Arial"/>
          <w:sz w:val="18"/>
          <w:szCs w:val="18"/>
          <w:color w:val="auto"/>
        </w:rPr>
        <w:t>”</w:t>
      </w:r>
    </w:p>
    <w:p>
      <w:pPr>
        <w:spacing w:after="0" w:line="215"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w:t>
      </w:r>
    </w:p>
    <w:p>
      <w:pPr>
        <w:spacing w:after="0" w:line="198"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Due to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PROPOSED MERGER WITH INPHI</w:t>
      </w:r>
    </w:p>
    <w:p>
      <w:pPr>
        <w:spacing w:after="0" w:line="239" w:lineRule="exact"/>
        <w:rPr>
          <w:sz w:val="20"/>
          <w:szCs w:val="20"/>
          <w:color w:val="auto"/>
        </w:rPr>
      </w:pPr>
    </w:p>
    <w:p>
      <w:pPr>
        <w:ind w:right="240"/>
        <w:spacing w:after="0" w:line="294" w:lineRule="auto"/>
        <w:rPr>
          <w:sz w:val="20"/>
          <w:szCs w:val="20"/>
          <w:color w:val="auto"/>
        </w:rPr>
      </w:pPr>
      <w:r>
        <w:rPr>
          <w:rFonts w:ascii="Arial" w:cs="Arial" w:eastAsia="Arial" w:hAnsi="Arial"/>
          <w:sz w:val="16"/>
          <w:szCs w:val="16"/>
          <w:b w:val="1"/>
          <w:bCs w:val="1"/>
          <w:i w:val="1"/>
          <w:iCs w:val="1"/>
          <w:color w:val="auto"/>
        </w:rPr>
        <w:t>Our proposed acquisition of Inphi involves a number of risks, including, among others, the risk that we fail to complete the acquisition in a timely manner or at all, regulatory risks, risks associated with our use of a significant portion of our cash and our taking on significant indebtedness, other financial risks, integration risks, and risks associated with the reactions of customers, suppliers and employees.</w:t>
      </w:r>
    </w:p>
    <w:p>
      <w:pPr>
        <w:spacing w:after="0" w:line="174" w:lineRule="exact"/>
        <w:rPr>
          <w:sz w:val="20"/>
          <w:szCs w:val="20"/>
          <w:color w:val="auto"/>
        </w:rPr>
      </w:pPr>
    </w:p>
    <w:p>
      <w:pPr>
        <w:ind w:right="40" w:firstLine="405"/>
        <w:spacing w:after="0" w:line="238" w:lineRule="auto"/>
        <w:rPr>
          <w:sz w:val="20"/>
          <w:szCs w:val="20"/>
          <w:color w:val="auto"/>
        </w:rPr>
      </w:pPr>
      <w:r>
        <w:rPr>
          <w:rFonts w:ascii="Arial" w:cs="Arial" w:eastAsia="Arial" w:hAnsi="Arial"/>
          <w:sz w:val="18"/>
          <w:szCs w:val="18"/>
          <w:color w:val="auto"/>
        </w:rPr>
        <w:t>On October 29, 2020, Marvell entered into an Agreement and Plan of Merger and Reorganization (the “Merger Agreement”), by and among Marvell,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 As a result of the transaction, the parent company will be domiciled in the United States upon closing of the transaction.</w:t>
      </w:r>
    </w:p>
    <w:p>
      <w:pPr>
        <w:spacing w:after="0" w:line="221" w:lineRule="exact"/>
        <w:rPr>
          <w:sz w:val="20"/>
          <w:szCs w:val="20"/>
          <w:color w:val="auto"/>
        </w:rPr>
      </w:pPr>
    </w:p>
    <w:p>
      <w:pPr>
        <w:ind w:right="360" w:firstLine="405"/>
        <w:spacing w:after="0" w:line="248" w:lineRule="auto"/>
        <w:rPr>
          <w:sz w:val="20"/>
          <w:szCs w:val="20"/>
          <w:color w:val="auto"/>
        </w:rPr>
      </w:pPr>
      <w:r>
        <w:rPr>
          <w:rFonts w:ascii="Arial" w:cs="Arial" w:eastAsia="Arial" w:hAnsi="Arial"/>
          <w:sz w:val="18"/>
          <w:szCs w:val="18"/>
          <w:color w:val="auto"/>
        </w:rPr>
        <w:t>Our and Inphi’s obligations to consummate the proposed Mergers are subject to the satisfaction or waiver of certain conditions, including, among others: (i) approval by Marvell’s shareholders of the Merger Agreement and the Bermuda Merger; (ii) adoption by Inphi’s stockholders of the Merger Agreement; and (iii) the receipt of certain regulatory approvals.</w:t>
      </w:r>
    </w:p>
    <w:p>
      <w:pPr>
        <w:spacing w:after="0" w:line="195" w:lineRule="exact"/>
        <w:rPr>
          <w:sz w:val="20"/>
          <w:szCs w:val="20"/>
          <w:color w:val="auto"/>
        </w:rPr>
      </w:pPr>
    </w:p>
    <w:p>
      <w:pPr>
        <w:ind w:right="20" w:firstLine="405"/>
        <w:spacing w:after="0" w:line="216" w:lineRule="auto"/>
        <w:rPr>
          <w:sz w:val="20"/>
          <w:szCs w:val="20"/>
          <w:color w:val="auto"/>
        </w:rPr>
      </w:pPr>
      <w:r>
        <w:rPr>
          <w:rFonts w:ascii="Arial" w:cs="Arial" w:eastAsia="Arial" w:hAnsi="Arial"/>
          <w:sz w:val="18"/>
          <w:szCs w:val="18"/>
          <w:color w:val="auto"/>
        </w:rPr>
        <w:t>The regulatory approvals required in connection with the proposed transaction may not be obtained or may contain materially burdensome conditions. If any conditions or changes to the structure of the proposed Mergers are required to obtain these regulatory approvals, they may have the effect of jeopardizing or delaying completion of the proposed Mergers or reducing the anticipated benefits of the transaction to HoldCo. If we agree to any material conditions in order to obtain any approvals required to complete the proposed Mergers, HoldCo’s business and results of operations may be adversely affected.</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In addition, the incurrence of substantial indebtedness in connection with the financing of the proposed Mergers will reduce HoldCo’s liquidity, and may limit HoldCo’s flexibility in responding to other business opportunities and increase our vulnerability to adverse economic and industry conditions.</w:t>
      </w:r>
    </w:p>
    <w:p>
      <w:pPr>
        <w:spacing w:after="0" w:line="151"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If the proposed Mergers are not completed by June 30, 2021 (or March 1, 2022, if extended by either party in accordance with the terms of the Merger Agreement) under certain circumstances, including in the event receipt of certain required regulatory approvals has not been obtained, either Marvell or Inphi may choose to terminate the Merger Agreement. Marvell or Inphi may also elect to terminate the Merger Agreement in certain other circumstances, or they may mutually decide to terminate the Merger Agreement at any time prior to the effective time of the Delaware Merger, before or after obtaining shareholder approval, as applicable.</w:t>
      </w:r>
    </w:p>
    <w:p>
      <w:pPr>
        <w:spacing w:after="0" w:line="216"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If the proposed Mergers are not completed, our stock price could fall to the extent that our current price reflects an assumption that we will complete it. Furthermore, if the proposed Mergers are not completed and the Merger Agreement is terminated, we would not realize any of the expected benefits of the proposed Mergers, and we may suffer other consequences that could adversely affect our business, results of operations and stock price, including, among others:</w:t>
      </w:r>
    </w:p>
    <w:p>
      <w:pPr>
        <w:spacing w:after="0" w:line="242" w:lineRule="exact"/>
        <w:rPr>
          <w:sz w:val="20"/>
          <w:szCs w:val="20"/>
          <w:color w:val="auto"/>
        </w:rPr>
      </w:pPr>
    </w:p>
    <w:p>
      <w:pPr>
        <w:ind w:left="520" w:hanging="107"/>
        <w:spacing w:after="0"/>
        <w:tabs>
          <w:tab w:leader="none" w:pos="5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could be required to pay a termination fee of up to $460 million;</w:t>
      </w:r>
    </w:p>
    <w:p>
      <w:pPr>
        <w:spacing w:after="0" w:line="279" w:lineRule="exact"/>
        <w:rPr>
          <w:rFonts w:ascii="Arial" w:cs="Arial" w:eastAsia="Arial" w:hAnsi="Arial"/>
          <w:sz w:val="18"/>
          <w:szCs w:val="18"/>
          <w:color w:val="auto"/>
        </w:rPr>
      </w:pPr>
    </w:p>
    <w:p>
      <w:pPr>
        <w:ind w:left="660" w:right="600" w:hanging="247"/>
        <w:spacing w:after="0" w:line="277" w:lineRule="auto"/>
        <w:tabs>
          <w:tab w:leader="none" w:pos="534"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will have incurred and may continue to incur costs relating to the proposed Mergers, many of which are payable by us whether or not the proposed Mergers are completed;</w:t>
      </w:r>
    </w:p>
    <w:p>
      <w:pPr>
        <w:spacing w:after="0" w:line="210" w:lineRule="exact"/>
        <w:rPr>
          <w:rFonts w:ascii="Arial" w:cs="Arial" w:eastAsia="Arial" w:hAnsi="Arial"/>
          <w:sz w:val="18"/>
          <w:szCs w:val="18"/>
          <w:color w:val="auto"/>
        </w:rPr>
      </w:pPr>
    </w:p>
    <w:p>
      <w:pPr>
        <w:ind w:left="660" w:right="60" w:hanging="247"/>
        <w:spacing w:after="0" w:line="308" w:lineRule="auto"/>
        <w:tabs>
          <w:tab w:leader="none" w:pos="534" w:val="left"/>
        </w:tabs>
        <w:numPr>
          <w:ilvl w:val="0"/>
          <w:numId w:val="14"/>
        </w:numPr>
        <w:rPr>
          <w:rFonts w:ascii="Arial" w:cs="Arial" w:eastAsia="Arial" w:hAnsi="Arial"/>
          <w:sz w:val="17"/>
          <w:szCs w:val="17"/>
          <w:color w:val="auto"/>
        </w:rPr>
      </w:pPr>
      <w:r>
        <w:rPr>
          <w:rFonts w:ascii="Arial" w:cs="Arial" w:eastAsia="Arial" w:hAnsi="Arial"/>
          <w:sz w:val="17"/>
          <w:szCs w:val="17"/>
          <w:color w:val="auto"/>
        </w:rPr>
        <w:t>matters related to the proposed Mergers (including integration planning) require substantial commitments of time and resources by our management team and numerous others throughout our organization, which could otherwise have been devoted to other opportunities;</w:t>
      </w:r>
    </w:p>
    <w:p>
      <w:pPr>
        <w:spacing w:after="0" w:line="186" w:lineRule="exact"/>
        <w:rPr>
          <w:rFonts w:ascii="Arial" w:cs="Arial" w:eastAsia="Arial" w:hAnsi="Arial"/>
          <w:sz w:val="17"/>
          <w:szCs w:val="17"/>
          <w:color w:val="auto"/>
        </w:rPr>
      </w:pPr>
    </w:p>
    <w:p>
      <w:pPr>
        <w:ind w:left="520" w:hanging="107"/>
        <w:spacing w:after="0"/>
        <w:tabs>
          <w:tab w:leader="none" w:pos="5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may be subject to legal proceedings related to the proposed Mergers or the failure to complete the proposed Mergers;</w:t>
      </w:r>
    </w:p>
    <w:p>
      <w:pPr>
        <w:spacing w:after="0" w:line="279" w:lineRule="exact"/>
        <w:rPr>
          <w:rFonts w:ascii="Arial" w:cs="Arial" w:eastAsia="Arial" w:hAnsi="Arial"/>
          <w:sz w:val="18"/>
          <w:szCs w:val="18"/>
          <w:color w:val="auto"/>
        </w:rPr>
      </w:pPr>
    </w:p>
    <w:p>
      <w:pPr>
        <w:ind w:left="520" w:hanging="107"/>
        <w:spacing w:after="0"/>
        <w:tabs>
          <w:tab w:leader="none" w:pos="5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failure to complete the proposed Mergers may result in negative publicity and a negative perception of us in the investment community; and</w:t>
      </w:r>
    </w:p>
    <w:p>
      <w:pPr>
        <w:spacing w:after="0" w:line="302" w:lineRule="exact"/>
        <w:rPr>
          <w:rFonts w:ascii="Arial" w:cs="Arial" w:eastAsia="Arial" w:hAnsi="Arial"/>
          <w:sz w:val="16"/>
          <w:szCs w:val="16"/>
          <w:color w:val="auto"/>
        </w:rPr>
      </w:pPr>
    </w:p>
    <w:p>
      <w:pPr>
        <w:ind w:left="660" w:right="440" w:hanging="247"/>
        <w:spacing w:after="0" w:line="256" w:lineRule="auto"/>
        <w:tabs>
          <w:tab w:leader="none" w:pos="534"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any disruptions to our business resulting from the announcement and pendency of the proposed Mergers, including any adverse changes in our relationships with our customers, suppliers, partners or employees, may continue to intensify in the event the proposed Mergers are not consummated.</w:t>
      </w:r>
    </w:p>
    <w:p>
      <w:pPr>
        <w:spacing w:after="0" w:line="202"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benefits we expect HoldCo to realize from the proposed Mergers will depend, in part, on HoldCo’s ability to integrate the businesses successfully and efficiently.</w:t>
      </w:r>
    </w:p>
    <w:p>
      <w:pPr>
        <w:spacing w:after="0" w:line="198" w:lineRule="exact"/>
        <w:rPr>
          <w:sz w:val="20"/>
          <w:szCs w:val="20"/>
          <w:color w:val="auto"/>
        </w:rPr>
      </w:pPr>
    </w:p>
    <w:p>
      <w:pPr>
        <w:ind w:right="220" w:firstLine="405"/>
        <w:spacing w:after="0"/>
        <w:rPr>
          <w:sz w:val="20"/>
          <w:szCs w:val="20"/>
          <w:color w:val="auto"/>
        </w:rPr>
      </w:pPr>
      <w:r>
        <w:rPr>
          <w:rFonts w:ascii="Arial" w:cs="Arial" w:eastAsia="Arial" w:hAnsi="Arial"/>
          <w:sz w:val="18"/>
          <w:szCs w:val="18"/>
          <w:color w:val="auto"/>
        </w:rPr>
        <w:t>Furthermore, uncertainties about the proposed Mergers may cause our and/or Inphi’s current and prospective employees to experience uncertainty about their futures. These uncertainties may impair our and/or Inphi’s ability to retain, recruit or motivate key management, engineering, technical and other personnel. Similarly, our and/or Inphi’s existing or prospective customers, licensees, suppliers and/or partners may delay, defer or cease purchasing products or services from or providing products or services to us or Inphi; delay or defer other decisions concerning us or Inphi; or otherwise seek to change the terms on which they do business with us or Inphi. Any of the above could harm us and/or Inphi, and thus decrease the benefits we expect HoldCo to receive from the proposed Mergers.</w:t>
      </w:r>
    </w:p>
    <w:p>
      <w:pPr>
        <w:spacing w:after="0" w:line="216" w:lineRule="exact"/>
        <w:rPr>
          <w:sz w:val="20"/>
          <w:szCs w:val="20"/>
          <w:color w:val="auto"/>
        </w:rPr>
      </w:pPr>
    </w:p>
    <w:p>
      <w:pPr>
        <w:ind w:right="120" w:firstLine="405"/>
        <w:spacing w:after="0"/>
        <w:rPr>
          <w:sz w:val="20"/>
          <w:szCs w:val="20"/>
          <w:color w:val="auto"/>
        </w:rPr>
      </w:pPr>
      <w:r>
        <w:rPr>
          <w:rFonts w:ascii="Arial" w:cs="Arial" w:eastAsia="Arial" w:hAnsi="Arial"/>
          <w:sz w:val="18"/>
          <w:szCs w:val="18"/>
          <w:color w:val="auto"/>
        </w:rPr>
        <w:t>The proposed Mergers may also result in significant charges or other liabilities, including taxes, that could adversely affect HoldCo’s results of operations, such as cash expenses and non-cash accounting charges incurred in connection with the acquisition and/or integration of the business and operations of Marvell and Inphi. The amount and timing of these possible charges are not yet known. Further, HoldCo’s failure to identify or accurately assess the magnitude of certain liabilities HoldCo is assuming in the proposed transaction could result in unexpected litigation or regulatory exposure, unfavorable accounting charges, unexpected increases in taxes due, a loss of anticipated tax benefits or other adverse effects on HoldCo’s business, results of operations, financial condition or cash flows.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0"/>
        <w:spacing w:after="0" w:line="248" w:lineRule="auto"/>
        <w:rPr>
          <w:sz w:val="20"/>
          <w:szCs w:val="20"/>
          <w:color w:val="auto"/>
        </w:rPr>
      </w:pPr>
      <w:r>
        <w:rPr>
          <w:rFonts w:ascii="Arial" w:cs="Arial" w:eastAsia="Arial" w:hAnsi="Arial"/>
          <w:sz w:val="18"/>
          <w:szCs w:val="18"/>
          <w:b w:val="1"/>
          <w:bCs w:val="1"/>
          <w:i w:val="1"/>
          <w:iCs w:val="1"/>
          <w:color w:val="231F20"/>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p>
    <w:p>
      <w:pPr>
        <w:spacing w:after="0" w:line="236" w:lineRule="exact"/>
        <w:rPr>
          <w:sz w:val="20"/>
          <w:szCs w:val="20"/>
          <w:color w:val="auto"/>
        </w:rPr>
      </w:pPr>
    </w:p>
    <w:p>
      <w:pPr>
        <w:ind w:right="180" w:firstLine="405"/>
        <w:spacing w:after="0" w:line="245" w:lineRule="auto"/>
        <w:rPr>
          <w:sz w:val="20"/>
          <w:szCs w:val="20"/>
          <w:color w:val="auto"/>
        </w:rPr>
      </w:pPr>
      <w:r>
        <w:rPr>
          <w:rFonts w:ascii="Arial" w:cs="Arial" w:eastAsia="Arial" w:hAnsi="Arial"/>
          <w:sz w:val="18"/>
          <w:szCs w:val="18"/>
          <w:color w:val="231F20"/>
        </w:rPr>
        <w:t xml:space="preserve">Until the </w:t>
      </w:r>
      <w:r>
        <w:rPr>
          <w:rFonts w:ascii="Arial" w:cs="Arial" w:eastAsia="Arial" w:hAnsi="Arial"/>
          <w:sz w:val="18"/>
          <w:szCs w:val="18"/>
          <w:color w:val="000000"/>
        </w:rPr>
        <w:t>proposed</w:t>
      </w:r>
      <w:r>
        <w:rPr>
          <w:rFonts w:ascii="Arial" w:cs="Arial" w:eastAsia="Arial" w:hAnsi="Arial"/>
          <w:sz w:val="18"/>
          <w:szCs w:val="18"/>
          <w:color w:val="231F20"/>
        </w:rPr>
        <w:t xml:space="preserve"> Mergers are completed or the Merger Agreement is terminated, the Merger Agreement restricts Marvell and Inphi from taking specified actions without the consent of the other party, and requires Marvell and Inphi to conduct their respective business and operations in the ordinary course in all material respects and substantially in accordance with past practices. These restrictions may prevent Marvell and Inphi from making appropriate changes to their respective businesses or pursuing attractive business opportunities that may arise prior to the completion of the </w:t>
      </w:r>
      <w:r>
        <w:rPr>
          <w:rFonts w:ascii="Arial" w:cs="Arial" w:eastAsia="Arial" w:hAnsi="Arial"/>
          <w:sz w:val="18"/>
          <w:szCs w:val="18"/>
          <w:color w:val="000000"/>
        </w:rPr>
        <w:t>proposed</w:t>
      </w:r>
      <w:r>
        <w:rPr>
          <w:rFonts w:ascii="Arial" w:cs="Arial" w:eastAsia="Arial" w:hAnsi="Arial"/>
          <w:sz w:val="18"/>
          <w:szCs w:val="18"/>
          <w:color w:val="231F20"/>
        </w:rPr>
        <w:t xml:space="preserve"> Mergers.</w:t>
      </w:r>
    </w:p>
    <w:p>
      <w:pPr>
        <w:spacing w:after="0" w:line="213"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b w:val="1"/>
          <w:bCs w:val="1"/>
          <w:i w:val="1"/>
          <w:iCs w:val="1"/>
          <w:color w:val="231F20"/>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198"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231F20"/>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is required to pay a termination fee of $300 million if the Merger Agreement is terminated and, under certain specified circumstances, Marvell is required to pay a termination fee of $400 (or in some cases $460) million if the Merger Agreement is terminated.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231F20"/>
        </w:rPr>
        <w:t>Any delay in completing the Mergers may significantly reduce the benefits expected to be obtained from the Mergers.</w:t>
      </w:r>
    </w:p>
    <w:p>
      <w:pPr>
        <w:spacing w:after="0" w:line="239"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231F20"/>
        </w:rPr>
        <w:t>In addition to the required regulatory clearances and approvals, the Mergers are subject to a number of other conditions that are beyond the control of Marvell and Inphi. The failure to satisfy these and other conditions may prevent, delay or otherwise materially and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02"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i w:val="1"/>
          <w:iCs w:val="1"/>
          <w:color w:val="231F20"/>
        </w:rPr>
        <w:t>There can be no assurance that Marvell will be able to secure the funds necessary to pay the cash portion of the Merger consideration and refinance certain existing indebtedness on acceptable terms, in a timely manner or at all.</w:t>
      </w:r>
    </w:p>
    <w:p>
      <w:pPr>
        <w:spacing w:after="0" w:line="198"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HoldCo intends to fund the cash portion of the Merger consideration to be paid to holders of Inphi common stock with new debt. To this end, Marvell and HoldCo have entered into two debt commitment letters containing commitments for a $1.5 billion senior unsecured term loan facility and a $2.5 billion senior 364-day bridge term loan facility. However, neither Marvell nor HoldCo has entered into definitive agreements for the debt financing (or other financing arrangements in lieu thereof), and the obligation of the lenders to provide the debt financing under the debt commitment letter is subject to a number of customary conditions. There can be no assurance that Marvell or HoldCo will be able to obtain the debt financing pursuant to the debt commitment letters.</w:t>
      </w:r>
    </w:p>
    <w:p>
      <w:pPr>
        <w:spacing w:after="0" w:line="216" w:lineRule="exact"/>
        <w:rPr>
          <w:sz w:val="20"/>
          <w:szCs w:val="20"/>
          <w:color w:val="auto"/>
        </w:rPr>
      </w:pPr>
    </w:p>
    <w:p>
      <w:pPr>
        <w:ind w:right="140" w:firstLine="405"/>
        <w:spacing w:after="0" w:line="324" w:lineRule="auto"/>
        <w:rPr>
          <w:sz w:val="20"/>
          <w:szCs w:val="20"/>
          <w:color w:val="auto"/>
        </w:rPr>
      </w:pPr>
      <w:r>
        <w:rPr>
          <w:rFonts w:ascii="Arial" w:cs="Arial" w:eastAsia="Arial" w:hAnsi="Arial"/>
          <w:sz w:val="16"/>
          <w:szCs w:val="16"/>
          <w:color w:val="auto"/>
        </w:rPr>
        <w:t>In the event that the debt financing contemplated by the debt commitment letters is not available, other financing may not be available on acceptable terms, in a timely manner or at all. If Marvell or HoldCo is unable to obtain debt financing, the proposed Mergers may be delayed or not be completed.</w:t>
      </w:r>
    </w:p>
    <w:p>
      <w:pPr>
        <w:spacing w:after="0" w:line="151" w:lineRule="exact"/>
        <w:rPr>
          <w:sz w:val="20"/>
          <w:szCs w:val="20"/>
          <w:color w:val="auto"/>
        </w:rPr>
      </w:pPr>
    </w:p>
    <w:p>
      <w:pPr>
        <w:jc w:val="both"/>
        <w:ind w:right="20"/>
        <w:spacing w:after="0" w:line="261" w:lineRule="auto"/>
        <w:rPr>
          <w:sz w:val="20"/>
          <w:szCs w:val="20"/>
          <w:color w:val="auto"/>
        </w:rPr>
      </w:pPr>
      <w:r>
        <w:rPr>
          <w:rFonts w:ascii="Arial" w:cs="Arial" w:eastAsia="Arial" w:hAnsi="Arial"/>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198" w:lineRule="exact"/>
        <w:rPr>
          <w:sz w:val="20"/>
          <w:szCs w:val="20"/>
          <w:color w:val="auto"/>
        </w:rPr>
      </w:pPr>
    </w:p>
    <w:p>
      <w:pPr>
        <w:jc w:val="both"/>
        <w:ind w:firstLine="405"/>
        <w:spacing w:after="0"/>
        <w:rPr>
          <w:sz w:val="20"/>
          <w:szCs w:val="20"/>
          <w:color w:val="auto"/>
        </w:rPr>
      </w:pPr>
      <w:r>
        <w:rPr>
          <w:rFonts w:ascii="Arial" w:cs="Arial" w:eastAsia="Arial" w:hAnsi="Arial"/>
          <w:sz w:val="18"/>
          <w:szCs w:val="18"/>
          <w:color w:val="auto"/>
        </w:rPr>
        <w:t>Marvell, Inphi and members of their respective boards of directors may in the future be parties, among others, to various claims and litigation related to the Merger Agreement and the Merger, including putative shareholder class actions. Among other remedies, the plaintiffs in such matters may seek to enjoin the Mergers. The results of complex legal proceedings are difficult to predict, and could delay or prevent the Mergers from being completed in a timely manner. Moreover, litigation could be time consuming and expensive, could divert the attention of Marvell’s and Inphi’s management away from their regular businesses, and, if adversely resolved against either Marvell or Inphi, could have a material adverse effect on Marvell’s or Inphi’s respective financial condition or the condition of the combined company.</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 xml:space="preserve">Failure to successfully integrate the businesses of </w:t>
      </w:r>
      <w:r>
        <w:rPr>
          <w:rFonts w:ascii="Arial" w:cs="Arial" w:eastAsia="Arial" w:hAnsi="Arial"/>
          <w:sz w:val="16"/>
          <w:szCs w:val="16"/>
          <w:b w:val="1"/>
          <w:bCs w:val="1"/>
          <w:i w:val="1"/>
          <w:iCs w:val="1"/>
          <w:color w:val="231F20"/>
        </w:rPr>
        <w:t>Marvell</w:t>
      </w:r>
      <w:r>
        <w:rPr>
          <w:rFonts w:ascii="Arial" w:cs="Arial" w:eastAsia="Arial" w:hAnsi="Arial"/>
          <w:sz w:val="16"/>
          <w:szCs w:val="16"/>
          <w:b w:val="1"/>
          <w:bCs w:val="1"/>
          <w:i w:val="1"/>
          <w:iCs w:val="1"/>
          <w:color w:val="auto"/>
        </w:rPr>
        <w:t xml:space="preserve"> and Inphi in the expected time frame may adversely affect HoldCo’s future results.</w:t>
      </w:r>
    </w:p>
    <w:p>
      <w:pPr>
        <w:spacing w:after="0" w:line="262" w:lineRule="exact"/>
        <w:rPr>
          <w:sz w:val="20"/>
          <w:szCs w:val="20"/>
          <w:color w:val="auto"/>
        </w:rPr>
      </w:pPr>
    </w:p>
    <w:p>
      <w:pPr>
        <w:ind w:right="80" w:firstLine="441"/>
        <w:spacing w:after="0" w:line="255" w:lineRule="auto"/>
        <w:rPr>
          <w:sz w:val="20"/>
          <w:szCs w:val="20"/>
          <w:color w:val="auto"/>
        </w:rPr>
      </w:pPr>
      <w:r>
        <w:rPr>
          <w:rFonts w:ascii="Arial" w:cs="Arial" w:eastAsia="Arial" w:hAnsi="Arial"/>
          <w:sz w:val="17"/>
          <w:szCs w:val="17"/>
          <w:color w:val="auto"/>
        </w:rPr>
        <w:t>Marvell and Inphi entered into the Merger Agreement with the expectation that the Mergers will result in various benefits, including certain cost savings and operational efficiencies or synergies. To realize these anticipated benefits, the businesses of Marvell and Inphi must be successfully integrated. Historically, Marvell and Inphi have been independent companies, and they will continue to be operated as such until the completion of the Mergers. The integration may be complex and time consuming and may require substantial resources and effort. The management of HoldCo may face significant challenges in consolidating the operations of Marvell and Inphi, integrating the technologies, procedures, and policies, as well as addressing the different corporate cultures of the two companies and retaining key personnel. If the companies are not successfully integrated, the anticipated benefits of the mergers may not be realized fully or at all or may take longer to realize than expected.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39"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84" w:lineRule="exact"/>
        <w:rPr>
          <w:sz w:val="20"/>
          <w:szCs w:val="20"/>
          <w:color w:val="auto"/>
        </w:rPr>
      </w:pPr>
    </w:p>
    <w:p>
      <w:pPr>
        <w:jc w:val="both"/>
        <w:ind w:right="140" w:firstLine="405"/>
        <w:spacing w:after="0" w:line="237"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9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12" w:lineRule="exact"/>
        <w:rPr>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On September 19, 2019, we completed the acquisition of Aquantia Corp. (“Aquantia”);</w:t>
      </w:r>
    </w:p>
    <w:p>
      <w:pPr>
        <w:spacing w:after="0" w:line="175" w:lineRule="exact"/>
        <w:rPr>
          <w:rFonts w:ascii="Arial" w:cs="Arial" w:eastAsia="Arial" w:hAnsi="Arial"/>
          <w:sz w:val="20"/>
          <w:szCs w:val="20"/>
          <w:color w:val="auto"/>
        </w:rPr>
      </w:pPr>
    </w:p>
    <w:p>
      <w:pPr>
        <w:ind w:left="660" w:right="420" w:hanging="328"/>
        <w:spacing w:after="0" w:line="208"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w:t>
      </w:r>
    </w:p>
    <w:p>
      <w:pPr>
        <w:spacing w:after="0" w:line="174"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On December 6, 2019, we sold NXP USA, Inc. certain assets related to our Wi-Fi Connectivity business; and</w:t>
      </w:r>
    </w:p>
    <w:p>
      <w:pPr>
        <w:spacing w:after="0" w:line="161" w:lineRule="exact"/>
        <w:rPr>
          <w:rFonts w:ascii="Arial" w:cs="Arial" w:eastAsia="Arial" w:hAnsi="Arial"/>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On October 29, 2020, we entered into the Merger Agreement with Inphi.</w:t>
      </w:r>
    </w:p>
    <w:p>
      <w:pPr>
        <w:spacing w:after="0" w:line="212" w:lineRule="exact"/>
        <w:rPr>
          <w:sz w:val="20"/>
          <w:szCs w:val="20"/>
          <w:color w:val="auto"/>
        </w:rPr>
      </w:pPr>
    </w:p>
    <w:p>
      <w:pPr>
        <w:jc w:val="both"/>
        <w:ind w:firstLine="405"/>
        <w:spacing w:after="0" w:line="262" w:lineRule="auto"/>
        <w:rPr>
          <w:sz w:val="20"/>
          <w:szCs w:val="20"/>
          <w:color w:val="auto"/>
        </w:rPr>
      </w:pPr>
      <w:r>
        <w:rPr>
          <w:rFonts w:ascii="Arial" w:cs="Arial" w:eastAsia="Arial" w:hAnsi="Arial"/>
          <w:sz w:val="17"/>
          <w:szCs w:val="17"/>
          <w:color w:val="auto"/>
        </w:rPr>
        <w:t>Mergers, acquisitions and divestitures include a number of risks and present financial, managerial and operational challenges. 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99"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9"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09"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198"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60"/>
        <w:spacing w:after="0" w:line="235"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 and integration risks.</w:t>
      </w:r>
    </w:p>
    <w:p>
      <w:pPr>
        <w:spacing w:after="0" w:line="189" w:lineRule="exact"/>
        <w:rPr>
          <w:sz w:val="20"/>
          <w:szCs w:val="20"/>
          <w:color w:val="auto"/>
        </w:rPr>
      </w:pPr>
    </w:p>
    <w:p>
      <w:pPr>
        <w:ind w:right="120" w:firstLine="405"/>
        <w:spacing w:after="0" w:line="258" w:lineRule="auto"/>
        <w:rPr>
          <w:sz w:val="20"/>
          <w:szCs w:val="20"/>
          <w:color w:val="auto"/>
        </w:rPr>
      </w:pPr>
      <w:r>
        <w:rPr>
          <w:rFonts w:ascii="Arial" w:cs="Arial" w:eastAsia="Arial" w:hAnsi="Arial"/>
          <w:sz w:val="16"/>
          <w:szCs w:val="16"/>
          <w:color w:val="auto"/>
        </w:rPr>
        <w:t>We used a significant portion of our cash and incurred substantial indebtedness in connection with the financing of our acquisition of Cavium, which was completed in fiscal year 2019. In fiscal year 2020, we used cash and indebtedness to finance our acquisition of Aquantia and indebtedness to finance our acquisition of Avera. As of December 11, 2019, we repaid the entire amount of the indebtedness related to the Aquantia and Avera acquisitions. In addition, Marvell and HoldCo intend to fund the cash portion of the Merger consideration and other fees and expenses required to be paid in connection with the Mergers with new debt. Our use of cash to fund our current and future acquisitions has reduced our liquidity and may (i) limit our flexibility in responding to other business opportunities and (ii) increase our vulnerability to adverse economic and industry conditions.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have reduced the demand for our products and damaged our business.</w:t>
      </w:r>
    </w:p>
    <w:p>
      <w:pPr>
        <w:spacing w:after="0" w:line="193" w:lineRule="exact"/>
        <w:rPr>
          <w:sz w:val="20"/>
          <w:szCs w:val="20"/>
          <w:color w:val="auto"/>
        </w:rPr>
      </w:pPr>
    </w:p>
    <w:p>
      <w:pPr>
        <w:ind w:firstLine="405"/>
        <w:spacing w:after="0" w:line="267" w:lineRule="auto"/>
        <w:rPr>
          <w:sz w:val="20"/>
          <w:szCs w:val="20"/>
          <w:color w:val="auto"/>
        </w:rPr>
      </w:pPr>
      <w:r>
        <w:rPr>
          <w:rFonts w:ascii="Arial" w:cs="Arial" w:eastAsia="Arial" w:hAnsi="Arial"/>
          <w:sz w:val="16"/>
          <w:szCs w:val="16"/>
          <w:color w:val="auto"/>
        </w:rPr>
        <w:t>Regulatory activity, such as enforcement of U.S. export control and sanctions laws, and the imposition of tariffs and export regulations, have in the past and may continue to materially limit our ability to make sales to our significant customers in China, which has in the past and may continue to harm our results of operations, reputation and financial condition. For example, the recent U.S. government export restrictions on a number of Chinese customers, such as Huawei Technologies Co. Ltd., and others have dampened demand for our products, adding to the already challenging macroeconomic environment. An increasing number of Marvell products require licenses for export to Huawei and other companies on the Entity List; there can be no assurances that such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has adopted a new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which use our solutions, such as hard disk drives, may also be impacted by export restrictions. Customers in China may also choose to develop indigenous solutions, as replacements for products that are subject to U.S. export controls. If export restrictions related to Chinese customers are sustained for a long period of time, or if other export restrictions were to be imposed as a result of current trade tensions such as restrictions on trade with other countries, it could have an adverse impact on our revenues and results of operations. Recently, the U.S. has announced prohibitions on certain “transactions” including without limitation “any acquisition, importation, transfer, installation, dealing in, or use of any information and communications technology or service” involving TikTok and WeChat. We are continuing to evaluate the impact of these prohibitions on our business, but these actions, in addition to the executive order last year on securing the information and communications technology and services supply chain, may have direct and indirect adverse impacts on our revenues and results of operations in China and elsewhere.</w:t>
      </w:r>
    </w:p>
    <w:p>
      <w:pPr>
        <w:spacing w:after="0" w:line="204"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 the political and economic policies of the U.S. government in connection with trade with China have reduced the demand for our</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rules or practices may adversely affect our financial results.</w:t>
      </w:r>
      <w:r>
        <w:rPr>
          <w:rFonts w:ascii="Arial" w:cs="Arial" w:eastAsia="Arial" w:hAnsi="Arial"/>
          <w:sz w:val="16"/>
          <w:szCs w:val="16"/>
          <w:color w:val="auto"/>
        </w:rPr>
        <w:t>”</w:t>
      </w:r>
    </w:p>
    <w:p>
      <w:pPr>
        <w:spacing w:after="0" w:line="198" w:lineRule="exact"/>
        <w:rPr>
          <w:sz w:val="20"/>
          <w:szCs w:val="20"/>
          <w:color w:val="auto"/>
        </w:rPr>
      </w:pPr>
    </w:p>
    <w:p>
      <w:pPr>
        <w:ind w:right="4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81% and 83% of our net revenue in the three months ended October 31, 2020 and November 2, 2019, respectively.</w:t>
      </w:r>
    </w:p>
    <w:p>
      <w:pPr>
        <w:spacing w:after="0" w:line="18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60" w:hanging="328"/>
        <w:spacing w:after="0" w:line="261"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38" w:lineRule="exact"/>
        <w:rPr>
          <w:rFonts w:ascii="Arial" w:cs="Arial" w:eastAsia="Arial" w:hAnsi="Arial"/>
          <w:sz w:val="18"/>
          <w:szCs w:val="18"/>
          <w:color w:val="auto"/>
        </w:rPr>
      </w:pPr>
    </w:p>
    <w:p>
      <w:pPr>
        <w:ind w:left="660" w:right="42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202" w:lineRule="exact"/>
        <w:rPr>
          <w:rFonts w:ascii="Arial" w:cs="Arial" w:eastAsia="Arial" w:hAnsi="Arial"/>
          <w:sz w:val="20"/>
          <w:szCs w:val="20"/>
          <w:color w:val="auto"/>
        </w:rPr>
      </w:pPr>
    </w:p>
    <w:p>
      <w:pPr>
        <w:ind w:left="660" w:right="70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2"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Trump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51"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Unfavorable or uncertain conditions in the 5G infrastructure market may cause fluctuations in our rate of revenue growth or financial results.</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worsen, particularly in light of the impacts of the COVID-19 pandemic and potential global recession resulting therefrom, overall spending on 5G</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infrastructure may be reduced, which would adversely impact demand for our products in these markets. In addition, unfavorable developments with</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evolving laws and regulations worldwide related to 5G or 5G suppliers may limit global adoption, impede our strategy, and negatively impact our long-</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term expectations in this area. Even if the 5G infrastructure market develops in the manner or in the time periods we anticipate, if we do not have timely,</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competitively priced, market-accepted products available to meet our customers’ planned roll-out of 5G wireless communication systems, we may miss a</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significant opportunity and our business, financial condition, results of operations and cash flows could be materially and adversely affected. See also,</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Our sales are concentrated in a few large customers. If we lose or experience a significant reduction in sales to any of these key customers, if any of these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key customers experience a significant decline in market share, or if any of these customers experience significant financial difficulties, our revenue may</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decrease substantially and our results of operations and financial condition may be harmed.</w:t>
      </w:r>
      <w:r>
        <w:rPr>
          <w:rFonts w:ascii="Arial" w:cs="Arial" w:eastAsia="Arial" w:hAnsi="Arial"/>
          <w:sz w:val="17"/>
          <w:szCs w:val="17"/>
          <w:color w:val="auto"/>
        </w:rPr>
        <w:t>” for additional risks related to export restrictions that may</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impact a customer in the 5G infrastructure market.</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We receive a significant amount of our revenue from a limited number of customers. For example, during the third quarter of fiscal 2021, there was one distributor, whose revenue as a percentage of our net revenue was 10% or greater of total net revenues. In addition, net revenue from our two largest customers, including this distributor, represented 16% of our net revenue for the three months ended October 31, 2020.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11"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40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w:t>
      </w:r>
    </w:p>
    <w:p>
      <w:pPr>
        <w:spacing w:after="0" w:line="202" w:lineRule="exact"/>
        <w:rPr>
          <w:rFonts w:ascii="Arial" w:cs="Arial" w:eastAsia="Arial" w:hAnsi="Arial"/>
          <w:sz w:val="20"/>
          <w:szCs w:val="20"/>
          <w:color w:val="auto"/>
        </w:rPr>
      </w:pPr>
    </w:p>
    <w:p>
      <w:pPr>
        <w:ind w:left="660" w:right="320" w:hanging="328"/>
        <w:spacing w:after="0" w:line="277" w:lineRule="auto"/>
        <w:tabs>
          <w:tab w:leader="none" w:pos="648" w:val="left"/>
        </w:tabs>
        <w:numPr>
          <w:ilvl w:val="0"/>
          <w:numId w:val="18"/>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 or</w:t>
      </w:r>
    </w:p>
    <w:p>
      <w:pPr>
        <w:spacing w:after="0" w:line="169" w:lineRule="exact"/>
        <w:rPr>
          <w:rFonts w:ascii="Arial" w:cs="Arial" w:eastAsia="Arial" w:hAnsi="Arial"/>
          <w:sz w:val="18"/>
          <w:szCs w:val="18"/>
          <w:color w:val="auto"/>
        </w:rPr>
      </w:pPr>
    </w:p>
    <w:p>
      <w:pPr>
        <w:ind w:left="660" w:right="180" w:hanging="328"/>
        <w:spacing w:after="0" w:line="226"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13" w:lineRule="exact"/>
        <w:rPr>
          <w:sz w:val="20"/>
          <w:szCs w:val="20"/>
          <w:color w:val="auto"/>
        </w:rPr>
      </w:pPr>
    </w:p>
    <w:p>
      <w:pPr>
        <w:ind w:right="4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8"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2"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215"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6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216" w:lineRule="exact"/>
        <w:rPr>
          <w:sz w:val="20"/>
          <w:szCs w:val="20"/>
          <w:color w:val="auto"/>
        </w:rPr>
      </w:pPr>
    </w:p>
    <w:p>
      <w:pPr>
        <w:ind w:right="80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acquired Mellanox Technologies on April 27, 2020 and Infineon acquired Cypress Semiconductors on April 16, 2020. In July 2020, Analog Devices Inc. announced its intent to merge with Maxim Integrated Products Inc. In September 2020, NVIDIA announced its intent to acquire Arm Limited. We license technology from Arm Limited and would be adversely impacted if the pricing for, or availability of, the relevant technology is changed in an adverse manner as a result of this transaction. In October 2020, AMD announced its intent to acquire Xilinx, Inc. Consolidation among our competitors has led, and in the future could lead, to a changing competitive landscape, capabilities and market share, which could put us at a competitive disadvantage and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680"/>
        <w:spacing w:after="0" w:line="266" w:lineRule="auto"/>
        <w:rPr>
          <w:sz w:val="20"/>
          <w:szCs w:val="20"/>
          <w:color w:val="auto"/>
        </w:rPr>
      </w:pPr>
      <w:r>
        <w:rPr>
          <w:rFonts w:ascii="Arial" w:cs="Arial" w:eastAsia="Arial" w:hAnsi="Arial"/>
          <w:sz w:val="18"/>
          <w:szCs w:val="18"/>
          <w:b w:val="1"/>
          <w:b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93" w:lineRule="exact"/>
        <w:rPr>
          <w:sz w:val="20"/>
          <w:szCs w:val="20"/>
          <w:color w:val="auto"/>
        </w:rPr>
      </w:pPr>
    </w:p>
    <w:p>
      <w:pPr>
        <w:ind w:right="100" w:firstLine="405"/>
        <w:spacing w:after="0" w:line="270"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191"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215"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20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215"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233" w:lineRule="exact"/>
        <w:rPr>
          <w:sz w:val="20"/>
          <w:szCs w:val="20"/>
          <w:color w:val="auto"/>
        </w:rPr>
      </w:pPr>
    </w:p>
    <w:p>
      <w:pPr>
        <w:ind w:right="160"/>
        <w:spacing w:after="0" w:line="312" w:lineRule="auto"/>
        <w:rPr>
          <w:sz w:val="20"/>
          <w:szCs w:val="20"/>
          <w:color w:val="auto"/>
        </w:rPr>
      </w:pPr>
      <w:r>
        <w:rPr>
          <w:rFonts w:ascii="Arial" w:cs="Arial" w:eastAsia="Arial" w:hAnsi="Arial"/>
          <w:sz w:val="16"/>
          <w:szCs w:val="16"/>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and testing and assembly.</w:t>
      </w:r>
    </w:p>
    <w:p>
      <w:pPr>
        <w:spacing w:after="0" w:line="160"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20" w:firstLine="405"/>
        <w:spacing w:after="0" w:line="254"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may affect pricing of such commodities. Any increase in the price of components used in our products will adversely affect our gross margins.</w:t>
      </w:r>
    </w:p>
    <w:p>
      <w:pPr>
        <w:spacing w:after="0" w:line="208"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ind w:right="14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82" w:lineRule="exact"/>
        <w:rPr>
          <w:sz w:val="20"/>
          <w:szCs w:val="20"/>
          <w:color w:val="auto"/>
        </w:rPr>
      </w:pPr>
    </w:p>
    <w:p>
      <w:pPr>
        <w:jc w:val="both"/>
        <w:ind w:right="28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8"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29" w:lineRule="exact"/>
        <w:rPr>
          <w:rFonts w:ascii="Arial" w:cs="Arial" w:eastAsia="Arial" w:hAnsi="Arial"/>
          <w:sz w:val="20"/>
          <w:szCs w:val="20"/>
          <w:color w:val="auto"/>
        </w:rPr>
      </w:pPr>
    </w:p>
    <w:p>
      <w:pPr>
        <w:ind w:left="660" w:hanging="328"/>
        <w:spacing w:after="0" w:line="235" w:lineRule="auto"/>
        <w:tabs>
          <w:tab w:leader="none" w:pos="648" w:val="left"/>
        </w:tabs>
        <w:numPr>
          <w:ilvl w:val="0"/>
          <w:numId w:val="19"/>
        </w:numPr>
        <w:rPr>
          <w:rFonts w:ascii="Arial" w:cs="Arial" w:eastAsia="Arial" w:hAnsi="Arial"/>
          <w:sz w:val="19"/>
          <w:szCs w:val="19"/>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20"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9" w:lineRule="exact"/>
        <w:rPr>
          <w:sz w:val="20"/>
          <w:szCs w:val="20"/>
          <w:color w:val="auto"/>
        </w:rPr>
      </w:pPr>
    </w:p>
    <w:p>
      <w:pPr>
        <w:jc w:val="both"/>
        <w:ind w:right="14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7"/>
          <w:szCs w:val="17"/>
          <w:i w:val="1"/>
          <w:iCs w:val="1"/>
          <w:color w:val="auto"/>
        </w:rPr>
        <w:t>Research and Development</w:t>
      </w:r>
      <w:r>
        <w:rPr>
          <w:rFonts w:ascii="Arial" w:cs="Arial" w:eastAsia="Arial" w:hAnsi="Arial"/>
          <w:sz w:val="17"/>
          <w:szCs w:val="17"/>
          <w:color w:val="auto"/>
        </w:rPr>
        <w:t>” under Results of Operations.</w:t>
      </w:r>
    </w:p>
    <w:p>
      <w:pPr>
        <w:spacing w:after="0" w:line="170"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190"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50" w:lineRule="auto"/>
        <w:rPr>
          <w:sz w:val="20"/>
          <w:szCs w:val="20"/>
          <w:color w:val="auto"/>
        </w:rPr>
      </w:pPr>
      <w:r>
        <w:rPr>
          <w:rFonts w:ascii="Arial" w:cs="Arial" w:eastAsia="Arial" w:hAnsi="Arial"/>
          <w:sz w:val="18"/>
          <w:szCs w:val="18"/>
          <w:b w:val="1"/>
          <w:b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208" w:lineRule="exact"/>
        <w:rPr>
          <w:sz w:val="20"/>
          <w:szCs w:val="20"/>
          <w:color w:val="auto"/>
        </w:rPr>
      </w:pPr>
    </w:p>
    <w:p>
      <w:pPr>
        <w:jc w:val="both"/>
        <w:ind w:right="20"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39"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Our foundries</w:t>
      </w:r>
    </w:p>
    <w:p>
      <w:pPr>
        <w:spacing w:after="0" w:line="1" w:lineRule="exact"/>
        <w:rPr>
          <w:sz w:val="20"/>
          <w:szCs w:val="20"/>
          <w:color w:val="auto"/>
        </w:rPr>
      </w:pPr>
    </w:p>
    <w:p>
      <w:pPr>
        <w:ind w:right="140"/>
        <w:spacing w:after="0" w:line="255" w:lineRule="auto"/>
        <w:rPr>
          <w:sz w:val="20"/>
          <w:szCs w:val="20"/>
          <w:color w:val="auto"/>
        </w:rPr>
      </w:pPr>
      <w:r>
        <w:rPr>
          <w:rFonts w:ascii="Arial" w:cs="Arial" w:eastAsia="Arial" w:hAnsi="Arial"/>
          <w:sz w:val="17"/>
          <w:szCs w:val="17"/>
          <w:color w:val="auto"/>
        </w:rPr>
        <w:t>and outsourced assembly and test suppliers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7"/>
          <w:szCs w:val="17"/>
          <w:i w:val="1"/>
          <w:iCs w:val="1"/>
          <w:color w:val="auto"/>
        </w:rPr>
        <w:t>We may experience difficulties in transitioning to smaller geometry process technologies or in</w:t>
      </w:r>
      <w:r>
        <w:rPr>
          <w:rFonts w:ascii="Arial" w:cs="Arial" w:eastAsia="Arial" w:hAnsi="Arial"/>
          <w:sz w:val="17"/>
          <w:szCs w:val="17"/>
          <w:color w:val="auto"/>
        </w:rPr>
        <w:t xml:space="preserve"> </w:t>
      </w:r>
      <w:r>
        <w:rPr>
          <w:rFonts w:ascii="Arial" w:cs="Arial" w:eastAsia="Arial" w:hAnsi="Arial"/>
          <w:sz w:val="17"/>
          <w:szCs w:val="17"/>
          <w:i w:val="1"/>
          <w:iCs w:val="1"/>
          <w:color w:val="auto"/>
        </w:rPr>
        <w:t>achieving higher levels of design integration, which may result in reduced manufacturing yields, delays in product deliveries and increased expenses.</w:t>
      </w:r>
      <w:r>
        <w:rPr>
          <w:rFonts w:ascii="Arial" w:cs="Arial" w:eastAsia="Arial" w:hAnsi="Arial"/>
          <w:sz w:val="17"/>
          <w:szCs w:val="17"/>
          <w:color w:val="auto"/>
        </w:rPr>
        <w:t>”</w:t>
      </w:r>
      <w:r>
        <w:rPr>
          <w:rFonts w:ascii="Arial" w:cs="Arial" w:eastAsia="Arial" w:hAnsi="Arial"/>
          <w:sz w:val="17"/>
          <w:szCs w:val="17"/>
          <w:i w:val="1"/>
          <w:iCs w:val="1"/>
          <w:color w:val="auto"/>
        </w:rPr>
        <w:t xml:space="preserve"> </w:t>
      </w:r>
      <w:r>
        <w:rPr>
          <w:rFonts w:ascii="Arial" w:cs="Arial" w:eastAsia="Arial" w:hAnsi="Arial"/>
          <w:sz w:val="17"/>
          <w:szCs w:val="17"/>
          <w:color w:val="auto"/>
        </w:rPr>
        <w:t>Moreover, if any of our third-party foundry suppliers, outsourced assembly and test suppliers, or other suppliers are unable to secure the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For example, in response to growth in demand from customers for our products, our operations team is continuing to ramp production with our global supply chain partners. However, we have begun to experience a number of industry-wide supply constraints affecting the type of high complexity products we provide for data infrastructure. These supply challenges are currently limiting our ability to fully satisfy the increase in demand for some of our networking products.</w:t>
      </w:r>
    </w:p>
    <w:p>
      <w:pPr>
        <w:spacing w:after="0" w:line="215"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In order to secure sufficient foundry capacity when demand is high and to mitigate the risks described in the foregoing paragraph, we may enter into various arrangements with our foundries, outsourced assembly and test suppliers, or other suppliers that could be costly and harm our results of operations, such as nonrefundable deposits with or loans to such parties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222" w:lineRule="exact"/>
        <w:rPr>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5"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43" w:lineRule="exact"/>
        <w:rPr>
          <w:sz w:val="20"/>
          <w:szCs w:val="20"/>
          <w:color w:val="auto"/>
        </w:rPr>
      </w:pPr>
    </w:p>
    <w:p>
      <w:pPr>
        <w:ind w:right="120" w:firstLine="405"/>
        <w:spacing w:after="0" w:line="270"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w:t>
      </w:r>
    </w:p>
    <w:p>
      <w:pPr>
        <w:spacing w:after="0" w:line="191"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for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could be harmed.</w:t>
      </w:r>
    </w:p>
    <w:p>
      <w:pPr>
        <w:spacing w:after="0" w:line="207"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to comply with the economic substance requirements. It is still not clear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160" w:firstLine="405"/>
        <w:spacing w:after="0" w:line="243" w:lineRule="auto"/>
        <w:rPr>
          <w:sz w:val="20"/>
          <w:szCs w:val="20"/>
          <w:color w:val="auto"/>
        </w:rPr>
      </w:pPr>
      <w:r>
        <w:rPr>
          <w:rFonts w:ascii="Arial" w:cs="Arial" w:eastAsia="Arial" w:hAnsi="Arial"/>
          <w:sz w:val="18"/>
          <w:szCs w:val="18"/>
          <w:color w:val="auto"/>
        </w:rPr>
        <w:t>In addition, in a prior period, the Company transferred certain intellectual property to a related entity in Singapore. The impact to the Company was determined based on our determination of the fair value of this property, which required management to make significant estimates and to apply complex tax regulations in multiple jurisdictions. In a future period, local tax authorities may challenge the fair value determinations made by the Company, which could adversely impact our expected tax benefits from this transaction.</w:t>
      </w:r>
    </w:p>
    <w:p>
      <w:pPr>
        <w:spacing w:after="0" w:line="215" w:lineRule="exact"/>
        <w:rPr>
          <w:sz w:val="20"/>
          <w:szCs w:val="20"/>
          <w:color w:val="auto"/>
        </w:rPr>
      </w:pPr>
    </w:p>
    <w:p>
      <w:pPr>
        <w:jc w:val="both"/>
        <w:ind w:right="280" w:firstLine="324"/>
        <w:spacing w:after="0" w:line="269" w:lineRule="auto"/>
        <w:rPr>
          <w:sz w:val="20"/>
          <w:szCs w:val="20"/>
          <w:color w:val="auto"/>
        </w:rPr>
      </w:pPr>
      <w:r>
        <w:rPr>
          <w:rFonts w:ascii="Arial" w:cs="Arial" w:eastAsia="Arial" w:hAnsi="Arial"/>
          <w:sz w:val="16"/>
          <w:szCs w:val="16"/>
          <w:color w:val="auto"/>
        </w:rPr>
        <w:t>On October 29, 2020, the Company entered into a definitive agreement (the “Merger Agreement”) with Inphi Corporation (“Inphi”), Maui HoldCo, Inc., Maui Acquisition Company Ltd., a Bermuda exempted company and a wholly owned subsidiary of HoldCo (“Bermuda Merger Sub”), and Indigo Acquisition Corp., a Delaware corporation and a wholly owned subsidiary of HoldCo (“Delaware Merger Sub”), pursuant to which, subject to the terms and conditions of the Merger Agreement, the Company will acquire Inphi with cash and stock consideration. Pursuant to the Merger Agreement: (i)</w:t>
      </w:r>
    </w:p>
    <w:p>
      <w:pPr>
        <w:spacing w:after="0" w:line="1" w:lineRule="exact"/>
        <w:rPr>
          <w:sz w:val="20"/>
          <w:szCs w:val="20"/>
          <w:color w:val="auto"/>
        </w:rPr>
      </w:pPr>
    </w:p>
    <w:p>
      <w:pPr>
        <w:spacing w:after="0" w:line="253" w:lineRule="auto"/>
        <w:rPr>
          <w:sz w:val="20"/>
          <w:szCs w:val="20"/>
          <w:color w:val="auto"/>
        </w:rPr>
      </w:pPr>
      <w:r>
        <w:rPr>
          <w:rFonts w:ascii="Arial" w:cs="Arial" w:eastAsia="Arial" w:hAnsi="Arial"/>
          <w:sz w:val="17"/>
          <w:szCs w:val="17"/>
          <w:color w:val="auto"/>
        </w:rPr>
        <w:t>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 As a result of this transaction, upon closing, the parent company will be domiciled in the US and not Bermuda. As a result, the combined group will be subject to taxation in the US, which currently has federal tax rate of 21%. This may cause our overall effective tax rate to increase significantly versus our current corporate effective tax rate as a Bermuda-domiciled company, which could materially impact our financial results, including our earnings and cash flow, for periods after the completion of the proposed Mergers.</w:t>
      </w:r>
    </w:p>
    <w:p>
      <w:pPr>
        <w:spacing w:after="0" w:line="206" w:lineRule="exact"/>
        <w:rPr>
          <w:sz w:val="20"/>
          <w:szCs w:val="20"/>
          <w:color w:val="auto"/>
        </w:rPr>
      </w:pPr>
    </w:p>
    <w:p>
      <w:pPr>
        <w:ind w:right="60" w:firstLine="324"/>
        <w:spacing w:after="0" w:line="239" w:lineRule="auto"/>
        <w:rPr>
          <w:sz w:val="20"/>
          <w:szCs w:val="20"/>
          <w:color w:val="auto"/>
        </w:rPr>
      </w:pPr>
      <w:r>
        <w:rPr>
          <w:rFonts w:ascii="Arial" w:cs="Arial" w:eastAsia="Arial" w:hAnsi="Arial"/>
          <w:sz w:val="18"/>
          <w:szCs w:val="18"/>
          <w:color w:val="auto"/>
        </w:rPr>
        <w:t>Our profitability and effective tax rate could be impacted by unexpected changes to our statutory income tax rates or income tax liabilities. Such changes might include changes in tax law or regulations, changes to our geographic mix of earnings, changes in the valuation of deferred tax assets and liabilities,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 Our current corporate effective tax rate fluctuates significantly from period to period, and is based upon the application of currently applicable income tax laws, regulations and treaties, as well as current judicial and administrative interpretations of these income tax laws, regulations and treaties, in various jurisdictions.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right="120" w:firstLine="405"/>
        <w:spacing w:after="0" w:line="239" w:lineRule="auto"/>
        <w:rPr>
          <w:sz w:val="20"/>
          <w:szCs w:val="20"/>
          <w:color w:val="auto"/>
        </w:rPr>
      </w:pPr>
      <w:r>
        <w:rPr>
          <w:rFonts w:ascii="Arial" w:cs="Arial" w:eastAsia="Arial" w:hAnsi="Arial"/>
          <w:sz w:val="18"/>
          <w:szCs w:val="18"/>
          <w:color w:val="auto"/>
        </w:rPr>
        <w:t>We had approximately $5.3 billion of goodwill and $2.4 billion of acquired intangible assets on our unaudited condensed consolidated balance sheet as of October 31, 2020.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15"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20" w:firstLine="405"/>
        <w:spacing w:after="0" w:line="276" w:lineRule="auto"/>
        <w:rPr>
          <w:sz w:val="20"/>
          <w:szCs w:val="20"/>
          <w:color w:val="auto"/>
        </w:rPr>
      </w:pPr>
      <w:r>
        <w:rPr>
          <w:rFonts w:ascii="Arial" w:cs="Arial" w:eastAsia="Arial" w:hAnsi="Arial"/>
          <w:sz w:val="16"/>
          <w:szCs w:val="16"/>
          <w:color w:val="auto"/>
        </w:rPr>
        <w:t>For example, 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 See “Note 5 - Restructuring” in the Notes to the Unaudited Condensed Consolidated Financial Statements for further information.</w:t>
      </w:r>
    </w:p>
    <w:p>
      <w:pPr>
        <w:spacing w:after="0" w:line="188"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18"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15" w:lineRule="exact"/>
        <w:rPr>
          <w:rFonts w:ascii="Arial" w:cs="Arial" w:eastAsia="Arial" w:hAnsi="Arial"/>
          <w:sz w:val="20"/>
          <w:szCs w:val="20"/>
          <w:color w:val="auto"/>
        </w:rPr>
      </w:pPr>
    </w:p>
    <w:p>
      <w:pPr>
        <w:ind w:left="660" w:hanging="328"/>
        <w:spacing w:after="0" w:line="223"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 w:lineRule="exact"/>
        <w:rPr>
          <w:rFonts w:ascii="Arial" w:cs="Arial" w:eastAsia="Arial" w:hAnsi="Arial"/>
          <w:sz w:val="20"/>
          <w:szCs w:val="20"/>
          <w:color w:val="auto"/>
        </w:rPr>
      </w:pPr>
    </w:p>
    <w:p>
      <w:pPr>
        <w:ind w:left="640" w:hanging="308"/>
        <w:spacing w:after="0" w:line="223" w:lineRule="auto"/>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6" w:lineRule="exact"/>
        <w:rPr>
          <w:sz w:val="20"/>
          <w:szCs w:val="20"/>
          <w:color w:val="auto"/>
        </w:rPr>
      </w:pPr>
    </w:p>
    <w:p>
      <w:pPr>
        <w:ind w:right="10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8"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86"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are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As a result of the proposed transaction with Inphi, our parent company will be domiciled in the United States upon closing of the transaction. As a result, we plan to request to be released from some of the above obligations. We can offer no assurance that such a request will be granted in a timely manner or at all.</w:t>
      </w:r>
    </w:p>
    <w:p>
      <w:pPr>
        <w:spacing w:after="0" w:line="198"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Primarily as a result of our acquisition of Avera, we are now a party to certain contracts with the U.S. government.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4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8"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 protect our intellectual property, which would negatively affect our ability to</w:t>
      </w:r>
      <w:r>
        <w:rPr>
          <w:rFonts w:ascii="Arial" w:cs="Arial" w:eastAsia="Arial" w:hAnsi="Arial"/>
          <w:sz w:val="18"/>
          <w:szCs w:val="18"/>
          <w:color w:val="auto"/>
        </w:rPr>
        <w:t xml:space="preserve"> </w:t>
      </w:r>
      <w:r>
        <w:rPr>
          <w:rFonts w:ascii="Arial" w:cs="Arial" w:eastAsia="Arial" w:hAnsi="Arial"/>
          <w:sz w:val="18"/>
          <w:szCs w:val="18"/>
          <w:i w:val="1"/>
          <w:iCs w:val="1"/>
          <w:color w:val="auto"/>
        </w:rPr>
        <w:t>compete.</w:t>
      </w:r>
      <w:r>
        <w:rPr>
          <w:rFonts w:ascii="Arial" w:cs="Arial" w:eastAsia="Arial" w:hAnsi="Arial"/>
          <w:sz w:val="18"/>
          <w:szCs w:val="18"/>
          <w:color w:val="auto"/>
        </w:rPr>
        <w:t>”</w:t>
      </w:r>
    </w:p>
    <w:p>
      <w:pPr>
        <w:spacing w:after="0" w:line="22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15" w:lineRule="exact"/>
        <w:rPr>
          <w:sz w:val="20"/>
          <w:szCs w:val="20"/>
          <w:color w:val="auto"/>
        </w:rPr>
      </w:pPr>
    </w:p>
    <w:p>
      <w:pPr>
        <w:ind w:left="660" w:right="280" w:hanging="328"/>
        <w:spacing w:after="0" w:line="230" w:lineRule="auto"/>
        <w:tabs>
          <w:tab w:leader="none" w:pos="648" w:val="left"/>
        </w:tabs>
        <w:numPr>
          <w:ilvl w:val="0"/>
          <w:numId w:val="22"/>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2"/>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80" w:hanging="328"/>
        <w:spacing w:after="0" w:line="230" w:lineRule="auto"/>
        <w:tabs>
          <w:tab w:leader="none" w:pos="648" w:val="left"/>
        </w:tabs>
        <w:numPr>
          <w:ilvl w:val="0"/>
          <w:numId w:val="22"/>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22"/>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16"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400" w:firstLine="405"/>
        <w:spacing w:after="0" w:line="243"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October 31, 2020, the outstanding principal balance of the Term Loan amounted to $350 million. See “Note 9 - Debt” for discussion of the debt financing in the Notes to Consolidated Financial Statements set forth in Part II, Item 8 of the Annual Report on Form 10-K.</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In addition to the loans under the credit agreements,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216" w:lineRule="exact"/>
        <w:rPr>
          <w:sz w:val="20"/>
          <w:szCs w:val="20"/>
          <w:color w:val="auto"/>
        </w:rPr>
      </w:pPr>
    </w:p>
    <w:p>
      <w:pPr>
        <w:ind w:right="40" w:firstLine="405"/>
        <w:spacing w:after="0" w:line="275" w:lineRule="auto"/>
        <w:rPr>
          <w:sz w:val="20"/>
          <w:szCs w:val="20"/>
          <w:color w:val="auto"/>
        </w:rPr>
      </w:pPr>
      <w:r>
        <w:rPr>
          <w:rFonts w:ascii="Arial" w:cs="Arial" w:eastAsia="Arial" w:hAnsi="Arial"/>
          <w:sz w:val="16"/>
          <w:szCs w:val="16"/>
          <w:color w:val="auto"/>
        </w:rPr>
        <w:t>In addition, we intend to pay the cash portion of the consideration for the Mergers and other fees and expenses required to be paid in connection with the Mergers from cash on hand and borrowings. We have obtained financing commitments for (i) a $2.5 billion senior 364-day bridge term loan facility (the “Bridge Facility”) pursuant to a commitment letter (the “Bridge Commitment Letter”) dated as of October 29, 2020, with JPMorgan Chase Bank, N.A. (“JPMorgan”), and (ii) a $1.5 billion senior unsecured term loan facility comprised of a $750.0 million 3-year term loan tranche (the “3 Year Term Loan”) and a $750.0 million 5-year term loan tranche (the “5-Year Term Loan,” and collectively with the 3-Year Term Loan, the “Term Loan Facility”) pursuant to a facilities commitment letter (the “Facilities Commitment Letter” and, together with the Bridge Commitment Letter, the “Debt Commitment Letters”) dated as of October 29, 2020, with JPMorgan. Pursuant to the Debt Commitment Letters, subject to the terms and conditions set forth therein, JPMorgan has committed to provide the full amount of the Bridge Facility and the Term Loan Facility. The funding of the Bridge Facility provided for in the Bridge Commitment Letter and the funding of the Term Loan Facility provided for in the Facilities Commitment Letter, in each case, is contingent upon the satisfaction of customary conditions, including (i) execution and delivery of definitive documentation with respect to the Bridge Facility and Term Loan Facility in accordance with the terms set forth in the applicable Commitment Letters and (ii) consummation of the Mergers in accordance with the Merger Agreement. The actual documentation governing the Bridge Facility and the Term Loan Facility has not been finalized, and accordingly, the actual terms may differ from the description of such terms in the applicable Debt Commitment Letters. Availability under the Bridge Facility will be reduced by the net cash proceeds from customary mandatory commitment reduction and prepayment events from issuances of equity, the incurrence of certain other debt or the sale of available assets, in each case subject to limited exceptions. We expect to replace some or all of the Bridge Facility prior to the closing of the Mergers with permanent financing comprised of senior unsecured notes. There can be no assurance that the permanent financing will be completed.</w:t>
      </w:r>
    </w:p>
    <w:p>
      <w:pPr>
        <w:spacing w:after="0" w:line="191" w:lineRule="exact"/>
        <w:rPr>
          <w:sz w:val="20"/>
          <w:szCs w:val="20"/>
          <w:color w:val="auto"/>
        </w:rPr>
      </w:pPr>
    </w:p>
    <w:p>
      <w:pPr>
        <w:ind w:left="60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23"/>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3"/>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23"/>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6"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15"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credit agreements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15" w:lineRule="exact"/>
        <w:rPr>
          <w:sz w:val="20"/>
          <w:szCs w:val="20"/>
          <w:color w:val="auto"/>
        </w:rPr>
      </w:pPr>
    </w:p>
    <w:p>
      <w:pPr>
        <w:jc w:val="both"/>
        <w:ind w:right="120" w:firstLine="405"/>
        <w:spacing w:after="0" w:line="324"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200" w:lineRule="exact"/>
        <w:rPr>
          <w:sz w:val="20"/>
          <w:szCs w:val="20"/>
          <w:color w:val="auto"/>
        </w:rPr>
      </w:pPr>
    </w:p>
    <w:p>
      <w:pPr>
        <w:spacing w:after="0" w:line="2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under which the Senior Notes were issued impose restrictions on our business.</w:t>
      </w:r>
    </w:p>
    <w:p>
      <w:pPr>
        <w:spacing w:after="0" w:line="24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The credit agreements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for the Senior Notes. Our ability to meet the liquidity covenant or the leverage ratio set forth in the credit agreements may be affected by events beyond our control.</w:t>
      </w:r>
    </w:p>
    <w:p>
      <w:pPr>
        <w:spacing w:after="0" w:line="202"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Senior Notes if for any reason we are unable to meet these requirements, or whether we will be able to refinance our indebtedness on terms acceptable to us, or at all.</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Senior Notes at the option of the holder.</w:t>
      </w:r>
    </w:p>
    <w:p>
      <w:pPr>
        <w:spacing w:after="0" w:line="243"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202"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2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7"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recent restructuring efforts and in connection with our recent acquisitions and divestiture,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48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8"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 billion share repurchase program. An aggregate of $1.1 billion of shares have been repurchased under that program as of October 31, 2020.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Our share repurchase program was temporarily suspended in late March 2020 to preserve cash during the COVID-19 pandemic and remains temporarily suspended in anticipation of the funding of our acquisition of Inphi. Although share repurchases were temporarily suspended during this time, as of October 31, 2020, there was $564.5 million remaining available for future share repurchases of the authorization.</w:t>
      </w:r>
    </w:p>
    <w:p>
      <w:pPr>
        <w:spacing w:after="0" w:line="200" w:lineRule="exact"/>
        <w:rPr>
          <w:sz w:val="20"/>
          <w:szCs w:val="20"/>
          <w:color w:val="auto"/>
        </w:rPr>
      </w:pPr>
    </w:p>
    <w:p>
      <w:pPr>
        <w:spacing w:after="0" w:line="252"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shareholder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18" w:lineRule="exact"/>
        <w:rPr>
          <w:sz w:val="20"/>
          <w:szCs w:val="20"/>
          <w:color w:val="auto"/>
        </w:rPr>
      </w:pPr>
    </w:p>
    <w:p>
      <w:pPr>
        <w:ind w:right="20"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1"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right="20" w:firstLine="405"/>
        <w:spacing w:after="0" w:line="23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6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2"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2020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October 31, 2020.</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As a result, the Company did not repurchase any shares during the three months ended October 31, 2020. Although share repurchases are temporarily suspended, we have $564.5 million of repurchase authority remaining under our current share repurchase program.</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3" w:name="page64"/>
    <w:bookmarkEnd w:id="6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Change of Address.</w:t>
      </w:r>
    </w:p>
    <w:p>
      <w:pPr>
        <w:spacing w:after="0" w:line="239" w:lineRule="exact"/>
        <w:rPr>
          <w:sz w:val="20"/>
          <w:szCs w:val="20"/>
          <w:color w:val="auto"/>
        </w:rPr>
      </w:pPr>
    </w:p>
    <w:p>
      <w:pPr>
        <w:ind w:right="120" w:firstLine="405"/>
        <w:spacing w:after="0" w:line="291" w:lineRule="auto"/>
        <w:rPr>
          <w:sz w:val="20"/>
          <w:szCs w:val="20"/>
          <w:color w:val="auto"/>
        </w:rPr>
      </w:pPr>
      <w:r>
        <w:rPr>
          <w:rFonts w:ascii="Arial" w:cs="Arial" w:eastAsia="Arial" w:hAnsi="Arial"/>
          <w:sz w:val="17"/>
          <w:szCs w:val="17"/>
          <w:color w:val="auto"/>
        </w:rPr>
        <w:t>Effective as of October 31, 2020, the Company's principal executive offices moved to Victoria Place, 5th Floor 31 Victoria Street, Hamilton HM 10, Bermuda. This change in address is not related to the proposed changes in our structure related to the closing of the transaction with Inphi.</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Compensatory Arrangements of Certain Officers.</w:t>
      </w:r>
    </w:p>
    <w:p>
      <w:pPr>
        <w:spacing w:after="0" w:line="225" w:lineRule="exact"/>
        <w:rPr>
          <w:sz w:val="20"/>
          <w:szCs w:val="20"/>
          <w:color w:val="auto"/>
        </w:rPr>
      </w:pPr>
    </w:p>
    <w:p>
      <w:pPr>
        <w:ind w:right="260" w:firstLine="405"/>
        <w:spacing w:after="0" w:line="228" w:lineRule="auto"/>
        <w:rPr>
          <w:sz w:val="20"/>
          <w:szCs w:val="20"/>
          <w:color w:val="auto"/>
        </w:rPr>
      </w:pPr>
      <w:r>
        <w:rPr>
          <w:rFonts w:ascii="Arial" w:cs="Arial" w:eastAsia="Arial" w:hAnsi="Arial"/>
          <w:sz w:val="18"/>
          <w:szCs w:val="18"/>
          <w:color w:val="auto"/>
        </w:rPr>
        <w:t>As part of the offer letter that Marvell Technology Group Ltd. (the “Company”) entered into in connection with the recruitment of Mr. Matthew J. Murphy as President and Chief Executive Officer in 2016, the Company entered into a Severance Agreement with Mr. Murphy that provided for certain severance benefits should he be terminated in the future. Following the Company’s annual review of executive severance agreements, on December 1, 2020, the parties extended the agreement’s duration and made certain other changes. The terms of the amended Severance Agreement are summarized below.</w:t>
      </w:r>
    </w:p>
    <w:p>
      <w:pPr>
        <w:spacing w:after="0" w:line="218"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color w:val="auto"/>
        </w:rPr>
        <w:t>If Mr. Murphy’s employment is terminated by the Company for other than “Cause” or if he resigns for “Good Reason” (both as defined in the Severance Agreement), provided he executes and does not revoke a release of claims in a form provided by the Company, he will receive: (a) a lump sum separation payment equal to the sum of two times his then annual base salary, (b) 100% of his target incentive bonus, (c) reimbursement for 12 months of medical insurance premiums, and (d) acceleration of certain equity grants as described below. For each Equity Award (as defined in the Severance Agreement) subject only to time-based vesting, the vesting will be accelerated as if Mr. Murphy had remained employed through the date 18 months following the termination of employment date, and (b) for each Equity Award subject to performance-based vesting to the extent that the performance measurement has been completed and shares based on that performance will vest thereafter solely based on time, the vesting will be accelerated as if Mr. Murphy had remained employed through the date 18 months following the termination of employment date. There shall be no acceleration with respect to that portion of any Equity Awards based on performance where the performance measurement has not been achieved.</w:t>
      </w:r>
    </w:p>
    <w:p>
      <w:pPr>
        <w:spacing w:after="0" w:line="196" w:lineRule="exact"/>
        <w:rPr>
          <w:sz w:val="20"/>
          <w:szCs w:val="20"/>
          <w:color w:val="auto"/>
        </w:rPr>
      </w:pPr>
    </w:p>
    <w:p>
      <w:pPr>
        <w:ind w:firstLine="405"/>
        <w:spacing w:after="0" w:line="324" w:lineRule="auto"/>
        <w:rPr>
          <w:sz w:val="20"/>
          <w:szCs w:val="20"/>
          <w:color w:val="auto"/>
        </w:rPr>
      </w:pPr>
      <w:r>
        <w:rPr>
          <w:rFonts w:ascii="Arial" w:cs="Arial" w:eastAsia="Arial" w:hAnsi="Arial"/>
          <w:sz w:val="16"/>
          <w:szCs w:val="16"/>
          <w:color w:val="auto"/>
        </w:rPr>
        <w:t>The amended Severance Agreement shall terminate upon the later of (i) January 1, 2023 or (ii) if Mr. Murphy is terminated involuntarily by the Company without Cause prior to January 1, 2023, the date that all of the obligations of the parties hereto with respect to this agreement have been satisfied.</w:t>
      </w:r>
    </w:p>
    <w:p>
      <w:pPr>
        <w:spacing w:after="0" w:line="151" w:lineRule="exact"/>
        <w:rPr>
          <w:sz w:val="20"/>
          <w:szCs w:val="20"/>
          <w:color w:val="auto"/>
        </w:rPr>
      </w:pPr>
    </w:p>
    <w:p>
      <w:pPr>
        <w:ind w:right="460" w:firstLine="405"/>
        <w:spacing w:after="0" w:line="261" w:lineRule="auto"/>
        <w:rPr>
          <w:sz w:val="20"/>
          <w:szCs w:val="20"/>
          <w:color w:val="auto"/>
        </w:rPr>
      </w:pPr>
      <w:r>
        <w:rPr>
          <w:rFonts w:ascii="Arial" w:cs="Arial" w:eastAsia="Arial" w:hAnsi="Arial"/>
          <w:sz w:val="18"/>
          <w:szCs w:val="18"/>
          <w:color w:val="auto"/>
        </w:rPr>
        <w:t>The foregoing description of the amended Severance Agreement is qualified in its entirety by reference to the full text of the agreement filed as Exhibit 10.6 incorporated herein by reference.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4" w:name="page65"/>
    <w:bookmarkEnd w:id="6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11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200" w:type="dxa"/>
            <w:vAlign w:val="bottom"/>
            <w:gridSpan w:val="12"/>
            <w:vMerge w:val="restart"/>
          </w:tcPr>
          <w:p>
            <w:pPr>
              <w:ind w:left="400"/>
              <w:spacing w:after="0"/>
              <w:rPr>
                <w:sz w:val="20"/>
                <w:szCs w:val="20"/>
                <w:color w:val="auto"/>
              </w:rPr>
            </w:pPr>
            <w:r>
              <w:rPr>
                <w:rFonts w:ascii="Arial" w:cs="Arial" w:eastAsia="Arial" w:hAnsi="Arial"/>
                <w:sz w:val="14"/>
                <w:szCs w:val="14"/>
                <w:b w:val="1"/>
                <w:bCs w:val="1"/>
                <w:color w:val="auto"/>
              </w:rPr>
              <w:t>Item</w:t>
            </w:r>
          </w:p>
        </w:tc>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Filed with SEC</w:t>
            </w:r>
          </w:p>
        </w:tc>
        <w:tc>
          <w:tcPr>
            <w:tcW w:w="0" w:type="dxa"/>
            <w:vAlign w:val="bottom"/>
          </w:tcPr>
          <w:p>
            <w:pPr>
              <w:spacing w:after="0"/>
              <w:rPr>
                <w:sz w:val="1"/>
                <w:szCs w:val="1"/>
                <w:color w:val="auto"/>
              </w:rPr>
            </w:pPr>
          </w:p>
        </w:tc>
      </w:tr>
      <w:tr>
        <w:trPr>
          <w:trHeight w:val="188"/>
        </w:trPr>
        <w:tc>
          <w:tcPr>
            <w:tcW w:w="1120" w:type="dxa"/>
            <w:vAlign w:val="bottom"/>
            <w:gridSpan w:val="2"/>
            <w:vMerge w:val="continue"/>
          </w:tcPr>
          <w:p>
            <w:pPr>
              <w:spacing w:after="0"/>
              <w:rPr>
                <w:sz w:val="16"/>
                <w:szCs w:val="16"/>
                <w:color w:val="auto"/>
              </w:rPr>
            </w:pPr>
          </w:p>
        </w:tc>
        <w:tc>
          <w:tcPr>
            <w:tcW w:w="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200" w:type="dxa"/>
            <w:vAlign w:val="bottom"/>
            <w:gridSpan w:val="12"/>
            <w:vMerge w:val="continue"/>
          </w:tcPr>
          <w:p>
            <w:pPr>
              <w:spacing w:after="0"/>
              <w:rPr>
                <w:sz w:val="16"/>
                <w:szCs w:val="16"/>
                <w:color w:val="auto"/>
              </w:rPr>
            </w:pPr>
          </w:p>
        </w:tc>
        <w:tc>
          <w:tcPr>
            <w:tcW w:w="820" w:type="dxa"/>
            <w:vAlign w:val="bottom"/>
            <w:gridSpan w:val="2"/>
            <w:vMerge w:val="continue"/>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1020" w:type="dxa"/>
            <w:vAlign w:val="bottom"/>
            <w:tcBorders>
              <w:top w:val="single" w:sz="8" w:color="auto"/>
            </w:tcBorders>
          </w:tcPr>
          <w:p>
            <w:pPr>
              <w:ind w:left="220"/>
              <w:spacing w:after="0" w:line="183"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5"/>
                <w:szCs w:val="15"/>
                <w:color w:val="auto"/>
              </w:rPr>
            </w:pPr>
          </w:p>
        </w:tc>
        <w:tc>
          <w:tcPr>
            <w:tcW w:w="20" w:type="dxa"/>
            <w:vAlign w:val="bottom"/>
            <w:tcBorders>
              <w:top w:val="single" w:sz="8" w:color="auto"/>
            </w:tcBorders>
          </w:tcPr>
          <w:p>
            <w:pPr>
              <w:spacing w:after="0"/>
              <w:rPr>
                <w:sz w:val="15"/>
                <w:szCs w:val="15"/>
                <w:color w:val="auto"/>
              </w:rPr>
            </w:pPr>
          </w:p>
        </w:tc>
        <w:tc>
          <w:tcPr>
            <w:tcW w:w="5060" w:type="dxa"/>
            <w:vAlign w:val="bottom"/>
            <w:tcBorders>
              <w:top w:val="single" w:sz="8" w:color="auto"/>
            </w:tcBorders>
            <w:gridSpan w:val="15"/>
          </w:tcPr>
          <w:p>
            <w:pPr>
              <w:spacing w:after="0" w:line="183" w:lineRule="exact"/>
              <w:rPr>
                <w:sz w:val="20"/>
                <w:szCs w:val="20"/>
                <w:color w:val="auto"/>
              </w:rPr>
            </w:pPr>
            <w:r>
              <w:rPr>
                <w:rFonts w:ascii="Arial" w:cs="Arial" w:eastAsia="Arial" w:hAnsi="Arial"/>
                <w:sz w:val="18"/>
                <w:szCs w:val="18"/>
                <w:color w:val="auto"/>
                <w:w w:val="99"/>
              </w:rPr>
              <w:t>Agreement and Plan of Merger and Reorganization, dated as of</w:t>
            </w:r>
          </w:p>
        </w:tc>
        <w:tc>
          <w:tcPr>
            <w:tcW w:w="120" w:type="dxa"/>
            <w:vAlign w:val="bottom"/>
          </w:tcPr>
          <w:p>
            <w:pPr>
              <w:spacing w:after="0"/>
              <w:rPr>
                <w:sz w:val="15"/>
                <w:szCs w:val="15"/>
                <w:color w:val="auto"/>
              </w:rPr>
            </w:pPr>
          </w:p>
        </w:tc>
        <w:tc>
          <w:tcPr>
            <w:tcW w:w="7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Borders>
              <w:top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tcBorders>
              <w:top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tcBorders>
              <w:top w:val="single" w:sz="8" w:color="auto"/>
            </w:tcBorders>
          </w:tcPr>
          <w:p>
            <w:pPr>
              <w:jc w:val="center"/>
              <w:spacing w:after="0" w:line="183" w:lineRule="exact"/>
              <w:rPr>
                <w:sz w:val="20"/>
                <w:szCs w:val="20"/>
                <w:color w:val="auto"/>
              </w:rPr>
            </w:pPr>
            <w:r>
              <w:rPr>
                <w:rFonts w:ascii="Arial" w:cs="Arial" w:eastAsia="Arial" w:hAnsi="Arial"/>
                <w:sz w:val="18"/>
                <w:szCs w:val="18"/>
                <w:color w:val="auto"/>
                <w:w w:val="90"/>
              </w:rPr>
              <w:t>October 30, 2020</w:t>
            </w:r>
          </w:p>
        </w:tc>
        <w:tc>
          <w:tcPr>
            <w:tcW w:w="0" w:type="dxa"/>
            <w:vAlign w:val="bottom"/>
          </w:tcPr>
          <w:p>
            <w:pPr>
              <w:spacing w:after="0"/>
              <w:rPr>
                <w:sz w:val="1"/>
                <w:szCs w:val="1"/>
                <w:color w:val="auto"/>
              </w:rPr>
            </w:pPr>
          </w:p>
        </w:tc>
      </w:tr>
      <w:tr>
        <w:trPr>
          <w:trHeight w:val="189"/>
        </w:trPr>
        <w:tc>
          <w:tcPr>
            <w:tcW w:w="10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180" w:type="dxa"/>
            <w:vAlign w:val="bottom"/>
            <w:gridSpan w:val="16"/>
          </w:tcPr>
          <w:p>
            <w:pPr>
              <w:spacing w:after="0" w:line="189" w:lineRule="exact"/>
              <w:rPr>
                <w:sz w:val="20"/>
                <w:szCs w:val="20"/>
                <w:color w:val="auto"/>
              </w:rPr>
            </w:pPr>
            <w:r>
              <w:rPr>
                <w:rFonts w:ascii="Arial" w:cs="Arial" w:eastAsia="Arial" w:hAnsi="Arial"/>
                <w:sz w:val="18"/>
                <w:szCs w:val="18"/>
                <w:color w:val="auto"/>
                <w:w w:val="99"/>
              </w:rPr>
              <w:t>October 29, 2020, by and among Marvell Technology Group Ltd.,</w:t>
            </w: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0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180" w:type="dxa"/>
            <w:vAlign w:val="bottom"/>
            <w:gridSpan w:val="16"/>
          </w:tcPr>
          <w:p>
            <w:pPr>
              <w:spacing w:after="0" w:line="189" w:lineRule="exact"/>
              <w:rPr>
                <w:sz w:val="20"/>
                <w:szCs w:val="20"/>
                <w:color w:val="auto"/>
              </w:rPr>
            </w:pPr>
            <w:r>
              <w:rPr>
                <w:rFonts w:ascii="Arial" w:cs="Arial" w:eastAsia="Arial" w:hAnsi="Arial"/>
                <w:sz w:val="18"/>
                <w:szCs w:val="18"/>
                <w:color w:val="auto"/>
              </w:rPr>
              <w:t>Inphi Corporation, Maui HoldCo, Inc., Maui Acquisition Company</w:t>
            </w: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3"/>
        </w:trPr>
        <w:tc>
          <w:tcPr>
            <w:tcW w:w="10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Ltd and Indigo Acquisition Corp.</w:t>
            </w: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5"/>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0"/>
        </w:trPr>
        <w:tc>
          <w:tcPr>
            <w:tcW w:w="1020" w:type="dxa"/>
            <w:vAlign w:val="bottom"/>
          </w:tcPr>
          <w:p>
            <w:pPr>
              <w:ind w:left="220"/>
              <w:spacing w:after="0" w:line="190" w:lineRule="exact"/>
              <w:rPr>
                <w:sz w:val="20"/>
                <w:szCs w:val="20"/>
                <w:color w:val="auto"/>
              </w:rPr>
            </w:pPr>
            <w:r>
              <w:rPr>
                <w:rFonts w:ascii="Arial" w:cs="Arial" w:eastAsia="Arial" w:hAnsi="Arial"/>
                <w:sz w:val="18"/>
                <w:szCs w:val="18"/>
                <w:color w:val="auto"/>
              </w:rPr>
              <w:t>10.1#</w:t>
            </w: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180" w:type="dxa"/>
            <w:vAlign w:val="bottom"/>
            <w:gridSpan w:val="16"/>
          </w:tcPr>
          <w:p>
            <w:pPr>
              <w:spacing w:after="0" w:line="190" w:lineRule="exact"/>
              <w:rPr>
                <w:rFonts w:ascii="Arial" w:cs="Arial" w:eastAsia="Arial" w:hAnsi="Arial"/>
                <w:sz w:val="18"/>
                <w:szCs w:val="18"/>
                <w:color w:val="0000FF"/>
                <w:w w:val="96"/>
              </w:rPr>
            </w:pPr>
            <w:hyperlink w:anchor="page67">
              <w:r>
                <w:rPr>
                  <w:rFonts w:ascii="Arial" w:cs="Arial" w:eastAsia="Arial" w:hAnsi="Arial"/>
                  <w:sz w:val="18"/>
                  <w:szCs w:val="18"/>
                  <w:color w:val="0000FF"/>
                  <w:w w:val="96"/>
                </w:rPr>
                <w:t>Amended and Restated 1995 Stock Option Plan, amended through</w:t>
              </w:r>
            </w:hyperlink>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Pr>
          <w:p>
            <w:pPr>
              <w:jc w:val="center"/>
              <w:spacing w:after="0" w:line="190"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80" w:type="dxa"/>
            <w:vAlign w:val="bottom"/>
            <w:tcBorders>
              <w:top w:val="single" w:sz="8" w:color="0000FF"/>
            </w:tcBorders>
            <w:gridSpan w:val="12"/>
          </w:tcPr>
          <w:p>
            <w:pPr>
              <w:spacing w:after="0" w:line="169" w:lineRule="exact"/>
              <w:rPr>
                <w:rFonts w:ascii="Arial" w:cs="Arial" w:eastAsia="Arial" w:hAnsi="Arial"/>
                <w:sz w:val="18"/>
                <w:szCs w:val="18"/>
                <w:color w:val="0000FF"/>
              </w:rPr>
            </w:pPr>
            <w:hyperlink w:anchor="page67">
              <w:r>
                <w:rPr>
                  <w:rFonts w:ascii="Arial" w:cs="Arial" w:eastAsia="Arial" w:hAnsi="Arial"/>
                  <w:sz w:val="18"/>
                  <w:szCs w:val="18"/>
                  <w:color w:val="0000FF"/>
                </w:rPr>
                <w:t>September 2020</w:t>
              </w:r>
            </w:hyperlink>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gridSpan w:val="2"/>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1020" w:type="dxa"/>
            <w:vAlign w:val="bottom"/>
          </w:tcPr>
          <w:p>
            <w:pPr>
              <w:ind w:left="220"/>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180" w:type="dxa"/>
            <w:vAlign w:val="bottom"/>
            <w:gridSpan w:val="16"/>
          </w:tcPr>
          <w:p>
            <w:pPr>
              <w:spacing w:after="0"/>
              <w:rPr>
                <w:rFonts w:ascii="Arial" w:cs="Arial" w:eastAsia="Arial" w:hAnsi="Arial"/>
                <w:sz w:val="18"/>
                <w:szCs w:val="18"/>
                <w:color w:val="0000FF"/>
                <w:w w:val="94"/>
              </w:rPr>
            </w:pPr>
            <w:hyperlink w:anchor="page82">
              <w:r>
                <w:rPr>
                  <w:rFonts w:ascii="Arial" w:cs="Arial" w:eastAsia="Arial" w:hAnsi="Arial"/>
                  <w:sz w:val="18"/>
                  <w:szCs w:val="18"/>
                  <w:color w:val="0000FF"/>
                  <w:w w:val="94"/>
                </w:rPr>
                <w:t>Form of Stock Unit Agreement and Notice of Grant for use with 1995</w:t>
              </w:r>
            </w:hyperlink>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40" w:type="dxa"/>
            <w:vAlign w:val="bottom"/>
            <w:tcBorders>
              <w:top w:val="single" w:sz="8" w:color="0000FF"/>
            </w:tcBorders>
            <w:gridSpan w:val="14"/>
          </w:tcPr>
          <w:p>
            <w:pPr>
              <w:spacing w:after="0" w:line="156" w:lineRule="exact"/>
              <w:rPr>
                <w:rFonts w:ascii="Arial" w:cs="Arial" w:eastAsia="Arial" w:hAnsi="Arial"/>
                <w:sz w:val="18"/>
                <w:szCs w:val="18"/>
                <w:color w:val="0000FF"/>
              </w:rPr>
            </w:pPr>
            <w:hyperlink w:anchor="page82">
              <w:r>
                <w:rPr>
                  <w:rFonts w:ascii="Arial" w:cs="Arial" w:eastAsia="Arial" w:hAnsi="Arial"/>
                  <w:sz w:val="18"/>
                  <w:szCs w:val="18"/>
                  <w:color w:val="0000FF"/>
                </w:rPr>
                <w:t>Stock Option Plan (amended as of September 2020)</w:t>
              </w:r>
            </w:hyperlink>
          </w:p>
        </w:tc>
        <w:tc>
          <w:tcPr>
            <w:tcW w:w="140" w:type="dxa"/>
            <w:vAlign w:val="bottom"/>
            <w:gridSpan w:val="2"/>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60" w:type="dxa"/>
            <w:vAlign w:val="bottom"/>
            <w:tcBorders>
              <w:right w:val="single" w:sz="8" w:color="0000FF"/>
            </w:tcBorders>
            <w:gridSpan w:val="2"/>
            <w:shd w:val="clear" w:color="auto" w:fill="0000FF"/>
          </w:tcPr>
          <w:p>
            <w:pPr>
              <w:spacing w:after="0" w:line="20" w:lineRule="exact"/>
              <w:rPr>
                <w:sz w:val="1"/>
                <w:szCs w:val="1"/>
                <w:color w:val="auto"/>
              </w:rPr>
            </w:pPr>
          </w:p>
        </w:tc>
        <w:tc>
          <w:tcPr>
            <w:tcW w:w="940" w:type="dxa"/>
            <w:vAlign w:val="bottom"/>
            <w:shd w:val="clear" w:color="auto" w:fill="0000FF"/>
          </w:tcPr>
          <w:p>
            <w:pPr>
              <w:spacing w:after="0" w:line="20" w:lineRule="exact"/>
              <w:rPr>
                <w:sz w:val="1"/>
                <w:szCs w:val="1"/>
                <w:color w:val="auto"/>
              </w:rPr>
            </w:pPr>
          </w:p>
        </w:tc>
        <w:tc>
          <w:tcPr>
            <w:tcW w:w="820" w:type="dxa"/>
            <w:vAlign w:val="bottom"/>
            <w:shd w:val="clear" w:color="auto" w:fill="0000FF"/>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2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rFonts w:ascii="Arial" w:cs="Arial" w:eastAsia="Arial" w:hAnsi="Arial"/>
                <w:sz w:val="18"/>
                <w:szCs w:val="18"/>
                <w:color w:val="0000FF"/>
              </w:rPr>
            </w:pPr>
            <w:hyperlink w:anchor="page93">
              <w:r>
                <w:rPr>
                  <w:rFonts w:ascii="Arial" w:cs="Arial" w:eastAsia="Arial" w:hAnsi="Arial"/>
                  <w:sz w:val="18"/>
                  <w:szCs w:val="18"/>
                  <w:color w:val="0000FF"/>
                </w:rPr>
                <w:t>2000 Employee Stock Purchase Plan Form of Subscription</w:t>
              </w:r>
            </w:hyperlink>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920" w:type="dxa"/>
            <w:vAlign w:val="bottom"/>
            <w:tcBorders>
              <w:top w:val="single" w:sz="8" w:color="0000FF"/>
              <w:bottom w:val="single" w:sz="8" w:color="0000FF"/>
            </w:tcBorders>
            <w:gridSpan w:val="5"/>
          </w:tcPr>
          <w:p>
            <w:pPr>
              <w:spacing w:after="0" w:line="169" w:lineRule="exact"/>
              <w:rPr>
                <w:rFonts w:ascii="Arial" w:cs="Arial" w:eastAsia="Arial" w:hAnsi="Arial"/>
                <w:sz w:val="18"/>
                <w:szCs w:val="18"/>
                <w:color w:val="0000FF"/>
                <w:w w:val="87"/>
              </w:rPr>
            </w:pPr>
            <w:hyperlink w:anchor="page93">
              <w:r>
                <w:rPr>
                  <w:rFonts w:ascii="Arial" w:cs="Arial" w:eastAsia="Arial" w:hAnsi="Arial"/>
                  <w:sz w:val="18"/>
                  <w:szCs w:val="18"/>
                  <w:color w:val="0000FF"/>
                  <w:w w:val="87"/>
                </w:rPr>
                <w:t>Agreement as amended September 2020</w:t>
              </w:r>
            </w:hyperlink>
          </w:p>
        </w:tc>
        <w:tc>
          <w:tcPr>
            <w:tcW w:w="1320" w:type="dxa"/>
            <w:vAlign w:val="bottom"/>
            <w:tcBorders>
              <w:top w:val="single" w:sz="8" w:color="0000FF"/>
            </w:tcBorders>
            <w:gridSpan w:val="2"/>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gridSpan w:val="2"/>
          </w:tcPr>
          <w:p>
            <w:pPr>
              <w:spacing w:after="0"/>
              <w:rPr>
                <w:sz w:val="14"/>
                <w:szCs w:val="14"/>
                <w:color w:val="auto"/>
              </w:rPr>
            </w:pPr>
          </w:p>
        </w:tc>
        <w:tc>
          <w:tcPr>
            <w:tcW w:w="360" w:type="dxa"/>
            <w:vAlign w:val="bottom"/>
            <w:gridSpan w:val="3"/>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020" w:type="dxa"/>
            <w:vAlign w:val="bottom"/>
          </w:tcPr>
          <w:p>
            <w:pPr>
              <w:ind w:left="220"/>
              <w:spacing w:after="0"/>
              <w:rPr>
                <w:sz w:val="20"/>
                <w:szCs w:val="20"/>
                <w:color w:val="auto"/>
              </w:rPr>
            </w:pPr>
            <w:r>
              <w:rPr>
                <w:rFonts w:ascii="Arial" w:cs="Arial" w:eastAsia="Arial" w:hAnsi="Arial"/>
                <w:sz w:val="18"/>
                <w:szCs w:val="18"/>
                <w:color w:val="auto"/>
              </w:rPr>
              <w:t>10.4</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w w:val="99"/>
              </w:rPr>
              <w:t>Commitment Letter, dated as of October 29, 2020, by and among</w:t>
            </w: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0"/>
              </w:rPr>
              <w:t>October 30, 2020</w:t>
            </w:r>
          </w:p>
        </w:tc>
        <w:tc>
          <w:tcPr>
            <w:tcW w:w="0" w:type="dxa"/>
            <w:vAlign w:val="bottom"/>
          </w:tcPr>
          <w:p>
            <w:pPr>
              <w:spacing w:after="0"/>
              <w:rPr>
                <w:sz w:val="1"/>
                <w:szCs w:val="1"/>
                <w:color w:val="auto"/>
              </w:rPr>
            </w:pPr>
          </w:p>
        </w:tc>
      </w:tr>
      <w:tr>
        <w:trPr>
          <w:trHeight w:val="176"/>
        </w:trPr>
        <w:tc>
          <w:tcPr>
            <w:tcW w:w="10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180" w:type="dxa"/>
            <w:vAlign w:val="bottom"/>
            <w:gridSpan w:val="16"/>
          </w:tcPr>
          <w:p>
            <w:pPr>
              <w:spacing w:after="0" w:line="176" w:lineRule="exact"/>
              <w:rPr>
                <w:sz w:val="20"/>
                <w:szCs w:val="20"/>
                <w:color w:val="auto"/>
              </w:rPr>
            </w:pPr>
            <w:r>
              <w:rPr>
                <w:rFonts w:ascii="Arial" w:cs="Arial" w:eastAsia="Arial" w:hAnsi="Arial"/>
                <w:sz w:val="18"/>
                <w:szCs w:val="18"/>
                <w:color w:val="auto"/>
                <w:w w:val="98"/>
              </w:rPr>
              <w:t>Marvell Technology Group Ltd., Maui HoldCo, Inc., and JPMorgan</w:t>
            </w:r>
          </w:p>
        </w:tc>
        <w:tc>
          <w:tcPr>
            <w:tcW w:w="820" w:type="dxa"/>
            <w:vAlign w:val="bottom"/>
            <w:gridSpan w:val="2"/>
            <w:vMerge w:val="restart"/>
          </w:tcPr>
          <w:p>
            <w:pPr>
              <w:ind w:left="20"/>
              <w:spacing w:after="0"/>
              <w:rPr>
                <w:sz w:val="20"/>
                <w:szCs w:val="20"/>
                <w:color w:val="auto"/>
              </w:rPr>
            </w:pPr>
            <w:r>
              <w:rPr>
                <w:rFonts w:ascii="Arial" w:cs="Arial" w:eastAsia="Arial" w:hAnsi="Arial"/>
                <w:sz w:val="18"/>
                <w:szCs w:val="18"/>
                <w:color w:val="auto"/>
              </w:rPr>
              <w:t>8-K</w:t>
            </w:r>
          </w:p>
        </w:tc>
        <w:tc>
          <w:tcPr>
            <w:tcW w:w="1100" w:type="dxa"/>
            <w:vAlign w:val="bottom"/>
            <w:vMerge w:val="restart"/>
          </w:tcPr>
          <w:p>
            <w:pPr>
              <w:jc w:val="right"/>
              <w:ind w:right="215"/>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5"/>
                <w:szCs w:val="15"/>
                <w:color w:val="auto"/>
              </w:rPr>
            </w:pPr>
          </w:p>
        </w:tc>
        <w:tc>
          <w:tcPr>
            <w:tcW w:w="1340" w:type="dxa"/>
            <w:vAlign w:val="bottom"/>
            <w:vMerge w:val="restart"/>
          </w:tcPr>
          <w:p>
            <w:pPr>
              <w:jc w:val="right"/>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Chase Bank, N.A.</w:t>
            </w:r>
          </w:p>
        </w:tc>
        <w:tc>
          <w:tcPr>
            <w:tcW w:w="820" w:type="dxa"/>
            <w:vAlign w:val="bottom"/>
            <w:gridSpan w:val="2"/>
            <w:vMerge w:val="continue"/>
          </w:tcPr>
          <w:p>
            <w:pPr>
              <w:spacing w:after="0"/>
              <w:rPr>
                <w:sz w:val="19"/>
                <w:szCs w:val="19"/>
                <w:color w:val="auto"/>
              </w:rPr>
            </w:pPr>
          </w:p>
        </w:tc>
        <w:tc>
          <w:tcPr>
            <w:tcW w:w="11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1020" w:type="dxa"/>
            <w:vAlign w:val="bottom"/>
          </w:tcPr>
          <w:p>
            <w:pPr>
              <w:ind w:left="220"/>
              <w:spacing w:after="0" w:line="176" w:lineRule="exact"/>
              <w:rPr>
                <w:sz w:val="20"/>
                <w:szCs w:val="20"/>
                <w:color w:val="auto"/>
              </w:rPr>
            </w:pPr>
            <w:r>
              <w:rPr>
                <w:rFonts w:ascii="Arial" w:cs="Arial" w:eastAsia="Arial" w:hAnsi="Arial"/>
                <w:sz w:val="18"/>
                <w:szCs w:val="18"/>
                <w:color w:val="auto"/>
              </w:rPr>
              <w:t>10.5</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180" w:type="dxa"/>
            <w:vAlign w:val="bottom"/>
            <w:gridSpan w:val="16"/>
          </w:tcPr>
          <w:p>
            <w:pPr>
              <w:spacing w:after="0" w:line="176" w:lineRule="exact"/>
              <w:rPr>
                <w:sz w:val="20"/>
                <w:szCs w:val="20"/>
                <w:color w:val="auto"/>
              </w:rPr>
            </w:pPr>
            <w:r>
              <w:rPr>
                <w:rFonts w:ascii="Arial" w:cs="Arial" w:eastAsia="Arial" w:hAnsi="Arial"/>
                <w:sz w:val="18"/>
                <w:szCs w:val="18"/>
                <w:color w:val="auto"/>
                <w:w w:val="96"/>
              </w:rPr>
              <w:t>Facilities Commitment Letter, dated as of October 29, 2020, by and</w:t>
            </w: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tcPr>
          <w:p>
            <w:pPr>
              <w:jc w:val="center"/>
              <w:spacing w:after="0" w:line="176" w:lineRule="exact"/>
              <w:rPr>
                <w:sz w:val="20"/>
                <w:szCs w:val="20"/>
                <w:color w:val="auto"/>
              </w:rPr>
            </w:pPr>
            <w:r>
              <w:rPr>
                <w:rFonts w:ascii="Arial" w:cs="Arial" w:eastAsia="Arial" w:hAnsi="Arial"/>
                <w:sz w:val="18"/>
                <w:szCs w:val="18"/>
                <w:color w:val="auto"/>
                <w:w w:val="90"/>
              </w:rPr>
              <w:t>October 30, 2020</w:t>
            </w:r>
          </w:p>
        </w:tc>
        <w:tc>
          <w:tcPr>
            <w:tcW w:w="0" w:type="dxa"/>
            <w:vAlign w:val="bottom"/>
          </w:tcPr>
          <w:p>
            <w:pPr>
              <w:spacing w:after="0"/>
              <w:rPr>
                <w:sz w:val="1"/>
                <w:szCs w:val="1"/>
                <w:color w:val="auto"/>
              </w:rPr>
            </w:pPr>
          </w:p>
        </w:tc>
      </w:tr>
      <w:tr>
        <w:trPr>
          <w:trHeight w:val="175"/>
        </w:trPr>
        <w:tc>
          <w:tcPr>
            <w:tcW w:w="10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180" w:type="dxa"/>
            <w:vAlign w:val="bottom"/>
            <w:gridSpan w:val="16"/>
          </w:tcPr>
          <w:p>
            <w:pPr>
              <w:spacing w:after="0" w:line="176" w:lineRule="exact"/>
              <w:rPr>
                <w:sz w:val="20"/>
                <w:szCs w:val="20"/>
                <w:color w:val="auto"/>
              </w:rPr>
            </w:pPr>
            <w:r>
              <w:rPr>
                <w:rFonts w:ascii="Arial" w:cs="Arial" w:eastAsia="Arial" w:hAnsi="Arial"/>
                <w:sz w:val="18"/>
                <w:szCs w:val="18"/>
                <w:color w:val="auto"/>
              </w:rPr>
              <w:t>among Marvell Technology Group Ltd., Maui HoldCo, Inc. and</w:t>
            </w:r>
          </w:p>
        </w:tc>
        <w:tc>
          <w:tcPr>
            <w:tcW w:w="820" w:type="dxa"/>
            <w:vAlign w:val="bottom"/>
            <w:gridSpan w:val="2"/>
            <w:vMerge w:val="restart"/>
          </w:tcPr>
          <w:p>
            <w:pPr>
              <w:ind w:left="20"/>
              <w:spacing w:after="0"/>
              <w:rPr>
                <w:sz w:val="20"/>
                <w:szCs w:val="20"/>
                <w:color w:val="auto"/>
              </w:rPr>
            </w:pPr>
            <w:r>
              <w:rPr>
                <w:rFonts w:ascii="Arial" w:cs="Arial" w:eastAsia="Arial" w:hAnsi="Arial"/>
                <w:sz w:val="18"/>
                <w:szCs w:val="18"/>
                <w:color w:val="auto"/>
              </w:rPr>
              <w:t>8-K</w:t>
            </w:r>
          </w:p>
        </w:tc>
        <w:tc>
          <w:tcPr>
            <w:tcW w:w="1100" w:type="dxa"/>
            <w:vAlign w:val="bottom"/>
            <w:vMerge w:val="restart"/>
          </w:tcPr>
          <w:p>
            <w:pPr>
              <w:jc w:val="right"/>
              <w:ind w:right="215"/>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5"/>
                <w:szCs w:val="15"/>
                <w:color w:val="auto"/>
              </w:rPr>
            </w:pPr>
          </w:p>
        </w:tc>
        <w:tc>
          <w:tcPr>
            <w:tcW w:w="1340" w:type="dxa"/>
            <w:vAlign w:val="bottom"/>
            <w:vMerge w:val="restart"/>
          </w:tcPr>
          <w:p>
            <w:pPr>
              <w:jc w:val="right"/>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JPMorgan Chase Bank, N.A.</w:t>
            </w:r>
          </w:p>
        </w:tc>
        <w:tc>
          <w:tcPr>
            <w:tcW w:w="820" w:type="dxa"/>
            <w:vAlign w:val="bottom"/>
            <w:gridSpan w:val="2"/>
            <w:vMerge w:val="continue"/>
          </w:tcPr>
          <w:p>
            <w:pPr>
              <w:spacing w:after="0"/>
              <w:rPr>
                <w:sz w:val="19"/>
                <w:szCs w:val="19"/>
                <w:color w:val="auto"/>
              </w:rPr>
            </w:pPr>
          </w:p>
        </w:tc>
        <w:tc>
          <w:tcPr>
            <w:tcW w:w="11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1020" w:type="dxa"/>
            <w:vAlign w:val="bottom"/>
          </w:tcPr>
          <w:p>
            <w:pPr>
              <w:ind w:left="220"/>
              <w:spacing w:after="0" w:line="190" w:lineRule="exact"/>
              <w:rPr>
                <w:sz w:val="20"/>
                <w:szCs w:val="20"/>
                <w:color w:val="auto"/>
              </w:rPr>
            </w:pPr>
            <w:r>
              <w:rPr>
                <w:rFonts w:ascii="Arial" w:cs="Arial" w:eastAsia="Arial" w:hAnsi="Arial"/>
                <w:sz w:val="18"/>
                <w:szCs w:val="18"/>
                <w:color w:val="auto"/>
              </w:rPr>
              <w:t>10.6</w:t>
            </w: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180" w:type="dxa"/>
            <w:vAlign w:val="bottom"/>
            <w:gridSpan w:val="16"/>
          </w:tcPr>
          <w:p>
            <w:pPr>
              <w:spacing w:after="0" w:line="190" w:lineRule="exact"/>
              <w:rPr>
                <w:rFonts w:ascii="Arial" w:cs="Arial" w:eastAsia="Arial" w:hAnsi="Arial"/>
                <w:sz w:val="18"/>
                <w:szCs w:val="18"/>
                <w:color w:val="0000FF"/>
                <w:w w:val="96"/>
              </w:rPr>
            </w:pPr>
            <w:hyperlink w:anchor="page113">
              <w:r>
                <w:rPr>
                  <w:rFonts w:ascii="Arial" w:cs="Arial" w:eastAsia="Arial" w:hAnsi="Arial"/>
                  <w:sz w:val="18"/>
                  <w:szCs w:val="18"/>
                  <w:color w:val="0000FF"/>
                  <w:w w:val="96"/>
                </w:rPr>
                <w:t>Severance Agreement with Matt Murphy as amended December 1,</w:t>
              </w:r>
            </w:hyperlink>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Pr>
          <w:p>
            <w:pPr>
              <w:jc w:val="center"/>
              <w:spacing w:after="0" w:line="190"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20" w:type="dxa"/>
            <w:vAlign w:val="bottom"/>
            <w:tcBorders>
              <w:top w:val="single" w:sz="8" w:color="0000FF"/>
            </w:tcBorders>
            <w:gridSpan w:val="2"/>
          </w:tcPr>
          <w:p>
            <w:pPr>
              <w:spacing w:after="0" w:line="156" w:lineRule="exact"/>
              <w:rPr>
                <w:rFonts w:ascii="Arial" w:cs="Arial" w:eastAsia="Arial" w:hAnsi="Arial"/>
                <w:sz w:val="18"/>
                <w:szCs w:val="18"/>
                <w:color w:val="0000FF"/>
              </w:rPr>
            </w:pPr>
            <w:hyperlink w:anchor="page113">
              <w:r>
                <w:rPr>
                  <w:rFonts w:ascii="Arial" w:cs="Arial" w:eastAsia="Arial" w:hAnsi="Arial"/>
                  <w:sz w:val="18"/>
                  <w:szCs w:val="18"/>
                  <w:color w:val="0000FF"/>
                </w:rPr>
                <w:t>2020</w:t>
              </w:r>
            </w:hyperlink>
          </w:p>
        </w:tc>
        <w:tc>
          <w:tcPr>
            <w:tcW w:w="660" w:type="dxa"/>
            <w:vAlign w:val="bottom"/>
            <w:tcBorders>
              <w:top w:val="single" w:sz="8" w:color="0000FF"/>
            </w:tcBorders>
          </w:tcPr>
          <w:p>
            <w:pPr>
              <w:spacing w:after="0"/>
              <w:rPr>
                <w:sz w:val="13"/>
                <w:szCs w:val="13"/>
                <w:color w:val="auto"/>
              </w:rPr>
            </w:pPr>
          </w:p>
        </w:tc>
        <w:tc>
          <w:tcPr>
            <w:tcW w:w="80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820" w:type="dxa"/>
            <w:vAlign w:val="bottom"/>
            <w:tcBorders>
              <w:top w:val="single" w:sz="8" w:color="0000FF"/>
            </w:tcBorders>
          </w:tcPr>
          <w:p>
            <w:pPr>
              <w:spacing w:after="0"/>
              <w:rPr>
                <w:sz w:val="13"/>
                <w:szCs w:val="13"/>
                <w:color w:val="auto"/>
              </w:rPr>
            </w:pPr>
          </w:p>
        </w:tc>
        <w:tc>
          <w:tcPr>
            <w:tcW w:w="500" w:type="dxa"/>
            <w:vAlign w:val="bottom"/>
            <w:tcBorders>
              <w:top w:val="single" w:sz="8" w:color="0000FF"/>
            </w:tcBorders>
          </w:tcPr>
          <w:p>
            <w:pPr>
              <w:spacing w:after="0"/>
              <w:rPr>
                <w:sz w:val="13"/>
                <w:szCs w:val="13"/>
                <w:color w:val="auto"/>
              </w:rPr>
            </w:pPr>
          </w:p>
        </w:tc>
        <w:tc>
          <w:tcPr>
            <w:tcW w:w="18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60" w:type="dxa"/>
            <w:vAlign w:val="bottom"/>
            <w:gridSpan w:val="5"/>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20"/>
              <w:spacing w:after="0"/>
              <w:rPr>
                <w:sz w:val="20"/>
                <w:szCs w:val="20"/>
                <w:color w:val="auto"/>
              </w:rPr>
            </w:pPr>
            <w:r>
              <w:rPr>
                <w:rFonts w:ascii="Arial" w:cs="Arial" w:eastAsia="Arial" w:hAnsi="Arial"/>
                <w:sz w:val="18"/>
                <w:szCs w:val="18"/>
                <w:color w:val="auto"/>
              </w:rPr>
              <w:t>31.1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rFonts w:ascii="Arial" w:cs="Arial" w:eastAsia="Arial" w:hAnsi="Arial"/>
                <w:sz w:val="18"/>
                <w:szCs w:val="18"/>
                <w:color w:val="0000FF"/>
              </w:rPr>
            </w:pPr>
            <w:hyperlink w:anchor="page120">
              <w:r>
                <w:rPr>
                  <w:rFonts w:ascii="Arial" w:cs="Arial" w:eastAsia="Arial" w:hAnsi="Arial"/>
                  <w:sz w:val="18"/>
                  <w:szCs w:val="18"/>
                  <w:color w:val="0000FF"/>
                </w:rPr>
                <w:t>Rule 13a-14(a)/15d-14(a) Certification of the Principal Executive</w:t>
              </w:r>
            </w:hyperlink>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11"/>
          </w:tcPr>
          <w:p>
            <w:pPr>
              <w:spacing w:after="0" w:line="156" w:lineRule="exact"/>
              <w:rPr>
                <w:rFonts w:ascii="Arial" w:cs="Arial" w:eastAsia="Arial" w:hAnsi="Arial"/>
                <w:sz w:val="18"/>
                <w:szCs w:val="18"/>
                <w:color w:val="0000FF"/>
              </w:rPr>
            </w:pPr>
            <w:hyperlink w:anchor="page120">
              <w:r>
                <w:rPr>
                  <w:rFonts w:ascii="Arial" w:cs="Arial" w:eastAsia="Arial" w:hAnsi="Arial"/>
                  <w:sz w:val="18"/>
                  <w:szCs w:val="18"/>
                  <w:color w:val="0000FF"/>
                </w:rPr>
                <w:t>Officer</w:t>
              </w:r>
            </w:hyperlink>
          </w:p>
        </w:tc>
        <w:tc>
          <w:tcPr>
            <w:tcW w:w="460" w:type="dxa"/>
            <w:vAlign w:val="bottom"/>
            <w:gridSpan w:val="5"/>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20"/>
              <w:spacing w:after="0"/>
              <w:rPr>
                <w:sz w:val="20"/>
                <w:szCs w:val="20"/>
                <w:color w:val="auto"/>
              </w:rPr>
            </w:pPr>
            <w:r>
              <w:rPr>
                <w:rFonts w:ascii="Arial" w:cs="Arial" w:eastAsia="Arial" w:hAnsi="Arial"/>
                <w:sz w:val="18"/>
                <w:szCs w:val="18"/>
                <w:color w:val="auto"/>
              </w:rPr>
              <w:t>31.2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rFonts w:ascii="Arial" w:cs="Arial" w:eastAsia="Arial" w:hAnsi="Arial"/>
                <w:sz w:val="18"/>
                <w:szCs w:val="18"/>
                <w:color w:val="0000FF"/>
              </w:rPr>
            </w:pPr>
            <w:hyperlink w:anchor="page121">
              <w:r>
                <w:rPr>
                  <w:rFonts w:ascii="Arial" w:cs="Arial" w:eastAsia="Arial" w:hAnsi="Arial"/>
                  <w:sz w:val="18"/>
                  <w:szCs w:val="18"/>
                  <w:color w:val="0000FF"/>
                </w:rPr>
                <w:t>Rule 13a-14(a)/15d-14(a) Certification of the Principal Financial</w:t>
              </w:r>
            </w:hyperlink>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80" w:type="dxa"/>
            <w:vAlign w:val="bottom"/>
            <w:tcBorders>
              <w:top w:val="single" w:sz="8" w:color="0000FF"/>
            </w:tcBorders>
            <w:gridSpan w:val="10"/>
          </w:tcPr>
          <w:p>
            <w:pPr>
              <w:spacing w:after="0" w:line="156" w:lineRule="exact"/>
              <w:rPr>
                <w:rFonts w:ascii="Arial" w:cs="Arial" w:eastAsia="Arial" w:hAnsi="Arial"/>
                <w:sz w:val="18"/>
                <w:szCs w:val="18"/>
                <w:color w:val="0000FF"/>
              </w:rPr>
            </w:pPr>
            <w:hyperlink w:anchor="page121">
              <w:r>
                <w:rPr>
                  <w:rFonts w:ascii="Arial" w:cs="Arial" w:eastAsia="Arial" w:hAnsi="Arial"/>
                  <w:sz w:val="18"/>
                  <w:szCs w:val="18"/>
                  <w:color w:val="0000FF"/>
                </w:rPr>
                <w:t>Officer</w:t>
              </w:r>
            </w:hyperlink>
          </w:p>
        </w:tc>
        <w:tc>
          <w:tcPr>
            <w:tcW w:w="5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gridSpan w:val="7"/>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40"/>
              <w:spacing w:after="0"/>
              <w:rPr>
                <w:sz w:val="20"/>
                <w:szCs w:val="20"/>
                <w:color w:val="auto"/>
              </w:rPr>
            </w:pPr>
            <w:r>
              <w:rPr>
                <w:rFonts w:ascii="Arial" w:cs="Arial" w:eastAsia="Arial" w:hAnsi="Arial"/>
                <w:sz w:val="18"/>
                <w:szCs w:val="18"/>
                <w:color w:val="auto"/>
              </w:rPr>
              <w:t>32.1*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rFonts w:ascii="Arial" w:cs="Arial" w:eastAsia="Arial" w:hAnsi="Arial"/>
                <w:sz w:val="18"/>
                <w:szCs w:val="18"/>
                <w:color w:val="0000FF"/>
              </w:rPr>
            </w:pPr>
            <w:hyperlink w:anchor="page122">
              <w:r>
                <w:rPr>
                  <w:rFonts w:ascii="Arial" w:cs="Arial" w:eastAsia="Arial" w:hAnsi="Arial"/>
                  <w:sz w:val="18"/>
                  <w:szCs w:val="18"/>
                  <w:color w:val="0000FF"/>
                </w:rPr>
                <w:t>Certification Pursuant to 18 U.S.C. Section 1350, as Adopted</w:t>
              </w:r>
            </w:hyperlink>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80" w:type="dxa"/>
            <w:vAlign w:val="bottom"/>
            <w:tcBorders>
              <w:right w:val="single" w:sz="8" w:color="0000FF"/>
            </w:tcBorders>
            <w:gridSpan w:val="4"/>
            <w:shd w:val="clear" w:color="auto" w:fill="0000FF"/>
          </w:tcPr>
          <w:p>
            <w:pPr>
              <w:spacing w:after="0" w:line="20" w:lineRule="exact"/>
              <w:rPr>
                <w:sz w:val="1"/>
                <w:szCs w:val="1"/>
                <w:color w:val="auto"/>
              </w:rPr>
            </w:pPr>
          </w:p>
        </w:tc>
        <w:tc>
          <w:tcPr>
            <w:tcW w:w="2440" w:type="dxa"/>
            <w:vAlign w:val="bottom"/>
            <w:gridSpan w:val="4"/>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gridSpan w:val="7"/>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16"/>
          </w:tcPr>
          <w:p>
            <w:pPr>
              <w:spacing w:after="0" w:line="156" w:lineRule="exact"/>
              <w:rPr>
                <w:rFonts w:ascii="Arial" w:cs="Arial" w:eastAsia="Arial" w:hAnsi="Arial"/>
                <w:sz w:val="18"/>
                <w:szCs w:val="18"/>
                <w:color w:val="0000FF"/>
              </w:rPr>
            </w:pPr>
            <w:hyperlink w:anchor="page122">
              <w:r>
                <w:rPr>
                  <w:rFonts w:ascii="Arial" w:cs="Arial" w:eastAsia="Arial" w:hAnsi="Arial"/>
                  <w:sz w:val="18"/>
                  <w:szCs w:val="18"/>
                  <w:color w:val="0000FF"/>
                </w:rPr>
                <w:t>Pursuant to Section 906 of the Sarbanes-Oxley Act of 2002 for</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40" w:type="dxa"/>
            <w:vAlign w:val="bottom"/>
            <w:tcBorders>
              <w:top w:val="single" w:sz="8" w:color="0000FF"/>
            </w:tcBorders>
            <w:gridSpan w:val="9"/>
          </w:tcPr>
          <w:p>
            <w:pPr>
              <w:spacing w:after="0" w:line="156" w:lineRule="exact"/>
              <w:rPr>
                <w:rFonts w:ascii="Arial" w:cs="Arial" w:eastAsia="Arial" w:hAnsi="Arial"/>
                <w:sz w:val="18"/>
                <w:szCs w:val="18"/>
                <w:color w:val="0000FF"/>
              </w:rPr>
            </w:pPr>
            <w:hyperlink w:anchor="page122">
              <w:r>
                <w:rPr>
                  <w:rFonts w:ascii="Arial" w:cs="Arial" w:eastAsia="Arial" w:hAnsi="Arial"/>
                  <w:sz w:val="18"/>
                  <w:szCs w:val="18"/>
                  <w:color w:val="0000FF"/>
                </w:rPr>
                <w:t>Principal Executive Officer</w:t>
              </w:r>
            </w:hyperlink>
          </w:p>
        </w:tc>
        <w:tc>
          <w:tcPr>
            <w:tcW w:w="640" w:type="dxa"/>
            <w:vAlign w:val="bottom"/>
            <w:gridSpan w:val="7"/>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80" w:type="dxa"/>
            <w:vAlign w:val="bottom"/>
            <w:tcBorders>
              <w:right w:val="single" w:sz="8" w:color="0000FF"/>
            </w:tcBorders>
            <w:gridSpan w:val="4"/>
            <w:shd w:val="clear" w:color="auto" w:fill="0000FF"/>
          </w:tcPr>
          <w:p>
            <w:pPr>
              <w:spacing w:after="0" w:line="20" w:lineRule="exact"/>
              <w:rPr>
                <w:sz w:val="1"/>
                <w:szCs w:val="1"/>
                <w:color w:val="auto"/>
              </w:rPr>
            </w:pPr>
          </w:p>
        </w:tc>
        <w:tc>
          <w:tcPr>
            <w:tcW w:w="3200" w:type="dxa"/>
            <w:vAlign w:val="bottom"/>
            <w:gridSpan w:val="1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40"/>
              <w:spacing w:after="0"/>
              <w:rPr>
                <w:sz w:val="20"/>
                <w:szCs w:val="20"/>
                <w:color w:val="auto"/>
              </w:rPr>
            </w:pPr>
            <w:r>
              <w:rPr>
                <w:rFonts w:ascii="Arial" w:cs="Arial" w:eastAsia="Arial" w:hAnsi="Arial"/>
                <w:sz w:val="18"/>
                <w:szCs w:val="18"/>
                <w:color w:val="auto"/>
              </w:rPr>
              <w:t>32.2*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180" w:type="dxa"/>
            <w:vAlign w:val="bottom"/>
            <w:gridSpan w:val="16"/>
          </w:tcPr>
          <w:p>
            <w:pPr>
              <w:spacing w:after="0"/>
              <w:rPr>
                <w:rFonts w:ascii="Arial" w:cs="Arial" w:eastAsia="Arial" w:hAnsi="Arial"/>
                <w:sz w:val="18"/>
                <w:szCs w:val="18"/>
                <w:color w:val="0000FF"/>
              </w:rPr>
            </w:pPr>
            <w:hyperlink w:anchor="page123">
              <w:r>
                <w:rPr>
                  <w:rFonts w:ascii="Arial" w:cs="Arial" w:eastAsia="Arial" w:hAnsi="Arial"/>
                  <w:sz w:val="18"/>
                  <w:szCs w:val="18"/>
                  <w:color w:val="0000FF"/>
                </w:rPr>
                <w:t>Certification Pursuant to 18 U.S.C. Section 1350, as Adopted</w:t>
              </w:r>
            </w:hyperlink>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80" w:type="dxa"/>
            <w:vAlign w:val="bottom"/>
            <w:tcBorders>
              <w:right w:val="single" w:sz="8" w:color="0000FF"/>
            </w:tcBorders>
            <w:gridSpan w:val="4"/>
            <w:shd w:val="clear" w:color="auto" w:fill="0000FF"/>
          </w:tcPr>
          <w:p>
            <w:pPr>
              <w:spacing w:after="0" w:line="20" w:lineRule="exact"/>
              <w:rPr>
                <w:sz w:val="1"/>
                <w:szCs w:val="1"/>
                <w:color w:val="auto"/>
              </w:rPr>
            </w:pPr>
          </w:p>
        </w:tc>
        <w:tc>
          <w:tcPr>
            <w:tcW w:w="2440" w:type="dxa"/>
            <w:vAlign w:val="bottom"/>
            <w:gridSpan w:val="4"/>
            <w:shd w:val="clear" w:color="auto" w:fill="0000FF"/>
          </w:tcPr>
          <w:p>
            <w:pPr>
              <w:spacing w:after="0" w:line="20" w:lineRule="exact"/>
              <w:rPr>
                <w:sz w:val="1"/>
                <w:szCs w:val="1"/>
                <w:color w:val="auto"/>
              </w:rPr>
            </w:pPr>
          </w:p>
        </w:tc>
        <w:tc>
          <w:tcPr>
            <w:tcW w:w="760" w:type="dxa"/>
            <w:vAlign w:val="bottom"/>
            <w:gridSpan w:val="8"/>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16"/>
          </w:tcPr>
          <w:p>
            <w:pPr>
              <w:spacing w:after="0" w:line="156" w:lineRule="exact"/>
              <w:rPr>
                <w:rFonts w:ascii="Arial" w:cs="Arial" w:eastAsia="Arial" w:hAnsi="Arial"/>
                <w:sz w:val="18"/>
                <w:szCs w:val="18"/>
                <w:color w:val="0000FF"/>
              </w:rPr>
            </w:pPr>
            <w:hyperlink w:anchor="page123">
              <w:r>
                <w:rPr>
                  <w:rFonts w:ascii="Arial" w:cs="Arial" w:eastAsia="Arial" w:hAnsi="Arial"/>
                  <w:sz w:val="18"/>
                  <w:szCs w:val="18"/>
                  <w:color w:val="0000FF"/>
                </w:rPr>
                <w:t>Pursuant to Section 906 of the Sarbanes-Oxley Act of 2002 for</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98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w:anchor="page123">
              <w:r>
                <w:rPr>
                  <w:rFonts w:ascii="Arial" w:cs="Arial" w:eastAsia="Arial" w:hAnsi="Arial"/>
                  <w:sz w:val="18"/>
                  <w:szCs w:val="18"/>
                  <w:color w:val="0000FF"/>
                  <w:w w:val="95"/>
                </w:rPr>
                <w:t>Principal Financial Officer</w:t>
              </w:r>
            </w:hyperlink>
          </w:p>
        </w:tc>
        <w:tc>
          <w:tcPr>
            <w:tcW w:w="2560" w:type="dxa"/>
            <w:vAlign w:val="bottom"/>
            <w:tcBorders>
              <w:top w:val="single" w:sz="8" w:color="0000FF"/>
            </w:tcBorders>
            <w:gridSpan w:val="5"/>
          </w:tcPr>
          <w:p>
            <w:pPr>
              <w:spacing w:after="0"/>
              <w:rPr>
                <w:sz w:val="13"/>
                <w:szCs w:val="13"/>
                <w:color w:val="auto"/>
              </w:rPr>
            </w:pPr>
          </w:p>
        </w:tc>
        <w:tc>
          <w:tcPr>
            <w:tcW w:w="640" w:type="dxa"/>
            <w:vAlign w:val="bottom"/>
            <w:gridSpan w:val="7"/>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49"/>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101.INS</w:t>
            </w:r>
          </w:p>
        </w:tc>
        <w:tc>
          <w:tcPr>
            <w:tcW w:w="20" w:type="dxa"/>
            <w:vAlign w:val="bottom"/>
          </w:tcPr>
          <w:p>
            <w:pPr>
              <w:spacing w:after="0"/>
              <w:rPr>
                <w:sz w:val="21"/>
                <w:szCs w:val="21"/>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Inline XBRL Instance Document</w:t>
            </w: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101.SCH</w:t>
            </w: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Inline XBRL Taxonomy Extension Schema Document</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101.CAL</w:t>
            </w: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w w:val="98"/>
              </w:rPr>
              <w:t>Inline XBRL Taxonomy Extension Calculation Linkbase Document</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29"/>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101.DEF</w:t>
            </w: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Inline XBRL Taxonomy Extension Definition Document</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101.LAB</w:t>
            </w: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1120" w:type="dxa"/>
            <w:vAlign w:val="bottom"/>
            <w:gridSpan w:val="2"/>
          </w:tcPr>
          <w:p>
            <w:pPr>
              <w:ind w:left="20"/>
              <w:spacing w:after="0"/>
              <w:rPr>
                <w:sz w:val="20"/>
                <w:szCs w:val="20"/>
                <w:color w:val="auto"/>
              </w:rPr>
            </w:pPr>
            <w:r>
              <w:rPr>
                <w:rFonts w:ascii="Arial" w:cs="Arial" w:eastAsia="Arial" w:hAnsi="Arial"/>
                <w:sz w:val="18"/>
                <w:szCs w:val="18"/>
                <w:color w:val="auto"/>
              </w:rPr>
              <w:t>101.PRE</w:t>
            </w:r>
          </w:p>
        </w:tc>
        <w:tc>
          <w:tcPr>
            <w:tcW w:w="20" w:type="dxa"/>
            <w:vAlign w:val="bottom"/>
          </w:tcPr>
          <w:p>
            <w:pPr>
              <w:spacing w:after="0"/>
              <w:rPr>
                <w:sz w:val="19"/>
                <w:szCs w:val="19"/>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w w:val="95"/>
              </w:rPr>
              <w:t>Inline XBRL Taxonomy Extension Presentation Linkbase Document</w:t>
            </w: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76"/>
        </w:trPr>
        <w:tc>
          <w:tcPr>
            <w:tcW w:w="1020" w:type="dxa"/>
            <w:vAlign w:val="bottom"/>
          </w:tcPr>
          <w:p>
            <w:pPr>
              <w:ind w:left="20"/>
              <w:spacing w:after="0" w:line="176" w:lineRule="exact"/>
              <w:rPr>
                <w:sz w:val="20"/>
                <w:szCs w:val="20"/>
                <w:color w:val="auto"/>
              </w:rPr>
            </w:pPr>
            <w:r>
              <w:rPr>
                <w:rFonts w:ascii="Arial" w:cs="Arial" w:eastAsia="Arial" w:hAnsi="Arial"/>
                <w:sz w:val="18"/>
                <w:szCs w:val="18"/>
                <w:color w:val="auto"/>
              </w:rPr>
              <w:t>104</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5180" w:type="dxa"/>
            <w:vAlign w:val="bottom"/>
            <w:gridSpan w:val="16"/>
          </w:tcPr>
          <w:p>
            <w:pPr>
              <w:spacing w:after="0" w:line="176" w:lineRule="exact"/>
              <w:rPr>
                <w:sz w:val="20"/>
                <w:szCs w:val="20"/>
                <w:color w:val="auto"/>
              </w:rPr>
            </w:pPr>
            <w:r>
              <w:rPr>
                <w:rFonts w:ascii="Arial" w:cs="Arial" w:eastAsia="Arial" w:hAnsi="Arial"/>
                <w:sz w:val="18"/>
                <w:szCs w:val="18"/>
                <w:color w:val="auto"/>
              </w:rPr>
              <w:t>The cover page for this Form 10-Q, formatted in Inline XBRL</w:t>
            </w:r>
          </w:p>
        </w:tc>
        <w:tc>
          <w:tcPr>
            <w:tcW w:w="7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tcPr>
          <w:p>
            <w:pPr>
              <w:jc w:val="center"/>
              <w:spacing w:after="0" w:line="176" w:lineRule="exact"/>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30"/>
        </w:trPr>
        <w:tc>
          <w:tcPr>
            <w:tcW w:w="10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180" w:type="dxa"/>
            <w:vAlign w:val="bottom"/>
            <w:gridSpan w:val="16"/>
          </w:tcPr>
          <w:p>
            <w:pPr>
              <w:spacing w:after="0"/>
              <w:rPr>
                <w:sz w:val="20"/>
                <w:szCs w:val="20"/>
                <w:color w:val="auto"/>
              </w:rPr>
            </w:pPr>
            <w:r>
              <w:rPr>
                <w:rFonts w:ascii="Arial" w:cs="Arial" w:eastAsia="Arial" w:hAnsi="Arial"/>
                <w:sz w:val="18"/>
                <w:szCs w:val="18"/>
                <w:color w:val="auto"/>
              </w:rPr>
              <w:t>(included in Exhibit 101)</w:t>
            </w: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76" w:lineRule="exact"/>
        <w:rPr>
          <w:sz w:val="20"/>
          <w:szCs w:val="20"/>
          <w:color w:val="auto"/>
        </w:rPr>
      </w:pPr>
    </w:p>
    <w:p>
      <w:pPr>
        <w:ind w:left="680" w:hanging="654"/>
        <w:spacing w:after="0"/>
        <w:tabs>
          <w:tab w:leader="none" w:pos="6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23" w:lineRule="exact"/>
        <w:rPr>
          <w:sz w:val="20"/>
          <w:szCs w:val="20"/>
          <w:color w:val="auto"/>
        </w:rPr>
      </w:pPr>
    </w:p>
    <w:p>
      <w:pPr>
        <w:ind w:left="680" w:right="400" w:hanging="654"/>
        <w:spacing w:after="0" w:line="237" w:lineRule="auto"/>
        <w:tabs>
          <w:tab w:leader="none" w:pos="6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132320" cy="171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5" w:name="page66"/>
    <w:bookmarkEnd w:id="6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84"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MARVELL TECHNOLOGY GROUP LTD.</w:t>
      </w:r>
    </w:p>
    <w:p>
      <w:pPr>
        <w:spacing w:after="0" w:line="293" w:lineRule="exact"/>
        <w:rPr>
          <w:sz w:val="20"/>
          <w:szCs w:val="20"/>
          <w:color w:val="auto"/>
        </w:rPr>
      </w:pPr>
    </w:p>
    <w:p>
      <w:pPr>
        <w:ind w:left="20"/>
        <w:spacing w:after="0"/>
        <w:tabs>
          <w:tab w:leader="none" w:pos="6360" w:val="left"/>
          <w:tab w:leader="none" w:pos="6820" w:val="left"/>
        </w:tabs>
        <w:rPr>
          <w:sz w:val="20"/>
          <w:szCs w:val="20"/>
          <w:color w:val="auto"/>
        </w:rPr>
      </w:pPr>
      <w:r>
        <w:rPr>
          <w:rFonts w:ascii="Arial" w:cs="Arial" w:eastAsia="Arial" w:hAnsi="Arial"/>
          <w:sz w:val="18"/>
          <w:szCs w:val="18"/>
          <w:color w:val="auto"/>
        </w:rPr>
        <w:t>Date: December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4333875</wp:posOffset>
            </wp:positionH>
            <wp:positionV relativeFrom="paragraph">
              <wp:posOffset>14605</wp:posOffset>
            </wp:positionV>
            <wp:extent cx="256286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4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0680"/>
          </w:cols>
          <w:pgMar w:left="320" w:top="130" w:right="899" w:bottom="1440" w:gutter="0" w:footer="0" w:header="0"/>
        </w:sectPr>
      </w:pPr>
    </w:p>
    <w:bookmarkStart w:id="66" w:name="page67"/>
    <w:bookmarkEnd w:id="66"/>
    <w:p>
      <w:pPr>
        <w:spacing w:after="0" w:line="198"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Exhibit 10.1</w:t>
      </w:r>
    </w:p>
    <w:p>
      <w:pPr>
        <w:spacing w:after="0" w:line="27" w:lineRule="exact"/>
        <w:rPr>
          <w:sz w:val="20"/>
          <w:szCs w:val="20"/>
          <w:color w:val="auto"/>
        </w:rPr>
      </w:pPr>
    </w:p>
    <w:p>
      <w:pPr>
        <w:ind w:left="3580"/>
        <w:spacing w:after="0"/>
        <w:rPr>
          <w:sz w:val="20"/>
          <w:szCs w:val="20"/>
          <w:color w:val="auto"/>
        </w:rPr>
      </w:pPr>
      <w:r>
        <w:rPr>
          <w:rFonts w:ascii="Arial" w:cs="Arial" w:eastAsia="Arial" w:hAnsi="Arial"/>
          <w:sz w:val="22"/>
          <w:szCs w:val="22"/>
          <w:b w:val="1"/>
          <w:bCs w:val="1"/>
          <w:color w:val="auto"/>
        </w:rPr>
        <w:t>MARVELL TECHNOLOGY GROUP LTD.</w:t>
      </w:r>
    </w:p>
    <w:p>
      <w:pPr>
        <w:spacing w:after="0" w:line="196" w:lineRule="exact"/>
        <w:rPr>
          <w:sz w:val="20"/>
          <w:szCs w:val="20"/>
          <w:color w:val="auto"/>
        </w:rPr>
      </w:pPr>
    </w:p>
    <w:p>
      <w:pPr>
        <w:ind w:left="4220"/>
        <w:spacing w:after="0"/>
        <w:rPr>
          <w:sz w:val="20"/>
          <w:szCs w:val="20"/>
          <w:color w:val="auto"/>
        </w:rPr>
      </w:pPr>
      <w:r>
        <w:rPr>
          <w:rFonts w:ascii="Arial" w:cs="Arial" w:eastAsia="Arial" w:hAnsi="Arial"/>
          <w:sz w:val="22"/>
          <w:szCs w:val="22"/>
          <w:b w:val="1"/>
          <w:bCs w:val="1"/>
          <w:color w:val="auto"/>
        </w:rPr>
        <w:t>AMENDED AND RESTATED</w:t>
      </w:r>
    </w:p>
    <w:p>
      <w:pPr>
        <w:spacing w:after="0" w:line="220" w:lineRule="exact"/>
        <w:rPr>
          <w:sz w:val="20"/>
          <w:szCs w:val="20"/>
          <w:color w:val="auto"/>
        </w:rPr>
      </w:pPr>
    </w:p>
    <w:p>
      <w:pPr>
        <w:ind w:left="4240"/>
        <w:spacing w:after="0"/>
        <w:rPr>
          <w:sz w:val="20"/>
          <w:szCs w:val="20"/>
          <w:color w:val="auto"/>
        </w:rPr>
      </w:pPr>
      <w:r>
        <w:rPr>
          <w:rFonts w:ascii="Arial" w:cs="Arial" w:eastAsia="Arial" w:hAnsi="Arial"/>
          <w:sz w:val="22"/>
          <w:szCs w:val="22"/>
          <w:b w:val="1"/>
          <w:bCs w:val="1"/>
          <w:color w:val="auto"/>
        </w:rPr>
        <w:t>1995 STOCK OPTION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(As amended April 16, 2015 and September 24, 2020)</w:t>
      </w:r>
    </w:p>
    <w:p>
      <w:pPr>
        <w:spacing w:after="0" w:line="202" w:lineRule="exact"/>
        <w:rPr>
          <w:sz w:val="20"/>
          <w:szCs w:val="20"/>
          <w:color w:val="auto"/>
        </w:rPr>
      </w:pPr>
    </w:p>
    <w:p>
      <w:pPr>
        <w:ind w:right="280" w:firstLine="656"/>
        <w:spacing w:after="0" w:line="253" w:lineRule="auto"/>
        <w:tabs>
          <w:tab w:leader="none" w:pos="1296" w:val="left"/>
        </w:tabs>
        <w:numPr>
          <w:ilvl w:val="0"/>
          <w:numId w:val="26"/>
        </w:numPr>
        <w:rPr>
          <w:rFonts w:ascii="Arial" w:cs="Arial" w:eastAsia="Arial" w:hAnsi="Arial"/>
          <w:sz w:val="22"/>
          <w:szCs w:val="22"/>
          <w:color w:val="auto"/>
        </w:rPr>
      </w:pPr>
      <w:r>
        <w:rPr>
          <w:rFonts w:ascii="Arial" w:cs="Arial" w:eastAsia="Arial" w:hAnsi="Arial"/>
          <w:sz w:val="22"/>
          <w:szCs w:val="22"/>
          <w:u w:val="single" w:color="auto"/>
          <w:color w:val="auto"/>
        </w:rPr>
        <w:t>Purpose</w:t>
      </w:r>
      <w:r>
        <w:rPr>
          <w:rFonts w:ascii="Arial" w:cs="Arial" w:eastAsia="Arial" w:hAnsi="Arial"/>
          <w:sz w:val="22"/>
          <w:szCs w:val="22"/>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185" w:lineRule="exact"/>
        <w:rPr>
          <w:rFonts w:ascii="Arial" w:cs="Arial" w:eastAsia="Arial" w:hAnsi="Arial"/>
          <w:sz w:val="22"/>
          <w:szCs w:val="22"/>
          <w:color w:val="auto"/>
        </w:rPr>
      </w:pPr>
    </w:p>
    <w:p>
      <w:pPr>
        <w:ind w:right="900" w:firstLine="656"/>
        <w:spacing w:after="0" w:line="263" w:lineRule="auto"/>
        <w:tabs>
          <w:tab w:leader="none" w:pos="1296" w:val="left"/>
        </w:tabs>
        <w:numPr>
          <w:ilvl w:val="0"/>
          <w:numId w:val="26"/>
        </w:numPr>
        <w:rPr>
          <w:rFonts w:ascii="Arial" w:cs="Arial" w:eastAsia="Arial" w:hAnsi="Arial"/>
          <w:sz w:val="22"/>
          <w:szCs w:val="22"/>
          <w:color w:val="auto"/>
        </w:rPr>
      </w:pPr>
      <w:r>
        <w:rPr>
          <w:rFonts w:ascii="Arial" w:cs="Arial" w:eastAsia="Arial" w:hAnsi="Arial"/>
          <w:sz w:val="22"/>
          <w:szCs w:val="22"/>
          <w:u w:val="single" w:color="auto"/>
          <w:color w:val="auto"/>
        </w:rPr>
        <w:t>Defined Terms</w:t>
      </w:r>
      <w:r>
        <w:rPr>
          <w:rFonts w:ascii="Arial" w:cs="Arial" w:eastAsia="Arial" w:hAnsi="Arial"/>
          <w:sz w:val="22"/>
          <w:szCs w:val="22"/>
          <w:color w:val="auto"/>
        </w:rPr>
        <w:t>. The meanings of defined terms (generally, capitalized terms) in this Plan are provided in Section 21 (“Glossary”).</w:t>
      </w:r>
    </w:p>
    <w:p>
      <w:pPr>
        <w:spacing w:after="0" w:line="174" w:lineRule="exact"/>
        <w:rPr>
          <w:rFonts w:ascii="Arial" w:cs="Arial" w:eastAsia="Arial" w:hAnsi="Arial"/>
          <w:sz w:val="22"/>
          <w:szCs w:val="22"/>
          <w:color w:val="auto"/>
        </w:rPr>
      </w:pPr>
    </w:p>
    <w:p>
      <w:pPr>
        <w:ind w:right="180" w:firstLine="656"/>
        <w:spacing w:after="0" w:line="297" w:lineRule="auto"/>
        <w:tabs>
          <w:tab w:leader="none" w:pos="1296" w:val="left"/>
        </w:tabs>
        <w:numPr>
          <w:ilvl w:val="0"/>
          <w:numId w:val="26"/>
        </w:numPr>
        <w:rPr>
          <w:rFonts w:ascii="Arial" w:cs="Arial" w:eastAsia="Arial" w:hAnsi="Arial"/>
          <w:sz w:val="19"/>
          <w:szCs w:val="19"/>
          <w:color w:val="auto"/>
        </w:rPr>
      </w:pPr>
      <w:r>
        <w:rPr>
          <w:rFonts w:ascii="Arial" w:cs="Arial" w:eastAsia="Arial" w:hAnsi="Arial"/>
          <w:sz w:val="19"/>
          <w:szCs w:val="19"/>
          <w:u w:val="single" w:color="auto"/>
          <w:color w:val="auto"/>
        </w:rPr>
        <w:t>Shares Reserved</w:t>
      </w:r>
      <w:r>
        <w:rPr>
          <w:rFonts w:ascii="Arial" w:cs="Arial" w:eastAsia="Arial" w:hAnsi="Arial"/>
          <w:sz w:val="19"/>
          <w:szCs w:val="19"/>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46" w:lineRule="exact"/>
        <w:rPr>
          <w:rFonts w:ascii="Arial" w:cs="Arial" w:eastAsia="Arial" w:hAnsi="Arial"/>
          <w:sz w:val="19"/>
          <w:szCs w:val="19"/>
          <w:color w:val="auto"/>
        </w:rPr>
      </w:pPr>
    </w:p>
    <w:p>
      <w:pPr>
        <w:ind w:left="1300" w:hanging="644"/>
        <w:spacing w:after="0"/>
        <w:tabs>
          <w:tab w:leader="none" w:pos="1300" w:val="left"/>
        </w:tabs>
        <w:numPr>
          <w:ilvl w:val="0"/>
          <w:numId w:val="26"/>
        </w:numPr>
        <w:rPr>
          <w:rFonts w:ascii="Arial" w:cs="Arial" w:eastAsia="Arial" w:hAnsi="Arial"/>
          <w:sz w:val="22"/>
          <w:szCs w:val="22"/>
          <w:color w:val="auto"/>
        </w:rPr>
      </w:pPr>
      <w:r>
        <w:rPr>
          <w:rFonts w:ascii="Arial" w:cs="Arial" w:eastAsia="Arial" w:hAnsi="Arial"/>
          <w:sz w:val="22"/>
          <w:szCs w:val="22"/>
          <w:u w:val="single" w:color="auto"/>
          <w:color w:val="auto"/>
        </w:rPr>
        <w:t>Administration</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right="180" w:firstLine="1304"/>
        <w:spacing w:after="0" w:line="302" w:lineRule="auto"/>
        <w:tabs>
          <w:tab w:leader="none" w:pos="1941" w:val="left"/>
        </w:tabs>
        <w:numPr>
          <w:ilvl w:val="1"/>
          <w:numId w:val="26"/>
        </w:numPr>
        <w:rPr>
          <w:rFonts w:ascii="Arial" w:cs="Arial" w:eastAsia="Arial" w:hAnsi="Arial"/>
          <w:sz w:val="19"/>
          <w:szCs w:val="19"/>
          <w:color w:val="auto"/>
        </w:rPr>
      </w:pPr>
      <w:r>
        <w:rPr>
          <w:rFonts w:ascii="Arial" w:cs="Arial" w:eastAsia="Arial" w:hAnsi="Arial"/>
          <w:sz w:val="19"/>
          <w:szCs w:val="19"/>
          <w:u w:val="single" w:color="auto"/>
          <w:color w:val="auto"/>
        </w:rPr>
        <w:t>In General</w:t>
      </w:r>
      <w:r>
        <w:rPr>
          <w:rFonts w:ascii="Arial" w:cs="Arial" w:eastAsia="Arial" w:hAnsi="Arial"/>
          <w:sz w:val="19"/>
          <w:szCs w:val="19"/>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42" w:lineRule="exact"/>
        <w:rPr>
          <w:rFonts w:ascii="Arial" w:cs="Arial" w:eastAsia="Arial" w:hAnsi="Arial"/>
          <w:sz w:val="19"/>
          <w:szCs w:val="19"/>
          <w:color w:val="auto"/>
        </w:rPr>
      </w:pPr>
    </w:p>
    <w:p>
      <w:pPr>
        <w:ind w:right="260" w:firstLine="1304"/>
        <w:spacing w:after="0" w:line="263" w:lineRule="auto"/>
        <w:tabs>
          <w:tab w:leader="none" w:pos="1939" w:val="left"/>
        </w:tabs>
        <w:numPr>
          <w:ilvl w:val="1"/>
          <w:numId w:val="26"/>
        </w:numPr>
        <w:rPr>
          <w:rFonts w:ascii="Arial" w:cs="Arial" w:eastAsia="Arial" w:hAnsi="Arial"/>
          <w:sz w:val="22"/>
          <w:szCs w:val="22"/>
          <w:color w:val="auto"/>
        </w:rPr>
      </w:pPr>
      <w:r>
        <w:rPr>
          <w:rFonts w:ascii="Arial" w:cs="Arial" w:eastAsia="Arial" w:hAnsi="Arial"/>
          <w:sz w:val="22"/>
          <w:szCs w:val="22"/>
          <w:u w:val="single" w:color="auto"/>
          <w:color w:val="auto"/>
        </w:rPr>
        <w:t>Committee Composition</w:t>
      </w:r>
      <w:r>
        <w:rPr>
          <w:rFonts w:ascii="Arial" w:cs="Arial" w:eastAsia="Arial" w:hAnsi="Arial"/>
          <w:sz w:val="22"/>
          <w:szCs w:val="22"/>
          <w:color w:val="auto"/>
        </w:rPr>
        <w:t>. The Board may provide for administration of this Plan with respect to Officers and directors of the Company by a Committee constituted so as to satisfy:</w:t>
      </w:r>
    </w:p>
    <w:p>
      <w:pPr>
        <w:spacing w:after="0" w:line="174" w:lineRule="exact"/>
        <w:rPr>
          <w:rFonts w:ascii="Arial" w:cs="Arial" w:eastAsia="Arial" w:hAnsi="Arial"/>
          <w:sz w:val="22"/>
          <w:szCs w:val="22"/>
          <w:color w:val="auto"/>
        </w:rPr>
      </w:pPr>
    </w:p>
    <w:p>
      <w:pPr>
        <w:ind w:right="360" w:firstLine="2072"/>
        <w:spacing w:after="0" w:line="343" w:lineRule="auto"/>
        <w:tabs>
          <w:tab w:leader="none" w:pos="2592" w:val="left"/>
        </w:tabs>
        <w:numPr>
          <w:ilvl w:val="2"/>
          <w:numId w:val="26"/>
        </w:numPr>
        <w:rPr>
          <w:rFonts w:ascii="Arial" w:cs="Arial" w:eastAsia="Arial" w:hAnsi="Arial"/>
          <w:sz w:val="19"/>
          <w:szCs w:val="19"/>
          <w:color w:val="auto"/>
        </w:rPr>
      </w:pPr>
      <w:r>
        <w:rPr>
          <w:rFonts w:ascii="Arial" w:cs="Arial" w:eastAsia="Arial" w:hAnsi="Arial"/>
          <w:sz w:val="19"/>
          <w:szCs w:val="19"/>
          <w:color w:val="auto"/>
        </w:rPr>
        <w:t>such requirements as the Securities and Exchange Commission may establish for administrators acting under plans intended to qualify for exemption under Rule 16b-3 (or its successor) under the Exchange Act.</w:t>
      </w:r>
    </w:p>
    <w:p>
      <w:pPr>
        <w:spacing w:after="0" w:line="104" w:lineRule="exact"/>
        <w:rPr>
          <w:sz w:val="20"/>
          <w:szCs w:val="20"/>
          <w:color w:val="auto"/>
        </w:rPr>
      </w:pPr>
    </w:p>
    <w:p>
      <w:pPr>
        <w:ind w:right="120" w:firstLine="648"/>
        <w:spacing w:after="0" w:line="312" w:lineRule="auto"/>
        <w:rPr>
          <w:sz w:val="20"/>
          <w:szCs w:val="20"/>
          <w:color w:val="auto"/>
        </w:rPr>
      </w:pPr>
      <w:r>
        <w:rPr>
          <w:rFonts w:ascii="Arial" w:cs="Arial" w:eastAsia="Arial" w:hAnsi="Arial"/>
          <w:sz w:val="19"/>
          <w:szCs w:val="19"/>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ectPr>
          <w:pgSz w:w="11900" w:h="16838" w:orient="portrait"/>
          <w:cols w:equalWidth="0" w:num="1">
            <w:col w:w="11240"/>
          </w:cols>
          <w:pgMar w:left="320" w:top="1440" w:right="339" w:bottom="1440" w:gutter="0" w:footer="0" w:header="0"/>
        </w:sectPr>
      </w:pPr>
    </w:p>
    <w:bookmarkStart w:id="67" w:name="page68"/>
    <w:bookmarkEnd w:id="67"/>
    <w:p>
      <w:pPr>
        <w:spacing w:after="0" w:line="204" w:lineRule="exact"/>
        <w:rPr>
          <w:sz w:val="20"/>
          <w:szCs w:val="20"/>
          <w:color w:val="auto"/>
        </w:rPr>
      </w:pPr>
    </w:p>
    <w:p>
      <w:pPr>
        <w:ind w:right="100" w:firstLine="1304"/>
        <w:spacing w:after="0" w:line="343" w:lineRule="auto"/>
        <w:tabs>
          <w:tab w:leader="none" w:pos="1941" w:val="left"/>
        </w:tabs>
        <w:numPr>
          <w:ilvl w:val="1"/>
          <w:numId w:val="27"/>
        </w:numPr>
        <w:rPr>
          <w:rFonts w:ascii="Arial" w:cs="Arial" w:eastAsia="Arial" w:hAnsi="Arial"/>
          <w:sz w:val="19"/>
          <w:szCs w:val="19"/>
          <w:color w:val="auto"/>
        </w:rPr>
      </w:pPr>
      <w:r>
        <w:rPr>
          <w:rFonts w:ascii="Arial" w:cs="Arial" w:eastAsia="Arial" w:hAnsi="Arial"/>
          <w:sz w:val="19"/>
          <w:szCs w:val="19"/>
          <w:u w:val="single" w:color="auto"/>
          <w:color w:val="auto"/>
        </w:rPr>
        <w:t>Powers of the Administrator</w:t>
      </w:r>
      <w:r>
        <w:rPr>
          <w:rFonts w:ascii="Arial" w:cs="Arial" w:eastAsia="Arial" w:hAnsi="Arial"/>
          <w:sz w:val="19"/>
          <w:szCs w:val="19"/>
          <w:color w:val="auto"/>
        </w:rPr>
        <w:t>. Subject to the provisions of this Plan and in the case of a Committee, subject to the specific duties delegated by the Board, the Administrator shall have the authority, in its sole and absolute discretion:</w:t>
      </w:r>
    </w:p>
    <w:p>
      <w:pPr>
        <w:spacing w:after="0" w:line="104" w:lineRule="exact"/>
        <w:rPr>
          <w:rFonts w:ascii="Arial" w:cs="Arial" w:eastAsia="Arial" w:hAnsi="Arial"/>
          <w:sz w:val="19"/>
          <w:szCs w:val="19"/>
          <w:color w:val="auto"/>
        </w:rPr>
      </w:pPr>
    </w:p>
    <w:p>
      <w:pPr>
        <w:ind w:left="2600" w:hanging="528"/>
        <w:spacing w:after="0"/>
        <w:tabs>
          <w:tab w:leader="none" w:pos="2600" w:val="left"/>
        </w:tabs>
        <w:numPr>
          <w:ilvl w:val="2"/>
          <w:numId w:val="27"/>
        </w:numPr>
        <w:rPr>
          <w:rFonts w:ascii="Arial" w:cs="Arial" w:eastAsia="Arial" w:hAnsi="Arial"/>
          <w:sz w:val="22"/>
          <w:szCs w:val="22"/>
          <w:color w:val="auto"/>
        </w:rPr>
      </w:pPr>
      <w:r>
        <w:rPr>
          <w:rFonts w:ascii="Arial" w:cs="Arial" w:eastAsia="Arial" w:hAnsi="Arial"/>
          <w:sz w:val="22"/>
          <w:szCs w:val="22"/>
          <w:color w:val="auto"/>
        </w:rPr>
        <w:t>to determine the Fair Market Value of the Common Stock;</w:t>
      </w:r>
    </w:p>
    <w:p>
      <w:pPr>
        <w:spacing w:after="0" w:line="219" w:lineRule="exact"/>
        <w:rPr>
          <w:rFonts w:ascii="Arial" w:cs="Arial" w:eastAsia="Arial" w:hAnsi="Arial"/>
          <w:sz w:val="22"/>
          <w:szCs w:val="22"/>
          <w:color w:val="auto"/>
        </w:rPr>
      </w:pPr>
    </w:p>
    <w:p>
      <w:pPr>
        <w:ind w:left="2600" w:hanging="588"/>
        <w:spacing w:after="0"/>
        <w:tabs>
          <w:tab w:leader="none" w:pos="2600" w:val="left"/>
        </w:tabs>
        <w:numPr>
          <w:ilvl w:val="2"/>
          <w:numId w:val="27"/>
        </w:numPr>
        <w:rPr>
          <w:rFonts w:ascii="Arial" w:cs="Arial" w:eastAsia="Arial" w:hAnsi="Arial"/>
          <w:sz w:val="22"/>
          <w:szCs w:val="22"/>
          <w:color w:val="auto"/>
        </w:rPr>
      </w:pPr>
      <w:r>
        <w:rPr>
          <w:rFonts w:ascii="Arial" w:cs="Arial" w:eastAsia="Arial" w:hAnsi="Arial"/>
          <w:sz w:val="22"/>
          <w:szCs w:val="22"/>
          <w:color w:val="auto"/>
        </w:rPr>
        <w:t>to grant Awards to such Consultants, Outside Directors and Employees as it selects;</w:t>
      </w:r>
    </w:p>
    <w:p>
      <w:pPr>
        <w:spacing w:after="0" w:line="219" w:lineRule="exact"/>
        <w:rPr>
          <w:rFonts w:ascii="Arial" w:cs="Arial" w:eastAsia="Arial" w:hAnsi="Arial"/>
          <w:sz w:val="22"/>
          <w:szCs w:val="22"/>
          <w:color w:val="auto"/>
        </w:rPr>
      </w:pPr>
    </w:p>
    <w:p>
      <w:pPr>
        <w:ind w:right="520" w:firstLine="1952"/>
        <w:spacing w:after="0" w:line="263" w:lineRule="auto"/>
        <w:tabs>
          <w:tab w:leader="none" w:pos="2592" w:val="left"/>
        </w:tabs>
        <w:numPr>
          <w:ilvl w:val="2"/>
          <w:numId w:val="27"/>
        </w:numPr>
        <w:rPr>
          <w:rFonts w:ascii="Arial" w:cs="Arial" w:eastAsia="Arial" w:hAnsi="Arial"/>
          <w:sz w:val="22"/>
          <w:szCs w:val="22"/>
          <w:color w:val="auto"/>
        </w:rPr>
      </w:pPr>
      <w:r>
        <w:rPr>
          <w:rFonts w:ascii="Arial" w:cs="Arial" w:eastAsia="Arial" w:hAnsi="Arial"/>
          <w:sz w:val="22"/>
          <w:szCs w:val="22"/>
          <w:color w:val="auto"/>
        </w:rPr>
        <w:t>to determine the terms and conditions of each Award granted, including without limitation the number of Shares subject to each Award, the exercise price per Share of Optioned Stock;</w:t>
      </w:r>
    </w:p>
    <w:p>
      <w:pPr>
        <w:spacing w:after="0" w:line="174" w:lineRule="exact"/>
        <w:rPr>
          <w:rFonts w:ascii="Arial" w:cs="Arial" w:eastAsia="Arial" w:hAnsi="Arial"/>
          <w:sz w:val="22"/>
          <w:szCs w:val="22"/>
          <w:color w:val="auto"/>
        </w:rPr>
      </w:pPr>
    </w:p>
    <w:p>
      <w:pPr>
        <w:ind w:left="2600" w:hanging="636"/>
        <w:spacing w:after="0"/>
        <w:tabs>
          <w:tab w:leader="none" w:pos="2600" w:val="left"/>
        </w:tabs>
        <w:numPr>
          <w:ilvl w:val="2"/>
          <w:numId w:val="27"/>
        </w:numPr>
        <w:rPr>
          <w:rFonts w:ascii="Arial" w:cs="Arial" w:eastAsia="Arial" w:hAnsi="Arial"/>
          <w:sz w:val="22"/>
          <w:szCs w:val="22"/>
          <w:color w:val="auto"/>
        </w:rPr>
      </w:pPr>
      <w:r>
        <w:rPr>
          <w:rFonts w:ascii="Arial" w:cs="Arial" w:eastAsia="Arial" w:hAnsi="Arial"/>
          <w:sz w:val="22"/>
          <w:szCs w:val="22"/>
          <w:color w:val="auto"/>
        </w:rPr>
        <w:t>to approve forms of agreement for use under this Plan;</w:t>
      </w:r>
    </w:p>
    <w:p>
      <w:pPr>
        <w:spacing w:after="0" w:line="219" w:lineRule="exact"/>
        <w:rPr>
          <w:rFonts w:ascii="Arial" w:cs="Arial" w:eastAsia="Arial" w:hAnsi="Arial"/>
          <w:sz w:val="22"/>
          <w:szCs w:val="22"/>
          <w:color w:val="auto"/>
        </w:rPr>
      </w:pPr>
    </w:p>
    <w:p>
      <w:pPr>
        <w:ind w:left="2600" w:hanging="576"/>
        <w:spacing w:after="0"/>
        <w:tabs>
          <w:tab w:leader="none" w:pos="2600" w:val="left"/>
        </w:tabs>
        <w:numPr>
          <w:ilvl w:val="2"/>
          <w:numId w:val="27"/>
        </w:numPr>
        <w:rPr>
          <w:rFonts w:ascii="Arial" w:cs="Arial" w:eastAsia="Arial" w:hAnsi="Arial"/>
          <w:sz w:val="19"/>
          <w:szCs w:val="19"/>
          <w:color w:val="auto"/>
        </w:rPr>
      </w:pPr>
      <w:r>
        <w:rPr>
          <w:rFonts w:ascii="Arial" w:cs="Arial" w:eastAsia="Arial" w:hAnsi="Arial"/>
          <w:sz w:val="19"/>
          <w:szCs w:val="19"/>
          <w:color w:val="auto"/>
        </w:rPr>
        <w:t>to determine whether and under what circumstances to offer to buy out an Option for cash or Shares</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under Section 12;</w:t>
      </w:r>
    </w:p>
    <w:p>
      <w:pPr>
        <w:spacing w:after="0" w:line="201" w:lineRule="exact"/>
        <w:rPr>
          <w:rFonts w:ascii="Arial" w:cs="Arial" w:eastAsia="Arial" w:hAnsi="Arial"/>
          <w:sz w:val="19"/>
          <w:szCs w:val="19"/>
          <w:color w:val="auto"/>
        </w:rPr>
      </w:pPr>
    </w:p>
    <w:p>
      <w:pPr>
        <w:ind w:right="360" w:firstLine="1964"/>
        <w:spacing w:after="0" w:line="263" w:lineRule="auto"/>
        <w:tabs>
          <w:tab w:leader="none" w:pos="2592" w:val="left"/>
        </w:tabs>
        <w:numPr>
          <w:ilvl w:val="2"/>
          <w:numId w:val="27"/>
        </w:numPr>
        <w:rPr>
          <w:rFonts w:ascii="Arial" w:cs="Arial" w:eastAsia="Arial" w:hAnsi="Arial"/>
          <w:sz w:val="22"/>
          <w:szCs w:val="22"/>
          <w:color w:val="auto"/>
        </w:rPr>
      </w:pPr>
      <w:r>
        <w:rPr>
          <w:rFonts w:ascii="Arial" w:cs="Arial" w:eastAsia="Arial" w:hAnsi="Arial"/>
          <w:sz w:val="22"/>
          <w:szCs w:val="22"/>
          <w:color w:val="auto"/>
        </w:rPr>
        <w:t>to modify grants of Awards to participants who are foreign nationals or employed outside of the United States in order to recognize differences in local law, tax policies, or customs; and</w:t>
      </w:r>
    </w:p>
    <w:p>
      <w:pPr>
        <w:spacing w:after="0" w:line="174" w:lineRule="exact"/>
        <w:rPr>
          <w:rFonts w:ascii="Arial" w:cs="Arial" w:eastAsia="Arial" w:hAnsi="Arial"/>
          <w:sz w:val="22"/>
          <w:szCs w:val="22"/>
          <w:color w:val="auto"/>
        </w:rPr>
      </w:pPr>
    </w:p>
    <w:p>
      <w:pPr>
        <w:ind w:left="2600" w:hanging="696"/>
        <w:spacing w:after="0"/>
        <w:tabs>
          <w:tab w:leader="none" w:pos="2600" w:val="left"/>
        </w:tabs>
        <w:numPr>
          <w:ilvl w:val="2"/>
          <w:numId w:val="27"/>
        </w:numPr>
        <w:rPr>
          <w:rFonts w:ascii="Arial" w:cs="Arial" w:eastAsia="Arial" w:hAnsi="Arial"/>
          <w:sz w:val="19"/>
          <w:szCs w:val="19"/>
          <w:color w:val="auto"/>
        </w:rPr>
      </w:pPr>
      <w:r>
        <w:rPr>
          <w:rFonts w:ascii="Arial" w:cs="Arial" w:eastAsia="Arial" w:hAnsi="Arial"/>
          <w:sz w:val="19"/>
          <w:szCs w:val="19"/>
          <w:color w:val="auto"/>
        </w:rPr>
        <w:t>to construe and interpret the terms of this Plan and of each Award granted pursuant to this Plan.</w:t>
      </w:r>
    </w:p>
    <w:p>
      <w:pPr>
        <w:spacing w:after="0" w:line="254" w:lineRule="exact"/>
        <w:rPr>
          <w:rFonts w:ascii="Arial" w:cs="Arial" w:eastAsia="Arial" w:hAnsi="Arial"/>
          <w:sz w:val="19"/>
          <w:szCs w:val="19"/>
          <w:color w:val="auto"/>
        </w:rPr>
      </w:pPr>
    </w:p>
    <w:p>
      <w:pPr>
        <w:ind w:right="100" w:firstLine="1304"/>
        <w:spacing w:after="0" w:line="253" w:lineRule="auto"/>
        <w:tabs>
          <w:tab w:leader="none" w:pos="1939" w:val="left"/>
        </w:tabs>
        <w:numPr>
          <w:ilvl w:val="1"/>
          <w:numId w:val="27"/>
        </w:numPr>
        <w:rPr>
          <w:rFonts w:ascii="Arial" w:cs="Arial" w:eastAsia="Arial" w:hAnsi="Arial"/>
          <w:sz w:val="22"/>
          <w:szCs w:val="22"/>
          <w:color w:val="auto"/>
        </w:rPr>
      </w:pPr>
      <w:r>
        <w:rPr>
          <w:rFonts w:ascii="Arial" w:cs="Arial" w:eastAsia="Arial" w:hAnsi="Arial"/>
          <w:sz w:val="22"/>
          <w:szCs w:val="22"/>
          <w:u w:val="single" w:color="auto"/>
          <w:color w:val="auto"/>
        </w:rPr>
        <w:t>Administrator’s Decisions Binding</w:t>
      </w:r>
      <w:r>
        <w:rPr>
          <w:rFonts w:ascii="Arial" w:cs="Arial" w:eastAsia="Arial" w:hAnsi="Arial"/>
          <w:sz w:val="22"/>
          <w:szCs w:val="22"/>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85" w:lineRule="exact"/>
        <w:rPr>
          <w:rFonts w:ascii="Arial" w:cs="Arial" w:eastAsia="Arial" w:hAnsi="Arial"/>
          <w:sz w:val="22"/>
          <w:szCs w:val="22"/>
          <w:color w:val="auto"/>
        </w:rPr>
      </w:pPr>
    </w:p>
    <w:p>
      <w:pPr>
        <w:ind w:left="1300" w:hanging="644"/>
        <w:spacing w:after="0"/>
        <w:tabs>
          <w:tab w:leader="none" w:pos="1300" w:val="left"/>
        </w:tabs>
        <w:numPr>
          <w:ilvl w:val="0"/>
          <w:numId w:val="28"/>
        </w:numPr>
        <w:rPr>
          <w:rFonts w:ascii="Arial" w:cs="Arial" w:eastAsia="Arial" w:hAnsi="Arial"/>
          <w:sz w:val="22"/>
          <w:szCs w:val="22"/>
          <w:color w:val="auto"/>
        </w:rPr>
      </w:pPr>
      <w:r>
        <w:rPr>
          <w:rFonts w:ascii="Arial" w:cs="Arial" w:eastAsia="Arial" w:hAnsi="Arial"/>
          <w:sz w:val="22"/>
          <w:szCs w:val="22"/>
          <w:u w:val="single" w:color="auto"/>
          <w:color w:val="auto"/>
        </w:rPr>
        <w:t>Eligibility</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firstLine="1304"/>
        <w:spacing w:after="0" w:line="250" w:lineRule="auto"/>
        <w:tabs>
          <w:tab w:leader="none" w:pos="1941" w:val="left"/>
        </w:tabs>
        <w:numPr>
          <w:ilvl w:val="1"/>
          <w:numId w:val="28"/>
        </w:numPr>
        <w:rPr>
          <w:rFonts w:ascii="Arial" w:cs="Arial" w:eastAsia="Arial" w:hAnsi="Arial"/>
          <w:sz w:val="22"/>
          <w:szCs w:val="22"/>
          <w:color w:val="auto"/>
        </w:rPr>
      </w:pPr>
      <w:r>
        <w:rPr>
          <w:rFonts w:ascii="Arial" w:cs="Arial" w:eastAsia="Arial" w:hAnsi="Arial"/>
          <w:sz w:val="22"/>
          <w:szCs w:val="22"/>
          <w:u w:val="single" w:color="auto"/>
          <w:color w:val="auto"/>
        </w:rPr>
        <w:t>General</w:t>
      </w:r>
      <w:r>
        <w:rPr>
          <w:rFonts w:ascii="Arial" w:cs="Arial" w:eastAsia="Arial" w:hAnsi="Arial"/>
          <w:sz w:val="22"/>
          <w:szCs w:val="22"/>
          <w:color w:val="auto"/>
        </w:rPr>
        <w:t>. Nonstatutory Stock Options and other Awards (other than Incentive Stock Options) may be granted to Employees, Consultants and Outside Directors. An Employee, Consultant or Outside Director who has been granted an Award may, if otherwise eligible, be granted additional Awards. Incentive Stock Options may no longer be granted under the Plan.</w:t>
      </w:r>
    </w:p>
    <w:p>
      <w:pPr>
        <w:sectPr>
          <w:pgSz w:w="11900" w:h="16838" w:orient="portrait"/>
          <w:cols w:equalWidth="0" w:num="1">
            <w:col w:w="11240"/>
          </w:cols>
          <w:pgMar w:left="320" w:top="1440" w:right="339" w:bottom="1440" w:gutter="0" w:footer="0" w:header="0"/>
        </w:sectPr>
      </w:pPr>
    </w:p>
    <w:bookmarkStart w:id="68" w:name="page69"/>
    <w:bookmarkEnd w:id="68"/>
    <w:p>
      <w:pPr>
        <w:spacing w:after="0" w:line="204" w:lineRule="exact"/>
        <w:rPr>
          <w:sz w:val="20"/>
          <w:szCs w:val="20"/>
          <w:color w:val="auto"/>
        </w:rPr>
      </w:pPr>
    </w:p>
    <w:p>
      <w:pPr>
        <w:ind w:left="1284" w:hanging="636"/>
        <w:spacing w:after="0"/>
        <w:tabs>
          <w:tab w:leader="none" w:pos="1284" w:val="left"/>
        </w:tabs>
        <w:numPr>
          <w:ilvl w:val="1"/>
          <w:numId w:val="29"/>
        </w:numPr>
        <w:rPr>
          <w:rFonts w:ascii="Arial" w:cs="Arial" w:eastAsia="Arial" w:hAnsi="Arial"/>
          <w:sz w:val="22"/>
          <w:szCs w:val="22"/>
          <w:color w:val="auto"/>
        </w:rPr>
      </w:pPr>
      <w:r>
        <w:rPr>
          <w:rFonts w:ascii="Arial" w:cs="Arial" w:eastAsia="Arial" w:hAnsi="Arial"/>
          <w:sz w:val="22"/>
          <w:szCs w:val="22"/>
          <w:u w:val="single" w:color="auto"/>
          <w:color w:val="auto"/>
        </w:rPr>
        <w:t>Limitations</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left="-656" w:right="340" w:firstLine="2072"/>
        <w:spacing w:after="0" w:line="343" w:lineRule="auto"/>
        <w:tabs>
          <w:tab w:leader="none" w:pos="1936" w:val="left"/>
        </w:tabs>
        <w:numPr>
          <w:ilvl w:val="2"/>
          <w:numId w:val="29"/>
        </w:numPr>
        <w:rPr>
          <w:rFonts w:ascii="Arial" w:cs="Arial" w:eastAsia="Arial" w:hAnsi="Arial"/>
          <w:sz w:val="19"/>
          <w:szCs w:val="19"/>
          <w:color w:val="auto"/>
        </w:rPr>
      </w:pPr>
      <w:r>
        <w:rPr>
          <w:rFonts w:ascii="Arial" w:cs="Arial" w:eastAsia="Arial" w:hAnsi="Arial"/>
          <w:sz w:val="19"/>
          <w:szCs w:val="19"/>
          <w:color w:val="auto"/>
        </w:rPr>
        <w:t>While the Company or a successor has outstanding any class of equity securities required to be registered under Section 12 of the Exchange Act, the following limitations shall apply to grants of Awards to Employees:</w:t>
      </w:r>
    </w:p>
    <w:p>
      <w:pPr>
        <w:spacing w:after="0" w:line="104" w:lineRule="exact"/>
        <w:rPr>
          <w:rFonts w:ascii="Arial" w:cs="Arial" w:eastAsia="Arial" w:hAnsi="Arial"/>
          <w:sz w:val="19"/>
          <w:szCs w:val="19"/>
          <w:color w:val="auto"/>
        </w:rPr>
      </w:pPr>
    </w:p>
    <w:p>
      <w:pPr>
        <w:ind w:left="-656" w:right="20" w:firstLine="2012"/>
        <w:spacing w:after="0" w:line="302" w:lineRule="auto"/>
        <w:tabs>
          <w:tab w:leader="none" w:pos="1936" w:val="left"/>
        </w:tabs>
        <w:numPr>
          <w:ilvl w:val="2"/>
          <w:numId w:val="29"/>
        </w:numPr>
        <w:rPr>
          <w:rFonts w:ascii="Arial" w:cs="Arial" w:eastAsia="Arial" w:hAnsi="Arial"/>
          <w:sz w:val="19"/>
          <w:szCs w:val="19"/>
          <w:color w:val="auto"/>
        </w:rPr>
      </w:pPr>
      <w:r>
        <w:rPr>
          <w:rFonts w:ascii="Arial" w:cs="Arial" w:eastAsia="Arial" w:hAnsi="Arial"/>
          <w:sz w:val="19"/>
          <w:szCs w:val="19"/>
          <w:color w:val="auto"/>
        </w:rPr>
        <w:t>No Employee shall be granted, in any fiscal year of the Company, Awards with respect to more than 4,000,000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42" w:lineRule="exact"/>
        <w:rPr>
          <w:rFonts w:ascii="Arial" w:cs="Arial" w:eastAsia="Arial" w:hAnsi="Arial"/>
          <w:sz w:val="19"/>
          <w:szCs w:val="19"/>
          <w:color w:val="auto"/>
        </w:rPr>
      </w:pPr>
    </w:p>
    <w:p>
      <w:pPr>
        <w:ind w:left="1944" w:hanging="648"/>
        <w:spacing w:after="0"/>
        <w:tabs>
          <w:tab w:leader="none" w:pos="1944" w:val="left"/>
        </w:tabs>
        <w:numPr>
          <w:ilvl w:val="2"/>
          <w:numId w:val="29"/>
        </w:numPr>
        <w:rPr>
          <w:rFonts w:ascii="Arial" w:cs="Arial" w:eastAsia="Arial" w:hAnsi="Arial"/>
          <w:sz w:val="22"/>
          <w:szCs w:val="22"/>
          <w:color w:val="auto"/>
        </w:rPr>
      </w:pPr>
      <w:r>
        <w:rPr>
          <w:rFonts w:ascii="Arial" w:cs="Arial" w:eastAsia="Arial" w:hAnsi="Arial"/>
          <w:sz w:val="22"/>
          <w:szCs w:val="22"/>
          <w:color w:val="auto"/>
        </w:rPr>
        <w:t>Director Limitations.</w:t>
      </w:r>
    </w:p>
    <w:p>
      <w:pPr>
        <w:spacing w:after="0" w:line="219" w:lineRule="exact"/>
        <w:rPr>
          <w:rFonts w:ascii="Arial" w:cs="Arial" w:eastAsia="Arial" w:hAnsi="Arial"/>
          <w:sz w:val="22"/>
          <w:szCs w:val="22"/>
          <w:color w:val="auto"/>
        </w:rPr>
      </w:pPr>
    </w:p>
    <w:p>
      <w:pPr>
        <w:ind w:left="-656" w:right="80" w:firstLine="2924"/>
        <w:spacing w:after="0" w:line="253" w:lineRule="auto"/>
        <w:tabs>
          <w:tab w:leader="none" w:pos="2776" w:val="left"/>
        </w:tabs>
        <w:numPr>
          <w:ilvl w:val="3"/>
          <w:numId w:val="29"/>
        </w:numPr>
        <w:rPr>
          <w:rFonts w:ascii="Arial" w:cs="Arial" w:eastAsia="Arial" w:hAnsi="Arial"/>
          <w:sz w:val="22"/>
          <w:szCs w:val="22"/>
          <w:color w:val="auto"/>
        </w:rPr>
      </w:pPr>
      <w:r>
        <w:rPr>
          <w:rFonts w:ascii="Arial" w:cs="Arial" w:eastAsia="Arial" w:hAnsi="Arial"/>
          <w:sz w:val="22"/>
          <w:szCs w:val="22"/>
          <w:color w:val="auto"/>
        </w:rPr>
        <w:t>No Outside Director may be granted, in any fiscal year of the Company, cash-settled Awards with a grant date fair value (determined in accordance with U.S. generally accepted accounting principles) of more than $500,000, increased to $1,000,000 in connection with his or her initial service.</w:t>
      </w:r>
    </w:p>
    <w:p>
      <w:pPr>
        <w:spacing w:after="0" w:line="185" w:lineRule="exact"/>
        <w:rPr>
          <w:rFonts w:ascii="Arial" w:cs="Arial" w:eastAsia="Arial" w:hAnsi="Arial"/>
          <w:sz w:val="22"/>
          <w:szCs w:val="22"/>
          <w:color w:val="auto"/>
        </w:rPr>
      </w:pPr>
    </w:p>
    <w:p>
      <w:pPr>
        <w:ind w:left="-656" w:right="80" w:firstLine="2924"/>
        <w:spacing w:after="0" w:line="253" w:lineRule="auto"/>
        <w:tabs>
          <w:tab w:leader="none" w:pos="2764" w:val="left"/>
        </w:tabs>
        <w:numPr>
          <w:ilvl w:val="3"/>
          <w:numId w:val="29"/>
        </w:numPr>
        <w:rPr>
          <w:rFonts w:ascii="Arial" w:cs="Arial" w:eastAsia="Arial" w:hAnsi="Arial"/>
          <w:sz w:val="22"/>
          <w:szCs w:val="22"/>
          <w:color w:val="auto"/>
        </w:rPr>
      </w:pPr>
      <w:r>
        <w:rPr>
          <w:rFonts w:ascii="Arial" w:cs="Arial" w:eastAsia="Arial" w:hAnsi="Arial"/>
          <w:sz w:val="22"/>
          <w:szCs w:val="22"/>
          <w:color w:val="auto"/>
        </w:rPr>
        <w:t>No Outside Director may be granted, in any fiscal year of the Company, stock-settled Awards with a grant date fair value (determined in accordance with U.S. generally accepted accounting principles) of more than $500,000, increased to $1,000,000 in connection with his or her initial service.</w:t>
      </w:r>
    </w:p>
    <w:p>
      <w:pPr>
        <w:spacing w:after="0" w:line="185" w:lineRule="exact"/>
        <w:rPr>
          <w:rFonts w:ascii="Arial" w:cs="Arial" w:eastAsia="Arial" w:hAnsi="Arial"/>
          <w:sz w:val="22"/>
          <w:szCs w:val="22"/>
          <w:color w:val="auto"/>
        </w:rPr>
      </w:pPr>
    </w:p>
    <w:p>
      <w:pPr>
        <w:ind w:left="-656" w:right="100" w:firstLine="656"/>
        <w:spacing w:after="0" w:line="263" w:lineRule="auto"/>
        <w:tabs>
          <w:tab w:leader="none" w:pos="640" w:val="left"/>
        </w:tabs>
        <w:numPr>
          <w:ilvl w:val="0"/>
          <w:numId w:val="30"/>
        </w:numPr>
        <w:rPr>
          <w:rFonts w:ascii="Arial" w:cs="Arial" w:eastAsia="Arial" w:hAnsi="Arial"/>
          <w:sz w:val="22"/>
          <w:szCs w:val="22"/>
          <w:color w:val="auto"/>
        </w:rPr>
      </w:pPr>
      <w:r>
        <w:rPr>
          <w:rFonts w:ascii="Arial" w:cs="Arial" w:eastAsia="Arial" w:hAnsi="Arial"/>
          <w:sz w:val="22"/>
          <w:szCs w:val="22"/>
          <w:u w:val="single" w:color="auto"/>
          <w:color w:val="auto"/>
        </w:rPr>
        <w:t>Term of Options</w:t>
      </w:r>
      <w:r>
        <w:rPr>
          <w:rFonts w:ascii="Arial" w:cs="Arial" w:eastAsia="Arial" w:hAnsi="Arial"/>
          <w:sz w:val="22"/>
          <w:szCs w:val="22"/>
          <w:color w:val="auto"/>
        </w:rPr>
        <w:t>. The term of each Option shall be determined by the Administrator at the time of grant but shall not exceed ten years.</w:t>
      </w:r>
    </w:p>
    <w:p>
      <w:pPr>
        <w:spacing w:after="0" w:line="174" w:lineRule="exact"/>
        <w:rPr>
          <w:rFonts w:ascii="Arial" w:cs="Arial" w:eastAsia="Arial" w:hAnsi="Arial"/>
          <w:sz w:val="22"/>
          <w:szCs w:val="22"/>
          <w:color w:val="auto"/>
        </w:rPr>
      </w:pPr>
    </w:p>
    <w:p>
      <w:pPr>
        <w:ind w:left="-656" w:firstLine="656"/>
        <w:spacing w:after="0" w:line="253" w:lineRule="auto"/>
        <w:tabs>
          <w:tab w:leader="none" w:pos="640" w:val="left"/>
        </w:tabs>
        <w:numPr>
          <w:ilvl w:val="0"/>
          <w:numId w:val="30"/>
        </w:numPr>
        <w:rPr>
          <w:rFonts w:ascii="Arial" w:cs="Arial" w:eastAsia="Arial" w:hAnsi="Arial"/>
          <w:sz w:val="22"/>
          <w:szCs w:val="22"/>
          <w:color w:val="auto"/>
        </w:rPr>
      </w:pPr>
      <w:r>
        <w:rPr>
          <w:rFonts w:ascii="Arial" w:cs="Arial" w:eastAsia="Arial" w:hAnsi="Arial"/>
          <w:sz w:val="22"/>
          <w:szCs w:val="22"/>
          <w:u w:val="single" w:color="auto"/>
          <w:color w:val="auto"/>
        </w:rPr>
        <w:t>Date of Option Grant</w:t>
      </w:r>
      <w:r>
        <w:rPr>
          <w:rFonts w:ascii="Arial" w:cs="Arial" w:eastAsia="Arial" w:hAnsi="Arial"/>
          <w:sz w:val="22"/>
          <w:szCs w:val="22"/>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85" w:lineRule="exact"/>
        <w:rPr>
          <w:rFonts w:ascii="Arial" w:cs="Arial" w:eastAsia="Arial" w:hAnsi="Arial"/>
          <w:sz w:val="22"/>
          <w:szCs w:val="22"/>
          <w:color w:val="auto"/>
        </w:rPr>
      </w:pPr>
    </w:p>
    <w:p>
      <w:pPr>
        <w:ind w:left="644" w:hanging="644"/>
        <w:spacing w:after="0"/>
        <w:tabs>
          <w:tab w:leader="none" w:pos="644" w:val="left"/>
        </w:tabs>
        <w:numPr>
          <w:ilvl w:val="0"/>
          <w:numId w:val="30"/>
        </w:numPr>
        <w:rPr>
          <w:rFonts w:ascii="Arial" w:cs="Arial" w:eastAsia="Arial" w:hAnsi="Arial"/>
          <w:sz w:val="22"/>
          <w:szCs w:val="22"/>
          <w:color w:val="auto"/>
        </w:rPr>
      </w:pPr>
      <w:r>
        <w:rPr>
          <w:rFonts w:ascii="Arial" w:cs="Arial" w:eastAsia="Arial" w:hAnsi="Arial"/>
          <w:sz w:val="22"/>
          <w:szCs w:val="22"/>
          <w:u w:val="single" w:color="auto"/>
          <w:color w:val="auto"/>
        </w:rPr>
        <w:t>Option Exercise Price and Form of Consideration</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left="-656" w:right="220" w:firstLine="1304"/>
        <w:spacing w:after="0" w:line="263" w:lineRule="auto"/>
        <w:tabs>
          <w:tab w:leader="none" w:pos="1285" w:val="left"/>
        </w:tabs>
        <w:numPr>
          <w:ilvl w:val="1"/>
          <w:numId w:val="30"/>
        </w:numPr>
        <w:rPr>
          <w:rFonts w:ascii="Arial" w:cs="Arial" w:eastAsia="Arial" w:hAnsi="Arial"/>
          <w:sz w:val="22"/>
          <w:szCs w:val="22"/>
          <w:color w:val="auto"/>
        </w:rPr>
      </w:pPr>
      <w:r>
        <w:rPr>
          <w:rFonts w:ascii="Arial" w:cs="Arial" w:eastAsia="Arial" w:hAnsi="Arial"/>
          <w:sz w:val="22"/>
          <w:szCs w:val="22"/>
          <w:u w:val="single" w:color="auto"/>
          <w:color w:val="auto"/>
        </w:rPr>
        <w:t>Price</w:t>
      </w:r>
      <w:r>
        <w:rPr>
          <w:rFonts w:ascii="Arial" w:cs="Arial" w:eastAsia="Arial" w:hAnsi="Arial"/>
          <w:sz w:val="22"/>
          <w:szCs w:val="22"/>
          <w:color w:val="auto"/>
        </w:rPr>
        <w:t>. The per-Share exercise price of an Option shall be determined by the Administrator at the time of grant, but the per-Share exercise price shall be at least the Fair Market Value on the 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1481455</wp:posOffset>
            </wp:positionH>
            <wp:positionV relativeFrom="paragraph">
              <wp:posOffset>-2523490</wp:posOffset>
            </wp:positionV>
            <wp:extent cx="3429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4290" cy="8255"/>
                    </a:xfrm>
                    <a:prstGeom prst="rect">
                      <a:avLst/>
                    </a:prstGeom>
                    <a:noFill/>
                  </pic:spPr>
                </pic:pic>
              </a:graphicData>
            </a:graphic>
          </wp:anchor>
        </w:drawing>
      </w:r>
    </w:p>
    <w:p>
      <w:pPr>
        <w:sectPr>
          <w:pgSz w:w="11900" w:h="16838" w:orient="portrait"/>
          <w:cols w:equalWidth="0" w:num="1">
            <w:col w:w="10484"/>
          </w:cols>
          <w:pgMar w:left="976" w:top="1440" w:right="439" w:bottom="1440" w:gutter="0" w:footer="0" w:header="0"/>
        </w:sectPr>
      </w:pPr>
    </w:p>
    <w:bookmarkStart w:id="69" w:name="page70"/>
    <w:bookmarkEnd w:id="69"/>
    <w:p>
      <w:pPr>
        <w:spacing w:after="0" w:line="204" w:lineRule="exact"/>
        <w:rPr>
          <w:sz w:val="20"/>
          <w:szCs w:val="20"/>
          <w:color w:val="auto"/>
        </w:rPr>
      </w:pPr>
    </w:p>
    <w:p>
      <w:pPr>
        <w:ind w:left="-656" w:firstLine="1304"/>
        <w:spacing w:after="0" w:line="258" w:lineRule="auto"/>
        <w:tabs>
          <w:tab w:leader="none" w:pos="1283" w:val="left"/>
        </w:tabs>
        <w:numPr>
          <w:ilvl w:val="1"/>
          <w:numId w:val="31"/>
        </w:numPr>
        <w:rPr>
          <w:rFonts w:ascii="Arial" w:cs="Arial" w:eastAsia="Arial" w:hAnsi="Arial"/>
          <w:sz w:val="21"/>
          <w:szCs w:val="21"/>
          <w:color w:val="auto"/>
        </w:rPr>
      </w:pPr>
      <w:r>
        <w:rPr>
          <w:rFonts w:ascii="Arial" w:cs="Arial" w:eastAsia="Arial" w:hAnsi="Arial"/>
          <w:sz w:val="21"/>
          <w:szCs w:val="21"/>
          <w:u w:val="single" w:color="auto"/>
          <w:color w:val="auto"/>
        </w:rPr>
        <w:t>Form of Payment</w:t>
      </w:r>
      <w:r>
        <w:rPr>
          <w:rFonts w:ascii="Arial" w:cs="Arial" w:eastAsia="Arial" w:hAnsi="Arial"/>
          <w:sz w:val="21"/>
          <w:szCs w:val="21"/>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21"/>
          <w:szCs w:val="21"/>
          <w:u w:val="single" w:color="auto"/>
          <w:color w:val="auto"/>
        </w:rPr>
        <w:t>provided</w:t>
      </w:r>
      <w:r>
        <w:rPr>
          <w:rFonts w:ascii="Arial" w:cs="Arial" w:eastAsia="Arial" w:hAnsi="Arial"/>
          <w:sz w:val="21"/>
          <w:szCs w:val="21"/>
          <w:color w:val="auto"/>
        </w:rPr>
        <w:t xml:space="preserve">, </w:t>
      </w:r>
      <w:r>
        <w:rPr>
          <w:rFonts w:ascii="Arial" w:cs="Arial" w:eastAsia="Arial" w:hAnsi="Arial"/>
          <w:sz w:val="21"/>
          <w:szCs w:val="21"/>
          <w:u w:val="single" w:color="auto"/>
          <w:color w:val="auto"/>
        </w:rPr>
        <w:t>however</w:t>
      </w:r>
      <w:r>
        <w:rPr>
          <w:rFonts w:ascii="Arial" w:cs="Arial" w:eastAsia="Arial" w:hAnsi="Arial"/>
          <w:sz w:val="21"/>
          <w:szCs w:val="21"/>
          <w:color w:val="auto"/>
        </w:rPr>
        <w:t>, that the Optionee shall not surrender, or attest to the ownership of, Shares in payment of the 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200" w:lineRule="exact"/>
        <w:rPr>
          <w:rFonts w:ascii="Arial" w:cs="Arial" w:eastAsia="Arial" w:hAnsi="Arial"/>
          <w:sz w:val="21"/>
          <w:szCs w:val="21"/>
          <w:color w:val="auto"/>
        </w:rPr>
      </w:pPr>
    </w:p>
    <w:p>
      <w:pPr>
        <w:spacing w:after="0" w:line="200" w:lineRule="exact"/>
        <w:rPr>
          <w:rFonts w:ascii="Arial" w:cs="Arial" w:eastAsia="Arial" w:hAnsi="Arial"/>
          <w:sz w:val="21"/>
          <w:szCs w:val="21"/>
          <w:color w:val="auto"/>
        </w:rPr>
      </w:pPr>
    </w:p>
    <w:p>
      <w:pPr>
        <w:spacing w:after="0" w:line="244" w:lineRule="exact"/>
        <w:rPr>
          <w:rFonts w:ascii="Arial" w:cs="Arial" w:eastAsia="Arial" w:hAnsi="Arial"/>
          <w:sz w:val="21"/>
          <w:szCs w:val="21"/>
          <w:color w:val="auto"/>
        </w:rPr>
      </w:pPr>
    </w:p>
    <w:p>
      <w:pPr>
        <w:ind w:left="644" w:hanging="644"/>
        <w:spacing w:after="0"/>
        <w:tabs>
          <w:tab w:leader="none" w:pos="644" w:val="left"/>
        </w:tabs>
        <w:numPr>
          <w:ilvl w:val="0"/>
          <w:numId w:val="32"/>
        </w:numPr>
        <w:rPr>
          <w:rFonts w:ascii="Arial" w:cs="Arial" w:eastAsia="Arial" w:hAnsi="Arial"/>
          <w:sz w:val="22"/>
          <w:szCs w:val="22"/>
          <w:color w:val="auto"/>
        </w:rPr>
      </w:pPr>
      <w:r>
        <w:rPr>
          <w:rFonts w:ascii="Arial" w:cs="Arial" w:eastAsia="Arial" w:hAnsi="Arial"/>
          <w:sz w:val="22"/>
          <w:szCs w:val="22"/>
          <w:u w:val="single" w:color="auto"/>
          <w:color w:val="auto"/>
        </w:rPr>
        <w:t>Option Exercise</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left="-656" w:right="120" w:firstLine="1304"/>
        <w:spacing w:after="0" w:line="263" w:lineRule="auto"/>
        <w:tabs>
          <w:tab w:leader="none" w:pos="1285" w:val="left"/>
        </w:tabs>
        <w:numPr>
          <w:ilvl w:val="1"/>
          <w:numId w:val="32"/>
        </w:numPr>
        <w:rPr>
          <w:rFonts w:ascii="Arial" w:cs="Arial" w:eastAsia="Arial" w:hAnsi="Arial"/>
          <w:sz w:val="22"/>
          <w:szCs w:val="22"/>
          <w:color w:val="auto"/>
        </w:rPr>
      </w:pPr>
      <w:r>
        <w:rPr>
          <w:rFonts w:ascii="Arial" w:cs="Arial" w:eastAsia="Arial" w:hAnsi="Arial"/>
          <w:sz w:val="22"/>
          <w:szCs w:val="22"/>
          <w:u w:val="single" w:color="auto"/>
          <w:color w:val="auto"/>
        </w:rPr>
        <w:t>Exercisability</w:t>
      </w:r>
      <w:r>
        <w:rPr>
          <w:rFonts w:ascii="Arial" w:cs="Arial" w:eastAsia="Arial" w:hAnsi="Arial"/>
          <w:sz w:val="22"/>
          <w:szCs w:val="22"/>
          <w:color w:val="auto"/>
        </w:rPr>
        <w:t>. Each Option shall be exercisable at such times and under such conditions as determined by the Administrator at the time of grant.</w:t>
      </w:r>
    </w:p>
    <w:p>
      <w:pPr>
        <w:spacing w:after="0" w:line="174" w:lineRule="exact"/>
        <w:rPr>
          <w:rFonts w:ascii="Arial" w:cs="Arial" w:eastAsia="Arial" w:hAnsi="Arial"/>
          <w:sz w:val="22"/>
          <w:szCs w:val="22"/>
          <w:color w:val="auto"/>
        </w:rPr>
      </w:pPr>
    </w:p>
    <w:p>
      <w:pPr>
        <w:ind w:left="-656" w:right="120" w:firstLine="1304"/>
        <w:spacing w:after="0" w:line="271" w:lineRule="auto"/>
        <w:tabs>
          <w:tab w:leader="none" w:pos="1283" w:val="left"/>
        </w:tabs>
        <w:numPr>
          <w:ilvl w:val="1"/>
          <w:numId w:val="32"/>
        </w:numPr>
        <w:rPr>
          <w:rFonts w:ascii="Arial" w:cs="Arial" w:eastAsia="Arial" w:hAnsi="Arial"/>
          <w:sz w:val="21"/>
          <w:szCs w:val="21"/>
          <w:color w:val="auto"/>
        </w:rPr>
      </w:pPr>
      <w:r>
        <w:rPr>
          <w:rFonts w:ascii="Arial" w:cs="Arial" w:eastAsia="Arial" w:hAnsi="Arial"/>
          <w:sz w:val="21"/>
          <w:szCs w:val="21"/>
          <w:u w:val="single" w:color="auto"/>
          <w:color w:val="auto"/>
        </w:rPr>
        <w:t>Vesting</w:t>
      </w:r>
      <w:r>
        <w:rPr>
          <w:rFonts w:ascii="Arial" w:cs="Arial" w:eastAsia="Arial" w:hAnsi="Arial"/>
          <w:sz w:val="21"/>
          <w:szCs w:val="21"/>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67" w:lineRule="exact"/>
        <w:rPr>
          <w:rFonts w:ascii="Arial" w:cs="Arial" w:eastAsia="Arial" w:hAnsi="Arial"/>
          <w:sz w:val="21"/>
          <w:szCs w:val="21"/>
          <w:color w:val="auto"/>
        </w:rPr>
      </w:pPr>
    </w:p>
    <w:p>
      <w:pPr>
        <w:ind w:left="1284" w:hanging="636"/>
        <w:spacing w:after="0"/>
        <w:tabs>
          <w:tab w:leader="none" w:pos="1284" w:val="left"/>
        </w:tabs>
        <w:numPr>
          <w:ilvl w:val="1"/>
          <w:numId w:val="32"/>
        </w:numPr>
        <w:rPr>
          <w:rFonts w:ascii="Arial" w:cs="Arial" w:eastAsia="Arial" w:hAnsi="Arial"/>
          <w:sz w:val="22"/>
          <w:szCs w:val="22"/>
          <w:color w:val="auto"/>
        </w:rPr>
      </w:pPr>
      <w:r>
        <w:rPr>
          <w:rFonts w:ascii="Arial" w:cs="Arial" w:eastAsia="Arial" w:hAnsi="Arial"/>
          <w:sz w:val="22"/>
          <w:szCs w:val="22"/>
          <w:u w:val="single" w:color="auto"/>
          <w:color w:val="auto"/>
        </w:rPr>
        <w:t>Fractional Shares</w:t>
      </w:r>
      <w:r>
        <w:rPr>
          <w:rFonts w:ascii="Arial" w:cs="Arial" w:eastAsia="Arial" w:hAnsi="Arial"/>
          <w:sz w:val="22"/>
          <w:szCs w:val="22"/>
          <w:color w:val="auto"/>
        </w:rPr>
        <w:t>. An Option may not be exercised for a fraction of a Share.</w:t>
      </w:r>
    </w:p>
    <w:p>
      <w:pPr>
        <w:spacing w:after="0" w:line="219" w:lineRule="exact"/>
        <w:rPr>
          <w:rFonts w:ascii="Arial" w:cs="Arial" w:eastAsia="Arial" w:hAnsi="Arial"/>
          <w:sz w:val="22"/>
          <w:szCs w:val="22"/>
          <w:color w:val="auto"/>
        </w:rPr>
      </w:pPr>
    </w:p>
    <w:p>
      <w:pPr>
        <w:ind w:left="-656" w:right="300" w:firstLine="1304"/>
        <w:spacing w:after="0" w:line="294" w:lineRule="auto"/>
        <w:tabs>
          <w:tab w:leader="none" w:pos="1283" w:val="left"/>
        </w:tabs>
        <w:numPr>
          <w:ilvl w:val="1"/>
          <w:numId w:val="32"/>
        </w:numPr>
        <w:rPr>
          <w:rFonts w:ascii="Arial" w:cs="Arial" w:eastAsia="Arial" w:hAnsi="Arial"/>
          <w:sz w:val="19"/>
          <w:szCs w:val="19"/>
          <w:color w:val="auto"/>
        </w:rPr>
      </w:pPr>
      <w:r>
        <w:rPr>
          <w:rFonts w:ascii="Arial" w:cs="Arial" w:eastAsia="Arial" w:hAnsi="Arial"/>
          <w:sz w:val="19"/>
          <w:szCs w:val="19"/>
          <w:u w:val="single" w:color="auto"/>
          <w:color w:val="auto"/>
        </w:rPr>
        <w:t>Manner of Exercise; Rights as a Shareholder</w:t>
      </w:r>
      <w:r>
        <w:rPr>
          <w:rFonts w:ascii="Arial" w:cs="Arial" w:eastAsia="Arial" w:hAnsi="Arial"/>
          <w:sz w:val="19"/>
          <w:szCs w:val="19"/>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49" w:lineRule="exact"/>
        <w:rPr>
          <w:rFonts w:ascii="Arial" w:cs="Arial" w:eastAsia="Arial" w:hAnsi="Arial"/>
          <w:sz w:val="19"/>
          <w:szCs w:val="19"/>
          <w:color w:val="auto"/>
        </w:rPr>
      </w:pPr>
    </w:p>
    <w:p>
      <w:pPr>
        <w:ind w:left="-656" w:right="60" w:firstLine="1304"/>
        <w:spacing w:after="0" w:line="250" w:lineRule="auto"/>
        <w:tabs>
          <w:tab w:leader="none" w:pos="1285" w:val="left"/>
        </w:tabs>
        <w:numPr>
          <w:ilvl w:val="1"/>
          <w:numId w:val="32"/>
        </w:numPr>
        <w:rPr>
          <w:rFonts w:ascii="Arial" w:cs="Arial" w:eastAsia="Arial" w:hAnsi="Arial"/>
          <w:sz w:val="22"/>
          <w:szCs w:val="22"/>
          <w:color w:val="auto"/>
        </w:rPr>
      </w:pPr>
      <w:r>
        <w:rPr>
          <w:rFonts w:ascii="Arial" w:cs="Arial" w:eastAsia="Arial" w:hAnsi="Arial"/>
          <w:sz w:val="22"/>
          <w:szCs w:val="22"/>
          <w:u w:val="single" w:color="auto"/>
          <w:color w:val="auto"/>
        </w:rPr>
        <w:t>Optionee Representations</w:t>
      </w:r>
      <w:r>
        <w:rPr>
          <w:rFonts w:ascii="Arial" w:cs="Arial" w:eastAsia="Arial" w:hAnsi="Arial"/>
          <w:sz w:val="22"/>
          <w:szCs w:val="22"/>
          <w:color w:val="auto"/>
        </w:rPr>
        <w:t>.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ectPr>
          <w:pgSz w:w="11900" w:h="16838" w:orient="portrait"/>
          <w:cols w:equalWidth="0" w:num="1">
            <w:col w:w="10584"/>
          </w:cols>
          <w:pgMar w:left="976" w:top="1440" w:right="339" w:bottom="1440" w:gutter="0" w:footer="0" w:header="0"/>
        </w:sectPr>
      </w:pPr>
    </w:p>
    <w:bookmarkStart w:id="70" w:name="page71"/>
    <w:bookmarkEnd w:id="70"/>
    <w:p>
      <w:pPr>
        <w:spacing w:after="0" w:line="204" w:lineRule="exact"/>
        <w:rPr>
          <w:sz w:val="20"/>
          <w:szCs w:val="20"/>
          <w:color w:val="auto"/>
        </w:rPr>
      </w:pPr>
    </w:p>
    <w:p>
      <w:pPr>
        <w:ind w:right="60" w:firstLine="1304"/>
        <w:spacing w:after="0" w:line="261" w:lineRule="auto"/>
        <w:tabs>
          <w:tab w:leader="none" w:pos="1944" w:val="left"/>
        </w:tabs>
        <w:numPr>
          <w:ilvl w:val="0"/>
          <w:numId w:val="33"/>
        </w:numPr>
        <w:rPr>
          <w:rFonts w:ascii="Arial" w:cs="Arial" w:eastAsia="Arial" w:hAnsi="Arial"/>
          <w:sz w:val="21"/>
          <w:szCs w:val="21"/>
          <w:color w:val="auto"/>
        </w:rPr>
      </w:pPr>
      <w:r>
        <w:rPr>
          <w:rFonts w:ascii="Arial" w:cs="Arial" w:eastAsia="Arial" w:hAnsi="Arial"/>
          <w:sz w:val="21"/>
          <w:szCs w:val="21"/>
          <w:u w:val="single" w:color="auto"/>
          <w:color w:val="auto"/>
        </w:rPr>
        <w:t>Termination of Employment or Consulting Relationship</w:t>
      </w:r>
      <w:r>
        <w:rPr>
          <w:rFonts w:ascii="Arial" w:cs="Arial" w:eastAsia="Arial" w:hAnsi="Arial"/>
          <w:sz w:val="21"/>
          <w:szCs w:val="21"/>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79" w:lineRule="exact"/>
        <w:rPr>
          <w:rFonts w:ascii="Arial" w:cs="Arial" w:eastAsia="Arial" w:hAnsi="Arial"/>
          <w:sz w:val="21"/>
          <w:szCs w:val="21"/>
          <w:color w:val="auto"/>
        </w:rPr>
      </w:pPr>
    </w:p>
    <w:p>
      <w:pPr>
        <w:ind w:right="160" w:firstLine="1304"/>
        <w:spacing w:after="0" w:line="250" w:lineRule="auto"/>
        <w:tabs>
          <w:tab w:leader="none" w:pos="1939" w:val="left"/>
        </w:tabs>
        <w:numPr>
          <w:ilvl w:val="0"/>
          <w:numId w:val="33"/>
        </w:numPr>
        <w:rPr>
          <w:rFonts w:ascii="Arial" w:cs="Arial" w:eastAsia="Arial" w:hAnsi="Arial"/>
          <w:sz w:val="22"/>
          <w:szCs w:val="22"/>
          <w:color w:val="auto"/>
        </w:rPr>
      </w:pPr>
      <w:r>
        <w:rPr>
          <w:rFonts w:ascii="Arial" w:cs="Arial" w:eastAsia="Arial" w:hAnsi="Arial"/>
          <w:sz w:val="22"/>
          <w:szCs w:val="22"/>
          <w:u w:val="single" w:color="auto"/>
          <w:color w:val="auto"/>
        </w:rPr>
        <w:t>Tax Withholding</w:t>
      </w:r>
      <w:r>
        <w:rPr>
          <w:rFonts w:ascii="Arial" w:cs="Arial" w:eastAsia="Arial" w:hAnsi="Arial"/>
          <w:sz w:val="22"/>
          <w:szCs w:val="22"/>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88" w:lineRule="exact"/>
        <w:rPr>
          <w:sz w:val="20"/>
          <w:szCs w:val="20"/>
          <w:color w:val="auto"/>
        </w:rPr>
      </w:pPr>
    </w:p>
    <w:p>
      <w:pPr>
        <w:ind w:left="1300" w:hanging="644"/>
        <w:spacing w:after="0"/>
        <w:tabs>
          <w:tab w:leader="none" w:pos="1300" w:val="left"/>
        </w:tabs>
        <w:numPr>
          <w:ilvl w:val="0"/>
          <w:numId w:val="34"/>
        </w:numPr>
        <w:rPr>
          <w:rFonts w:ascii="Arial" w:cs="Arial" w:eastAsia="Arial" w:hAnsi="Arial"/>
          <w:sz w:val="21"/>
          <w:szCs w:val="21"/>
          <w:color w:val="auto"/>
        </w:rPr>
      </w:pPr>
      <w:r>
        <w:rPr>
          <w:rFonts w:ascii="Arial" w:cs="Arial" w:eastAsia="Arial" w:hAnsi="Arial"/>
          <w:sz w:val="21"/>
          <w:szCs w:val="21"/>
          <w:u w:val="single" w:color="auto"/>
          <w:color w:val="auto"/>
        </w:rPr>
        <w:t>Rule 16b-3</w:t>
      </w:r>
      <w:r>
        <w:rPr>
          <w:rFonts w:ascii="Arial" w:cs="Arial" w:eastAsia="Arial" w:hAnsi="Arial"/>
          <w:sz w:val="21"/>
          <w:szCs w:val="21"/>
          <w:color w:val="auto"/>
        </w:rPr>
        <w:t>. Except to the extent determined by the Administrator, Awards granted to persons subject to</w:t>
      </w:r>
    </w:p>
    <w:p>
      <w:pPr>
        <w:spacing w:after="0" w:line="33" w:lineRule="exact"/>
        <w:rPr>
          <w:sz w:val="20"/>
          <w:szCs w:val="20"/>
          <w:color w:val="auto"/>
        </w:rPr>
      </w:pPr>
    </w:p>
    <w:p>
      <w:pPr>
        <w:ind w:right="140"/>
        <w:spacing w:after="0" w:line="246" w:lineRule="auto"/>
        <w:rPr>
          <w:sz w:val="20"/>
          <w:szCs w:val="20"/>
          <w:color w:val="auto"/>
        </w:rPr>
      </w:pPr>
      <w:r>
        <w:rPr>
          <w:rFonts w:ascii="Arial" w:cs="Arial" w:eastAsia="Arial" w:hAnsi="Arial"/>
          <w:sz w:val="22"/>
          <w:szCs w:val="22"/>
          <w:color w:val="auto"/>
        </w:rPr>
        <w:t>Section 16(b) of the Exchange Act shall comply with Rule 16b-3 and shall contain such terms as may be required or desirable to qualify Plan transactions for the maximum exemption from Section 16 of the Exchange Act.</w:t>
      </w:r>
    </w:p>
    <w:p>
      <w:pPr>
        <w:spacing w:after="0" w:line="192" w:lineRule="exact"/>
        <w:rPr>
          <w:sz w:val="20"/>
          <w:szCs w:val="20"/>
          <w:color w:val="auto"/>
        </w:rPr>
      </w:pPr>
    </w:p>
    <w:p>
      <w:pPr>
        <w:ind w:firstLine="656"/>
        <w:spacing w:after="0" w:line="253" w:lineRule="auto"/>
        <w:tabs>
          <w:tab w:leader="none" w:pos="1288"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Non-Transferability of Options</w:t>
      </w:r>
      <w:r>
        <w:rPr>
          <w:rFonts w:ascii="Arial" w:cs="Arial" w:eastAsia="Arial" w:hAnsi="Arial"/>
          <w:sz w:val="22"/>
          <w:szCs w:val="22"/>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185" w:lineRule="exact"/>
        <w:rPr>
          <w:rFonts w:ascii="Arial" w:cs="Arial" w:eastAsia="Arial" w:hAnsi="Arial"/>
          <w:sz w:val="22"/>
          <w:szCs w:val="22"/>
          <w:color w:val="auto"/>
        </w:rPr>
      </w:pPr>
    </w:p>
    <w:p>
      <w:pPr>
        <w:jc w:val="both"/>
        <w:ind w:right="40" w:firstLine="656"/>
        <w:spacing w:after="0" w:line="343" w:lineRule="auto"/>
        <w:tabs>
          <w:tab w:leader="none" w:pos="1296" w:val="left"/>
        </w:tabs>
        <w:numPr>
          <w:ilvl w:val="0"/>
          <w:numId w:val="35"/>
        </w:numPr>
        <w:rPr>
          <w:rFonts w:ascii="Arial" w:cs="Arial" w:eastAsia="Arial" w:hAnsi="Arial"/>
          <w:sz w:val="19"/>
          <w:szCs w:val="19"/>
          <w:color w:val="auto"/>
        </w:rPr>
      </w:pPr>
      <w:r>
        <w:rPr>
          <w:rFonts w:ascii="Arial" w:cs="Arial" w:eastAsia="Arial" w:hAnsi="Arial"/>
          <w:sz w:val="19"/>
          <w:szCs w:val="19"/>
          <w:u w:val="single" w:color="auto"/>
          <w:color w:val="auto"/>
        </w:rPr>
        <w:t>Buyout of Options</w:t>
      </w:r>
      <w:r>
        <w:rPr>
          <w:rFonts w:ascii="Arial" w:cs="Arial" w:eastAsia="Arial" w:hAnsi="Arial"/>
          <w:sz w:val="19"/>
          <w:szCs w:val="19"/>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104" w:lineRule="exact"/>
        <w:rPr>
          <w:rFonts w:ascii="Arial" w:cs="Arial" w:eastAsia="Arial" w:hAnsi="Arial"/>
          <w:sz w:val="19"/>
          <w:szCs w:val="19"/>
          <w:color w:val="auto"/>
        </w:rPr>
      </w:pPr>
    </w:p>
    <w:p>
      <w:pPr>
        <w:ind w:right="280" w:firstLine="656"/>
        <w:spacing w:after="0" w:line="250"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u w:val="single" w:color="auto"/>
          <w:color w:val="auto"/>
        </w:rPr>
        <w:t>Other Awards</w:t>
      </w:r>
      <w:r>
        <w:rPr>
          <w:rFonts w:ascii="Arial" w:cs="Arial" w:eastAsia="Arial" w:hAnsi="Arial"/>
          <w:sz w:val="22"/>
          <w:szCs w:val="22"/>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ectPr>
          <w:pgSz w:w="11900" w:h="16838" w:orient="portrait"/>
          <w:cols w:equalWidth="0" w:num="1">
            <w:col w:w="11240"/>
          </w:cols>
          <w:pgMar w:left="320" w:top="1440" w:right="339" w:bottom="1440" w:gutter="0" w:footer="0" w:header="0"/>
        </w:sectPr>
      </w:pPr>
    </w:p>
    <w:bookmarkStart w:id="71" w:name="page72"/>
    <w:bookmarkEnd w:id="71"/>
    <w:p>
      <w:pPr>
        <w:spacing w:after="0" w:line="204" w:lineRule="exact"/>
        <w:rPr>
          <w:sz w:val="20"/>
          <w:szCs w:val="20"/>
          <w:color w:val="auto"/>
        </w:rPr>
      </w:pPr>
    </w:p>
    <w:p>
      <w:pPr>
        <w:ind w:left="-1120" w:firstLine="1304"/>
        <w:spacing w:after="0" w:line="258" w:lineRule="auto"/>
        <w:tabs>
          <w:tab w:leader="none" w:pos="821" w:val="left"/>
        </w:tabs>
        <w:numPr>
          <w:ilvl w:val="0"/>
          <w:numId w:val="36"/>
        </w:numPr>
        <w:rPr>
          <w:rFonts w:ascii="Arial" w:cs="Arial" w:eastAsia="Arial" w:hAnsi="Arial"/>
          <w:sz w:val="21"/>
          <w:szCs w:val="21"/>
          <w:color w:val="auto"/>
        </w:rPr>
      </w:pPr>
      <w:r>
        <w:rPr>
          <w:rFonts w:ascii="Arial" w:cs="Arial" w:eastAsia="Arial" w:hAnsi="Arial"/>
          <w:sz w:val="21"/>
          <w:szCs w:val="21"/>
          <w:u w:val="single" w:color="auto"/>
          <w:color w:val="auto"/>
        </w:rPr>
        <w:t>Stock Appreciation Rights</w:t>
      </w:r>
      <w:r>
        <w:rPr>
          <w:rFonts w:ascii="Arial" w:cs="Arial" w:eastAsia="Arial" w:hAnsi="Arial"/>
          <w:sz w:val="21"/>
          <w:szCs w:val="21"/>
          <w:color w:val="auto"/>
        </w:rPr>
        <w:t>.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81" w:lineRule="exact"/>
        <w:rPr>
          <w:rFonts w:ascii="Arial" w:cs="Arial" w:eastAsia="Arial" w:hAnsi="Arial"/>
          <w:sz w:val="21"/>
          <w:szCs w:val="21"/>
          <w:color w:val="auto"/>
        </w:rPr>
      </w:pPr>
    </w:p>
    <w:p>
      <w:pPr>
        <w:ind w:left="-1120" w:right="300" w:firstLine="1304"/>
        <w:spacing w:after="0" w:line="253" w:lineRule="auto"/>
        <w:tabs>
          <w:tab w:leader="none" w:pos="819" w:val="left"/>
        </w:tabs>
        <w:numPr>
          <w:ilvl w:val="0"/>
          <w:numId w:val="36"/>
        </w:numPr>
        <w:rPr>
          <w:rFonts w:ascii="Arial" w:cs="Arial" w:eastAsia="Arial" w:hAnsi="Arial"/>
          <w:sz w:val="22"/>
          <w:szCs w:val="22"/>
          <w:color w:val="auto"/>
        </w:rPr>
      </w:pPr>
      <w:r>
        <w:rPr>
          <w:rFonts w:ascii="Arial" w:cs="Arial" w:eastAsia="Arial" w:hAnsi="Arial"/>
          <w:sz w:val="22"/>
          <w:szCs w:val="22"/>
          <w:u w:val="single" w:color="auto"/>
          <w:color w:val="auto"/>
        </w:rPr>
        <w:t>Stock Awards</w:t>
      </w:r>
      <w:r>
        <w:rPr>
          <w:rFonts w:ascii="Arial" w:cs="Arial" w:eastAsia="Arial" w:hAnsi="Arial"/>
          <w:sz w:val="22"/>
          <w:szCs w:val="22"/>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185" w:lineRule="exact"/>
        <w:rPr>
          <w:rFonts w:ascii="Arial" w:cs="Arial" w:eastAsia="Arial" w:hAnsi="Arial"/>
          <w:sz w:val="22"/>
          <w:szCs w:val="22"/>
          <w:color w:val="auto"/>
        </w:rPr>
      </w:pPr>
    </w:p>
    <w:p>
      <w:pPr>
        <w:ind w:left="-1120" w:right="20" w:firstLine="1304"/>
        <w:spacing w:after="0" w:line="260" w:lineRule="auto"/>
        <w:tabs>
          <w:tab w:leader="none" w:pos="821" w:val="left"/>
        </w:tabs>
        <w:numPr>
          <w:ilvl w:val="0"/>
          <w:numId w:val="36"/>
        </w:numPr>
        <w:rPr>
          <w:rFonts w:ascii="Arial" w:cs="Arial" w:eastAsia="Arial" w:hAnsi="Arial"/>
          <w:sz w:val="21"/>
          <w:szCs w:val="21"/>
          <w:color w:val="auto"/>
        </w:rPr>
      </w:pPr>
      <w:r>
        <w:rPr>
          <w:rFonts w:ascii="Arial" w:cs="Arial" w:eastAsia="Arial" w:hAnsi="Arial"/>
          <w:sz w:val="21"/>
          <w:szCs w:val="21"/>
          <w:u w:val="single" w:color="auto"/>
          <w:color w:val="auto"/>
        </w:rPr>
        <w:t>Stock Units</w:t>
      </w:r>
      <w:r>
        <w:rPr>
          <w:rFonts w:ascii="Arial" w:cs="Arial" w:eastAsia="Arial" w:hAnsi="Arial"/>
          <w:sz w:val="21"/>
          <w:szCs w:val="21"/>
          <w:color w:val="auto"/>
        </w:rPr>
        <w:t>.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80" w:lineRule="exact"/>
        <w:rPr>
          <w:rFonts w:ascii="Arial" w:cs="Arial" w:eastAsia="Arial" w:hAnsi="Arial"/>
          <w:sz w:val="21"/>
          <w:szCs w:val="21"/>
          <w:color w:val="auto"/>
        </w:rPr>
      </w:pPr>
    </w:p>
    <w:p>
      <w:pPr>
        <w:ind w:left="-1120" w:right="120" w:firstLine="1304"/>
        <w:spacing w:after="0" w:line="259" w:lineRule="auto"/>
        <w:tabs>
          <w:tab w:leader="none" w:pos="819" w:val="left"/>
        </w:tabs>
        <w:numPr>
          <w:ilvl w:val="0"/>
          <w:numId w:val="36"/>
        </w:numPr>
        <w:rPr>
          <w:rFonts w:ascii="Arial" w:cs="Arial" w:eastAsia="Arial" w:hAnsi="Arial"/>
          <w:sz w:val="21"/>
          <w:szCs w:val="21"/>
          <w:color w:val="auto"/>
        </w:rPr>
      </w:pPr>
      <w:r>
        <w:rPr>
          <w:rFonts w:ascii="Arial" w:cs="Arial" w:eastAsia="Arial" w:hAnsi="Arial"/>
          <w:sz w:val="21"/>
          <w:szCs w:val="21"/>
          <w:u w:val="single" w:color="auto"/>
          <w:color w:val="auto"/>
        </w:rPr>
        <w:t>Performance Awards</w:t>
      </w:r>
      <w:r>
        <w:rPr>
          <w:rFonts w:ascii="Arial" w:cs="Arial" w:eastAsia="Arial" w:hAnsi="Arial"/>
          <w:sz w:val="21"/>
          <w:szCs w:val="21"/>
          <w:color w:val="auto"/>
        </w:rPr>
        <w:t xml:space="preserve">.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 The Administrator may grant awards intended to qualify as “performance-based compensation” within the meaning of Section 162(m) of the Code under terms and conditions set forth in </w:t>
      </w:r>
      <w:r>
        <w:rPr>
          <w:rFonts w:ascii="Arial" w:cs="Arial" w:eastAsia="Arial" w:hAnsi="Arial"/>
          <w:sz w:val="21"/>
          <w:szCs w:val="21"/>
          <w:u w:val="single" w:color="auto"/>
          <w:color w:val="auto"/>
        </w:rPr>
        <w:t>Appendix A</w:t>
      </w:r>
      <w:r>
        <w:rPr>
          <w:rFonts w:ascii="Arial" w:cs="Arial" w:eastAsia="Arial" w:hAnsi="Arial"/>
          <w:sz w:val="21"/>
          <w:szCs w:val="21"/>
          <w:color w:val="auto"/>
        </w:rPr>
        <w:t>.</w:t>
      </w:r>
    </w:p>
    <w:p>
      <w:pPr>
        <w:sectPr>
          <w:pgSz w:w="11900" w:h="16838" w:orient="portrait"/>
          <w:cols w:equalWidth="0" w:num="1">
            <w:col w:w="10120"/>
          </w:cols>
          <w:pgMar w:left="1440" w:top="1440" w:right="339" w:bottom="1440" w:gutter="0" w:footer="0" w:header="0"/>
        </w:sectPr>
      </w:pPr>
    </w:p>
    <w:bookmarkStart w:id="72" w:name="page73"/>
    <w:bookmarkEnd w:id="72"/>
    <w:p>
      <w:pPr>
        <w:spacing w:after="0" w:line="204" w:lineRule="exact"/>
        <w:rPr>
          <w:sz w:val="20"/>
          <w:szCs w:val="20"/>
          <w:color w:val="auto"/>
        </w:rPr>
      </w:pPr>
    </w:p>
    <w:p>
      <w:pPr>
        <w:ind w:firstLine="1304"/>
        <w:spacing w:after="0" w:line="248" w:lineRule="auto"/>
        <w:tabs>
          <w:tab w:leader="none" w:pos="1941" w:val="left"/>
        </w:tabs>
        <w:numPr>
          <w:ilvl w:val="0"/>
          <w:numId w:val="37"/>
        </w:numPr>
        <w:rPr>
          <w:rFonts w:ascii="Arial" w:cs="Arial" w:eastAsia="Arial" w:hAnsi="Arial"/>
          <w:sz w:val="22"/>
          <w:szCs w:val="22"/>
          <w:color w:val="auto"/>
        </w:rPr>
      </w:pPr>
      <w:r>
        <w:rPr>
          <w:rFonts w:ascii="Arial" w:cs="Arial" w:eastAsia="Arial" w:hAnsi="Arial"/>
          <w:sz w:val="22"/>
          <w:szCs w:val="22"/>
          <w:u w:val="single" w:color="auto"/>
          <w:color w:val="auto"/>
        </w:rPr>
        <w:t>Other Stock-Based Awards</w:t>
      </w:r>
      <w:r>
        <w:rPr>
          <w:rFonts w:ascii="Arial" w:cs="Arial" w:eastAsia="Arial" w:hAnsi="Arial"/>
          <w:sz w:val="22"/>
          <w:szCs w:val="22"/>
          <w:color w:val="auto"/>
        </w:rPr>
        <w:t>.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91" w:lineRule="exact"/>
        <w:rPr>
          <w:rFonts w:ascii="Arial" w:cs="Arial" w:eastAsia="Arial" w:hAnsi="Arial"/>
          <w:sz w:val="22"/>
          <w:szCs w:val="22"/>
          <w:color w:val="auto"/>
        </w:rPr>
      </w:pPr>
    </w:p>
    <w:p>
      <w:pPr>
        <w:ind w:left="1960" w:hanging="656"/>
        <w:spacing w:after="0"/>
        <w:tabs>
          <w:tab w:leader="none" w:pos="1960" w:val="left"/>
        </w:tabs>
        <w:numPr>
          <w:ilvl w:val="0"/>
          <w:numId w:val="37"/>
        </w:numPr>
        <w:rPr>
          <w:rFonts w:ascii="Arial" w:cs="Arial" w:eastAsia="Arial" w:hAnsi="Arial"/>
          <w:sz w:val="22"/>
          <w:szCs w:val="22"/>
          <w:color w:val="auto"/>
        </w:rPr>
      </w:pPr>
      <w:r>
        <w:rPr>
          <w:rFonts w:ascii="Arial" w:cs="Arial" w:eastAsia="Arial" w:hAnsi="Arial"/>
          <w:sz w:val="22"/>
          <w:szCs w:val="22"/>
          <w:u w:val="single" w:color="auto"/>
          <w:color w:val="auto"/>
        </w:rPr>
        <w:t>Deferral of Awards</w:t>
      </w:r>
      <w:r>
        <w:rPr>
          <w:rFonts w:ascii="Arial" w:cs="Arial" w:eastAsia="Arial" w:hAnsi="Arial"/>
          <w:sz w:val="22"/>
          <w:szCs w:val="22"/>
          <w:color w:val="auto"/>
        </w:rPr>
        <w:t>.</w:t>
      </w:r>
    </w:p>
    <w:p>
      <w:pPr>
        <w:spacing w:after="0" w:line="220" w:lineRule="exact"/>
        <w:rPr>
          <w:sz w:val="20"/>
          <w:szCs w:val="20"/>
          <w:color w:val="auto"/>
        </w:rPr>
      </w:pPr>
    </w:p>
    <w:p>
      <w:pPr>
        <w:ind w:right="100" w:firstLine="648"/>
        <w:spacing w:after="0" w:line="259" w:lineRule="auto"/>
        <w:rPr>
          <w:sz w:val="20"/>
          <w:szCs w:val="20"/>
          <w:color w:val="auto"/>
        </w:rPr>
      </w:pPr>
      <w:r>
        <w:rPr>
          <w:rFonts w:ascii="Arial" w:cs="Arial" w:eastAsia="Arial" w:hAnsi="Arial"/>
          <w:sz w:val="21"/>
          <w:szCs w:val="21"/>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79" w:lineRule="exact"/>
        <w:rPr>
          <w:sz w:val="20"/>
          <w:szCs w:val="20"/>
          <w:color w:val="auto"/>
        </w:rPr>
      </w:pPr>
    </w:p>
    <w:p>
      <w:pPr>
        <w:ind w:left="1300" w:hanging="644"/>
        <w:spacing w:after="0"/>
        <w:tabs>
          <w:tab w:leader="none" w:pos="1300" w:val="left"/>
        </w:tabs>
        <w:numPr>
          <w:ilvl w:val="0"/>
          <w:numId w:val="38"/>
        </w:numPr>
        <w:rPr>
          <w:rFonts w:ascii="Arial" w:cs="Arial" w:eastAsia="Arial" w:hAnsi="Arial"/>
          <w:sz w:val="22"/>
          <w:szCs w:val="22"/>
          <w:color w:val="auto"/>
        </w:rPr>
      </w:pPr>
      <w:r>
        <w:rPr>
          <w:rFonts w:ascii="Arial" w:cs="Arial" w:eastAsia="Arial" w:hAnsi="Arial"/>
          <w:sz w:val="22"/>
          <w:szCs w:val="22"/>
          <w:u w:val="single" w:color="auto"/>
          <w:color w:val="auto"/>
        </w:rPr>
        <w:t>Changes in Capitalization or Control</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firstLine="1304"/>
        <w:spacing w:after="0" w:line="287" w:lineRule="auto"/>
        <w:tabs>
          <w:tab w:leader="none" w:pos="1941" w:val="left"/>
        </w:tabs>
        <w:numPr>
          <w:ilvl w:val="1"/>
          <w:numId w:val="38"/>
        </w:numPr>
        <w:rPr>
          <w:rFonts w:ascii="Arial" w:cs="Arial" w:eastAsia="Arial" w:hAnsi="Arial"/>
          <w:sz w:val="19"/>
          <w:szCs w:val="19"/>
          <w:color w:val="auto"/>
        </w:rPr>
      </w:pPr>
      <w:r>
        <w:rPr>
          <w:rFonts w:ascii="Arial" w:cs="Arial" w:eastAsia="Arial" w:hAnsi="Arial"/>
          <w:sz w:val="19"/>
          <w:szCs w:val="19"/>
          <w:u w:val="single" w:color="auto"/>
          <w:color w:val="auto"/>
        </w:rPr>
        <w:t>Changes in Capitalization</w:t>
      </w:r>
      <w:r>
        <w:rPr>
          <w:rFonts w:ascii="Arial" w:cs="Arial" w:eastAsia="Arial" w:hAnsi="Arial"/>
          <w:sz w:val="19"/>
          <w:szCs w:val="19"/>
          <w:color w:val="auto"/>
        </w:rPr>
        <w:t>.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ectPr>
          <w:pgSz w:w="11900" w:h="16838" w:orient="portrait"/>
          <w:cols w:equalWidth="0" w:num="1">
            <w:col w:w="11200"/>
          </w:cols>
          <w:pgMar w:left="320" w:top="1440" w:right="379" w:bottom="1440" w:gutter="0" w:footer="0" w:header="0"/>
        </w:sectPr>
      </w:pPr>
    </w:p>
    <w:bookmarkStart w:id="73" w:name="page74"/>
    <w:bookmarkEnd w:id="73"/>
    <w:p>
      <w:pPr>
        <w:spacing w:after="0" w:line="204" w:lineRule="exact"/>
        <w:rPr>
          <w:sz w:val="20"/>
          <w:szCs w:val="20"/>
          <w:color w:val="auto"/>
        </w:rPr>
      </w:pPr>
    </w:p>
    <w:p>
      <w:pPr>
        <w:jc w:val="both"/>
        <w:ind w:right="20" w:firstLine="1304"/>
        <w:spacing w:after="0" w:line="302" w:lineRule="auto"/>
        <w:tabs>
          <w:tab w:leader="none" w:pos="1939" w:val="left"/>
        </w:tabs>
        <w:numPr>
          <w:ilvl w:val="0"/>
          <w:numId w:val="39"/>
        </w:numPr>
        <w:rPr>
          <w:rFonts w:ascii="Arial" w:cs="Arial" w:eastAsia="Arial" w:hAnsi="Arial"/>
          <w:sz w:val="19"/>
          <w:szCs w:val="19"/>
          <w:color w:val="auto"/>
        </w:rPr>
      </w:pPr>
      <w:r>
        <w:rPr>
          <w:rFonts w:ascii="Arial" w:cs="Arial" w:eastAsia="Arial" w:hAnsi="Arial"/>
          <w:sz w:val="19"/>
          <w:szCs w:val="19"/>
          <w:u w:val="single" w:color="auto"/>
          <w:color w:val="auto"/>
        </w:rPr>
        <w:t>Change in Control</w:t>
      </w:r>
      <w:r>
        <w:rPr>
          <w:rFonts w:ascii="Arial" w:cs="Arial" w:eastAsia="Arial" w:hAnsi="Arial"/>
          <w:sz w:val="19"/>
          <w:szCs w:val="19"/>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42" w:lineRule="exact"/>
        <w:rPr>
          <w:rFonts w:ascii="Arial" w:cs="Arial" w:eastAsia="Arial" w:hAnsi="Arial"/>
          <w:sz w:val="19"/>
          <w:szCs w:val="19"/>
          <w:color w:val="auto"/>
        </w:rPr>
      </w:pPr>
    </w:p>
    <w:p>
      <w:pPr>
        <w:ind w:right="620" w:firstLine="2072"/>
        <w:spacing w:after="0" w:line="263" w:lineRule="auto"/>
        <w:tabs>
          <w:tab w:leader="none" w:pos="2592" w:val="left"/>
        </w:tabs>
        <w:numPr>
          <w:ilvl w:val="1"/>
          <w:numId w:val="39"/>
        </w:numPr>
        <w:rPr>
          <w:rFonts w:ascii="Arial" w:cs="Arial" w:eastAsia="Arial" w:hAnsi="Arial"/>
          <w:sz w:val="22"/>
          <w:szCs w:val="22"/>
          <w:color w:val="auto"/>
        </w:rPr>
      </w:pPr>
      <w:r>
        <w:rPr>
          <w:rFonts w:ascii="Arial" w:cs="Arial" w:eastAsia="Arial" w:hAnsi="Arial"/>
          <w:sz w:val="22"/>
          <w:szCs w:val="22"/>
          <w:color w:val="auto"/>
        </w:rPr>
        <w:t>shall become fully vested and exercisable either for a limited period following the Change in Control or for the remainder of the Option’s term;</w:t>
      </w:r>
    </w:p>
    <w:p>
      <w:pPr>
        <w:spacing w:after="0" w:line="174" w:lineRule="exact"/>
        <w:rPr>
          <w:rFonts w:ascii="Arial" w:cs="Arial" w:eastAsia="Arial" w:hAnsi="Arial"/>
          <w:sz w:val="22"/>
          <w:szCs w:val="22"/>
          <w:color w:val="auto"/>
        </w:rPr>
      </w:pPr>
    </w:p>
    <w:p>
      <w:pPr>
        <w:ind w:left="2600" w:hanging="588"/>
        <w:spacing w:after="0"/>
        <w:tabs>
          <w:tab w:leader="none" w:pos="2600" w:val="left"/>
        </w:tabs>
        <w:numPr>
          <w:ilvl w:val="1"/>
          <w:numId w:val="39"/>
        </w:numPr>
        <w:rPr>
          <w:rFonts w:ascii="Arial" w:cs="Arial" w:eastAsia="Arial" w:hAnsi="Arial"/>
          <w:sz w:val="22"/>
          <w:szCs w:val="22"/>
          <w:color w:val="auto"/>
        </w:rPr>
      </w:pPr>
      <w:r>
        <w:rPr>
          <w:rFonts w:ascii="Arial" w:cs="Arial" w:eastAsia="Arial" w:hAnsi="Arial"/>
          <w:sz w:val="22"/>
          <w:szCs w:val="22"/>
          <w:color w:val="auto"/>
        </w:rPr>
        <w:t>shall terminate upon or after a specified period following the Change in Control;</w:t>
      </w:r>
    </w:p>
    <w:p>
      <w:pPr>
        <w:spacing w:after="0" w:line="219" w:lineRule="exact"/>
        <w:rPr>
          <w:rFonts w:ascii="Arial" w:cs="Arial" w:eastAsia="Arial" w:hAnsi="Arial"/>
          <w:sz w:val="22"/>
          <w:szCs w:val="22"/>
          <w:color w:val="auto"/>
        </w:rPr>
      </w:pPr>
    </w:p>
    <w:p>
      <w:pPr>
        <w:ind w:right="220" w:firstLine="1952"/>
        <w:spacing w:after="0" w:line="263" w:lineRule="auto"/>
        <w:tabs>
          <w:tab w:leader="none" w:pos="2592" w:val="left"/>
        </w:tabs>
        <w:numPr>
          <w:ilvl w:val="1"/>
          <w:numId w:val="39"/>
        </w:numPr>
        <w:rPr>
          <w:rFonts w:ascii="Arial" w:cs="Arial" w:eastAsia="Arial" w:hAnsi="Arial"/>
          <w:sz w:val="22"/>
          <w:szCs w:val="22"/>
          <w:color w:val="auto"/>
        </w:rPr>
      </w:pPr>
      <w:r>
        <w:rPr>
          <w:rFonts w:ascii="Arial" w:cs="Arial" w:eastAsia="Arial" w:hAnsi="Arial"/>
          <w:sz w:val="22"/>
          <w:szCs w:val="22"/>
          <w:color w:val="auto"/>
        </w:rPr>
        <w:t>shall be cancelled in exchange for cash in the amount of the excess of the fair market value of the Optioned Shares over the exercise price upon termination; or</w:t>
      </w:r>
    </w:p>
    <w:p>
      <w:pPr>
        <w:spacing w:after="0" w:line="174" w:lineRule="exact"/>
        <w:rPr>
          <w:rFonts w:ascii="Arial" w:cs="Arial" w:eastAsia="Arial" w:hAnsi="Arial"/>
          <w:sz w:val="22"/>
          <w:szCs w:val="22"/>
          <w:color w:val="auto"/>
        </w:rPr>
      </w:pPr>
    </w:p>
    <w:p>
      <w:pPr>
        <w:jc w:val="both"/>
        <w:ind w:right="220" w:firstLine="1964"/>
        <w:spacing w:after="0" w:line="253" w:lineRule="auto"/>
        <w:tabs>
          <w:tab w:leader="none" w:pos="2592" w:val="left"/>
        </w:tabs>
        <w:numPr>
          <w:ilvl w:val="1"/>
          <w:numId w:val="39"/>
        </w:numPr>
        <w:rPr>
          <w:rFonts w:ascii="Arial" w:cs="Arial" w:eastAsia="Arial" w:hAnsi="Arial"/>
          <w:sz w:val="22"/>
          <w:szCs w:val="22"/>
          <w:color w:val="auto"/>
        </w:rPr>
      </w:pPr>
      <w:r>
        <w:rPr>
          <w:rFonts w:ascii="Arial" w:cs="Arial" w:eastAsia="Arial" w:hAnsi="Arial"/>
          <w:sz w:val="22"/>
          <w:szCs w:val="22"/>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85" w:lineRule="exact"/>
        <w:rPr>
          <w:sz w:val="20"/>
          <w:szCs w:val="20"/>
          <w:color w:val="auto"/>
        </w:rPr>
      </w:pPr>
    </w:p>
    <w:p>
      <w:pPr>
        <w:ind w:right="520" w:firstLine="648"/>
        <w:spacing w:after="0" w:line="253" w:lineRule="auto"/>
        <w:rPr>
          <w:sz w:val="20"/>
          <w:szCs w:val="20"/>
          <w:color w:val="auto"/>
        </w:rPr>
      </w:pPr>
      <w:r>
        <w:rPr>
          <w:rFonts w:ascii="Arial" w:cs="Arial" w:eastAsia="Arial" w:hAnsi="Arial"/>
          <w:sz w:val="22"/>
          <w:szCs w:val="22"/>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85" w:lineRule="exact"/>
        <w:rPr>
          <w:sz w:val="20"/>
          <w:szCs w:val="20"/>
          <w:color w:val="auto"/>
        </w:rPr>
      </w:pPr>
    </w:p>
    <w:p>
      <w:pPr>
        <w:ind w:right="160" w:firstLine="656"/>
        <w:spacing w:after="0" w:line="253" w:lineRule="auto"/>
        <w:tabs>
          <w:tab w:leader="none" w:pos="1296" w:val="left"/>
        </w:tabs>
        <w:numPr>
          <w:ilvl w:val="0"/>
          <w:numId w:val="40"/>
        </w:numPr>
        <w:rPr>
          <w:rFonts w:ascii="Arial" w:cs="Arial" w:eastAsia="Arial" w:hAnsi="Arial"/>
          <w:sz w:val="22"/>
          <w:szCs w:val="22"/>
          <w:color w:val="auto"/>
        </w:rPr>
      </w:pPr>
      <w:r>
        <w:rPr>
          <w:rFonts w:ascii="Arial" w:cs="Arial" w:eastAsia="Arial" w:hAnsi="Arial"/>
          <w:sz w:val="22"/>
          <w:szCs w:val="22"/>
          <w:u w:val="single" w:color="auto"/>
          <w:color w:val="auto"/>
        </w:rPr>
        <w:t>Amendments; Termination</w:t>
      </w:r>
      <w:r>
        <w:rPr>
          <w:rFonts w:ascii="Arial" w:cs="Arial" w:eastAsia="Arial" w:hAnsi="Arial"/>
          <w:sz w:val="22"/>
          <w:szCs w:val="22"/>
          <w:color w:val="auto"/>
        </w:rPr>
        <w:t>. The Board may at any time amend, alter, suspend, discontinue or terminate this Plan, but no such action shall impair the rights of any Grantee under any then-outstanding Award without his or her prior written consent.</w:t>
      </w:r>
    </w:p>
    <w:p>
      <w:pPr>
        <w:spacing w:after="0" w:line="185" w:lineRule="exact"/>
        <w:rPr>
          <w:rFonts w:ascii="Arial" w:cs="Arial" w:eastAsia="Arial" w:hAnsi="Arial"/>
          <w:sz w:val="22"/>
          <w:szCs w:val="22"/>
          <w:color w:val="auto"/>
        </w:rPr>
      </w:pPr>
    </w:p>
    <w:p>
      <w:pPr>
        <w:ind w:left="1300" w:hanging="644"/>
        <w:spacing w:after="0"/>
        <w:tabs>
          <w:tab w:leader="none" w:pos="1300" w:val="left"/>
        </w:tabs>
        <w:numPr>
          <w:ilvl w:val="0"/>
          <w:numId w:val="40"/>
        </w:numPr>
        <w:rPr>
          <w:rFonts w:ascii="Arial" w:cs="Arial" w:eastAsia="Arial" w:hAnsi="Arial"/>
          <w:sz w:val="22"/>
          <w:szCs w:val="22"/>
          <w:color w:val="auto"/>
        </w:rPr>
      </w:pPr>
      <w:r>
        <w:rPr>
          <w:rFonts w:ascii="Arial" w:cs="Arial" w:eastAsia="Arial" w:hAnsi="Arial"/>
          <w:sz w:val="22"/>
          <w:szCs w:val="22"/>
          <w:u w:val="single" w:color="auto"/>
          <w:color w:val="auto"/>
        </w:rPr>
        <w:t>Securities Regulation Requirements</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right="60" w:firstLine="1304"/>
        <w:spacing w:after="0" w:line="297" w:lineRule="auto"/>
        <w:tabs>
          <w:tab w:leader="none" w:pos="1941" w:val="left"/>
        </w:tabs>
        <w:numPr>
          <w:ilvl w:val="1"/>
          <w:numId w:val="40"/>
        </w:numPr>
        <w:rPr>
          <w:rFonts w:ascii="Arial" w:cs="Arial" w:eastAsia="Arial" w:hAnsi="Arial"/>
          <w:sz w:val="19"/>
          <w:szCs w:val="19"/>
          <w:color w:val="auto"/>
        </w:rPr>
      </w:pPr>
      <w:r>
        <w:rPr>
          <w:rFonts w:ascii="Arial" w:cs="Arial" w:eastAsia="Arial" w:hAnsi="Arial"/>
          <w:sz w:val="19"/>
          <w:szCs w:val="19"/>
          <w:u w:val="single" w:color="auto"/>
          <w:color w:val="auto"/>
        </w:rPr>
        <w:t>Compliance with Rule</w:t>
      </w:r>
      <w:r>
        <w:rPr>
          <w:rFonts w:ascii="Arial" w:cs="Arial" w:eastAsia="Arial" w:hAnsi="Arial"/>
          <w:sz w:val="19"/>
          <w:szCs w:val="19"/>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46" w:lineRule="exact"/>
        <w:rPr>
          <w:rFonts w:ascii="Arial" w:cs="Arial" w:eastAsia="Arial" w:hAnsi="Arial"/>
          <w:sz w:val="19"/>
          <w:szCs w:val="19"/>
          <w:color w:val="auto"/>
        </w:rPr>
      </w:pPr>
    </w:p>
    <w:p>
      <w:pPr>
        <w:ind w:firstLine="1304"/>
        <w:spacing w:after="0" w:line="250" w:lineRule="auto"/>
        <w:tabs>
          <w:tab w:leader="none" w:pos="1939" w:val="left"/>
        </w:tabs>
        <w:numPr>
          <w:ilvl w:val="1"/>
          <w:numId w:val="40"/>
        </w:numPr>
        <w:rPr>
          <w:rFonts w:ascii="Arial" w:cs="Arial" w:eastAsia="Arial" w:hAnsi="Arial"/>
          <w:sz w:val="22"/>
          <w:szCs w:val="22"/>
          <w:color w:val="auto"/>
        </w:rPr>
      </w:pPr>
      <w:r>
        <w:rPr>
          <w:rFonts w:ascii="Arial" w:cs="Arial" w:eastAsia="Arial" w:hAnsi="Arial"/>
          <w:sz w:val="22"/>
          <w:szCs w:val="22"/>
          <w:u w:val="single" w:color="auto"/>
          <w:color w:val="auto"/>
        </w:rPr>
        <w:t>Optionee Investment Representation</w:t>
      </w:r>
      <w:r>
        <w:rPr>
          <w:rFonts w:ascii="Arial" w:cs="Arial" w:eastAsia="Arial" w:hAnsi="Arial"/>
          <w:sz w:val="22"/>
          <w:szCs w:val="22"/>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ectPr>
          <w:pgSz w:w="11900" w:h="16838" w:orient="portrait"/>
          <w:cols w:equalWidth="0" w:num="1">
            <w:col w:w="11240"/>
          </w:cols>
          <w:pgMar w:left="320" w:top="1440" w:right="339" w:bottom="1440" w:gutter="0" w:footer="0" w:header="0"/>
        </w:sectPr>
      </w:pPr>
    </w:p>
    <w:bookmarkStart w:id="74" w:name="page75"/>
    <w:bookmarkEnd w:id="74"/>
    <w:p>
      <w:pPr>
        <w:spacing w:after="0" w:line="204" w:lineRule="exact"/>
        <w:rPr>
          <w:sz w:val="20"/>
          <w:szCs w:val="20"/>
          <w:color w:val="auto"/>
        </w:rPr>
      </w:pPr>
    </w:p>
    <w:p>
      <w:pPr>
        <w:ind w:right="60" w:firstLine="656"/>
        <w:spacing w:after="0" w:line="312" w:lineRule="auto"/>
        <w:tabs>
          <w:tab w:leader="none" w:pos="1296" w:val="left"/>
        </w:tabs>
        <w:numPr>
          <w:ilvl w:val="0"/>
          <w:numId w:val="41"/>
        </w:numPr>
        <w:rPr>
          <w:rFonts w:ascii="Arial" w:cs="Arial" w:eastAsia="Arial" w:hAnsi="Arial"/>
          <w:sz w:val="19"/>
          <w:szCs w:val="19"/>
          <w:color w:val="auto"/>
        </w:rPr>
      </w:pPr>
      <w:r>
        <w:rPr>
          <w:rFonts w:ascii="Arial" w:cs="Arial" w:eastAsia="Arial" w:hAnsi="Arial"/>
          <w:sz w:val="19"/>
          <w:szCs w:val="19"/>
          <w:u w:val="single" w:color="auto"/>
          <w:color w:val="auto"/>
        </w:rPr>
        <w:t>Written Agreements</w:t>
      </w:r>
      <w:r>
        <w:rPr>
          <w:rFonts w:ascii="Arial" w:cs="Arial" w:eastAsia="Arial" w:hAnsi="Arial"/>
          <w:sz w:val="19"/>
          <w:szCs w:val="19"/>
          <w:color w:val="auto"/>
        </w:rPr>
        <w:t>. Awards shall be evidenced by written agreements in a form the Administrator approves from time to time. Delay in executing a written agreement shall not affect the date of grant of an Option; however, an Option may not be exercised until a written agreement has been executed by the Company and the Optionee.</w:t>
      </w:r>
    </w:p>
    <w:p>
      <w:pPr>
        <w:spacing w:after="0" w:line="133" w:lineRule="exact"/>
        <w:rPr>
          <w:rFonts w:ascii="Arial" w:cs="Arial" w:eastAsia="Arial" w:hAnsi="Arial"/>
          <w:sz w:val="19"/>
          <w:szCs w:val="19"/>
          <w:color w:val="auto"/>
        </w:rPr>
      </w:pPr>
    </w:p>
    <w:p>
      <w:pPr>
        <w:ind w:firstLine="656"/>
        <w:spacing w:after="0" w:line="312" w:lineRule="auto"/>
        <w:tabs>
          <w:tab w:leader="none" w:pos="1296" w:val="left"/>
        </w:tabs>
        <w:numPr>
          <w:ilvl w:val="0"/>
          <w:numId w:val="41"/>
        </w:numPr>
        <w:rPr>
          <w:rFonts w:ascii="Arial" w:cs="Arial" w:eastAsia="Arial" w:hAnsi="Arial"/>
          <w:sz w:val="19"/>
          <w:szCs w:val="19"/>
          <w:color w:val="auto"/>
        </w:rPr>
      </w:pPr>
      <w:r>
        <w:rPr>
          <w:rFonts w:ascii="Arial" w:cs="Arial" w:eastAsia="Arial" w:hAnsi="Arial"/>
          <w:sz w:val="19"/>
          <w:szCs w:val="19"/>
          <w:u w:val="single" w:color="auto"/>
          <w:color w:val="auto"/>
        </w:rPr>
        <w:t>Shareholder Approval</w:t>
      </w:r>
      <w:r>
        <w:rPr>
          <w:rFonts w:ascii="Arial" w:cs="Arial" w:eastAsia="Arial" w:hAnsi="Arial"/>
          <w:sz w:val="19"/>
          <w:szCs w:val="19"/>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33" w:lineRule="exact"/>
        <w:rPr>
          <w:rFonts w:ascii="Arial" w:cs="Arial" w:eastAsia="Arial" w:hAnsi="Arial"/>
          <w:sz w:val="19"/>
          <w:szCs w:val="19"/>
          <w:color w:val="auto"/>
        </w:rPr>
      </w:pPr>
    </w:p>
    <w:p>
      <w:pPr>
        <w:ind w:right="80" w:firstLine="656"/>
        <w:spacing w:after="0" w:line="253" w:lineRule="auto"/>
        <w:tabs>
          <w:tab w:leader="none" w:pos="1296" w:val="left"/>
        </w:tabs>
        <w:numPr>
          <w:ilvl w:val="0"/>
          <w:numId w:val="41"/>
        </w:numPr>
        <w:rPr>
          <w:rFonts w:ascii="Arial" w:cs="Arial" w:eastAsia="Arial" w:hAnsi="Arial"/>
          <w:sz w:val="22"/>
          <w:szCs w:val="22"/>
          <w:color w:val="auto"/>
        </w:rPr>
      </w:pPr>
      <w:r>
        <w:rPr>
          <w:rFonts w:ascii="Arial" w:cs="Arial" w:eastAsia="Arial" w:hAnsi="Arial"/>
          <w:sz w:val="22"/>
          <w:szCs w:val="22"/>
          <w:u w:val="single" w:color="auto"/>
          <w:color w:val="auto"/>
        </w:rPr>
        <w:t>No Employment Rights</w:t>
      </w:r>
      <w:r>
        <w:rPr>
          <w:rFonts w:ascii="Arial" w:cs="Arial" w:eastAsia="Arial" w:hAnsi="Arial"/>
          <w:sz w:val="22"/>
          <w:szCs w:val="22"/>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85" w:lineRule="exact"/>
        <w:rPr>
          <w:rFonts w:ascii="Arial" w:cs="Arial" w:eastAsia="Arial" w:hAnsi="Arial"/>
          <w:sz w:val="22"/>
          <w:szCs w:val="22"/>
          <w:color w:val="auto"/>
        </w:rPr>
      </w:pPr>
    </w:p>
    <w:p>
      <w:pPr>
        <w:ind w:right="120" w:firstLine="656"/>
        <w:spacing w:after="0" w:line="253" w:lineRule="auto"/>
        <w:tabs>
          <w:tab w:leader="none" w:pos="1296" w:val="left"/>
        </w:tabs>
        <w:numPr>
          <w:ilvl w:val="0"/>
          <w:numId w:val="41"/>
        </w:numPr>
        <w:rPr>
          <w:rFonts w:ascii="Arial" w:cs="Arial" w:eastAsia="Arial" w:hAnsi="Arial"/>
          <w:sz w:val="22"/>
          <w:szCs w:val="22"/>
          <w:color w:val="auto"/>
        </w:rPr>
      </w:pPr>
      <w:r>
        <w:rPr>
          <w:rFonts w:ascii="Arial" w:cs="Arial" w:eastAsia="Arial" w:hAnsi="Arial"/>
          <w:sz w:val="22"/>
          <w:szCs w:val="22"/>
          <w:u w:val="single" w:color="auto"/>
          <w:color w:val="auto"/>
        </w:rPr>
        <w:t>Term of Plan</w:t>
      </w:r>
      <w:r>
        <w:rPr>
          <w:rFonts w:ascii="Arial" w:cs="Arial" w:eastAsia="Arial" w:hAnsi="Arial"/>
          <w:sz w:val="22"/>
          <w:szCs w:val="22"/>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w:t>
      </w:r>
    </w:p>
    <w:p>
      <w:pPr>
        <w:spacing w:after="0" w:line="185" w:lineRule="exact"/>
        <w:rPr>
          <w:rFonts w:ascii="Arial" w:cs="Arial" w:eastAsia="Arial" w:hAnsi="Arial"/>
          <w:sz w:val="22"/>
          <w:szCs w:val="22"/>
          <w:color w:val="auto"/>
        </w:rPr>
      </w:pPr>
    </w:p>
    <w:p>
      <w:pPr>
        <w:ind w:left="1300" w:hanging="644"/>
        <w:spacing w:after="0"/>
        <w:tabs>
          <w:tab w:leader="none" w:pos="1300" w:val="left"/>
        </w:tabs>
        <w:numPr>
          <w:ilvl w:val="0"/>
          <w:numId w:val="41"/>
        </w:numPr>
        <w:rPr>
          <w:rFonts w:ascii="Arial" w:cs="Arial" w:eastAsia="Arial" w:hAnsi="Arial"/>
          <w:sz w:val="22"/>
          <w:szCs w:val="22"/>
          <w:color w:val="auto"/>
        </w:rPr>
      </w:pPr>
      <w:r>
        <w:rPr>
          <w:rFonts w:ascii="Arial" w:cs="Arial" w:eastAsia="Arial" w:hAnsi="Arial"/>
          <w:sz w:val="22"/>
          <w:szCs w:val="22"/>
          <w:u w:val="single" w:color="auto"/>
          <w:color w:val="auto"/>
        </w:rPr>
        <w:t>Glossary</w:t>
      </w:r>
      <w:r>
        <w:rPr>
          <w:rFonts w:ascii="Arial" w:cs="Arial" w:eastAsia="Arial" w:hAnsi="Arial"/>
          <w:sz w:val="22"/>
          <w:szCs w:val="22"/>
          <w:color w:val="auto"/>
        </w:rPr>
        <w:t>. The following definitions apply for purposes of this Plan:</w:t>
      </w:r>
    </w:p>
    <w:p>
      <w:pPr>
        <w:spacing w:after="0" w:line="219" w:lineRule="exact"/>
        <w:rPr>
          <w:rFonts w:ascii="Arial" w:cs="Arial" w:eastAsia="Arial" w:hAnsi="Arial"/>
          <w:sz w:val="22"/>
          <w:szCs w:val="22"/>
          <w:color w:val="auto"/>
        </w:rPr>
      </w:pPr>
    </w:p>
    <w:p>
      <w:pPr>
        <w:ind w:left="1940" w:hanging="636"/>
        <w:spacing w:after="0"/>
        <w:tabs>
          <w:tab w:leader="none" w:pos="1940" w:val="left"/>
        </w:tabs>
        <w:numPr>
          <w:ilvl w:val="1"/>
          <w:numId w:val="41"/>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Administrator</w:t>
      </w:r>
      <w:r>
        <w:rPr>
          <w:rFonts w:ascii="Arial" w:cs="Arial" w:eastAsia="Arial" w:hAnsi="Arial"/>
          <w:sz w:val="22"/>
          <w:szCs w:val="22"/>
          <w:color w:val="auto"/>
        </w:rPr>
        <w:t>” means the Board or a committee appointed by the Board under Section 4.</w:t>
      </w:r>
    </w:p>
    <w:p>
      <w:pPr>
        <w:spacing w:after="0" w:line="219" w:lineRule="exact"/>
        <w:rPr>
          <w:rFonts w:ascii="Arial" w:cs="Arial" w:eastAsia="Arial" w:hAnsi="Arial"/>
          <w:sz w:val="22"/>
          <w:szCs w:val="22"/>
          <w:color w:val="auto"/>
        </w:rPr>
      </w:pPr>
    </w:p>
    <w:p>
      <w:pPr>
        <w:ind w:right="340" w:firstLine="1304"/>
        <w:spacing w:after="0" w:line="263" w:lineRule="auto"/>
        <w:tabs>
          <w:tab w:leader="none" w:pos="1939" w:val="left"/>
        </w:tabs>
        <w:numPr>
          <w:ilvl w:val="1"/>
          <w:numId w:val="41"/>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Award</w:t>
      </w:r>
      <w:r>
        <w:rPr>
          <w:rFonts w:ascii="Arial" w:cs="Arial" w:eastAsia="Arial" w:hAnsi="Arial"/>
          <w:sz w:val="22"/>
          <w:szCs w:val="22"/>
          <w:color w:val="auto"/>
        </w:rPr>
        <w:t>” means any stock option, stock appreciation right, stock award, stock units award, performance award, or other stock-based award granted under the Plan.</w:t>
      </w:r>
    </w:p>
    <w:p>
      <w:pPr>
        <w:spacing w:after="0" w:line="174" w:lineRule="exact"/>
        <w:rPr>
          <w:rFonts w:ascii="Arial" w:cs="Arial" w:eastAsia="Arial" w:hAnsi="Arial"/>
          <w:sz w:val="22"/>
          <w:szCs w:val="22"/>
          <w:color w:val="auto"/>
        </w:rPr>
      </w:pPr>
    </w:p>
    <w:p>
      <w:pPr>
        <w:ind w:left="1940" w:hanging="636"/>
        <w:spacing w:after="0"/>
        <w:tabs>
          <w:tab w:leader="none" w:pos="1940" w:val="left"/>
        </w:tabs>
        <w:numPr>
          <w:ilvl w:val="1"/>
          <w:numId w:val="41"/>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Board</w:t>
      </w:r>
      <w:r>
        <w:rPr>
          <w:rFonts w:ascii="Arial" w:cs="Arial" w:eastAsia="Arial" w:hAnsi="Arial"/>
          <w:sz w:val="22"/>
          <w:szCs w:val="22"/>
          <w:color w:val="auto"/>
        </w:rPr>
        <w:t>” means the Board of Directors of the Company.</w:t>
      </w:r>
    </w:p>
    <w:p>
      <w:pPr>
        <w:spacing w:after="0" w:line="219" w:lineRule="exact"/>
        <w:rPr>
          <w:rFonts w:ascii="Arial" w:cs="Arial" w:eastAsia="Arial" w:hAnsi="Arial"/>
          <w:sz w:val="22"/>
          <w:szCs w:val="22"/>
          <w:color w:val="auto"/>
        </w:rPr>
      </w:pPr>
    </w:p>
    <w:p>
      <w:pPr>
        <w:ind w:left="1940" w:hanging="636"/>
        <w:spacing w:after="0"/>
        <w:tabs>
          <w:tab w:leader="none" w:pos="1940" w:val="left"/>
        </w:tabs>
        <w:numPr>
          <w:ilvl w:val="1"/>
          <w:numId w:val="41"/>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Change in Control</w:t>
      </w:r>
      <w:r>
        <w:rPr>
          <w:rFonts w:ascii="Arial" w:cs="Arial" w:eastAsia="Arial" w:hAnsi="Arial"/>
          <w:sz w:val="22"/>
          <w:szCs w:val="22"/>
          <w:color w:val="auto"/>
        </w:rPr>
        <w:t>” means a change in ownership or control of the Company by any of:</w:t>
      </w:r>
    </w:p>
    <w:p>
      <w:pPr>
        <w:spacing w:after="0" w:line="219" w:lineRule="exact"/>
        <w:rPr>
          <w:rFonts w:ascii="Arial" w:cs="Arial" w:eastAsia="Arial" w:hAnsi="Arial"/>
          <w:sz w:val="22"/>
          <w:szCs w:val="22"/>
          <w:color w:val="auto"/>
        </w:rPr>
      </w:pPr>
    </w:p>
    <w:p>
      <w:pPr>
        <w:jc w:val="both"/>
        <w:ind w:right="200" w:firstLine="2072"/>
        <w:spacing w:after="0" w:line="253" w:lineRule="auto"/>
        <w:tabs>
          <w:tab w:leader="none" w:pos="2592" w:val="left"/>
        </w:tabs>
        <w:numPr>
          <w:ilvl w:val="2"/>
          <w:numId w:val="41"/>
        </w:numPr>
        <w:rPr>
          <w:rFonts w:ascii="Arial" w:cs="Arial" w:eastAsia="Arial" w:hAnsi="Arial"/>
          <w:sz w:val="22"/>
          <w:szCs w:val="22"/>
          <w:color w:val="auto"/>
        </w:rPr>
      </w:pPr>
      <w:r>
        <w:rPr>
          <w:rFonts w:ascii="Arial" w:cs="Arial" w:eastAsia="Arial" w:hAnsi="Arial"/>
          <w:sz w:val="22"/>
          <w:szCs w:val="22"/>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85" w:lineRule="exact"/>
        <w:rPr>
          <w:rFonts w:ascii="Arial" w:cs="Arial" w:eastAsia="Arial" w:hAnsi="Arial"/>
          <w:sz w:val="22"/>
          <w:szCs w:val="22"/>
          <w:color w:val="auto"/>
        </w:rPr>
      </w:pPr>
    </w:p>
    <w:p>
      <w:pPr>
        <w:ind w:left="2600" w:hanging="588"/>
        <w:spacing w:after="0"/>
        <w:tabs>
          <w:tab w:leader="none" w:pos="2600" w:val="left"/>
        </w:tabs>
        <w:numPr>
          <w:ilvl w:val="2"/>
          <w:numId w:val="41"/>
        </w:numPr>
        <w:rPr>
          <w:rFonts w:ascii="Arial" w:cs="Arial" w:eastAsia="Arial" w:hAnsi="Arial"/>
          <w:sz w:val="19"/>
          <w:szCs w:val="19"/>
          <w:color w:val="auto"/>
        </w:rPr>
      </w:pPr>
      <w:r>
        <w:rPr>
          <w:rFonts w:ascii="Arial" w:cs="Arial" w:eastAsia="Arial" w:hAnsi="Arial"/>
          <w:sz w:val="19"/>
          <w:szCs w:val="19"/>
          <w:color w:val="auto"/>
        </w:rPr>
        <w:t>the sale of all or substantially all of the Company’s assets to any other person or entity (other than a</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Subsidiary);</w:t>
      </w:r>
    </w:p>
    <w:p>
      <w:pPr>
        <w:spacing w:after="0" w:line="201" w:lineRule="exact"/>
        <w:rPr>
          <w:rFonts w:ascii="Arial" w:cs="Arial" w:eastAsia="Arial" w:hAnsi="Arial"/>
          <w:sz w:val="19"/>
          <w:szCs w:val="19"/>
          <w:color w:val="auto"/>
        </w:rPr>
      </w:pPr>
    </w:p>
    <w:p>
      <w:pPr>
        <w:ind w:left="2600" w:hanging="648"/>
        <w:spacing w:after="0"/>
        <w:tabs>
          <w:tab w:leader="none" w:pos="2600" w:val="left"/>
        </w:tabs>
        <w:numPr>
          <w:ilvl w:val="2"/>
          <w:numId w:val="41"/>
        </w:numPr>
        <w:rPr>
          <w:rFonts w:ascii="Arial" w:cs="Arial" w:eastAsia="Arial" w:hAnsi="Arial"/>
          <w:sz w:val="22"/>
          <w:szCs w:val="22"/>
          <w:color w:val="auto"/>
        </w:rPr>
      </w:pPr>
      <w:r>
        <w:rPr>
          <w:rFonts w:ascii="Arial" w:cs="Arial" w:eastAsia="Arial" w:hAnsi="Arial"/>
          <w:sz w:val="22"/>
          <w:szCs w:val="22"/>
          <w:color w:val="auto"/>
        </w:rPr>
        <w:t>the liquidation or dissolution of the Company;</w:t>
      </w:r>
    </w:p>
    <w:p>
      <w:pPr>
        <w:spacing w:after="0" w:line="219" w:lineRule="exact"/>
        <w:rPr>
          <w:rFonts w:ascii="Arial" w:cs="Arial" w:eastAsia="Arial" w:hAnsi="Arial"/>
          <w:sz w:val="22"/>
          <w:szCs w:val="22"/>
          <w:color w:val="auto"/>
        </w:rPr>
      </w:pPr>
    </w:p>
    <w:p>
      <w:pPr>
        <w:ind w:right="140" w:firstLine="1964"/>
        <w:spacing w:after="0" w:line="265" w:lineRule="auto"/>
        <w:tabs>
          <w:tab w:leader="none" w:pos="2592" w:val="left"/>
        </w:tabs>
        <w:numPr>
          <w:ilvl w:val="2"/>
          <w:numId w:val="41"/>
        </w:numPr>
        <w:rPr>
          <w:rFonts w:ascii="Arial" w:cs="Arial" w:eastAsia="Arial" w:hAnsi="Arial"/>
          <w:sz w:val="21"/>
          <w:szCs w:val="21"/>
          <w:color w:val="auto"/>
        </w:rPr>
      </w:pPr>
      <w:r>
        <w:rPr>
          <w:rFonts w:ascii="Arial" w:cs="Arial" w:eastAsia="Arial" w:hAnsi="Arial"/>
          <w:sz w:val="21"/>
          <w:szCs w:val="21"/>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ectPr>
          <w:pgSz w:w="11900" w:h="16838" w:orient="portrait"/>
          <w:cols w:equalWidth="0" w:num="1">
            <w:col w:w="11240"/>
          </w:cols>
          <w:pgMar w:left="320" w:top="1440" w:right="339" w:bottom="1440" w:gutter="0" w:footer="0" w:header="0"/>
        </w:sectPr>
      </w:pPr>
    </w:p>
    <w:bookmarkStart w:id="75" w:name="page76"/>
    <w:bookmarkEnd w:id="75"/>
    <w:p>
      <w:pPr>
        <w:spacing w:after="0" w:line="204" w:lineRule="exact"/>
        <w:rPr>
          <w:sz w:val="20"/>
          <w:szCs w:val="20"/>
          <w:color w:val="auto"/>
        </w:rPr>
      </w:pPr>
    </w:p>
    <w:p>
      <w:pPr>
        <w:ind w:left="-1120" w:right="160" w:firstLine="2024"/>
        <w:spacing w:after="0" w:line="263" w:lineRule="auto"/>
        <w:tabs>
          <w:tab w:leader="none" w:pos="1472" w:val="left"/>
        </w:tabs>
        <w:numPr>
          <w:ilvl w:val="1"/>
          <w:numId w:val="42"/>
        </w:numPr>
        <w:rPr>
          <w:rFonts w:ascii="Arial" w:cs="Arial" w:eastAsia="Arial" w:hAnsi="Arial"/>
          <w:sz w:val="21"/>
          <w:szCs w:val="21"/>
          <w:color w:val="auto"/>
        </w:rPr>
      </w:pPr>
      <w:r>
        <w:rPr>
          <w:rFonts w:ascii="Arial" w:cs="Arial" w:eastAsia="Arial" w:hAnsi="Arial"/>
          <w:sz w:val="21"/>
          <w:szCs w:val="21"/>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75" w:lineRule="exact"/>
        <w:rPr>
          <w:rFonts w:ascii="Arial" w:cs="Arial" w:eastAsia="Arial" w:hAnsi="Arial"/>
          <w:sz w:val="21"/>
          <w:szCs w:val="21"/>
          <w:color w:val="auto"/>
        </w:rPr>
      </w:pPr>
    </w:p>
    <w:p>
      <w:pPr>
        <w:ind w:left="820" w:hanging="636"/>
        <w:spacing w:after="0"/>
        <w:tabs>
          <w:tab w:leader="none" w:pos="820"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Code</w:t>
      </w:r>
      <w:r>
        <w:rPr>
          <w:rFonts w:ascii="Arial" w:cs="Arial" w:eastAsia="Arial" w:hAnsi="Arial"/>
          <w:sz w:val="22"/>
          <w:szCs w:val="22"/>
          <w:color w:val="auto"/>
        </w:rPr>
        <w:t>” means the Internal Revenue Code of 1986, as amended.</w:t>
      </w:r>
    </w:p>
    <w:p>
      <w:pPr>
        <w:spacing w:after="0" w:line="219" w:lineRule="exact"/>
        <w:rPr>
          <w:rFonts w:ascii="Arial" w:cs="Arial" w:eastAsia="Arial" w:hAnsi="Arial"/>
          <w:sz w:val="22"/>
          <w:szCs w:val="22"/>
          <w:color w:val="auto"/>
        </w:rPr>
      </w:pPr>
    </w:p>
    <w:p>
      <w:pPr>
        <w:ind w:left="-1120" w:firstLine="1304"/>
        <w:spacing w:after="0" w:line="263" w:lineRule="auto"/>
        <w:tabs>
          <w:tab w:leader="none" w:pos="824"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Committee</w:t>
      </w:r>
      <w:r>
        <w:rPr>
          <w:rFonts w:ascii="Arial" w:cs="Arial" w:eastAsia="Arial" w:hAnsi="Arial"/>
          <w:sz w:val="22"/>
          <w:szCs w:val="22"/>
          <w:color w:val="auto"/>
        </w:rPr>
        <w:t>” means the committee designated by the Board of Directors, which is authorized to administer the Plan, as described in Section 4 hereof.</w:t>
      </w:r>
    </w:p>
    <w:p>
      <w:pPr>
        <w:spacing w:after="0" w:line="174" w:lineRule="exact"/>
        <w:rPr>
          <w:rFonts w:ascii="Arial" w:cs="Arial" w:eastAsia="Arial" w:hAnsi="Arial"/>
          <w:sz w:val="22"/>
          <w:szCs w:val="22"/>
          <w:color w:val="auto"/>
        </w:rPr>
      </w:pPr>
    </w:p>
    <w:p>
      <w:pPr>
        <w:ind w:left="820" w:hanging="636"/>
        <w:spacing w:after="0"/>
        <w:tabs>
          <w:tab w:leader="none" w:pos="820"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Common Stock</w:t>
      </w:r>
      <w:r>
        <w:rPr>
          <w:rFonts w:ascii="Arial" w:cs="Arial" w:eastAsia="Arial" w:hAnsi="Arial"/>
          <w:sz w:val="22"/>
          <w:szCs w:val="22"/>
          <w:color w:val="auto"/>
        </w:rPr>
        <w:t>” means the common stock of the Company.</w:t>
      </w:r>
    </w:p>
    <w:p>
      <w:pPr>
        <w:spacing w:after="0" w:line="219" w:lineRule="exact"/>
        <w:rPr>
          <w:rFonts w:ascii="Arial" w:cs="Arial" w:eastAsia="Arial" w:hAnsi="Arial"/>
          <w:sz w:val="22"/>
          <w:szCs w:val="22"/>
          <w:color w:val="auto"/>
        </w:rPr>
      </w:pPr>
    </w:p>
    <w:p>
      <w:pPr>
        <w:ind w:left="820" w:hanging="636"/>
        <w:spacing w:after="0"/>
        <w:tabs>
          <w:tab w:leader="none" w:pos="820"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Company</w:t>
      </w:r>
      <w:r>
        <w:rPr>
          <w:rFonts w:ascii="Arial" w:cs="Arial" w:eastAsia="Arial" w:hAnsi="Arial"/>
          <w:sz w:val="22"/>
          <w:szCs w:val="22"/>
          <w:color w:val="auto"/>
        </w:rPr>
        <w:t>” means Marvell Technology Group Ltd., a Bermuda corporation.</w:t>
      </w:r>
    </w:p>
    <w:p>
      <w:pPr>
        <w:spacing w:after="0" w:line="219" w:lineRule="exact"/>
        <w:rPr>
          <w:rFonts w:ascii="Arial" w:cs="Arial" w:eastAsia="Arial" w:hAnsi="Arial"/>
          <w:sz w:val="22"/>
          <w:szCs w:val="22"/>
          <w:color w:val="auto"/>
        </w:rPr>
      </w:pPr>
    </w:p>
    <w:p>
      <w:pPr>
        <w:ind w:left="-1120" w:right="20" w:firstLine="1304"/>
        <w:spacing w:after="0" w:line="263" w:lineRule="auto"/>
        <w:tabs>
          <w:tab w:leader="none" w:pos="812"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Consultant</w:t>
      </w:r>
      <w:r>
        <w:rPr>
          <w:rFonts w:ascii="Arial" w:cs="Arial" w:eastAsia="Arial" w:hAnsi="Arial"/>
          <w:sz w:val="22"/>
          <w:szCs w:val="22"/>
          <w:color w:val="auto"/>
        </w:rPr>
        <w:t>” means any person, other than an Employee, who is engaged by the Company or any Parent or Subsidiary to perform consulting or advisory services.</w:t>
      </w:r>
    </w:p>
    <w:p>
      <w:pPr>
        <w:spacing w:after="0" w:line="174" w:lineRule="exact"/>
        <w:rPr>
          <w:rFonts w:ascii="Arial" w:cs="Arial" w:eastAsia="Arial" w:hAnsi="Arial"/>
          <w:sz w:val="22"/>
          <w:szCs w:val="22"/>
          <w:color w:val="auto"/>
        </w:rPr>
      </w:pPr>
    </w:p>
    <w:p>
      <w:pPr>
        <w:ind w:left="-1120" w:right="20" w:firstLine="1304"/>
        <w:spacing w:after="0" w:line="248" w:lineRule="auto"/>
        <w:tabs>
          <w:tab w:leader="none" w:pos="812"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Continuous Service</w:t>
      </w:r>
      <w:r>
        <w:rPr>
          <w:rFonts w:ascii="Arial" w:cs="Arial" w:eastAsia="Arial" w:hAnsi="Arial"/>
          <w:sz w:val="22"/>
          <w:szCs w:val="22"/>
          <w:color w:val="auto"/>
        </w:rPr>
        <w:t>” means that a Grantee’s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91" w:lineRule="exact"/>
        <w:rPr>
          <w:rFonts w:ascii="Arial" w:cs="Arial" w:eastAsia="Arial" w:hAnsi="Arial"/>
          <w:sz w:val="22"/>
          <w:szCs w:val="22"/>
          <w:color w:val="auto"/>
        </w:rPr>
      </w:pPr>
    </w:p>
    <w:p>
      <w:pPr>
        <w:ind w:left="-1120" w:right="140" w:firstLine="1304"/>
        <w:spacing w:after="0" w:line="263" w:lineRule="auto"/>
        <w:tabs>
          <w:tab w:leader="none" w:pos="819"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Outside Director</w:t>
      </w:r>
      <w:r>
        <w:rPr>
          <w:rFonts w:ascii="Arial" w:cs="Arial" w:eastAsia="Arial" w:hAnsi="Arial"/>
          <w:sz w:val="22"/>
          <w:szCs w:val="22"/>
          <w:color w:val="auto"/>
        </w:rPr>
        <w:t>” means a member of the Board who is not a common law employee of the Company or a Parent or Subsidiary.</w:t>
      </w:r>
    </w:p>
    <w:p>
      <w:pPr>
        <w:spacing w:after="0" w:line="174" w:lineRule="exact"/>
        <w:rPr>
          <w:rFonts w:ascii="Arial" w:cs="Arial" w:eastAsia="Arial" w:hAnsi="Arial"/>
          <w:sz w:val="22"/>
          <w:szCs w:val="22"/>
          <w:color w:val="auto"/>
        </w:rPr>
      </w:pPr>
    </w:p>
    <w:p>
      <w:pPr>
        <w:ind w:left="820" w:hanging="636"/>
        <w:spacing w:after="0"/>
        <w:tabs>
          <w:tab w:leader="none" w:pos="820" w:val="left"/>
        </w:tabs>
        <w:numPr>
          <w:ilvl w:val="0"/>
          <w:numId w:val="43"/>
        </w:numPr>
        <w:rPr>
          <w:rFonts w:ascii="Arial" w:cs="Arial" w:eastAsia="Arial" w:hAnsi="Arial"/>
          <w:sz w:val="19"/>
          <w:szCs w:val="19"/>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Employee</w:t>
      </w:r>
      <w:r>
        <w:rPr>
          <w:rFonts w:ascii="Arial" w:cs="Arial" w:eastAsia="Arial" w:hAnsi="Arial"/>
          <w:sz w:val="19"/>
          <w:szCs w:val="19"/>
          <w:color w:val="auto"/>
        </w:rPr>
        <w:t>” means any person employed by the Company or any Parent or Subsidiary of the Company.</w:t>
      </w:r>
    </w:p>
    <w:p>
      <w:pPr>
        <w:spacing w:after="0" w:line="254" w:lineRule="exact"/>
        <w:rPr>
          <w:rFonts w:ascii="Arial" w:cs="Arial" w:eastAsia="Arial" w:hAnsi="Arial"/>
          <w:sz w:val="19"/>
          <w:szCs w:val="19"/>
          <w:color w:val="auto"/>
        </w:rPr>
      </w:pPr>
    </w:p>
    <w:p>
      <w:pPr>
        <w:ind w:left="820" w:hanging="636"/>
        <w:spacing w:after="0"/>
        <w:tabs>
          <w:tab w:leader="none" w:pos="820"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Exchange Act</w:t>
      </w:r>
      <w:r>
        <w:rPr>
          <w:rFonts w:ascii="Arial" w:cs="Arial" w:eastAsia="Arial" w:hAnsi="Arial"/>
          <w:sz w:val="22"/>
          <w:szCs w:val="22"/>
          <w:color w:val="auto"/>
        </w:rPr>
        <w:t>” means the Securities Exchange Act of 1934, as amended.</w:t>
      </w:r>
    </w:p>
    <w:p>
      <w:pPr>
        <w:spacing w:after="0" w:line="219" w:lineRule="exact"/>
        <w:rPr>
          <w:rFonts w:ascii="Arial" w:cs="Arial" w:eastAsia="Arial" w:hAnsi="Arial"/>
          <w:sz w:val="22"/>
          <w:szCs w:val="22"/>
          <w:color w:val="auto"/>
        </w:rPr>
      </w:pPr>
    </w:p>
    <w:p>
      <w:pPr>
        <w:ind w:left="820" w:hanging="636"/>
        <w:spacing w:after="0"/>
        <w:tabs>
          <w:tab w:leader="none" w:pos="820" w:val="left"/>
        </w:tabs>
        <w:numPr>
          <w:ilvl w:val="0"/>
          <w:numId w:val="43"/>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Fair Market Value</w:t>
      </w:r>
      <w:r>
        <w:rPr>
          <w:rFonts w:ascii="Arial" w:cs="Arial" w:eastAsia="Arial" w:hAnsi="Arial"/>
          <w:sz w:val="22"/>
          <w:szCs w:val="22"/>
          <w:color w:val="auto"/>
        </w:rPr>
        <w:t>” means, as of any date, the value of common Stock determined as follows:</w:t>
      </w:r>
    </w:p>
    <w:p>
      <w:pPr>
        <w:spacing w:after="0" w:line="219" w:lineRule="exact"/>
        <w:rPr>
          <w:rFonts w:ascii="Arial" w:cs="Arial" w:eastAsia="Arial" w:hAnsi="Arial"/>
          <w:sz w:val="22"/>
          <w:szCs w:val="22"/>
          <w:color w:val="auto"/>
        </w:rPr>
      </w:pPr>
    </w:p>
    <w:p>
      <w:pPr>
        <w:ind w:left="-1120" w:right="240" w:firstLine="2072"/>
        <w:spacing w:after="0" w:line="297" w:lineRule="auto"/>
        <w:tabs>
          <w:tab w:leader="none" w:pos="1472" w:val="left"/>
        </w:tabs>
        <w:numPr>
          <w:ilvl w:val="1"/>
          <w:numId w:val="43"/>
        </w:numPr>
        <w:rPr>
          <w:rFonts w:ascii="Arial" w:cs="Arial" w:eastAsia="Arial" w:hAnsi="Arial"/>
          <w:sz w:val="19"/>
          <w:szCs w:val="19"/>
          <w:color w:val="auto"/>
        </w:rPr>
      </w:pPr>
      <w:r>
        <w:rPr>
          <w:rFonts w:ascii="Arial" w:cs="Arial" w:eastAsia="Arial" w:hAnsi="Arial"/>
          <w:sz w:val="19"/>
          <w:szCs w:val="19"/>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9"/>
          <w:szCs w:val="19"/>
          <w:i w:val="1"/>
          <w:iCs w:val="1"/>
          <w:color w:val="auto"/>
        </w:rPr>
        <w:t>The Wall Street Journal</w:t>
      </w:r>
      <w:r>
        <w:rPr>
          <w:rFonts w:ascii="Arial" w:cs="Arial" w:eastAsia="Arial" w:hAnsi="Arial"/>
          <w:sz w:val="19"/>
          <w:szCs w:val="19"/>
          <w:color w:val="auto"/>
        </w:rPr>
        <w:t xml:space="preserve"> or an equivalent source, or if the determination date is not a trading day, then on the most recent preceding trading day;</w:t>
      </w:r>
    </w:p>
    <w:p>
      <w:pPr>
        <w:sectPr>
          <w:pgSz w:w="11900" w:h="16838" w:orient="portrait"/>
          <w:cols w:equalWidth="0" w:num="1">
            <w:col w:w="10100"/>
          </w:cols>
          <w:pgMar w:left="1440" w:top="1440" w:right="359" w:bottom="1440" w:gutter="0" w:footer="0" w:header="0"/>
        </w:sectPr>
      </w:pPr>
    </w:p>
    <w:bookmarkStart w:id="76" w:name="page77"/>
    <w:bookmarkEnd w:id="76"/>
    <w:p>
      <w:pPr>
        <w:spacing w:after="0" w:line="204" w:lineRule="exact"/>
        <w:rPr>
          <w:sz w:val="20"/>
          <w:szCs w:val="20"/>
          <w:color w:val="auto"/>
        </w:rPr>
      </w:pPr>
    </w:p>
    <w:p>
      <w:pPr>
        <w:jc w:val="both"/>
        <w:ind w:left="-1120" w:firstLine="2012"/>
        <w:spacing w:after="0" w:line="250" w:lineRule="auto"/>
        <w:tabs>
          <w:tab w:leader="none" w:pos="1472" w:val="left"/>
        </w:tabs>
        <w:numPr>
          <w:ilvl w:val="1"/>
          <w:numId w:val="44"/>
        </w:numPr>
        <w:rPr>
          <w:rFonts w:ascii="Arial" w:cs="Arial" w:eastAsia="Arial" w:hAnsi="Arial"/>
          <w:sz w:val="22"/>
          <w:szCs w:val="22"/>
          <w:color w:val="auto"/>
        </w:rPr>
      </w:pPr>
      <w:r>
        <w:rPr>
          <w:rFonts w:ascii="Arial" w:cs="Arial" w:eastAsia="Arial" w:hAnsi="Arial"/>
          <w:sz w:val="22"/>
          <w:szCs w:val="22"/>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87" w:lineRule="exact"/>
        <w:rPr>
          <w:rFonts w:ascii="Arial" w:cs="Arial" w:eastAsia="Arial" w:hAnsi="Arial"/>
          <w:sz w:val="22"/>
          <w:szCs w:val="22"/>
          <w:color w:val="auto"/>
        </w:rPr>
      </w:pPr>
    </w:p>
    <w:p>
      <w:pPr>
        <w:ind w:left="-1120" w:right="760" w:firstLine="1952"/>
        <w:spacing w:after="0" w:line="263" w:lineRule="auto"/>
        <w:tabs>
          <w:tab w:leader="none" w:pos="1472" w:val="left"/>
        </w:tabs>
        <w:numPr>
          <w:ilvl w:val="1"/>
          <w:numId w:val="44"/>
        </w:numPr>
        <w:rPr>
          <w:rFonts w:ascii="Arial" w:cs="Arial" w:eastAsia="Arial" w:hAnsi="Arial"/>
          <w:sz w:val="22"/>
          <w:szCs w:val="22"/>
          <w:color w:val="auto"/>
        </w:rPr>
      </w:pPr>
      <w:r>
        <w:rPr>
          <w:rFonts w:ascii="Arial" w:cs="Arial" w:eastAsia="Arial" w:hAnsi="Arial"/>
          <w:sz w:val="22"/>
          <w:szCs w:val="22"/>
          <w:color w:val="auto"/>
        </w:rPr>
        <w:t>In the absence of an established market for the Common Stock, Fair Market Value shall be determined by the Administrator.</w:t>
      </w:r>
    </w:p>
    <w:p>
      <w:pPr>
        <w:spacing w:after="0" w:line="174" w:lineRule="exact"/>
        <w:rPr>
          <w:rFonts w:ascii="Arial" w:cs="Arial" w:eastAsia="Arial" w:hAnsi="Arial"/>
          <w:sz w:val="22"/>
          <w:szCs w:val="22"/>
          <w:color w:val="auto"/>
        </w:rPr>
      </w:pPr>
    </w:p>
    <w:p>
      <w:pPr>
        <w:ind w:left="-1120" w:right="600" w:firstLine="1304"/>
        <w:spacing w:after="0" w:line="263" w:lineRule="auto"/>
        <w:tabs>
          <w:tab w:leader="none" w:pos="819"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Grant Agreement</w:t>
      </w:r>
      <w:r>
        <w:rPr>
          <w:rFonts w:ascii="Arial" w:cs="Arial" w:eastAsia="Arial" w:hAnsi="Arial"/>
          <w:sz w:val="22"/>
          <w:szCs w:val="22"/>
          <w:color w:val="auto"/>
        </w:rPr>
        <w:t>” means a written document memorializing the terms and conditions of an Award granted pursuant to the Plan and shall incorporate the terms of the Plan.</w:t>
      </w:r>
    </w:p>
    <w:p>
      <w:pPr>
        <w:spacing w:after="0" w:line="174" w:lineRule="exact"/>
        <w:rPr>
          <w:rFonts w:ascii="Arial" w:cs="Arial" w:eastAsia="Arial" w:hAnsi="Arial"/>
          <w:sz w:val="22"/>
          <w:szCs w:val="22"/>
          <w:color w:val="auto"/>
        </w:rPr>
      </w:pPr>
    </w:p>
    <w:p>
      <w:pPr>
        <w:ind w:left="820" w:hanging="636"/>
        <w:spacing w:after="0"/>
        <w:tabs>
          <w:tab w:leader="none" w:pos="820"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Grantee</w:t>
      </w:r>
      <w:r>
        <w:rPr>
          <w:rFonts w:ascii="Arial" w:cs="Arial" w:eastAsia="Arial" w:hAnsi="Arial"/>
          <w:sz w:val="22"/>
          <w:szCs w:val="22"/>
          <w:color w:val="auto"/>
        </w:rPr>
        <w:t>” means the Employee, Consultant or Outside Director who receives an Award.</w:t>
      </w:r>
    </w:p>
    <w:p>
      <w:pPr>
        <w:spacing w:after="0" w:line="219" w:lineRule="exact"/>
        <w:rPr>
          <w:rFonts w:ascii="Arial" w:cs="Arial" w:eastAsia="Arial" w:hAnsi="Arial"/>
          <w:sz w:val="22"/>
          <w:szCs w:val="22"/>
          <w:color w:val="auto"/>
        </w:rPr>
      </w:pPr>
    </w:p>
    <w:p>
      <w:pPr>
        <w:ind w:left="-1120" w:right="360" w:firstLine="1304"/>
        <w:spacing w:after="0" w:line="263" w:lineRule="auto"/>
        <w:tabs>
          <w:tab w:leader="none" w:pos="819"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Incentive Stock Option</w:t>
      </w:r>
      <w:r>
        <w:rPr>
          <w:rFonts w:ascii="Arial" w:cs="Arial" w:eastAsia="Arial" w:hAnsi="Arial"/>
          <w:sz w:val="22"/>
          <w:szCs w:val="22"/>
          <w:color w:val="auto"/>
        </w:rPr>
        <w:t>” or “</w:t>
      </w:r>
      <w:r>
        <w:rPr>
          <w:rFonts w:ascii="Arial" w:cs="Arial" w:eastAsia="Arial" w:hAnsi="Arial"/>
          <w:sz w:val="22"/>
          <w:szCs w:val="22"/>
          <w:u w:val="single" w:color="auto"/>
          <w:color w:val="auto"/>
        </w:rPr>
        <w:t>ISO</w:t>
      </w:r>
      <w:r>
        <w:rPr>
          <w:rFonts w:ascii="Arial" w:cs="Arial" w:eastAsia="Arial" w:hAnsi="Arial"/>
          <w:sz w:val="22"/>
          <w:szCs w:val="22"/>
          <w:color w:val="auto"/>
        </w:rPr>
        <w:t>” means an Option intended to qualify as an “incentive stock option” within the meaning of, and to the extent otherwise permitted by, Section 422 of the Code.</w:t>
      </w:r>
    </w:p>
    <w:p>
      <w:pPr>
        <w:spacing w:after="0" w:line="174" w:lineRule="exact"/>
        <w:rPr>
          <w:rFonts w:ascii="Arial" w:cs="Arial" w:eastAsia="Arial" w:hAnsi="Arial"/>
          <w:sz w:val="22"/>
          <w:szCs w:val="22"/>
          <w:color w:val="auto"/>
        </w:rPr>
      </w:pPr>
    </w:p>
    <w:p>
      <w:pPr>
        <w:ind w:left="840" w:hanging="656"/>
        <w:spacing w:after="0"/>
        <w:tabs>
          <w:tab w:leader="none" w:pos="840"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Nonstatutory Stock Option</w:t>
      </w:r>
      <w:r>
        <w:rPr>
          <w:rFonts w:ascii="Arial" w:cs="Arial" w:eastAsia="Arial" w:hAnsi="Arial"/>
          <w:sz w:val="22"/>
          <w:szCs w:val="22"/>
          <w:color w:val="auto"/>
        </w:rPr>
        <w:t>” or “</w:t>
      </w:r>
      <w:r>
        <w:rPr>
          <w:rFonts w:ascii="Arial" w:cs="Arial" w:eastAsia="Arial" w:hAnsi="Arial"/>
          <w:sz w:val="22"/>
          <w:szCs w:val="22"/>
          <w:u w:val="single" w:color="auto"/>
          <w:color w:val="auto"/>
        </w:rPr>
        <w:t>NSO</w:t>
      </w:r>
      <w:r>
        <w:rPr>
          <w:rFonts w:ascii="Arial" w:cs="Arial" w:eastAsia="Arial" w:hAnsi="Arial"/>
          <w:sz w:val="22"/>
          <w:szCs w:val="22"/>
          <w:color w:val="auto"/>
        </w:rPr>
        <w:t>” means an Option not intended to qualify as an ISO.</w:t>
      </w:r>
    </w:p>
    <w:p>
      <w:pPr>
        <w:spacing w:after="0" w:line="219" w:lineRule="exact"/>
        <w:rPr>
          <w:rFonts w:ascii="Arial" w:cs="Arial" w:eastAsia="Arial" w:hAnsi="Arial"/>
          <w:sz w:val="22"/>
          <w:szCs w:val="22"/>
          <w:color w:val="auto"/>
        </w:rPr>
      </w:pPr>
    </w:p>
    <w:p>
      <w:pPr>
        <w:ind w:left="-1120" w:right="600" w:firstLine="1304"/>
        <w:spacing w:after="0" w:line="263" w:lineRule="auto"/>
        <w:tabs>
          <w:tab w:leader="none" w:pos="822"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Officer</w:t>
      </w:r>
      <w:r>
        <w:rPr>
          <w:rFonts w:ascii="Arial" w:cs="Arial" w:eastAsia="Arial" w:hAnsi="Arial"/>
          <w:sz w:val="22"/>
          <w:szCs w:val="22"/>
          <w:color w:val="auto"/>
        </w:rPr>
        <w:t>” means a person who is an officer of the Company within the meaning of Section 16 of the Exchange Act and the rules and regulations promulgated thereunder.</w:t>
      </w:r>
    </w:p>
    <w:p>
      <w:pPr>
        <w:spacing w:after="0" w:line="174" w:lineRule="exact"/>
        <w:rPr>
          <w:rFonts w:ascii="Arial" w:cs="Arial" w:eastAsia="Arial" w:hAnsi="Arial"/>
          <w:sz w:val="22"/>
          <w:szCs w:val="22"/>
          <w:color w:val="auto"/>
        </w:rPr>
      </w:pPr>
    </w:p>
    <w:p>
      <w:pPr>
        <w:ind w:left="820" w:hanging="636"/>
        <w:spacing w:after="0"/>
        <w:tabs>
          <w:tab w:leader="none" w:pos="820"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Option</w:t>
      </w:r>
      <w:r>
        <w:rPr>
          <w:rFonts w:ascii="Arial" w:cs="Arial" w:eastAsia="Arial" w:hAnsi="Arial"/>
          <w:sz w:val="22"/>
          <w:szCs w:val="22"/>
          <w:color w:val="auto"/>
        </w:rPr>
        <w:t>” means a stock option granted pursuant to this Plan.</w:t>
      </w:r>
    </w:p>
    <w:p>
      <w:pPr>
        <w:spacing w:after="0" w:line="219" w:lineRule="exact"/>
        <w:rPr>
          <w:rFonts w:ascii="Arial" w:cs="Arial" w:eastAsia="Arial" w:hAnsi="Arial"/>
          <w:sz w:val="22"/>
          <w:szCs w:val="22"/>
          <w:color w:val="auto"/>
        </w:rPr>
      </w:pPr>
    </w:p>
    <w:p>
      <w:pPr>
        <w:ind w:left="820" w:hanging="636"/>
        <w:spacing w:after="0"/>
        <w:tabs>
          <w:tab w:leader="none" w:pos="820"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Optioned Stock</w:t>
      </w:r>
      <w:r>
        <w:rPr>
          <w:rFonts w:ascii="Arial" w:cs="Arial" w:eastAsia="Arial" w:hAnsi="Arial"/>
          <w:sz w:val="22"/>
          <w:szCs w:val="22"/>
          <w:color w:val="auto"/>
        </w:rPr>
        <w:t>” means the Common Stock subject to an Option.</w:t>
      </w:r>
    </w:p>
    <w:p>
      <w:pPr>
        <w:spacing w:after="0" w:line="219" w:lineRule="exact"/>
        <w:rPr>
          <w:rFonts w:ascii="Arial" w:cs="Arial" w:eastAsia="Arial" w:hAnsi="Arial"/>
          <w:sz w:val="22"/>
          <w:szCs w:val="22"/>
          <w:color w:val="auto"/>
        </w:rPr>
      </w:pPr>
    </w:p>
    <w:p>
      <w:pPr>
        <w:ind w:left="-1120" w:right="20" w:firstLine="1304"/>
        <w:spacing w:after="0" w:line="253" w:lineRule="auto"/>
        <w:tabs>
          <w:tab w:leader="none" w:pos="819"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Optionee</w:t>
      </w:r>
      <w:r>
        <w:rPr>
          <w:rFonts w:ascii="Arial" w:cs="Arial" w:eastAsia="Arial" w:hAnsi="Arial"/>
          <w:sz w:val="22"/>
          <w:szCs w:val="22"/>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185" w:lineRule="exact"/>
        <w:rPr>
          <w:rFonts w:ascii="Arial" w:cs="Arial" w:eastAsia="Arial" w:hAnsi="Arial"/>
          <w:sz w:val="22"/>
          <w:szCs w:val="22"/>
          <w:color w:val="auto"/>
        </w:rPr>
      </w:pPr>
    </w:p>
    <w:p>
      <w:pPr>
        <w:ind w:left="820" w:hanging="636"/>
        <w:spacing w:after="0"/>
        <w:tabs>
          <w:tab w:leader="none" w:pos="820" w:val="left"/>
        </w:tabs>
        <w:numPr>
          <w:ilvl w:val="0"/>
          <w:numId w:val="45"/>
        </w:numPr>
        <w:rPr>
          <w:rFonts w:ascii="Arial" w:cs="Arial" w:eastAsia="Arial" w:hAnsi="Arial"/>
          <w:sz w:val="21"/>
          <w:szCs w:val="21"/>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Parent</w:t>
      </w:r>
      <w:r>
        <w:rPr>
          <w:rFonts w:ascii="Arial" w:cs="Arial" w:eastAsia="Arial" w:hAnsi="Arial"/>
          <w:sz w:val="21"/>
          <w:szCs w:val="21"/>
          <w:color w:val="auto"/>
        </w:rPr>
        <w:t>” means a “parent corporation,” present or future, as defined in Section 424(e) of the Code.</w:t>
      </w:r>
    </w:p>
    <w:p>
      <w:pPr>
        <w:spacing w:after="0" w:line="231" w:lineRule="exact"/>
        <w:rPr>
          <w:rFonts w:ascii="Arial" w:cs="Arial" w:eastAsia="Arial" w:hAnsi="Arial"/>
          <w:sz w:val="21"/>
          <w:szCs w:val="21"/>
          <w:color w:val="auto"/>
        </w:rPr>
      </w:pPr>
    </w:p>
    <w:p>
      <w:pPr>
        <w:ind w:left="820" w:hanging="636"/>
        <w:spacing w:after="0"/>
        <w:tabs>
          <w:tab w:leader="none" w:pos="820" w:val="left"/>
        </w:tabs>
        <w:numPr>
          <w:ilvl w:val="0"/>
          <w:numId w:val="45"/>
        </w:numPr>
        <w:rPr>
          <w:rFonts w:ascii="Arial" w:cs="Arial" w:eastAsia="Arial" w:hAnsi="Arial"/>
          <w:sz w:val="21"/>
          <w:szCs w:val="21"/>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Plan</w:t>
      </w:r>
      <w:r>
        <w:rPr>
          <w:rFonts w:ascii="Arial" w:cs="Arial" w:eastAsia="Arial" w:hAnsi="Arial"/>
          <w:sz w:val="21"/>
          <w:szCs w:val="21"/>
          <w:color w:val="auto"/>
        </w:rPr>
        <w:t>” means this Amended and Restated 1995 Marvell Technology Group Ltd. Stock Option Plan.</w:t>
      </w:r>
    </w:p>
    <w:p>
      <w:pPr>
        <w:spacing w:after="0" w:line="231" w:lineRule="exact"/>
        <w:rPr>
          <w:rFonts w:ascii="Arial" w:cs="Arial" w:eastAsia="Arial" w:hAnsi="Arial"/>
          <w:sz w:val="21"/>
          <w:szCs w:val="21"/>
          <w:color w:val="auto"/>
        </w:rPr>
      </w:pPr>
    </w:p>
    <w:p>
      <w:pPr>
        <w:ind w:left="820" w:hanging="636"/>
        <w:spacing w:after="0"/>
        <w:tabs>
          <w:tab w:leader="none" w:pos="820" w:val="left"/>
        </w:tabs>
        <w:numPr>
          <w:ilvl w:val="0"/>
          <w:numId w:val="45"/>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Share</w:t>
      </w:r>
      <w:r>
        <w:rPr>
          <w:rFonts w:ascii="Arial" w:cs="Arial" w:eastAsia="Arial" w:hAnsi="Arial"/>
          <w:sz w:val="22"/>
          <w:szCs w:val="22"/>
          <w:color w:val="auto"/>
        </w:rPr>
        <w:t>” means a share of the Common Stock, as adjusted in accordance with Section 14(a).</w:t>
      </w:r>
    </w:p>
    <w:p>
      <w:pPr>
        <w:spacing w:after="0" w:line="219" w:lineRule="exact"/>
        <w:rPr>
          <w:rFonts w:ascii="Arial" w:cs="Arial" w:eastAsia="Arial" w:hAnsi="Arial"/>
          <w:sz w:val="22"/>
          <w:szCs w:val="22"/>
          <w:color w:val="auto"/>
        </w:rPr>
      </w:pPr>
    </w:p>
    <w:p>
      <w:pPr>
        <w:ind w:left="820" w:hanging="636"/>
        <w:spacing w:after="0"/>
        <w:tabs>
          <w:tab w:leader="none" w:pos="820" w:val="left"/>
        </w:tabs>
        <w:numPr>
          <w:ilvl w:val="0"/>
          <w:numId w:val="45"/>
        </w:numPr>
        <w:rPr>
          <w:rFonts w:ascii="Arial" w:cs="Arial" w:eastAsia="Arial" w:hAnsi="Arial"/>
          <w:sz w:val="19"/>
          <w:szCs w:val="19"/>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Subsidiary</w:t>
      </w:r>
      <w:r>
        <w:rPr>
          <w:rFonts w:ascii="Arial" w:cs="Arial" w:eastAsia="Arial" w:hAnsi="Arial"/>
          <w:sz w:val="19"/>
          <w:szCs w:val="19"/>
          <w:color w:val="auto"/>
        </w:rPr>
        <w:t>” means a “subsidiary corporation,” present or future, as defined in Section 424(f) of the Code.</w:t>
      </w:r>
    </w:p>
    <w:p>
      <w:pPr>
        <w:sectPr>
          <w:pgSz w:w="11900" w:h="16838" w:orient="portrait"/>
          <w:cols w:equalWidth="0" w:num="1">
            <w:col w:w="10060"/>
          </w:cols>
          <w:pgMar w:left="1440" w:top="1440" w:right="399" w:bottom="1440" w:gutter="0" w:footer="0" w:header="0"/>
        </w:sectPr>
      </w:pPr>
    </w:p>
    <w:bookmarkStart w:id="77" w:name="page78"/>
    <w:bookmarkEnd w:id="77"/>
    <w:p>
      <w:pPr>
        <w:spacing w:after="0" w:line="223" w:lineRule="auto"/>
        <w:tabs>
          <w:tab w:leader="none" w:pos="820" w:val="left"/>
        </w:tabs>
        <w:framePr w:w="8140" w:h="705" w:wrap="auto" w:vAnchor="page" w:hAnchor="page" w:x="3280" w:y="6401"/>
        <w:rPr>
          <w:rFonts w:ascii="Arial" w:cs="Arial" w:eastAsia="Arial" w:hAnsi="Arial"/>
          <w:sz w:val="22"/>
          <w:szCs w:val="22"/>
          <w:color w:val="auto"/>
        </w:rPr>
      </w:pPr>
      <w:r>
        <w:rPr>
          <w:rFonts w:ascii="Arial" w:cs="Arial" w:eastAsia="Arial" w:hAnsi="Arial"/>
          <w:sz w:val="22"/>
          <w:szCs w:val="22"/>
          <w:color w:val="auto"/>
        </w:rPr>
        <w:t>The provisions of section 102 of the Ordinance and of the relevant income tax regulations, as they shall apply from time to time to shares and options issued hereunder, including the Special Conditions;</w:t>
      </w:r>
    </w:p>
    <w:p>
      <w:pPr>
        <w:spacing w:after="0" w:line="212" w:lineRule="auto"/>
        <w:tabs>
          <w:tab w:leader="none" w:pos="820" w:val="left"/>
        </w:tabs>
        <w:framePr w:w="7940" w:h="449" w:wrap="auto" w:vAnchor="page" w:hAnchor="page" w:x="3280" w:y="7224"/>
        <w:rPr>
          <w:rFonts w:ascii="Arial" w:cs="Arial" w:eastAsia="Arial" w:hAnsi="Arial"/>
          <w:sz w:val="22"/>
          <w:szCs w:val="22"/>
          <w:color w:val="auto"/>
        </w:rPr>
      </w:pPr>
      <w:r>
        <w:rPr>
          <w:rFonts w:ascii="Arial" w:cs="Arial" w:eastAsia="Arial" w:hAnsi="Arial"/>
          <w:sz w:val="22"/>
          <w:szCs w:val="22"/>
          <w:color w:val="auto"/>
        </w:rPr>
        <w:t>The latest of the date the Options were issued or the date of the Income Tax Commissioner approval that the Plan satisfies the Special Conditions;</w:t>
      </w:r>
    </w:p>
    <w:p>
      <w:pPr>
        <w:spacing w:after="0" w:line="249" w:lineRule="auto"/>
        <w:tabs>
          <w:tab w:leader="none" w:pos="820" w:val="left"/>
        </w:tabs>
        <w:framePr w:w="7080" w:h="503" w:wrap="auto" w:vAnchor="page" w:hAnchor="page" w:x="3280" w:y="7791"/>
        <w:rPr>
          <w:rFonts w:ascii="Arial" w:cs="Arial" w:eastAsia="Arial" w:hAnsi="Arial"/>
          <w:sz w:val="21"/>
          <w:szCs w:val="21"/>
          <w:color w:val="auto"/>
        </w:rPr>
      </w:pPr>
      <w:r>
        <w:rPr>
          <w:rFonts w:ascii="Arial" w:cs="Arial" w:eastAsia="Arial" w:hAnsi="Arial"/>
          <w:sz w:val="21"/>
          <w:szCs w:val="21"/>
          <w:color w:val="auto"/>
        </w:rPr>
        <w:t>The Company, any of its Subsidiaries or its Parent employing Israeli Employees; Employees, officers and directors subject to taxation in Israel;</w:t>
      </w:r>
    </w:p>
    <w:p>
      <w:pPr>
        <w:spacing w:after="0" w:line="212" w:lineRule="auto"/>
        <w:tabs>
          <w:tab w:leader="none" w:pos="820" w:val="left"/>
        </w:tabs>
        <w:framePr w:w="8120" w:h="449" w:wrap="auto" w:vAnchor="page" w:hAnchor="page" w:x="3280" w:y="8412"/>
        <w:rPr>
          <w:rFonts w:ascii="Arial" w:cs="Arial" w:eastAsia="Arial" w:hAnsi="Arial"/>
          <w:sz w:val="22"/>
          <w:szCs w:val="22"/>
          <w:color w:val="auto"/>
        </w:rPr>
      </w:pPr>
      <w:r>
        <w:rPr>
          <w:rFonts w:ascii="Arial" w:cs="Arial" w:eastAsia="Arial" w:hAnsi="Arial"/>
          <w:sz w:val="22"/>
          <w:szCs w:val="22"/>
          <w:color w:val="auto"/>
        </w:rPr>
        <w:t>A trustee appointed by the Employer for purposes of the Plan and approved by the Israeli tax authorities;</w:t>
      </w:r>
    </w:p>
    <w:p>
      <w:pPr>
        <w:spacing w:after="0" w:line="211" w:lineRule="auto"/>
        <w:tabs>
          <w:tab w:leader="none" w:pos="820" w:val="left"/>
        </w:tabs>
        <w:framePr w:w="4880" w:h="192" w:wrap="auto" w:vAnchor="page" w:hAnchor="page" w:x="3280" w:y="8979"/>
        <w:rPr>
          <w:rFonts w:ascii="Arial" w:cs="Arial" w:eastAsia="Arial" w:hAnsi="Arial"/>
          <w:sz w:val="19"/>
          <w:szCs w:val="19"/>
          <w:color w:val="auto"/>
        </w:rPr>
      </w:pPr>
      <w:r>
        <w:rPr>
          <w:rFonts w:ascii="Arial" w:cs="Arial" w:eastAsia="Arial" w:hAnsi="Arial"/>
          <w:sz w:val="19"/>
          <w:szCs w:val="19"/>
          <w:color w:val="auto"/>
        </w:rPr>
        <w:t>The Income Tax Ordinance (New Version), 5721-1961;</w:t>
      </w:r>
    </w:p>
    <w:p>
      <w:pPr>
        <w:spacing w:after="0" w:line="233" w:lineRule="auto"/>
        <w:tabs>
          <w:tab w:leader="none" w:pos="820" w:val="left"/>
        </w:tabs>
        <w:framePr w:w="7960" w:h="705" w:wrap="auto" w:vAnchor="page" w:hAnchor="page" w:x="3280" w:y="9290"/>
        <w:rPr>
          <w:rFonts w:ascii="Arial" w:cs="Arial" w:eastAsia="Arial" w:hAnsi="Arial"/>
          <w:sz w:val="21"/>
          <w:szCs w:val="21"/>
          <w:color w:val="auto"/>
        </w:rPr>
      </w:pPr>
      <w:r>
        <w:rPr>
          <w:rFonts w:ascii="Arial" w:cs="Arial" w:eastAsia="Arial" w:hAnsi="Arial"/>
          <w:sz w:val="21"/>
          <w:szCs w:val="21"/>
          <w:color w:val="auto"/>
        </w:rPr>
        <w:t>Special conditions set by the Israeli Income Tax Commissioner in connection with the issuance of the Options hereunder, by the power vested in him/her under section 102 of the Ordinance, if and to the extent the Commissioner shall so set;</w:t>
      </w:r>
    </w:p>
    <w:p>
      <w:pPr>
        <w:spacing w:after="0" w:line="223" w:lineRule="auto"/>
        <w:tabs>
          <w:tab w:leader="none" w:pos="820" w:val="left"/>
        </w:tabs>
        <w:framePr w:w="8080" w:h="449" w:wrap="auto" w:vAnchor="page" w:hAnchor="page" w:x="3280" w:y="10113"/>
        <w:rPr>
          <w:rFonts w:ascii="Arial" w:cs="Arial" w:eastAsia="Arial" w:hAnsi="Arial"/>
          <w:sz w:val="21"/>
          <w:szCs w:val="21"/>
          <w:color w:val="auto"/>
        </w:rPr>
      </w:pPr>
      <w:r>
        <w:rPr>
          <w:rFonts w:ascii="Arial" w:cs="Arial" w:eastAsia="Arial" w:hAnsi="Arial"/>
          <w:sz w:val="21"/>
          <w:szCs w:val="21"/>
          <w:color w:val="auto"/>
        </w:rPr>
        <w:t>The applicable period of time, in accordance with the selection made by the Employer under section 102 of the Ordinance and in effect at the time of a grant hereunder.</w:t>
      </w:r>
    </w:p>
    <w:p>
      <w:pPr>
        <w:spacing w:after="0" w:line="198" w:lineRule="exact"/>
        <w:rPr>
          <w:rFonts w:ascii="Arial" w:cs="Arial" w:eastAsia="Arial" w:hAnsi="Arial"/>
          <w:sz w:val="21"/>
          <w:szCs w:val="21"/>
          <w:color w:val="auto"/>
        </w:rPr>
      </w:pPr>
    </w:p>
    <w:p>
      <w:pPr>
        <w:jc w:val="center"/>
        <w:ind w:right="-99"/>
        <w:spacing w:after="0"/>
        <w:rPr>
          <w:sz w:val="20"/>
          <w:szCs w:val="20"/>
          <w:color w:val="auto"/>
        </w:rPr>
      </w:pPr>
      <w:r>
        <w:rPr>
          <w:rFonts w:ascii="Arial" w:cs="Arial" w:eastAsia="Arial" w:hAnsi="Arial"/>
          <w:sz w:val="22"/>
          <w:szCs w:val="22"/>
          <w:b w:val="1"/>
          <w:bCs w:val="1"/>
          <w:color w:val="auto"/>
        </w:rPr>
        <w:t>APPENDIX TO THE AMENDED AND</w:t>
      </w:r>
    </w:p>
    <w:p>
      <w:pPr>
        <w:spacing w:after="0" w:line="27" w:lineRule="exact"/>
        <w:rPr>
          <w:rFonts w:ascii="Arial" w:cs="Arial" w:eastAsia="Arial" w:hAnsi="Arial"/>
          <w:sz w:val="21"/>
          <w:szCs w:val="21"/>
          <w:color w:val="auto"/>
        </w:rPr>
      </w:pPr>
    </w:p>
    <w:p>
      <w:pPr>
        <w:jc w:val="center"/>
        <w:ind w:right="-99"/>
        <w:spacing w:after="0"/>
        <w:rPr>
          <w:sz w:val="20"/>
          <w:szCs w:val="20"/>
          <w:color w:val="auto"/>
        </w:rPr>
      </w:pPr>
      <w:r>
        <w:rPr>
          <w:rFonts w:ascii="Arial" w:cs="Arial" w:eastAsia="Arial" w:hAnsi="Arial"/>
          <w:sz w:val="22"/>
          <w:szCs w:val="22"/>
          <w:b w:val="1"/>
          <w:bCs w:val="1"/>
          <w:color w:val="auto"/>
        </w:rPr>
        <w:t>RESTATED 1995 STOCK OPTION PLAN</w:t>
      </w:r>
    </w:p>
    <w:p>
      <w:pPr>
        <w:spacing w:after="0" w:line="4" w:lineRule="exact"/>
        <w:rPr>
          <w:rFonts w:ascii="Arial" w:cs="Arial" w:eastAsia="Arial" w:hAnsi="Arial"/>
          <w:sz w:val="21"/>
          <w:szCs w:val="21"/>
          <w:color w:val="auto"/>
        </w:rPr>
      </w:pPr>
    </w:p>
    <w:p>
      <w:pPr>
        <w:jc w:val="center"/>
        <w:ind w:right="-99"/>
        <w:spacing w:after="0"/>
        <w:rPr>
          <w:sz w:val="20"/>
          <w:szCs w:val="20"/>
          <w:color w:val="auto"/>
        </w:rPr>
      </w:pPr>
      <w:r>
        <w:rPr>
          <w:rFonts w:ascii="Arial" w:cs="Arial" w:eastAsia="Arial" w:hAnsi="Arial"/>
          <w:sz w:val="22"/>
          <w:szCs w:val="22"/>
          <w:b w:val="1"/>
          <w:bCs w:val="1"/>
          <w:color w:val="auto"/>
        </w:rPr>
        <w:t>OF MARVELL TECHNOLOGY GROUP LTD.</w:t>
      </w:r>
    </w:p>
    <w:p>
      <w:pPr>
        <w:spacing w:after="0" w:line="4" w:lineRule="exact"/>
        <w:rPr>
          <w:rFonts w:ascii="Arial" w:cs="Arial" w:eastAsia="Arial" w:hAnsi="Arial"/>
          <w:sz w:val="21"/>
          <w:szCs w:val="21"/>
          <w:color w:val="auto"/>
        </w:rPr>
      </w:pPr>
    </w:p>
    <w:p>
      <w:pPr>
        <w:jc w:val="center"/>
        <w:ind w:right="-99"/>
        <w:spacing w:after="0"/>
        <w:rPr>
          <w:sz w:val="20"/>
          <w:szCs w:val="20"/>
          <w:color w:val="auto"/>
        </w:rPr>
      </w:pPr>
      <w:r>
        <w:rPr>
          <w:rFonts w:ascii="Arial" w:cs="Arial" w:eastAsia="Arial" w:hAnsi="Arial"/>
          <w:sz w:val="22"/>
          <w:szCs w:val="22"/>
          <w:b w:val="1"/>
          <w:bCs w:val="1"/>
          <w:color w:val="auto"/>
        </w:rPr>
        <w:t>IN RESPECT OF ISRAELI EMPLOYEES</w:t>
      </w:r>
    </w:p>
    <w:p>
      <w:pPr>
        <w:spacing w:after="0" w:line="209" w:lineRule="exact"/>
        <w:rPr>
          <w:rFonts w:ascii="Arial" w:cs="Arial" w:eastAsia="Arial" w:hAnsi="Arial"/>
          <w:sz w:val="21"/>
          <w:szCs w:val="21"/>
          <w:color w:val="auto"/>
        </w:rPr>
      </w:pPr>
    </w:p>
    <w:p>
      <w:pPr>
        <w:ind w:left="1300" w:hanging="644"/>
        <w:spacing w:after="0"/>
        <w:tabs>
          <w:tab w:leader="none" w:pos="1300" w:val="left"/>
        </w:tabs>
        <w:numPr>
          <w:ilvl w:val="0"/>
          <w:numId w:val="46"/>
        </w:numPr>
        <w:rPr>
          <w:rFonts w:ascii="Arial" w:cs="Arial" w:eastAsia="Arial" w:hAnsi="Arial"/>
          <w:sz w:val="22"/>
          <w:szCs w:val="22"/>
          <w:color w:val="auto"/>
        </w:rPr>
      </w:pPr>
      <w:r>
        <w:rPr>
          <w:rFonts w:ascii="Arial" w:cs="Arial" w:eastAsia="Arial" w:hAnsi="Arial"/>
          <w:sz w:val="22"/>
          <w:szCs w:val="22"/>
          <w:b w:val="1"/>
          <w:bCs w:val="1"/>
          <w:color w:val="auto"/>
        </w:rPr>
        <w:t>Purpose</w:t>
      </w:r>
    </w:p>
    <w:p>
      <w:pPr>
        <w:spacing w:after="0" w:line="226" w:lineRule="exact"/>
        <w:rPr>
          <w:rFonts w:ascii="Arial" w:cs="Arial" w:eastAsia="Arial" w:hAnsi="Arial"/>
          <w:sz w:val="21"/>
          <w:szCs w:val="21"/>
          <w:color w:val="auto"/>
        </w:rPr>
      </w:pPr>
    </w:p>
    <w:p>
      <w:pPr>
        <w:ind w:firstLine="648"/>
        <w:spacing w:after="0" w:line="247" w:lineRule="auto"/>
        <w:rPr>
          <w:sz w:val="20"/>
          <w:szCs w:val="20"/>
          <w:color w:val="auto"/>
        </w:rPr>
      </w:pPr>
      <w:r>
        <w:rPr>
          <w:rFonts w:ascii="Arial" w:cs="Arial" w:eastAsia="Arial" w:hAnsi="Arial"/>
          <w:sz w:val="22"/>
          <w:szCs w:val="22"/>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187" w:lineRule="exact"/>
        <w:rPr>
          <w:rFonts w:ascii="Arial" w:cs="Arial" w:eastAsia="Arial" w:hAnsi="Arial"/>
          <w:sz w:val="21"/>
          <w:szCs w:val="21"/>
          <w:color w:val="auto"/>
        </w:rPr>
      </w:pPr>
    </w:p>
    <w:p>
      <w:pPr>
        <w:ind w:left="1300" w:hanging="644"/>
        <w:spacing w:after="0"/>
        <w:tabs>
          <w:tab w:leader="none" w:pos="1300" w:val="left"/>
        </w:tabs>
        <w:numPr>
          <w:ilvl w:val="0"/>
          <w:numId w:val="47"/>
        </w:numPr>
        <w:rPr>
          <w:rFonts w:ascii="Arial" w:cs="Arial" w:eastAsia="Arial" w:hAnsi="Arial"/>
          <w:sz w:val="22"/>
          <w:szCs w:val="22"/>
          <w:color w:val="auto"/>
        </w:rPr>
      </w:pPr>
      <w:r>
        <w:rPr>
          <w:rFonts w:ascii="Arial" w:cs="Arial" w:eastAsia="Arial" w:hAnsi="Arial"/>
          <w:sz w:val="22"/>
          <w:szCs w:val="22"/>
          <w:b w:val="1"/>
          <w:bCs w:val="1"/>
          <w:color w:val="auto"/>
        </w:rPr>
        <w:t>Defined Terms</w:t>
      </w:r>
    </w:p>
    <w:p>
      <w:pPr>
        <w:spacing w:after="0" w:line="225" w:lineRule="exact"/>
        <w:rPr>
          <w:rFonts w:ascii="Arial" w:cs="Arial" w:eastAsia="Arial" w:hAnsi="Arial"/>
          <w:sz w:val="22"/>
          <w:szCs w:val="22"/>
          <w:color w:val="auto"/>
        </w:rPr>
      </w:pPr>
    </w:p>
    <w:p>
      <w:pPr>
        <w:ind w:left="1940" w:hanging="636"/>
        <w:spacing w:after="0"/>
        <w:tabs>
          <w:tab w:leader="none" w:pos="1940" w:val="left"/>
        </w:tabs>
        <w:numPr>
          <w:ilvl w:val="1"/>
          <w:numId w:val="47"/>
        </w:numPr>
        <w:rPr>
          <w:rFonts w:ascii="Arial" w:cs="Arial" w:eastAsia="Arial" w:hAnsi="Arial"/>
          <w:sz w:val="19"/>
          <w:szCs w:val="19"/>
          <w:color w:val="auto"/>
        </w:rPr>
      </w:pPr>
      <w:r>
        <w:rPr>
          <w:rFonts w:ascii="Arial" w:cs="Arial" w:eastAsia="Arial" w:hAnsi="Arial"/>
          <w:sz w:val="19"/>
          <w:szCs w:val="19"/>
          <w:color w:val="auto"/>
        </w:rPr>
        <w:t>Capitalized terms used but not defined herein shall have the meanings provided in Section 21 of the Plan.</w:t>
      </w:r>
    </w:p>
    <w:p>
      <w:pPr>
        <w:spacing w:after="0" w:line="254" w:lineRule="exact"/>
        <w:rPr>
          <w:rFonts w:ascii="Arial" w:cs="Arial" w:eastAsia="Arial" w:hAnsi="Arial"/>
          <w:sz w:val="19"/>
          <w:szCs w:val="19"/>
          <w:color w:val="auto"/>
        </w:rPr>
      </w:pPr>
    </w:p>
    <w:p>
      <w:pPr>
        <w:ind w:left="1940" w:hanging="636"/>
        <w:spacing w:after="0"/>
        <w:tabs>
          <w:tab w:leader="none" w:pos="1940" w:val="left"/>
        </w:tabs>
        <w:numPr>
          <w:ilvl w:val="1"/>
          <w:numId w:val="47"/>
        </w:numPr>
        <w:rPr>
          <w:rFonts w:ascii="Arial" w:cs="Arial" w:eastAsia="Arial" w:hAnsi="Arial"/>
          <w:sz w:val="21"/>
          <w:szCs w:val="21"/>
          <w:color w:val="auto"/>
        </w:rPr>
      </w:pPr>
      <w:r>
        <w:rPr>
          <w:rFonts w:ascii="Arial" w:cs="Arial" w:eastAsia="Arial" w:hAnsi="Arial"/>
          <w:sz w:val="21"/>
          <w:szCs w:val="21"/>
          <w:color w:val="auto"/>
        </w:rPr>
        <w:t>In addition, in this Appendix, the following terms shall have the meanings set forth beside them:</w:t>
      </w:r>
    </w:p>
    <w:p>
      <w:pPr>
        <w:spacing w:after="0" w:line="69" w:lineRule="exact"/>
        <w:rPr>
          <w:rFonts w:ascii="Arial" w:cs="Arial" w:eastAsia="Arial" w:hAnsi="Arial"/>
          <w:sz w:val="21"/>
          <w:szCs w:val="21"/>
          <w:color w:val="auto"/>
        </w:rPr>
      </w:pPr>
    </w:p>
    <w:p>
      <w:pPr>
        <w:ind w:left="20"/>
        <w:spacing w:after="0"/>
        <w:rPr>
          <w:sz w:val="20"/>
          <w:szCs w:val="20"/>
          <w:color w:val="auto"/>
        </w:rPr>
      </w:pPr>
      <w:r>
        <w:rPr>
          <w:rFonts w:ascii="Arial" w:cs="Arial" w:eastAsia="Arial" w:hAnsi="Arial"/>
          <w:sz w:val="22"/>
          <w:szCs w:val="22"/>
          <w:color w:val="auto"/>
        </w:rPr>
        <w:t>“102 Provisions”</w:t>
      </w:r>
    </w:p>
    <w:p>
      <w:pPr>
        <w:spacing w:after="0" w:line="200" w:lineRule="exact"/>
        <w:rPr>
          <w:rFonts w:ascii="Arial" w:cs="Arial" w:eastAsia="Arial" w:hAnsi="Arial"/>
          <w:sz w:val="21"/>
          <w:szCs w:val="21"/>
          <w:color w:val="auto"/>
        </w:rPr>
      </w:pPr>
    </w:p>
    <w:p>
      <w:pPr>
        <w:spacing w:after="0" w:line="371" w:lineRule="exact"/>
        <w:rPr>
          <w:rFonts w:ascii="Arial" w:cs="Arial" w:eastAsia="Arial" w:hAnsi="Arial"/>
          <w:sz w:val="21"/>
          <w:szCs w:val="21"/>
          <w:color w:val="auto"/>
        </w:rPr>
      </w:pPr>
    </w:p>
    <w:p>
      <w:pPr>
        <w:ind w:left="20"/>
        <w:spacing w:after="0"/>
        <w:rPr>
          <w:sz w:val="20"/>
          <w:szCs w:val="20"/>
          <w:color w:val="auto"/>
        </w:rPr>
      </w:pPr>
      <w:r>
        <w:rPr>
          <w:rFonts w:ascii="Arial" w:cs="Arial" w:eastAsia="Arial" w:hAnsi="Arial"/>
          <w:sz w:val="22"/>
          <w:szCs w:val="22"/>
          <w:color w:val="auto"/>
        </w:rPr>
        <w:t>“Effective Date”</w:t>
      </w:r>
    </w:p>
    <w:p>
      <w:pPr>
        <w:spacing w:after="0" w:line="314" w:lineRule="exact"/>
        <w:rPr>
          <w:rFonts w:ascii="Arial" w:cs="Arial" w:eastAsia="Arial" w:hAnsi="Arial"/>
          <w:sz w:val="21"/>
          <w:szCs w:val="21"/>
          <w:color w:val="auto"/>
        </w:rPr>
      </w:pPr>
    </w:p>
    <w:p>
      <w:pPr>
        <w:ind w:left="20" w:right="9380"/>
        <w:spacing w:after="0" w:line="324" w:lineRule="auto"/>
        <w:rPr>
          <w:sz w:val="20"/>
          <w:szCs w:val="20"/>
          <w:color w:val="auto"/>
        </w:rPr>
      </w:pPr>
      <w:r>
        <w:rPr>
          <w:rFonts w:ascii="Arial" w:cs="Arial" w:eastAsia="Arial" w:hAnsi="Arial"/>
          <w:sz w:val="21"/>
          <w:szCs w:val="21"/>
          <w:color w:val="auto"/>
        </w:rPr>
        <w:t>“Employer” “Israeli Employees” “Trustee”</w:t>
      </w:r>
    </w:p>
    <w:p>
      <w:pPr>
        <w:spacing w:after="0" w:line="210" w:lineRule="exact"/>
        <w:rPr>
          <w:rFonts w:ascii="Arial" w:cs="Arial" w:eastAsia="Arial" w:hAnsi="Arial"/>
          <w:sz w:val="21"/>
          <w:szCs w:val="21"/>
          <w:color w:val="auto"/>
        </w:rPr>
      </w:pPr>
    </w:p>
    <w:p>
      <w:pPr>
        <w:ind w:left="20" w:right="9300"/>
        <w:spacing w:after="0" w:line="402" w:lineRule="auto"/>
        <w:rPr>
          <w:sz w:val="20"/>
          <w:szCs w:val="20"/>
          <w:color w:val="auto"/>
        </w:rPr>
      </w:pPr>
      <w:r>
        <w:rPr>
          <w:rFonts w:ascii="Arial" w:cs="Arial" w:eastAsia="Arial" w:hAnsi="Arial"/>
          <w:sz w:val="19"/>
          <w:szCs w:val="19"/>
          <w:color w:val="auto"/>
        </w:rPr>
        <w:t>“Ordinance” “Special Conditions”</w:t>
      </w:r>
    </w:p>
    <w:p>
      <w:pPr>
        <w:spacing w:after="0" w:line="200" w:lineRule="exact"/>
        <w:rPr>
          <w:rFonts w:ascii="Arial" w:cs="Arial" w:eastAsia="Arial" w:hAnsi="Arial"/>
          <w:sz w:val="21"/>
          <w:szCs w:val="21"/>
          <w:color w:val="auto"/>
        </w:rPr>
      </w:pPr>
    </w:p>
    <w:p>
      <w:pPr>
        <w:spacing w:after="0" w:line="202" w:lineRule="exact"/>
        <w:rPr>
          <w:rFonts w:ascii="Arial" w:cs="Arial" w:eastAsia="Arial" w:hAnsi="Arial"/>
          <w:sz w:val="21"/>
          <w:szCs w:val="21"/>
          <w:color w:val="auto"/>
        </w:rPr>
      </w:pPr>
    </w:p>
    <w:p>
      <w:pPr>
        <w:ind w:left="20"/>
        <w:spacing w:after="0"/>
        <w:rPr>
          <w:sz w:val="20"/>
          <w:szCs w:val="20"/>
          <w:color w:val="auto"/>
        </w:rPr>
      </w:pPr>
      <w:r>
        <w:rPr>
          <w:rFonts w:ascii="Arial" w:cs="Arial" w:eastAsia="Arial" w:hAnsi="Arial"/>
          <w:sz w:val="22"/>
          <w:szCs w:val="22"/>
          <w:color w:val="auto"/>
        </w:rPr>
        <w:t>“Tax Lockup Period”</w:t>
      </w:r>
    </w:p>
    <w:p>
      <w:pPr>
        <w:sectPr>
          <w:pgSz w:w="11900" w:h="16838" w:orient="portrait"/>
          <w:cols w:equalWidth="0" w:num="1">
            <w:col w:w="11160"/>
          </w:cols>
          <w:pgMar w:left="320" w:top="1440" w:right="419" w:bottom="1440" w:gutter="0" w:footer="0" w:header="0"/>
        </w:sectPr>
      </w:pPr>
    </w:p>
    <w:bookmarkStart w:id="78" w:name="page79"/>
    <w:bookmarkEnd w:id="78"/>
    <w:p>
      <w:pPr>
        <w:spacing w:after="0" w:line="204" w:lineRule="exact"/>
        <w:rPr>
          <w:sz w:val="20"/>
          <w:szCs w:val="20"/>
          <w:color w:val="auto"/>
        </w:rPr>
      </w:pPr>
    </w:p>
    <w:p>
      <w:pPr>
        <w:ind w:right="20" w:firstLine="1304"/>
        <w:spacing w:after="0" w:line="248" w:lineRule="auto"/>
        <w:tabs>
          <w:tab w:leader="none" w:pos="1941" w:val="left"/>
        </w:tabs>
        <w:numPr>
          <w:ilvl w:val="1"/>
          <w:numId w:val="48"/>
        </w:numPr>
        <w:rPr>
          <w:rFonts w:ascii="Arial" w:cs="Arial" w:eastAsia="Arial" w:hAnsi="Arial"/>
          <w:sz w:val="22"/>
          <w:szCs w:val="22"/>
          <w:color w:val="auto"/>
        </w:rPr>
      </w:pPr>
      <w:r>
        <w:rPr>
          <w:rFonts w:ascii="Arial" w:cs="Arial" w:eastAsia="Arial" w:hAnsi="Arial"/>
          <w:sz w:val="22"/>
          <w:szCs w:val="22"/>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85" w:lineRule="exact"/>
        <w:rPr>
          <w:rFonts w:ascii="Arial" w:cs="Arial" w:eastAsia="Arial" w:hAnsi="Arial"/>
          <w:sz w:val="22"/>
          <w:szCs w:val="22"/>
          <w:color w:val="auto"/>
        </w:rPr>
      </w:pPr>
    </w:p>
    <w:p>
      <w:pPr>
        <w:ind w:left="1300" w:hanging="644"/>
        <w:spacing w:after="0"/>
        <w:tabs>
          <w:tab w:leader="none" w:pos="1300" w:val="left"/>
        </w:tabs>
        <w:numPr>
          <w:ilvl w:val="0"/>
          <w:numId w:val="49"/>
        </w:numPr>
        <w:rPr>
          <w:rFonts w:ascii="Arial" w:cs="Arial" w:eastAsia="Arial" w:hAnsi="Arial"/>
          <w:sz w:val="22"/>
          <w:szCs w:val="22"/>
          <w:color w:val="auto"/>
        </w:rPr>
      </w:pPr>
      <w:r>
        <w:rPr>
          <w:rFonts w:ascii="Arial" w:cs="Arial" w:eastAsia="Arial" w:hAnsi="Arial"/>
          <w:sz w:val="22"/>
          <w:szCs w:val="22"/>
          <w:b w:val="1"/>
          <w:bCs w:val="1"/>
          <w:color w:val="auto"/>
        </w:rPr>
        <w:t>Special Conditions</w:t>
      </w:r>
    </w:p>
    <w:p>
      <w:pPr>
        <w:spacing w:after="0" w:line="225" w:lineRule="exact"/>
        <w:rPr>
          <w:rFonts w:ascii="Arial" w:cs="Arial" w:eastAsia="Arial" w:hAnsi="Arial"/>
          <w:sz w:val="22"/>
          <w:szCs w:val="22"/>
          <w:color w:val="auto"/>
        </w:rPr>
      </w:pPr>
    </w:p>
    <w:p>
      <w:pPr>
        <w:ind w:right="160" w:firstLine="1304"/>
        <w:spacing w:after="0" w:line="312" w:lineRule="auto"/>
        <w:tabs>
          <w:tab w:leader="none" w:pos="1941" w:val="left"/>
        </w:tabs>
        <w:numPr>
          <w:ilvl w:val="1"/>
          <w:numId w:val="49"/>
        </w:numPr>
        <w:rPr>
          <w:rFonts w:ascii="Arial" w:cs="Arial" w:eastAsia="Arial" w:hAnsi="Arial"/>
          <w:sz w:val="19"/>
          <w:szCs w:val="19"/>
          <w:color w:val="auto"/>
        </w:rPr>
      </w:pPr>
      <w:r>
        <w:rPr>
          <w:rFonts w:ascii="Arial" w:cs="Arial" w:eastAsia="Arial" w:hAnsi="Arial"/>
          <w:sz w:val="19"/>
          <w:szCs w:val="19"/>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33" w:lineRule="exact"/>
        <w:rPr>
          <w:rFonts w:ascii="Arial" w:cs="Arial" w:eastAsia="Arial" w:hAnsi="Arial"/>
          <w:sz w:val="19"/>
          <w:szCs w:val="19"/>
          <w:color w:val="auto"/>
        </w:rPr>
      </w:pPr>
    </w:p>
    <w:p>
      <w:pPr>
        <w:ind w:left="1940" w:hanging="636"/>
        <w:spacing w:after="0"/>
        <w:tabs>
          <w:tab w:leader="none" w:pos="1940" w:val="left"/>
        </w:tabs>
        <w:numPr>
          <w:ilvl w:val="1"/>
          <w:numId w:val="49"/>
        </w:numPr>
        <w:rPr>
          <w:rFonts w:ascii="Arial" w:cs="Arial" w:eastAsia="Arial" w:hAnsi="Arial"/>
          <w:sz w:val="21"/>
          <w:szCs w:val="21"/>
          <w:color w:val="auto"/>
        </w:rPr>
      </w:pPr>
      <w:r>
        <w:rPr>
          <w:rFonts w:ascii="Arial" w:cs="Arial" w:eastAsia="Arial" w:hAnsi="Arial"/>
          <w:sz w:val="21"/>
          <w:szCs w:val="21"/>
          <w:color w:val="auto"/>
        </w:rPr>
        <w:t>The Administrator shall exercise its discretion under the Plan in accordance with the terms of this</w:t>
      </w:r>
    </w:p>
    <w:p>
      <w:pPr>
        <w:spacing w:after="0" w:line="32" w:lineRule="exact"/>
        <w:rPr>
          <w:rFonts w:ascii="Arial" w:cs="Arial" w:eastAsia="Arial" w:hAnsi="Arial"/>
          <w:sz w:val="21"/>
          <w:szCs w:val="21"/>
          <w:color w:val="auto"/>
        </w:rPr>
      </w:pPr>
    </w:p>
    <w:p>
      <w:pPr>
        <w:spacing w:after="0"/>
        <w:rPr>
          <w:rFonts w:ascii="Arial" w:cs="Arial" w:eastAsia="Arial" w:hAnsi="Arial"/>
          <w:sz w:val="21"/>
          <w:szCs w:val="21"/>
          <w:color w:val="auto"/>
        </w:rPr>
      </w:pPr>
      <w:r>
        <w:rPr>
          <w:rFonts w:ascii="Arial" w:cs="Arial" w:eastAsia="Arial" w:hAnsi="Arial"/>
          <w:sz w:val="22"/>
          <w:szCs w:val="22"/>
          <w:color w:val="auto"/>
        </w:rPr>
        <w:t>Appendix.</w:t>
      </w:r>
    </w:p>
    <w:p>
      <w:pPr>
        <w:spacing w:after="0" w:line="195" w:lineRule="exact"/>
        <w:rPr>
          <w:rFonts w:ascii="Arial" w:cs="Arial" w:eastAsia="Arial" w:hAnsi="Arial"/>
          <w:sz w:val="21"/>
          <w:szCs w:val="21"/>
          <w:color w:val="auto"/>
        </w:rPr>
      </w:pPr>
    </w:p>
    <w:p>
      <w:pPr>
        <w:ind w:left="1300" w:hanging="644"/>
        <w:spacing w:after="0"/>
        <w:tabs>
          <w:tab w:leader="none" w:pos="1300" w:val="left"/>
        </w:tabs>
        <w:numPr>
          <w:ilvl w:val="0"/>
          <w:numId w:val="49"/>
        </w:numPr>
        <w:rPr>
          <w:rFonts w:ascii="Arial" w:cs="Arial" w:eastAsia="Arial" w:hAnsi="Arial"/>
          <w:sz w:val="22"/>
          <w:szCs w:val="22"/>
          <w:color w:val="auto"/>
        </w:rPr>
      </w:pPr>
      <w:r>
        <w:rPr>
          <w:rFonts w:ascii="Arial" w:cs="Arial" w:eastAsia="Arial" w:hAnsi="Arial"/>
          <w:sz w:val="22"/>
          <w:szCs w:val="22"/>
          <w:b w:val="1"/>
          <w:bCs w:val="1"/>
          <w:color w:val="auto"/>
        </w:rPr>
        <w:t>Eligibility</w:t>
      </w:r>
    </w:p>
    <w:p>
      <w:pPr>
        <w:spacing w:after="0" w:line="226" w:lineRule="exact"/>
        <w:rPr>
          <w:sz w:val="20"/>
          <w:szCs w:val="20"/>
          <w:color w:val="auto"/>
        </w:rPr>
      </w:pPr>
    </w:p>
    <w:p>
      <w:pPr>
        <w:ind w:firstLine="648"/>
        <w:spacing w:after="0" w:line="263" w:lineRule="auto"/>
        <w:rPr>
          <w:sz w:val="20"/>
          <w:szCs w:val="20"/>
          <w:color w:val="auto"/>
        </w:rPr>
      </w:pPr>
      <w:r>
        <w:rPr>
          <w:rFonts w:ascii="Arial" w:cs="Arial" w:eastAsia="Arial" w:hAnsi="Arial"/>
          <w:sz w:val="22"/>
          <w:szCs w:val="22"/>
          <w:color w:val="auto"/>
        </w:rPr>
        <w:t>Options shall not be granted to any Israeli Employee who is, or on giving effect to such grant, will become, the holder of a controlling interest (‘baal shlita’) in the Company, as defined in section 32(9) of the Ordinance.</w:t>
      </w:r>
    </w:p>
    <w:p>
      <w:pPr>
        <w:spacing w:after="0" w:line="169" w:lineRule="exact"/>
        <w:rPr>
          <w:sz w:val="20"/>
          <w:szCs w:val="20"/>
          <w:color w:val="auto"/>
        </w:rPr>
      </w:pPr>
    </w:p>
    <w:p>
      <w:pPr>
        <w:ind w:left="1300" w:hanging="644"/>
        <w:spacing w:after="0"/>
        <w:tabs>
          <w:tab w:leader="none" w:pos="1300" w:val="left"/>
        </w:tabs>
        <w:numPr>
          <w:ilvl w:val="0"/>
          <w:numId w:val="50"/>
        </w:numPr>
        <w:rPr>
          <w:rFonts w:ascii="Arial" w:cs="Arial" w:eastAsia="Arial" w:hAnsi="Arial"/>
          <w:sz w:val="22"/>
          <w:szCs w:val="22"/>
          <w:color w:val="auto"/>
        </w:rPr>
      </w:pPr>
      <w:r>
        <w:rPr>
          <w:rFonts w:ascii="Arial" w:cs="Arial" w:eastAsia="Arial" w:hAnsi="Arial"/>
          <w:sz w:val="22"/>
          <w:szCs w:val="22"/>
          <w:b w:val="1"/>
          <w:bCs w:val="1"/>
          <w:color w:val="auto"/>
        </w:rPr>
        <w:t>Trust</w:t>
      </w:r>
    </w:p>
    <w:p>
      <w:pPr>
        <w:spacing w:after="0" w:line="225" w:lineRule="exact"/>
        <w:rPr>
          <w:rFonts w:ascii="Arial" w:cs="Arial" w:eastAsia="Arial" w:hAnsi="Arial"/>
          <w:sz w:val="22"/>
          <w:szCs w:val="22"/>
          <w:color w:val="auto"/>
        </w:rPr>
      </w:pPr>
    </w:p>
    <w:p>
      <w:pPr>
        <w:ind w:right="160" w:firstLine="1304"/>
        <w:spacing w:after="0" w:line="253" w:lineRule="auto"/>
        <w:tabs>
          <w:tab w:leader="none" w:pos="1941" w:val="left"/>
        </w:tabs>
        <w:numPr>
          <w:ilvl w:val="1"/>
          <w:numId w:val="50"/>
        </w:numPr>
        <w:rPr>
          <w:rFonts w:ascii="Arial" w:cs="Arial" w:eastAsia="Arial" w:hAnsi="Arial"/>
          <w:sz w:val="22"/>
          <w:szCs w:val="22"/>
          <w:color w:val="auto"/>
        </w:rPr>
      </w:pPr>
      <w:r>
        <w:rPr>
          <w:rFonts w:ascii="Arial" w:cs="Arial" w:eastAsia="Arial" w:hAnsi="Arial"/>
          <w:sz w:val="22"/>
          <w:szCs w:val="22"/>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85" w:lineRule="exact"/>
        <w:rPr>
          <w:rFonts w:ascii="Arial" w:cs="Arial" w:eastAsia="Arial" w:hAnsi="Arial"/>
          <w:sz w:val="22"/>
          <w:szCs w:val="22"/>
          <w:color w:val="auto"/>
        </w:rPr>
      </w:pPr>
    </w:p>
    <w:p>
      <w:pPr>
        <w:ind w:right="260" w:firstLine="1304"/>
        <w:spacing w:after="0" w:line="287" w:lineRule="auto"/>
        <w:tabs>
          <w:tab w:leader="none" w:pos="1939" w:val="left"/>
        </w:tabs>
        <w:numPr>
          <w:ilvl w:val="1"/>
          <w:numId w:val="50"/>
        </w:numPr>
        <w:rPr>
          <w:rFonts w:ascii="Arial" w:cs="Arial" w:eastAsia="Arial" w:hAnsi="Arial"/>
          <w:sz w:val="21"/>
          <w:szCs w:val="21"/>
          <w:color w:val="auto"/>
        </w:rPr>
      </w:pPr>
      <w:r>
        <w:rPr>
          <w:rFonts w:ascii="Arial" w:cs="Arial" w:eastAsia="Arial" w:hAnsi="Arial"/>
          <w:sz w:val="21"/>
          <w:szCs w:val="21"/>
          <w:color w:val="auto"/>
        </w:rPr>
        <w:t>In the event that bonus shares shall be issued on account of the Shares, such bonus shares shall be issued by the Company to the Trustee. The 102 Provisions shall apply to such bonus shares for all purposes.</w:t>
      </w:r>
    </w:p>
    <w:p>
      <w:pPr>
        <w:spacing w:after="0" w:line="151" w:lineRule="exact"/>
        <w:rPr>
          <w:rFonts w:ascii="Arial" w:cs="Arial" w:eastAsia="Arial" w:hAnsi="Arial"/>
          <w:sz w:val="21"/>
          <w:szCs w:val="21"/>
          <w:color w:val="auto"/>
        </w:rPr>
      </w:pPr>
    </w:p>
    <w:p>
      <w:pPr>
        <w:ind w:right="440" w:firstLine="1304"/>
        <w:spacing w:after="0" w:line="343" w:lineRule="auto"/>
        <w:tabs>
          <w:tab w:leader="none" w:pos="1941" w:val="left"/>
        </w:tabs>
        <w:numPr>
          <w:ilvl w:val="1"/>
          <w:numId w:val="50"/>
        </w:numPr>
        <w:rPr>
          <w:rFonts w:ascii="Arial" w:cs="Arial" w:eastAsia="Arial" w:hAnsi="Arial"/>
          <w:sz w:val="19"/>
          <w:szCs w:val="19"/>
          <w:color w:val="auto"/>
        </w:rPr>
      </w:pPr>
      <w:r>
        <w:rPr>
          <w:rFonts w:ascii="Arial" w:cs="Arial" w:eastAsia="Arial" w:hAnsi="Arial"/>
          <w:sz w:val="19"/>
          <w:szCs w:val="19"/>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98" w:lineRule="exact"/>
        <w:rPr>
          <w:rFonts w:ascii="Arial" w:cs="Arial" w:eastAsia="Arial" w:hAnsi="Arial"/>
          <w:sz w:val="19"/>
          <w:szCs w:val="19"/>
          <w:color w:val="auto"/>
        </w:rPr>
      </w:pPr>
    </w:p>
    <w:p>
      <w:pPr>
        <w:ind w:left="1300" w:hanging="644"/>
        <w:spacing w:after="0"/>
        <w:tabs>
          <w:tab w:leader="none" w:pos="1300" w:val="left"/>
        </w:tabs>
        <w:numPr>
          <w:ilvl w:val="0"/>
          <w:numId w:val="50"/>
        </w:numPr>
        <w:rPr>
          <w:rFonts w:ascii="Arial" w:cs="Arial" w:eastAsia="Arial" w:hAnsi="Arial"/>
          <w:sz w:val="22"/>
          <w:szCs w:val="22"/>
          <w:color w:val="auto"/>
        </w:rPr>
      </w:pPr>
      <w:r>
        <w:rPr>
          <w:rFonts w:ascii="Arial" w:cs="Arial" w:eastAsia="Arial" w:hAnsi="Arial"/>
          <w:sz w:val="22"/>
          <w:szCs w:val="22"/>
          <w:b w:val="1"/>
          <w:bCs w:val="1"/>
          <w:color w:val="auto"/>
        </w:rPr>
        <w:t>Taxes</w:t>
      </w:r>
    </w:p>
    <w:p>
      <w:pPr>
        <w:spacing w:after="0" w:line="225" w:lineRule="exact"/>
        <w:rPr>
          <w:rFonts w:ascii="Arial" w:cs="Arial" w:eastAsia="Arial" w:hAnsi="Arial"/>
          <w:sz w:val="22"/>
          <w:szCs w:val="22"/>
          <w:color w:val="auto"/>
        </w:rPr>
      </w:pPr>
    </w:p>
    <w:p>
      <w:pPr>
        <w:ind w:right="420" w:firstLine="1304"/>
        <w:spacing w:after="0" w:line="263" w:lineRule="auto"/>
        <w:tabs>
          <w:tab w:leader="none" w:pos="1941" w:val="left"/>
        </w:tabs>
        <w:numPr>
          <w:ilvl w:val="1"/>
          <w:numId w:val="50"/>
        </w:numPr>
        <w:rPr>
          <w:rFonts w:ascii="Arial" w:cs="Arial" w:eastAsia="Arial" w:hAnsi="Arial"/>
          <w:sz w:val="22"/>
          <w:szCs w:val="22"/>
          <w:color w:val="auto"/>
        </w:rPr>
      </w:pPr>
      <w:r>
        <w:rPr>
          <w:rFonts w:ascii="Arial" w:cs="Arial" w:eastAsia="Arial" w:hAnsi="Arial"/>
          <w:sz w:val="22"/>
          <w:szCs w:val="22"/>
          <w:color w:val="auto"/>
        </w:rPr>
        <w:t>The Israeli Employees shall be taxed in respect of the Options in accordance with the provisions of the Ordinance, including the 102 Provisions.</w:t>
      </w:r>
    </w:p>
    <w:p>
      <w:pPr>
        <w:sectPr>
          <w:pgSz w:w="11900" w:h="16838" w:orient="portrait"/>
          <w:cols w:equalWidth="0" w:num="1">
            <w:col w:w="11240"/>
          </w:cols>
          <w:pgMar w:left="320" w:top="1440" w:right="339" w:bottom="1440" w:gutter="0" w:footer="0" w:header="0"/>
        </w:sectPr>
      </w:pPr>
    </w:p>
    <w:bookmarkStart w:id="79" w:name="page80"/>
    <w:bookmarkEnd w:id="79"/>
    <w:p>
      <w:pPr>
        <w:spacing w:after="0" w:line="204" w:lineRule="exact"/>
        <w:rPr>
          <w:sz w:val="20"/>
          <w:szCs w:val="20"/>
          <w:color w:val="auto"/>
        </w:rPr>
      </w:pPr>
    </w:p>
    <w:p>
      <w:pPr>
        <w:ind w:left="-656" w:right="80" w:firstLine="1304"/>
        <w:spacing w:after="0" w:line="260" w:lineRule="auto"/>
        <w:tabs>
          <w:tab w:leader="none" w:pos="1283" w:val="left"/>
        </w:tabs>
        <w:numPr>
          <w:ilvl w:val="1"/>
          <w:numId w:val="51"/>
        </w:numPr>
        <w:rPr>
          <w:rFonts w:ascii="Arial" w:cs="Arial" w:eastAsia="Arial" w:hAnsi="Arial"/>
          <w:sz w:val="21"/>
          <w:szCs w:val="21"/>
          <w:color w:val="auto"/>
        </w:rPr>
      </w:pPr>
      <w:r>
        <w:rPr>
          <w:rFonts w:ascii="Arial" w:cs="Arial" w:eastAsia="Arial" w:hAnsi="Arial"/>
          <w:sz w:val="21"/>
          <w:szCs w:val="21"/>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80" w:lineRule="exact"/>
        <w:rPr>
          <w:rFonts w:ascii="Arial" w:cs="Arial" w:eastAsia="Arial" w:hAnsi="Arial"/>
          <w:sz w:val="21"/>
          <w:szCs w:val="21"/>
          <w:color w:val="auto"/>
        </w:rPr>
      </w:pPr>
    </w:p>
    <w:p>
      <w:pPr>
        <w:ind w:left="-656" w:right="60" w:firstLine="1304"/>
        <w:spacing w:after="0" w:line="247" w:lineRule="auto"/>
        <w:tabs>
          <w:tab w:leader="none" w:pos="1285" w:val="left"/>
        </w:tabs>
        <w:numPr>
          <w:ilvl w:val="1"/>
          <w:numId w:val="51"/>
        </w:numPr>
        <w:rPr>
          <w:rFonts w:ascii="Arial" w:cs="Arial" w:eastAsia="Arial" w:hAnsi="Arial"/>
          <w:sz w:val="22"/>
          <w:szCs w:val="22"/>
          <w:color w:val="auto"/>
        </w:rPr>
      </w:pPr>
      <w:r>
        <w:rPr>
          <w:rFonts w:ascii="Arial" w:cs="Arial" w:eastAsia="Arial" w:hAnsi="Arial"/>
          <w:sz w:val="22"/>
          <w:szCs w:val="22"/>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192" w:lineRule="exact"/>
        <w:rPr>
          <w:rFonts w:ascii="Arial" w:cs="Arial" w:eastAsia="Arial" w:hAnsi="Arial"/>
          <w:sz w:val="22"/>
          <w:szCs w:val="22"/>
          <w:color w:val="auto"/>
        </w:rPr>
      </w:pPr>
    </w:p>
    <w:p>
      <w:pPr>
        <w:jc w:val="both"/>
        <w:ind w:left="-656" w:right="140" w:firstLine="1304"/>
        <w:spacing w:after="0" w:line="271" w:lineRule="auto"/>
        <w:tabs>
          <w:tab w:leader="none" w:pos="1283" w:val="left"/>
        </w:tabs>
        <w:numPr>
          <w:ilvl w:val="1"/>
          <w:numId w:val="51"/>
        </w:numPr>
        <w:rPr>
          <w:rFonts w:ascii="Arial" w:cs="Arial" w:eastAsia="Arial" w:hAnsi="Arial"/>
          <w:sz w:val="21"/>
          <w:szCs w:val="21"/>
          <w:color w:val="auto"/>
        </w:rPr>
      </w:pPr>
      <w:r>
        <w:rPr>
          <w:rFonts w:ascii="Arial" w:cs="Arial" w:eastAsia="Arial" w:hAnsi="Arial"/>
          <w:sz w:val="21"/>
          <w:szCs w:val="21"/>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67" w:lineRule="exact"/>
        <w:rPr>
          <w:rFonts w:ascii="Arial" w:cs="Arial" w:eastAsia="Arial" w:hAnsi="Arial"/>
          <w:sz w:val="21"/>
          <w:szCs w:val="21"/>
          <w:color w:val="auto"/>
        </w:rPr>
      </w:pPr>
    </w:p>
    <w:p>
      <w:pPr>
        <w:ind w:left="-656" w:right="40" w:firstLine="1304"/>
        <w:spacing w:after="0" w:line="248" w:lineRule="auto"/>
        <w:tabs>
          <w:tab w:leader="none" w:pos="1285" w:val="left"/>
        </w:tabs>
        <w:numPr>
          <w:ilvl w:val="1"/>
          <w:numId w:val="51"/>
        </w:numPr>
        <w:rPr>
          <w:rFonts w:ascii="Arial" w:cs="Arial" w:eastAsia="Arial" w:hAnsi="Arial"/>
          <w:sz w:val="22"/>
          <w:szCs w:val="22"/>
          <w:color w:val="auto"/>
        </w:rPr>
      </w:pPr>
      <w:r>
        <w:rPr>
          <w:rFonts w:ascii="Arial" w:cs="Arial" w:eastAsia="Arial" w:hAnsi="Arial"/>
          <w:sz w:val="22"/>
          <w:szCs w:val="22"/>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85" w:lineRule="exact"/>
        <w:rPr>
          <w:rFonts w:ascii="Arial" w:cs="Arial" w:eastAsia="Arial" w:hAnsi="Arial"/>
          <w:sz w:val="22"/>
          <w:szCs w:val="22"/>
          <w:color w:val="auto"/>
        </w:rPr>
      </w:pPr>
    </w:p>
    <w:p>
      <w:pPr>
        <w:ind w:left="644" w:hanging="644"/>
        <w:spacing w:after="0"/>
        <w:tabs>
          <w:tab w:leader="none" w:pos="644" w:val="left"/>
        </w:tabs>
        <w:numPr>
          <w:ilvl w:val="0"/>
          <w:numId w:val="52"/>
        </w:numPr>
        <w:rPr>
          <w:rFonts w:ascii="Arial" w:cs="Arial" w:eastAsia="Arial" w:hAnsi="Arial"/>
          <w:sz w:val="22"/>
          <w:szCs w:val="22"/>
          <w:color w:val="auto"/>
        </w:rPr>
      </w:pPr>
      <w:r>
        <w:rPr>
          <w:rFonts w:ascii="Arial" w:cs="Arial" w:eastAsia="Arial" w:hAnsi="Arial"/>
          <w:sz w:val="22"/>
          <w:szCs w:val="22"/>
          <w:b w:val="1"/>
          <w:bCs w:val="1"/>
          <w:color w:val="auto"/>
        </w:rPr>
        <w:t>Miscellaneous</w:t>
      </w:r>
    </w:p>
    <w:p>
      <w:pPr>
        <w:spacing w:after="0" w:line="225" w:lineRule="exact"/>
        <w:rPr>
          <w:rFonts w:ascii="Arial" w:cs="Arial" w:eastAsia="Arial" w:hAnsi="Arial"/>
          <w:sz w:val="22"/>
          <w:szCs w:val="22"/>
          <w:color w:val="auto"/>
        </w:rPr>
      </w:pPr>
    </w:p>
    <w:p>
      <w:pPr>
        <w:ind w:left="-656" w:right="140" w:firstLine="1304"/>
        <w:spacing w:after="0" w:line="263" w:lineRule="auto"/>
        <w:tabs>
          <w:tab w:leader="none" w:pos="1285" w:val="left"/>
        </w:tabs>
        <w:numPr>
          <w:ilvl w:val="1"/>
          <w:numId w:val="52"/>
        </w:numPr>
        <w:rPr>
          <w:rFonts w:ascii="Arial" w:cs="Arial" w:eastAsia="Arial" w:hAnsi="Arial"/>
          <w:sz w:val="22"/>
          <w:szCs w:val="22"/>
          <w:color w:val="auto"/>
        </w:rPr>
      </w:pPr>
      <w:r>
        <w:rPr>
          <w:rFonts w:ascii="Arial" w:cs="Arial" w:eastAsia="Arial" w:hAnsi="Arial"/>
          <w:sz w:val="22"/>
          <w:szCs w:val="22"/>
          <w:color w:val="auto"/>
        </w:rPr>
        <w:t>The Israeli Employees shall sign any document required by the Trustee or the Income Tax Commission to give effect to the provisions of this Appendix.</w:t>
      </w:r>
    </w:p>
    <w:p>
      <w:pPr>
        <w:spacing w:after="0" w:line="174" w:lineRule="exact"/>
        <w:rPr>
          <w:rFonts w:ascii="Arial" w:cs="Arial" w:eastAsia="Arial" w:hAnsi="Arial"/>
          <w:sz w:val="22"/>
          <w:szCs w:val="22"/>
          <w:color w:val="auto"/>
        </w:rPr>
      </w:pPr>
    </w:p>
    <w:p>
      <w:pPr>
        <w:ind w:left="-656" w:firstLine="1304"/>
        <w:spacing w:after="0" w:line="250" w:lineRule="auto"/>
        <w:tabs>
          <w:tab w:leader="none" w:pos="1283" w:val="left"/>
        </w:tabs>
        <w:numPr>
          <w:ilvl w:val="1"/>
          <w:numId w:val="52"/>
        </w:numPr>
        <w:rPr>
          <w:rFonts w:ascii="Arial" w:cs="Arial" w:eastAsia="Arial" w:hAnsi="Arial"/>
          <w:sz w:val="22"/>
          <w:szCs w:val="22"/>
          <w:color w:val="auto"/>
        </w:rPr>
      </w:pPr>
      <w:r>
        <w:rPr>
          <w:rFonts w:ascii="Arial" w:cs="Arial" w:eastAsia="Arial" w:hAnsi="Arial"/>
          <w:sz w:val="22"/>
          <w:szCs w:val="22"/>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ectPr>
          <w:pgSz w:w="11900" w:h="16838" w:orient="portrait"/>
          <w:cols w:equalWidth="0" w:num="1">
            <w:col w:w="10584"/>
          </w:cols>
          <w:pgMar w:left="976" w:top="1440" w:right="339" w:bottom="1440" w:gutter="0" w:footer="0" w:header="0"/>
        </w:sectPr>
      </w:pPr>
    </w:p>
    <w:bookmarkStart w:id="80" w:name="page81"/>
    <w:bookmarkEnd w:id="80"/>
    <w:p>
      <w:pPr>
        <w:spacing w:after="0" w:line="204" w:lineRule="exact"/>
        <w:rPr>
          <w:sz w:val="20"/>
          <w:szCs w:val="20"/>
          <w:color w:val="auto"/>
        </w:rPr>
      </w:pPr>
    </w:p>
    <w:p>
      <w:pPr>
        <w:ind w:left="-1120" w:firstLine="1304"/>
        <w:spacing w:after="0" w:line="250" w:lineRule="auto"/>
        <w:tabs>
          <w:tab w:leader="none" w:pos="821" w:val="left"/>
        </w:tabs>
        <w:numPr>
          <w:ilvl w:val="0"/>
          <w:numId w:val="53"/>
        </w:numPr>
        <w:rPr>
          <w:rFonts w:ascii="Arial" w:cs="Arial" w:eastAsia="Arial" w:hAnsi="Arial"/>
          <w:sz w:val="22"/>
          <w:szCs w:val="22"/>
          <w:color w:val="auto"/>
        </w:rPr>
      </w:pPr>
      <w:r>
        <w:rPr>
          <w:rFonts w:ascii="Arial" w:cs="Arial" w:eastAsia="Arial" w:hAnsi="Arial"/>
          <w:sz w:val="22"/>
          <w:szCs w:val="22"/>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87" w:lineRule="exact"/>
        <w:rPr>
          <w:rFonts w:ascii="Arial" w:cs="Arial" w:eastAsia="Arial" w:hAnsi="Arial"/>
          <w:sz w:val="22"/>
          <w:szCs w:val="22"/>
          <w:color w:val="auto"/>
        </w:rPr>
      </w:pPr>
    </w:p>
    <w:p>
      <w:pPr>
        <w:ind w:left="-1120" w:right="280" w:firstLine="1304"/>
        <w:spacing w:after="0" w:line="343" w:lineRule="auto"/>
        <w:tabs>
          <w:tab w:leader="none" w:pos="819" w:val="left"/>
        </w:tabs>
        <w:numPr>
          <w:ilvl w:val="0"/>
          <w:numId w:val="53"/>
        </w:numPr>
        <w:rPr>
          <w:rFonts w:ascii="Arial" w:cs="Arial" w:eastAsia="Arial" w:hAnsi="Arial"/>
          <w:sz w:val="19"/>
          <w:szCs w:val="19"/>
          <w:color w:val="auto"/>
        </w:rPr>
      </w:pPr>
      <w:r>
        <w:rPr>
          <w:rFonts w:ascii="Arial" w:cs="Arial" w:eastAsia="Arial" w:hAnsi="Arial"/>
          <w:sz w:val="19"/>
          <w:szCs w:val="19"/>
          <w:color w:val="auto"/>
        </w:rPr>
        <w:t>Except as expressly provided in this Appendix, the provisions of this Appendix do not supercede any provisions of the Plan, and the provisions of the Plan shall govern all Options granted to Israeli Employees.</w:t>
      </w:r>
    </w:p>
    <w:p>
      <w:pPr>
        <w:sectPr>
          <w:pgSz w:w="11900" w:h="16838" w:orient="portrait"/>
          <w:cols w:equalWidth="0" w:num="1">
            <w:col w:w="9840"/>
          </w:cols>
          <w:pgMar w:left="1440" w:top="1440" w:right="619" w:bottom="1440" w:gutter="0" w:footer="0" w:header="0"/>
        </w:sectPr>
      </w:pPr>
    </w:p>
    <w:bookmarkStart w:id="81" w:name="page82"/>
    <w:bookmarkEnd w:id="81"/>
    <w:p>
      <w:pPr>
        <w:jc w:val="right"/>
        <w:spacing w:after="0"/>
        <w:rPr>
          <w:sz w:val="20"/>
          <w:szCs w:val="20"/>
          <w:color w:val="auto"/>
        </w:rPr>
      </w:pPr>
      <w:r>
        <w:rPr>
          <w:rFonts w:ascii="Arial" w:cs="Arial" w:eastAsia="Arial" w:hAnsi="Arial"/>
          <w:sz w:val="22"/>
          <w:szCs w:val="22"/>
          <w:b w:val="1"/>
          <w:bCs w:val="1"/>
          <w:color w:val="auto"/>
        </w:rPr>
        <w:t>Exhibit 10.2</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AMENDED AND RESTATED 1995 STOCK OPTION PLAN</w:t>
      </w:r>
    </w:p>
    <w:p>
      <w:pPr>
        <w:spacing w:after="0" w:line="1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STOCK UNIT AGREEMENT</w:t>
      </w:r>
    </w:p>
    <w:p>
      <w:pPr>
        <w:spacing w:after="0" w:line="200" w:lineRule="exact"/>
        <w:rPr>
          <w:sz w:val="20"/>
          <w:szCs w:val="20"/>
          <w:color w:val="auto"/>
        </w:rPr>
      </w:pPr>
    </w:p>
    <w:p>
      <w:pPr>
        <w:spacing w:after="0" w:line="242" w:lineRule="exact"/>
        <w:rPr>
          <w:sz w:val="20"/>
          <w:szCs w:val="20"/>
          <w:color w:val="auto"/>
        </w:rPr>
      </w:pPr>
    </w:p>
    <w:p>
      <w:pPr>
        <w:jc w:val="both"/>
        <w:ind w:firstLine="656"/>
        <w:spacing w:after="0" w:line="247" w:lineRule="auto"/>
        <w:tabs>
          <w:tab w:leader="none" w:pos="1296" w:val="left"/>
        </w:tabs>
        <w:numPr>
          <w:ilvl w:val="0"/>
          <w:numId w:val="54"/>
        </w:numPr>
        <w:rPr>
          <w:rFonts w:ascii="Arial" w:cs="Arial" w:eastAsia="Arial" w:hAnsi="Arial"/>
          <w:sz w:val="22"/>
          <w:szCs w:val="22"/>
          <w:color w:val="auto"/>
        </w:rPr>
      </w:pPr>
      <w:r>
        <w:rPr>
          <w:rFonts w:ascii="Arial" w:cs="Arial" w:eastAsia="Arial" w:hAnsi="Arial"/>
          <w:sz w:val="22"/>
          <w:szCs w:val="22"/>
          <w:u w:val="single" w:color="auto"/>
          <w:color w:val="auto"/>
        </w:rPr>
        <w:t>Grant</w:t>
      </w:r>
      <w:r>
        <w:rPr>
          <w:rFonts w:ascii="Arial" w:cs="Arial" w:eastAsia="Arial" w:hAnsi="Arial"/>
          <w:sz w:val="22"/>
          <w:szCs w:val="22"/>
          <w:color w:val="auto"/>
        </w:rPr>
        <w:t>. The Company hereby grants to the participant named in the Notice of Grant (“Participant”) an Award of restricted stock units (“Stock Units”), subject to all of the terms and conditions in this Stock Unit Agreement, including any additional terms and conditions for Participant’s country set forth in the appendix attached hereto (the “Appendix” and, collectively with this Stock Unit Agreement, the “Agreement”) and the Amended and Restated 1995 Stock Option Plan (the “Plan”), which is incorporated herein by reference. Capitalized terms used herein but not defined shall have the same meaning as ascribed in the Plan.</w:t>
      </w:r>
    </w:p>
    <w:p>
      <w:pPr>
        <w:spacing w:after="0" w:line="192" w:lineRule="exact"/>
        <w:rPr>
          <w:rFonts w:ascii="Arial" w:cs="Arial" w:eastAsia="Arial" w:hAnsi="Arial"/>
          <w:sz w:val="22"/>
          <w:szCs w:val="22"/>
          <w:color w:val="auto"/>
        </w:rPr>
      </w:pPr>
    </w:p>
    <w:p>
      <w:pPr>
        <w:jc w:val="both"/>
        <w:ind w:firstLine="656"/>
        <w:spacing w:after="0" w:line="287" w:lineRule="auto"/>
        <w:tabs>
          <w:tab w:leader="none" w:pos="1296" w:val="left"/>
        </w:tabs>
        <w:numPr>
          <w:ilvl w:val="0"/>
          <w:numId w:val="54"/>
        </w:numPr>
        <w:rPr>
          <w:rFonts w:ascii="Arial" w:cs="Arial" w:eastAsia="Arial" w:hAnsi="Arial"/>
          <w:sz w:val="19"/>
          <w:szCs w:val="19"/>
          <w:color w:val="auto"/>
        </w:rPr>
      </w:pPr>
      <w:r>
        <w:rPr>
          <w:rFonts w:ascii="Arial" w:cs="Arial" w:eastAsia="Arial" w:hAnsi="Arial"/>
          <w:sz w:val="19"/>
          <w:szCs w:val="19"/>
          <w:u w:val="single" w:color="auto"/>
          <w:color w:val="auto"/>
        </w:rPr>
        <w:t>Company’s Obligation to Pay</w:t>
      </w:r>
      <w:r>
        <w:rPr>
          <w:rFonts w:ascii="Arial" w:cs="Arial" w:eastAsia="Arial" w:hAnsi="Arial"/>
          <w:sz w:val="19"/>
          <w:szCs w:val="19"/>
          <w:color w:val="auto"/>
        </w:rPr>
        <w:t>. Each Stock Unit represents the right to receive a Share on the date it vests. It is a bookkeeping entry that represents only the Company’s unfunded and unsecured promise to issue Shares (or distribute cash) on a future date. As a holder of Stock Units, Participant has no rights other than the rights of a general creditor of the Company. Unless and until the Stock Units will have vested in the manner set forth in Section 3, Participant will have no right to payment under any such Stock Units. Prior to actual payment under any vested Stock Units, such Stock Units will represent an unsecured obligation of the Company, payable (if at all) only from the general assets of the Company. Any Stock Units that vest in accordance with Section 3 or 4 will be settled to Participant (or in the event of Participant’s death, to his or her estate or legal representative) in whole Shares, subject to any withholding obligations with respect to Tax-Related Items as defined and set forth in Section 7. Subject to the provisions of Section 4, such vested Stock Units will be paid in Shares as soon as practicable after vesting, but in each such case within the period ending no later than the date that is two and one half (2½) months from the end of the calendar year that includes the vesting date.</w:t>
      </w:r>
    </w:p>
    <w:p>
      <w:pPr>
        <w:spacing w:after="0" w:line="163" w:lineRule="exact"/>
        <w:rPr>
          <w:rFonts w:ascii="Arial" w:cs="Arial" w:eastAsia="Arial" w:hAnsi="Arial"/>
          <w:sz w:val="19"/>
          <w:szCs w:val="19"/>
          <w:color w:val="auto"/>
        </w:rPr>
      </w:pPr>
    </w:p>
    <w:p>
      <w:pPr>
        <w:jc w:val="both"/>
        <w:ind w:firstLine="656"/>
        <w:spacing w:after="0" w:line="259" w:lineRule="auto"/>
        <w:tabs>
          <w:tab w:leader="none" w:pos="1296" w:val="left"/>
        </w:tabs>
        <w:numPr>
          <w:ilvl w:val="0"/>
          <w:numId w:val="54"/>
        </w:numPr>
        <w:rPr>
          <w:rFonts w:ascii="Arial" w:cs="Arial" w:eastAsia="Arial" w:hAnsi="Arial"/>
          <w:sz w:val="21"/>
          <w:szCs w:val="21"/>
          <w:color w:val="auto"/>
        </w:rPr>
      </w:pPr>
      <w:r>
        <w:rPr>
          <w:rFonts w:ascii="Arial" w:cs="Arial" w:eastAsia="Arial" w:hAnsi="Arial"/>
          <w:sz w:val="21"/>
          <w:szCs w:val="21"/>
          <w:u w:val="single" w:color="auto"/>
          <w:color w:val="auto"/>
        </w:rPr>
        <w:t>Vesting Schedule</w:t>
      </w:r>
      <w:r>
        <w:rPr>
          <w:rFonts w:ascii="Arial" w:cs="Arial" w:eastAsia="Arial" w:hAnsi="Arial"/>
          <w:sz w:val="21"/>
          <w:szCs w:val="21"/>
          <w:color w:val="auto"/>
        </w:rPr>
        <w:t>. Except as provided in Section 4, and subject to Section 5, the Stock Units awarded by this Agreement will vest in accordance with the vesting provisions set forth in the Notice of Grant. Stock Units scheduled to vest on a certain date or upon the occurrence of a certain condition will not vest in Participant, unless Participant has provided Continuous Service from the date of grant until the date such vesting occurs in accordance with the provisions of this Agreement. If Participant goes on an approved leave of absence, then, subject to applicable law,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w:t>
      </w:r>
    </w:p>
    <w:p>
      <w:pPr>
        <w:spacing w:after="0" w:line="183" w:lineRule="exact"/>
        <w:rPr>
          <w:rFonts w:ascii="Arial" w:cs="Arial" w:eastAsia="Arial" w:hAnsi="Arial"/>
          <w:sz w:val="21"/>
          <w:szCs w:val="21"/>
          <w:color w:val="auto"/>
        </w:rPr>
      </w:pPr>
    </w:p>
    <w:p>
      <w:pPr>
        <w:jc w:val="both"/>
        <w:ind w:firstLine="656"/>
        <w:spacing w:after="0" w:line="253" w:lineRule="auto"/>
        <w:tabs>
          <w:tab w:leader="none" w:pos="1296" w:val="left"/>
        </w:tabs>
        <w:numPr>
          <w:ilvl w:val="0"/>
          <w:numId w:val="54"/>
        </w:numPr>
        <w:rPr>
          <w:rFonts w:ascii="Arial" w:cs="Arial" w:eastAsia="Arial" w:hAnsi="Arial"/>
          <w:sz w:val="22"/>
          <w:szCs w:val="22"/>
          <w:color w:val="auto"/>
        </w:rPr>
      </w:pPr>
      <w:r>
        <w:rPr>
          <w:rFonts w:ascii="Arial" w:cs="Arial" w:eastAsia="Arial" w:hAnsi="Arial"/>
          <w:sz w:val="22"/>
          <w:szCs w:val="22"/>
          <w:u w:val="single" w:color="auto"/>
          <w:color w:val="auto"/>
        </w:rPr>
        <w:t>Administrator Discretion</w:t>
      </w:r>
      <w:r>
        <w:rPr>
          <w:rFonts w:ascii="Arial" w:cs="Arial" w:eastAsia="Arial" w:hAnsi="Arial"/>
          <w:sz w:val="22"/>
          <w:szCs w:val="22"/>
          <w:color w:val="auto"/>
        </w:rPr>
        <w:t>. The Administrator, in its discretion, may accelerate the vesting of the unvested Stock Units, or some lesser portion thereof, at any time, subject to the terms of the Plan. If so accelerated, such Stock Units will be considered as having vested as of the date specified by the Administrator.</w:t>
      </w:r>
    </w:p>
    <w:p>
      <w:pPr>
        <w:sectPr>
          <w:pgSz w:w="11900" w:h="16838" w:orient="portrait"/>
          <w:cols w:equalWidth="0" w:num="1">
            <w:col w:w="11240"/>
          </w:cols>
          <w:pgMar w:left="320" w:top="1422" w:right="339" w:bottom="1440" w:gutter="0" w:footer="0" w:header="0"/>
        </w:sectPr>
      </w:pPr>
    </w:p>
    <w:bookmarkStart w:id="82" w:name="page83"/>
    <w:bookmarkEnd w:id="82"/>
    <w:p>
      <w:pPr>
        <w:jc w:val="both"/>
        <w:ind w:firstLine="1296"/>
        <w:spacing w:after="0" w:line="286" w:lineRule="auto"/>
        <w:rPr>
          <w:sz w:val="20"/>
          <w:szCs w:val="20"/>
          <w:color w:val="auto"/>
        </w:rPr>
      </w:pPr>
      <w:r>
        <w:rPr>
          <w:rFonts w:ascii="Arial" w:cs="Arial" w:eastAsia="Arial" w:hAnsi="Arial"/>
          <w:sz w:val="19"/>
          <w:szCs w:val="19"/>
          <w:color w:val="auto"/>
        </w:rPr>
        <w:t>For U.S. tax purposes, notwithstanding anything in the Plan or this Agreement to the contrary, if the vesting of unvested Stock Units, or some lesser portion thereof, is accelerated in connection with Participant’s termination of Continuous Service (provided that such termination is a “separation from service” within the meaning of Section 409A, as determined by the Company), other than due to death, and if (x) Participant is a “specified employee” within the meaning of Section 409A at the time of such termination of Continuous Service and (y) the settlement of such accelerated Stock Units will result in the imposition of additional tax under Section 409A if the underlying Shares are paid to Participant on or within the six (6)-month period following Participant’s termination of Continuous Service, then the settlement of such accelerated Stock Units in Shares will not be made until the date six (6) months and one (1) day following the date of Participant’s termination of Continuous Service, unless Participant dies following his or her termination of Continuous Service, in which case the Stock Units will be settled in Shares to Participant’s estate as soon as practicable following his or her death. It is the intent of this Agreement to comply with the requirements of Section 409A so that none of the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U.S. Treasury Regulations and U.S. Internal Revenue Service guidance thereunder, as each may be amended from time to time.</w:t>
      </w:r>
    </w:p>
    <w:p>
      <w:pPr>
        <w:spacing w:after="0" w:line="162" w:lineRule="exact"/>
        <w:rPr>
          <w:sz w:val="20"/>
          <w:szCs w:val="20"/>
          <w:color w:val="auto"/>
        </w:rPr>
      </w:pPr>
    </w:p>
    <w:p>
      <w:pPr>
        <w:jc w:val="both"/>
        <w:ind w:firstLine="656"/>
        <w:spacing w:after="0" w:line="287" w:lineRule="auto"/>
        <w:tabs>
          <w:tab w:leader="none" w:pos="1296" w:val="left"/>
        </w:tabs>
        <w:numPr>
          <w:ilvl w:val="0"/>
          <w:numId w:val="55"/>
        </w:numPr>
        <w:rPr>
          <w:rFonts w:ascii="Arial" w:cs="Arial" w:eastAsia="Arial" w:hAnsi="Arial"/>
          <w:sz w:val="19"/>
          <w:szCs w:val="19"/>
          <w:color w:val="auto"/>
        </w:rPr>
      </w:pPr>
      <w:r>
        <w:rPr>
          <w:rFonts w:ascii="Arial" w:cs="Arial" w:eastAsia="Arial" w:hAnsi="Arial"/>
          <w:sz w:val="19"/>
          <w:szCs w:val="19"/>
          <w:u w:val="single" w:color="auto"/>
          <w:color w:val="auto"/>
        </w:rPr>
        <w:t>Forfeiture upon Termination of Continuous Service</w:t>
      </w:r>
      <w:r>
        <w:rPr>
          <w:rFonts w:ascii="Arial" w:cs="Arial" w:eastAsia="Arial" w:hAnsi="Arial"/>
          <w:sz w:val="19"/>
          <w:szCs w:val="19"/>
          <w:color w:val="auto"/>
        </w:rPr>
        <w:t>. Notwithstanding any contrary provision of this Agreement, in the event Participant’s Continuous Service is terminated (regardless of the reason of the termination and whether or not such termination is later found invalid or in breach of employment laws in the jurisdiction where Participant is employed or otherwise providing services or the terms of Participant’s employment or other service agreement, if any), any Stock Units that have not vested as of the date of such termination (the “Termination Date,” as further defined below) will immediately terminate and the Shares covered by the outstanding Stock Units shall revert to the Plan. For purposes of this Agreement, the Termination Date will be the date Participant is no longer actively providing services to the Company or any Parent or Subsidiary and will not be extended by any notice period (</w:t>
      </w:r>
      <w:r>
        <w:rPr>
          <w:rFonts w:ascii="Arial" w:cs="Arial" w:eastAsia="Arial" w:hAnsi="Arial"/>
          <w:sz w:val="19"/>
          <w:szCs w:val="19"/>
          <w:i w:val="1"/>
          <w:iCs w:val="1"/>
          <w:color w:val="auto"/>
        </w:rPr>
        <w:t>e.g.</w:t>
      </w:r>
      <w:r>
        <w:rPr>
          <w:rFonts w:ascii="Arial" w:cs="Arial" w:eastAsia="Arial" w:hAnsi="Arial"/>
          <w:sz w:val="19"/>
          <w:szCs w:val="19"/>
          <w:color w:val="auto"/>
        </w:rPr>
        <w:t>, the period of Participant’s Continuous Service would not include any contractual notice period or any period of “garden leave” or similar period mandated under local law or Participant’s employment or other service agreement, if any). The Administrator shall have the sole discretion to determine when the Termination Date occurs for purposes of the Stock Units (including whether Participant may still be considered to be providing services while on a leave of absence).</w:t>
      </w:r>
    </w:p>
    <w:p>
      <w:pPr>
        <w:spacing w:after="0" w:line="163" w:lineRule="exact"/>
        <w:rPr>
          <w:rFonts w:ascii="Arial" w:cs="Arial" w:eastAsia="Arial" w:hAnsi="Arial"/>
          <w:sz w:val="19"/>
          <w:szCs w:val="19"/>
          <w:color w:val="auto"/>
        </w:rPr>
      </w:pPr>
    </w:p>
    <w:p>
      <w:pPr>
        <w:jc w:val="both"/>
        <w:ind w:firstLine="656"/>
        <w:spacing w:after="0" w:line="247" w:lineRule="auto"/>
        <w:tabs>
          <w:tab w:leader="none" w:pos="1296" w:val="left"/>
        </w:tabs>
        <w:numPr>
          <w:ilvl w:val="0"/>
          <w:numId w:val="55"/>
        </w:numPr>
        <w:rPr>
          <w:rFonts w:ascii="Arial" w:cs="Arial" w:eastAsia="Arial" w:hAnsi="Arial"/>
          <w:sz w:val="22"/>
          <w:szCs w:val="22"/>
          <w:color w:val="auto"/>
        </w:rPr>
      </w:pPr>
      <w:r>
        <w:rPr>
          <w:rFonts w:ascii="Arial" w:cs="Arial" w:eastAsia="Arial" w:hAnsi="Arial"/>
          <w:sz w:val="22"/>
          <w:szCs w:val="22"/>
          <w:u w:val="single" w:color="auto"/>
          <w:color w:val="auto"/>
        </w:rPr>
        <w:t>Death of Participant</w:t>
      </w:r>
      <w:r>
        <w:rPr>
          <w:rFonts w:ascii="Arial" w:cs="Arial" w:eastAsia="Arial" w:hAnsi="Arial"/>
          <w:sz w:val="22"/>
          <w:szCs w:val="22"/>
          <w:color w:val="auto"/>
        </w:rPr>
        <w:t>. Any distribution or delivery to be made to Participant under this Agreement will, if Participant is then deceased, be made to Participant’s designated beneficiary, or if no beneficiary survives Participant or if a beneficiary designation is not valid (for employees outside the United States), the administrator, executor or legal representative of Participant’s estate. Any such transferee must furnish the Company with (a) a written notice of his or her status as transferee, and (b) evidence satisfactory to the Company to establish the validity of the transfer and compliance with any U.S. and non-U.S. laws or regulations pertaining to said transfer.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220"/>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240"/>
          </w:cols>
          <w:pgMar w:left="320" w:top="1428" w:right="339" w:bottom="1440" w:gutter="0" w:footer="0" w:header="0"/>
        </w:sectPr>
      </w:pPr>
    </w:p>
    <w:bookmarkStart w:id="83" w:name="page84"/>
    <w:bookmarkEnd w:id="83"/>
    <w:p>
      <w:pPr>
        <w:jc w:val="both"/>
        <w:ind w:firstLine="656"/>
        <w:spacing w:after="0" w:line="286" w:lineRule="auto"/>
        <w:tabs>
          <w:tab w:leader="none" w:pos="1296" w:val="left"/>
        </w:tabs>
        <w:numPr>
          <w:ilvl w:val="0"/>
          <w:numId w:val="56"/>
        </w:numPr>
        <w:rPr>
          <w:rFonts w:ascii="Arial" w:cs="Arial" w:eastAsia="Arial" w:hAnsi="Arial"/>
          <w:sz w:val="19"/>
          <w:szCs w:val="19"/>
          <w:color w:val="auto"/>
        </w:rPr>
      </w:pPr>
      <w:r>
        <w:rPr>
          <w:rFonts w:ascii="Arial" w:cs="Arial" w:eastAsia="Arial" w:hAnsi="Arial"/>
          <w:sz w:val="19"/>
          <w:szCs w:val="19"/>
          <w:u w:val="single" w:color="auto"/>
          <w:color w:val="auto"/>
        </w:rPr>
        <w:t>Responsibility for Taxes</w:t>
      </w:r>
      <w:r>
        <w:rPr>
          <w:rFonts w:ascii="Arial" w:cs="Arial" w:eastAsia="Arial" w:hAnsi="Arial"/>
          <w:sz w:val="19"/>
          <w:szCs w:val="19"/>
          <w:color w:val="auto"/>
        </w:rPr>
        <w:t>. Participant acknowledges that, regardless of any action taken by the Company or, if different, the Parent or Subsidiary that employs Participant or to which Participant otherwise renders services (the “Employer”), the ultimate liability for all income tax, social insurance, payroll tax, fringe benefits tax, payment on account or other tax-related items related to Participant’s participation in the Plan and legally applicable to Participant (“Tax-Related Items”) is and remains Participant’s responsibility and may exceed the amount, if any, actually withheld by the Company or the Employer. Participant further acknowledges that the Company and/or the Employer (i) make no representations or undertakings regarding the treatment of any Tax-Related Items in connection with any aspect of the Stock Units, including, but not limited to, the grant, vesting or settlement of the Stock Units, the issuance of Shares upon settlement of the Stock Units, the subsequent sale of Shares acquired pursuant to such issuance and the receipt of any dividends or dividend equivalents; and (ii) do not commit to and are under no obligation to structure the terms of the grant or any aspect of the Stock Units to reduce or eliminate Participant’s liability for Tax-Related Items or achieve any particular tax result. Further, Participant acknowledges that if Participant is subject to Tax-Related Items in more than one jurisdiction, the Company and/or the Employer (or former employer, as applicable) may be required to withhold or account for Tax-Related Items in more than one jurisdiction.</w:t>
      </w:r>
    </w:p>
    <w:p>
      <w:pPr>
        <w:spacing w:after="0" w:line="166" w:lineRule="exact"/>
        <w:rPr>
          <w:sz w:val="20"/>
          <w:szCs w:val="20"/>
          <w:color w:val="auto"/>
        </w:rPr>
      </w:pPr>
    </w:p>
    <w:p>
      <w:pPr>
        <w:jc w:val="both"/>
        <w:ind w:firstLine="1296"/>
        <w:spacing w:after="0" w:line="265" w:lineRule="auto"/>
        <w:rPr>
          <w:sz w:val="20"/>
          <w:szCs w:val="20"/>
          <w:color w:val="auto"/>
        </w:rPr>
      </w:pPr>
      <w:r>
        <w:rPr>
          <w:rFonts w:ascii="Arial" w:cs="Arial" w:eastAsia="Arial" w:hAnsi="Arial"/>
          <w:sz w:val="21"/>
          <w:szCs w:val="21"/>
          <w:color w:val="auto"/>
        </w:rPr>
        <w:t>Prior to any relevant taxable or tax withholding event, as applicable, Participant will make adequate arrangements satisfactory to the Company and/or the Employer to satisfy all Tax-Related Items. In this regard, Participant authorizes the Company and/or the Employer, or their respective agents, at their discretion, to satisfy their withholding obligations, if any, with regard to all applicable Tax-Related Items by one or a combination of the following:</w:t>
      </w:r>
    </w:p>
    <w:p>
      <w:pPr>
        <w:spacing w:after="0" w:line="175" w:lineRule="exact"/>
        <w:rPr>
          <w:sz w:val="20"/>
          <w:szCs w:val="20"/>
          <w:color w:val="auto"/>
        </w:rPr>
      </w:pPr>
    </w:p>
    <w:p>
      <w:pPr>
        <w:ind w:left="1960" w:hanging="656"/>
        <w:spacing w:after="0" w:line="263" w:lineRule="auto"/>
        <w:tabs>
          <w:tab w:leader="none" w:pos="1958" w:val="left"/>
        </w:tabs>
        <w:numPr>
          <w:ilvl w:val="0"/>
          <w:numId w:val="57"/>
        </w:numPr>
        <w:rPr>
          <w:rFonts w:ascii="Arial" w:cs="Arial" w:eastAsia="Arial" w:hAnsi="Arial"/>
          <w:sz w:val="20"/>
          <w:szCs w:val="20"/>
          <w:color w:val="auto"/>
        </w:rPr>
      </w:pPr>
      <w:r>
        <w:rPr>
          <w:rFonts w:ascii="Arial" w:cs="Arial" w:eastAsia="Arial" w:hAnsi="Arial"/>
          <w:sz w:val="22"/>
          <w:szCs w:val="22"/>
          <w:color w:val="auto"/>
        </w:rPr>
        <w:t>withholding from Participant’s wages or other cash compensation payable to Participant by the Company, the Employer and/or any other Parent or Subsidiary;</w:t>
      </w:r>
    </w:p>
    <w:p>
      <w:pPr>
        <w:spacing w:after="0" w:line="174" w:lineRule="exact"/>
        <w:rPr>
          <w:rFonts w:ascii="Arial" w:cs="Arial" w:eastAsia="Arial" w:hAnsi="Arial"/>
          <w:sz w:val="20"/>
          <w:szCs w:val="20"/>
          <w:color w:val="auto"/>
        </w:rPr>
      </w:pPr>
    </w:p>
    <w:p>
      <w:pPr>
        <w:ind w:left="1960" w:hanging="656"/>
        <w:spacing w:after="0"/>
        <w:tabs>
          <w:tab w:leader="none" w:pos="1960" w:val="left"/>
        </w:tabs>
        <w:numPr>
          <w:ilvl w:val="0"/>
          <w:numId w:val="57"/>
        </w:numPr>
        <w:rPr>
          <w:rFonts w:ascii="Arial" w:cs="Arial" w:eastAsia="Arial" w:hAnsi="Arial"/>
          <w:sz w:val="20"/>
          <w:szCs w:val="20"/>
          <w:color w:val="auto"/>
        </w:rPr>
      </w:pPr>
      <w:r>
        <w:rPr>
          <w:rFonts w:ascii="Arial" w:cs="Arial" w:eastAsia="Arial" w:hAnsi="Arial"/>
          <w:sz w:val="22"/>
          <w:szCs w:val="22"/>
          <w:color w:val="auto"/>
        </w:rPr>
        <w:t>accepting a payment from Participant in the form of cash, check or wire transfer;</w:t>
      </w:r>
    </w:p>
    <w:p>
      <w:pPr>
        <w:spacing w:after="0" w:line="219" w:lineRule="exact"/>
        <w:rPr>
          <w:rFonts w:ascii="Arial" w:cs="Arial" w:eastAsia="Arial" w:hAnsi="Arial"/>
          <w:sz w:val="20"/>
          <w:szCs w:val="20"/>
          <w:color w:val="auto"/>
        </w:rPr>
      </w:pPr>
    </w:p>
    <w:p>
      <w:pPr>
        <w:jc w:val="both"/>
        <w:ind w:left="1960" w:hanging="656"/>
        <w:spacing w:after="0" w:line="253" w:lineRule="auto"/>
        <w:tabs>
          <w:tab w:leader="none" w:pos="1960" w:val="left"/>
        </w:tabs>
        <w:numPr>
          <w:ilvl w:val="0"/>
          <w:numId w:val="57"/>
        </w:numPr>
        <w:rPr>
          <w:rFonts w:ascii="Arial" w:cs="Arial" w:eastAsia="Arial" w:hAnsi="Arial"/>
          <w:sz w:val="20"/>
          <w:szCs w:val="20"/>
          <w:color w:val="auto"/>
        </w:rPr>
      </w:pPr>
      <w:r>
        <w:rPr>
          <w:rFonts w:ascii="Arial" w:cs="Arial" w:eastAsia="Arial" w:hAnsi="Arial"/>
          <w:sz w:val="22"/>
          <w:szCs w:val="22"/>
          <w:color w:val="auto"/>
        </w:rPr>
        <w:t>withholding from proceeds of the sale of Shares acquired upon vesting/settlement of the Stock Units either through a voluntary sale or through a mandatory sale arranged by the Company (on Participant’s behalf pursuant to this authorization without further consent);</w:t>
      </w:r>
    </w:p>
    <w:p>
      <w:pPr>
        <w:spacing w:after="0" w:line="185" w:lineRule="exact"/>
        <w:rPr>
          <w:rFonts w:ascii="Arial" w:cs="Arial" w:eastAsia="Arial" w:hAnsi="Arial"/>
          <w:sz w:val="20"/>
          <w:szCs w:val="20"/>
          <w:color w:val="auto"/>
        </w:rPr>
      </w:pPr>
    </w:p>
    <w:p>
      <w:pPr>
        <w:jc w:val="both"/>
        <w:ind w:left="1960" w:hanging="656"/>
        <w:spacing w:after="0" w:line="246" w:lineRule="auto"/>
        <w:tabs>
          <w:tab w:leader="none" w:pos="1949" w:val="left"/>
        </w:tabs>
        <w:numPr>
          <w:ilvl w:val="0"/>
          <w:numId w:val="57"/>
        </w:numPr>
        <w:rPr>
          <w:rFonts w:ascii="Arial" w:cs="Arial" w:eastAsia="Arial" w:hAnsi="Arial"/>
          <w:sz w:val="20"/>
          <w:szCs w:val="20"/>
          <w:color w:val="auto"/>
        </w:rPr>
      </w:pPr>
      <w:r>
        <w:rPr>
          <w:rFonts w:ascii="Arial" w:cs="Arial" w:eastAsia="Arial" w:hAnsi="Arial"/>
          <w:sz w:val="22"/>
          <w:szCs w:val="22"/>
          <w:color w:val="auto"/>
        </w:rPr>
        <w:t>withholding Shares to be issued upon vesting/settlement of the Stock Units, provided, however, that if Participant is a Section 16 officer of the Company under the Exchange Act, then Participant may elect the form of withholding from the alternatives above in advance of any taxable or tax withholding event, as applicable, and in the absence of Participant's timely election, the Company will withhold Shares upon the relevant taxable or tax withholding event or the Committee (as constituted in accordance with Rule 16b-3 under the Exchange Act) may determine that a particular method be used to satisfy any obligations for Tax Related Items; 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ind w:left="220"/>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240"/>
          </w:cols>
          <w:pgMar w:left="320" w:top="1428" w:right="339" w:bottom="1440" w:gutter="0" w:footer="0" w:header="0"/>
        </w:sectPr>
      </w:pPr>
    </w:p>
    <w:bookmarkStart w:id="84" w:name="page85"/>
    <w:bookmarkEnd w:id="84"/>
    <w:p>
      <w:pPr>
        <w:ind w:left="1960" w:hanging="656"/>
        <w:spacing w:after="0" w:line="263" w:lineRule="auto"/>
        <w:tabs>
          <w:tab w:leader="none" w:pos="1948" w:val="left"/>
        </w:tabs>
        <w:numPr>
          <w:ilvl w:val="0"/>
          <w:numId w:val="58"/>
        </w:numPr>
        <w:rPr>
          <w:rFonts w:ascii="Arial" w:cs="Arial" w:eastAsia="Arial" w:hAnsi="Arial"/>
          <w:sz w:val="20"/>
          <w:szCs w:val="20"/>
          <w:color w:val="auto"/>
        </w:rPr>
      </w:pPr>
      <w:r>
        <w:rPr>
          <w:rFonts w:ascii="Arial" w:cs="Arial" w:eastAsia="Arial" w:hAnsi="Arial"/>
          <w:sz w:val="22"/>
          <w:szCs w:val="22"/>
          <w:color w:val="auto"/>
        </w:rPr>
        <w:t>any other method of withholding determined by the Company and, to the extent required by applicable law or the Plan, approved by the Committee.</w:t>
      </w:r>
    </w:p>
    <w:p>
      <w:pPr>
        <w:spacing w:after="0" w:line="175" w:lineRule="exact"/>
        <w:rPr>
          <w:sz w:val="20"/>
          <w:szCs w:val="20"/>
          <w:color w:val="auto"/>
        </w:rPr>
      </w:pPr>
    </w:p>
    <w:p>
      <w:pPr>
        <w:jc w:val="both"/>
        <w:ind w:firstLine="1296"/>
        <w:spacing w:after="0" w:line="292" w:lineRule="auto"/>
        <w:rPr>
          <w:sz w:val="20"/>
          <w:szCs w:val="20"/>
          <w:color w:val="auto"/>
        </w:rPr>
      </w:pPr>
      <w:r>
        <w:rPr>
          <w:rFonts w:ascii="Arial" w:cs="Arial" w:eastAsia="Arial" w:hAnsi="Arial"/>
          <w:sz w:val="19"/>
          <w:szCs w:val="19"/>
          <w:color w:val="auto"/>
        </w:rPr>
        <w:t>The Company may withhold or account for Tax-Related Items by considering minimum statutory withholding rates or other applicable withholding rates, including maximum rates applicable in Participant’s jurisdiction(s), in which case Participant may receive a refund of any over-withheld amount in cash and will have no entitlement to the equivalent in Shares. If Participant does not receive a refund of any over-withheld amount from the Company or the Employer, Participant may seek a refund from the applicable tax authorities. If the obligation for Tax-Related Items is satisfied by withholding Shares, for tax purposes, Participant is deemed to have been issued the full number of Shares subject to the vested Stock Units, notwithstanding that a number of the Shares is held back solely for the purpose of paying the Tax-Related Items.</w:t>
      </w:r>
    </w:p>
    <w:p>
      <w:pPr>
        <w:spacing w:after="0" w:line="151" w:lineRule="exact"/>
        <w:rPr>
          <w:sz w:val="20"/>
          <w:szCs w:val="20"/>
          <w:color w:val="auto"/>
        </w:rPr>
      </w:pPr>
    </w:p>
    <w:p>
      <w:pPr>
        <w:jc w:val="both"/>
        <w:ind w:firstLine="1296"/>
        <w:spacing w:after="0" w:line="253" w:lineRule="auto"/>
        <w:rPr>
          <w:sz w:val="20"/>
          <w:szCs w:val="20"/>
          <w:color w:val="auto"/>
        </w:rPr>
      </w:pPr>
      <w:r>
        <w:rPr>
          <w:rFonts w:ascii="Arial" w:cs="Arial" w:eastAsia="Arial" w:hAnsi="Arial"/>
          <w:sz w:val="22"/>
          <w:szCs w:val="22"/>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185" w:lineRule="exact"/>
        <w:rPr>
          <w:sz w:val="20"/>
          <w:szCs w:val="20"/>
          <w:color w:val="auto"/>
        </w:rPr>
      </w:pPr>
    </w:p>
    <w:p>
      <w:pPr>
        <w:jc w:val="both"/>
        <w:ind w:firstLine="1296"/>
        <w:spacing w:after="0" w:line="253" w:lineRule="auto"/>
        <w:rPr>
          <w:sz w:val="20"/>
          <w:szCs w:val="20"/>
          <w:color w:val="auto"/>
        </w:rPr>
      </w:pPr>
      <w:r>
        <w:rPr>
          <w:rFonts w:ascii="Arial" w:cs="Arial" w:eastAsia="Arial" w:hAnsi="Arial"/>
          <w:sz w:val="22"/>
          <w:szCs w:val="22"/>
          <w:color w:val="auto"/>
        </w:rPr>
        <w:t>If Participant fails to make satisfactory arrangements to satisfy applicable withholding obligations for Tax-Related Items hereunder, Participant will permanently forfeit such Stock Units and any right to receive Shares thereunder and the Stock Units will be returned to the Company at no cost to the Company.</w:t>
      </w:r>
    </w:p>
    <w:p>
      <w:pPr>
        <w:spacing w:after="0" w:line="185" w:lineRule="exact"/>
        <w:rPr>
          <w:sz w:val="20"/>
          <w:szCs w:val="20"/>
          <w:color w:val="auto"/>
        </w:rPr>
      </w:pPr>
    </w:p>
    <w:p>
      <w:pPr>
        <w:jc w:val="both"/>
        <w:ind w:firstLine="656"/>
        <w:spacing w:after="0" w:line="247" w:lineRule="auto"/>
        <w:tabs>
          <w:tab w:leader="none" w:pos="1296" w:val="left"/>
        </w:tabs>
        <w:numPr>
          <w:ilvl w:val="0"/>
          <w:numId w:val="59"/>
        </w:numPr>
        <w:rPr>
          <w:rFonts w:ascii="Arial" w:cs="Arial" w:eastAsia="Arial" w:hAnsi="Arial"/>
          <w:sz w:val="22"/>
          <w:szCs w:val="22"/>
          <w:color w:val="auto"/>
        </w:rPr>
      </w:pPr>
      <w:r>
        <w:rPr>
          <w:rFonts w:ascii="Arial" w:cs="Arial" w:eastAsia="Arial" w:hAnsi="Arial"/>
          <w:sz w:val="22"/>
          <w:szCs w:val="22"/>
          <w:u w:val="single" w:color="auto"/>
          <w:color w:val="auto"/>
        </w:rPr>
        <w:t>Rights as Shareholder</w:t>
      </w:r>
      <w:r>
        <w:rPr>
          <w:rFonts w:ascii="Arial" w:cs="Arial" w:eastAsia="Arial" w:hAnsi="Arial"/>
          <w:sz w:val="22"/>
          <w:szCs w:val="22"/>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(including by way of book entry). After such issuance, recordation and delivery, Participant will have all the rights of a shareholder of the Company with respect to voting such Shares and receipt of dividends and distributions on such Shares.</w:t>
      </w:r>
    </w:p>
    <w:p>
      <w:pPr>
        <w:spacing w:after="0" w:line="192" w:lineRule="exact"/>
        <w:rPr>
          <w:rFonts w:ascii="Arial" w:cs="Arial" w:eastAsia="Arial" w:hAnsi="Arial"/>
          <w:sz w:val="22"/>
          <w:szCs w:val="22"/>
          <w:color w:val="auto"/>
        </w:rPr>
      </w:pPr>
    </w:p>
    <w:p>
      <w:pPr>
        <w:ind w:left="1300" w:hanging="644"/>
        <w:spacing w:after="0"/>
        <w:tabs>
          <w:tab w:leader="none" w:pos="1300" w:val="left"/>
        </w:tabs>
        <w:numPr>
          <w:ilvl w:val="0"/>
          <w:numId w:val="59"/>
        </w:numPr>
        <w:rPr>
          <w:rFonts w:ascii="Arial" w:cs="Arial" w:eastAsia="Arial" w:hAnsi="Arial"/>
          <w:sz w:val="21"/>
          <w:szCs w:val="21"/>
          <w:color w:val="auto"/>
        </w:rPr>
      </w:pPr>
      <w:r>
        <w:rPr>
          <w:rFonts w:ascii="Arial" w:cs="Arial" w:eastAsia="Arial" w:hAnsi="Arial"/>
          <w:sz w:val="21"/>
          <w:szCs w:val="21"/>
          <w:u w:val="single" w:color="auto"/>
          <w:color w:val="auto"/>
        </w:rPr>
        <w:t>Nature of Grant</w:t>
      </w:r>
      <w:r>
        <w:rPr>
          <w:rFonts w:ascii="Arial" w:cs="Arial" w:eastAsia="Arial" w:hAnsi="Arial"/>
          <w:sz w:val="21"/>
          <w:szCs w:val="21"/>
          <w:color w:val="auto"/>
        </w:rPr>
        <w:t>. In accepting the Stock Units, Participant understands, acknowledges and agrees that:</w:t>
      </w:r>
    </w:p>
    <w:p>
      <w:pPr>
        <w:spacing w:after="0" w:line="231" w:lineRule="exact"/>
        <w:rPr>
          <w:rFonts w:ascii="Arial" w:cs="Arial" w:eastAsia="Arial" w:hAnsi="Arial"/>
          <w:sz w:val="21"/>
          <w:szCs w:val="21"/>
          <w:color w:val="auto"/>
        </w:rPr>
      </w:pPr>
    </w:p>
    <w:p>
      <w:pPr>
        <w:ind w:firstLine="1628"/>
        <w:spacing w:after="0" w:line="263" w:lineRule="auto"/>
        <w:tabs>
          <w:tab w:leader="none" w:pos="2119" w:val="left"/>
        </w:tabs>
        <w:numPr>
          <w:ilvl w:val="1"/>
          <w:numId w:val="59"/>
        </w:numPr>
        <w:rPr>
          <w:rFonts w:ascii="Arial" w:cs="Arial" w:eastAsia="Arial" w:hAnsi="Arial"/>
          <w:sz w:val="22"/>
          <w:szCs w:val="22"/>
          <w:color w:val="auto"/>
        </w:rPr>
      </w:pPr>
      <w:r>
        <w:rPr>
          <w:rFonts w:ascii="Arial" w:cs="Arial" w:eastAsia="Arial" w:hAnsi="Arial"/>
          <w:sz w:val="22"/>
          <w:szCs w:val="22"/>
          <w:color w:val="auto"/>
        </w:rPr>
        <w:t>the Plan is established voluntarily by the Company, it is discretionary in nature and it may be modified, amended, suspended or terminated by the Company at any time, to the extent permitted by the Plan;</w:t>
      </w:r>
    </w:p>
    <w:p>
      <w:pPr>
        <w:spacing w:after="0" w:line="174" w:lineRule="exact"/>
        <w:rPr>
          <w:rFonts w:ascii="Arial" w:cs="Arial" w:eastAsia="Arial" w:hAnsi="Arial"/>
          <w:sz w:val="22"/>
          <w:szCs w:val="22"/>
          <w:color w:val="auto"/>
        </w:rPr>
      </w:pPr>
    </w:p>
    <w:p>
      <w:pPr>
        <w:jc w:val="both"/>
        <w:ind w:firstLine="1628"/>
        <w:spacing w:after="0" w:line="253" w:lineRule="auto"/>
        <w:tabs>
          <w:tab w:leader="none" w:pos="2118" w:val="left"/>
        </w:tabs>
        <w:numPr>
          <w:ilvl w:val="1"/>
          <w:numId w:val="59"/>
        </w:numPr>
        <w:rPr>
          <w:rFonts w:ascii="Arial" w:cs="Arial" w:eastAsia="Arial" w:hAnsi="Arial"/>
          <w:sz w:val="22"/>
          <w:szCs w:val="22"/>
          <w:color w:val="auto"/>
        </w:rPr>
      </w:pPr>
      <w:r>
        <w:rPr>
          <w:rFonts w:ascii="Arial" w:cs="Arial" w:eastAsia="Arial" w:hAnsi="Arial"/>
          <w:sz w:val="22"/>
          <w:szCs w:val="22"/>
          <w:color w:val="auto"/>
        </w:rPr>
        <w:t>the grant of the Stock Units is exceptional, voluntary and occasional and does not create any contractual or other right to receive future grants of restricted stock units, or benefits in lieu of restricted stock units, even if restricted stock units have been granted in the past;</w:t>
      </w:r>
    </w:p>
    <w:p>
      <w:pPr>
        <w:spacing w:after="0" w:line="185" w:lineRule="exact"/>
        <w:rPr>
          <w:rFonts w:ascii="Arial" w:cs="Arial" w:eastAsia="Arial" w:hAnsi="Arial"/>
          <w:sz w:val="22"/>
          <w:szCs w:val="22"/>
          <w:color w:val="auto"/>
        </w:rPr>
      </w:pPr>
    </w:p>
    <w:p>
      <w:pPr>
        <w:ind w:left="2120" w:hanging="492"/>
        <w:spacing w:after="0"/>
        <w:tabs>
          <w:tab w:leader="none" w:pos="2120" w:val="left"/>
        </w:tabs>
        <w:numPr>
          <w:ilvl w:val="1"/>
          <w:numId w:val="59"/>
        </w:numPr>
        <w:rPr>
          <w:rFonts w:ascii="Arial" w:cs="Arial" w:eastAsia="Arial" w:hAnsi="Arial"/>
          <w:sz w:val="19"/>
          <w:szCs w:val="19"/>
          <w:color w:val="auto"/>
        </w:rPr>
      </w:pPr>
      <w:r>
        <w:rPr>
          <w:rFonts w:ascii="Arial" w:cs="Arial" w:eastAsia="Arial" w:hAnsi="Arial"/>
          <w:sz w:val="19"/>
          <w:szCs w:val="19"/>
          <w:color w:val="auto"/>
        </w:rPr>
        <w:t>all decisions with respect to future restricted stock unit grants, if any, will be at the sole discretion of the</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20"/>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240"/>
          </w:cols>
          <w:pgMar w:left="320" w:top="1428" w:right="339" w:bottom="1440" w:gutter="0" w:footer="0" w:header="0"/>
        </w:sectPr>
      </w:pPr>
    </w:p>
    <w:bookmarkStart w:id="85" w:name="page86"/>
    <w:bookmarkEnd w:id="85"/>
    <w:p>
      <w:pPr>
        <w:jc w:val="both"/>
        <w:ind w:firstLine="1628"/>
        <w:spacing w:after="0" w:line="250" w:lineRule="auto"/>
        <w:tabs>
          <w:tab w:leader="none" w:pos="2088" w:val="left"/>
        </w:tabs>
        <w:numPr>
          <w:ilvl w:val="1"/>
          <w:numId w:val="60"/>
        </w:numPr>
        <w:rPr>
          <w:rFonts w:ascii="Arial" w:cs="Arial" w:eastAsia="Arial" w:hAnsi="Arial"/>
          <w:sz w:val="22"/>
          <w:szCs w:val="22"/>
          <w:color w:val="auto"/>
        </w:rPr>
      </w:pPr>
      <w:r>
        <w:rPr>
          <w:rFonts w:ascii="Arial" w:cs="Arial" w:eastAsia="Arial" w:hAnsi="Arial"/>
          <w:sz w:val="22"/>
          <w:szCs w:val="22"/>
          <w:color w:val="auto"/>
        </w:rPr>
        <w:t>the grant of the Stock Units and Participant’s participation in the Plan do not create a right to employment and shall not be interpreted as forming or amending an employment or services contract with the Company, the Employer or any other Parent or Subsidiary and shall not interfere with the ability of the Employer to terminate Participant’s employment or other service relationship (if any);</w:t>
      </w:r>
    </w:p>
    <w:p>
      <w:pPr>
        <w:spacing w:after="0" w:line="187" w:lineRule="exact"/>
        <w:rPr>
          <w:rFonts w:ascii="Arial" w:cs="Arial" w:eastAsia="Arial" w:hAnsi="Arial"/>
          <w:sz w:val="22"/>
          <w:szCs w:val="22"/>
          <w:color w:val="auto"/>
        </w:rPr>
      </w:pPr>
    </w:p>
    <w:p>
      <w:pPr>
        <w:ind w:left="2080" w:hanging="452"/>
        <w:spacing w:after="0"/>
        <w:tabs>
          <w:tab w:leader="none" w:pos="2080" w:val="left"/>
        </w:tabs>
        <w:numPr>
          <w:ilvl w:val="1"/>
          <w:numId w:val="60"/>
        </w:numPr>
        <w:rPr>
          <w:rFonts w:ascii="Arial" w:cs="Arial" w:eastAsia="Arial" w:hAnsi="Arial"/>
          <w:sz w:val="22"/>
          <w:szCs w:val="22"/>
          <w:color w:val="auto"/>
        </w:rPr>
      </w:pPr>
      <w:r>
        <w:rPr>
          <w:rFonts w:ascii="Arial" w:cs="Arial" w:eastAsia="Arial" w:hAnsi="Arial"/>
          <w:sz w:val="22"/>
          <w:szCs w:val="22"/>
          <w:color w:val="auto"/>
        </w:rPr>
        <w:t>Participant is voluntarily participating in the Plan;</w:t>
      </w:r>
    </w:p>
    <w:p>
      <w:pPr>
        <w:spacing w:after="0" w:line="219" w:lineRule="exact"/>
        <w:rPr>
          <w:rFonts w:ascii="Arial" w:cs="Arial" w:eastAsia="Arial" w:hAnsi="Arial"/>
          <w:sz w:val="22"/>
          <w:szCs w:val="22"/>
          <w:color w:val="auto"/>
        </w:rPr>
      </w:pPr>
    </w:p>
    <w:p>
      <w:pPr>
        <w:ind w:right="20" w:firstLine="1628"/>
        <w:spacing w:after="0" w:line="263" w:lineRule="auto"/>
        <w:tabs>
          <w:tab w:leader="none" w:pos="2056" w:val="left"/>
        </w:tabs>
        <w:numPr>
          <w:ilvl w:val="1"/>
          <w:numId w:val="60"/>
        </w:numPr>
        <w:rPr>
          <w:rFonts w:ascii="Arial" w:cs="Arial" w:eastAsia="Arial" w:hAnsi="Arial"/>
          <w:sz w:val="22"/>
          <w:szCs w:val="22"/>
          <w:color w:val="auto"/>
        </w:rPr>
      </w:pPr>
      <w:r>
        <w:rPr>
          <w:rFonts w:ascii="Arial" w:cs="Arial" w:eastAsia="Arial" w:hAnsi="Arial"/>
          <w:sz w:val="22"/>
          <w:szCs w:val="22"/>
          <w:color w:val="auto"/>
        </w:rPr>
        <w:t>the Stock Units and the Shares subject to the Stock Units, and the income from and value of same, are not intended to replace any pension rights or compensation;</w:t>
      </w:r>
    </w:p>
    <w:p>
      <w:pPr>
        <w:spacing w:after="0" w:line="174" w:lineRule="exact"/>
        <w:rPr>
          <w:rFonts w:ascii="Arial" w:cs="Arial" w:eastAsia="Arial" w:hAnsi="Arial"/>
          <w:sz w:val="22"/>
          <w:szCs w:val="22"/>
          <w:color w:val="auto"/>
        </w:rPr>
      </w:pPr>
    </w:p>
    <w:p>
      <w:pPr>
        <w:jc w:val="both"/>
        <w:ind w:firstLine="1628"/>
        <w:spacing w:after="0" w:line="302" w:lineRule="auto"/>
        <w:tabs>
          <w:tab w:leader="none" w:pos="2088" w:val="left"/>
        </w:tabs>
        <w:numPr>
          <w:ilvl w:val="1"/>
          <w:numId w:val="60"/>
        </w:numPr>
        <w:rPr>
          <w:rFonts w:ascii="Arial" w:cs="Arial" w:eastAsia="Arial" w:hAnsi="Arial"/>
          <w:sz w:val="19"/>
          <w:szCs w:val="19"/>
          <w:color w:val="auto"/>
        </w:rPr>
      </w:pPr>
      <w:r>
        <w:rPr>
          <w:rFonts w:ascii="Arial" w:cs="Arial" w:eastAsia="Arial" w:hAnsi="Arial"/>
          <w:sz w:val="19"/>
          <w:szCs w:val="19"/>
          <w:color w:val="auto"/>
        </w:rPr>
        <w:t>the Stock Units and the Shares subject to the Stock Units, and the income from and value of same, are not part of normal or expected compensation or salary for any purpose, including, but not limited to, calculating any severance, resignation, termination, redundancy, dismissal, end-of-service payments, holiday pay, bonuses, long-service awards, leave-related payments, holiday top-up, pension or retirement, or welfare benefits or similar mandatory payments;</w:t>
      </w:r>
    </w:p>
    <w:p>
      <w:pPr>
        <w:spacing w:after="0" w:line="142" w:lineRule="exact"/>
        <w:rPr>
          <w:rFonts w:ascii="Arial" w:cs="Arial" w:eastAsia="Arial" w:hAnsi="Arial"/>
          <w:sz w:val="19"/>
          <w:szCs w:val="19"/>
          <w:color w:val="auto"/>
        </w:rPr>
      </w:pPr>
    </w:p>
    <w:p>
      <w:pPr>
        <w:jc w:val="both"/>
        <w:ind w:right="20" w:firstLine="1628"/>
        <w:spacing w:after="0" w:line="253" w:lineRule="auto"/>
        <w:tabs>
          <w:tab w:leader="none" w:pos="2093" w:val="left"/>
        </w:tabs>
        <w:numPr>
          <w:ilvl w:val="1"/>
          <w:numId w:val="60"/>
        </w:numPr>
        <w:rPr>
          <w:rFonts w:ascii="Arial" w:cs="Arial" w:eastAsia="Arial" w:hAnsi="Arial"/>
          <w:sz w:val="22"/>
          <w:szCs w:val="22"/>
          <w:color w:val="auto"/>
        </w:rPr>
      </w:pPr>
      <w:r>
        <w:rPr>
          <w:rFonts w:ascii="Arial" w:cs="Arial" w:eastAsia="Arial" w:hAnsi="Arial"/>
          <w:sz w:val="22"/>
          <w:szCs w:val="22"/>
          <w:color w:val="auto"/>
        </w:rPr>
        <w:t>unless otherwise agreed in writing with the Company, the Stock Units and the Shares subject to the Stock Units, and the income from and value of same, are not granted as consideration for, or in connection with, any service Participant may provide as a director of any Parent or Subsidiary;</w:t>
      </w:r>
    </w:p>
    <w:p>
      <w:pPr>
        <w:spacing w:after="0" w:line="185" w:lineRule="exact"/>
        <w:rPr>
          <w:rFonts w:ascii="Arial" w:cs="Arial" w:eastAsia="Arial" w:hAnsi="Arial"/>
          <w:sz w:val="22"/>
          <w:szCs w:val="22"/>
          <w:color w:val="auto"/>
        </w:rPr>
      </w:pPr>
    </w:p>
    <w:p>
      <w:pPr>
        <w:ind w:left="2200" w:hanging="572"/>
        <w:spacing w:after="0"/>
        <w:tabs>
          <w:tab w:leader="none" w:pos="2200" w:val="left"/>
        </w:tabs>
        <w:numPr>
          <w:ilvl w:val="1"/>
          <w:numId w:val="60"/>
        </w:numPr>
        <w:rPr>
          <w:rFonts w:ascii="Arial" w:cs="Arial" w:eastAsia="Arial" w:hAnsi="Arial"/>
          <w:sz w:val="19"/>
          <w:szCs w:val="19"/>
          <w:color w:val="auto"/>
        </w:rPr>
      </w:pPr>
      <w:r>
        <w:rPr>
          <w:rFonts w:ascii="Arial" w:cs="Arial" w:eastAsia="Arial" w:hAnsi="Arial"/>
          <w:sz w:val="19"/>
          <w:szCs w:val="19"/>
          <w:color w:val="auto"/>
        </w:rPr>
        <w:t>the future value of the underlying Shares is unknown, indeterminable and cannot be predicted with</w:t>
      </w:r>
    </w:p>
    <w:p>
      <w:pPr>
        <w:spacing w:after="0" w:line="5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certainty;</w:t>
      </w:r>
    </w:p>
    <w:p>
      <w:pPr>
        <w:spacing w:after="0" w:line="201" w:lineRule="exact"/>
        <w:rPr>
          <w:rFonts w:ascii="Arial" w:cs="Arial" w:eastAsia="Arial" w:hAnsi="Arial"/>
          <w:sz w:val="19"/>
          <w:szCs w:val="19"/>
          <w:color w:val="auto"/>
        </w:rPr>
      </w:pPr>
    </w:p>
    <w:p>
      <w:pPr>
        <w:jc w:val="both"/>
        <w:ind w:firstLine="1628"/>
        <w:spacing w:after="0" w:line="291" w:lineRule="auto"/>
        <w:tabs>
          <w:tab w:leader="none" w:pos="2202" w:val="left"/>
        </w:tabs>
        <w:numPr>
          <w:ilvl w:val="1"/>
          <w:numId w:val="60"/>
        </w:numPr>
        <w:rPr>
          <w:rFonts w:ascii="Arial" w:cs="Arial" w:eastAsia="Arial" w:hAnsi="Arial"/>
          <w:sz w:val="19"/>
          <w:szCs w:val="19"/>
          <w:color w:val="auto"/>
        </w:rPr>
      </w:pPr>
      <w:r>
        <w:rPr>
          <w:rFonts w:ascii="Arial" w:cs="Arial" w:eastAsia="Arial" w:hAnsi="Arial"/>
          <w:sz w:val="19"/>
          <w:szCs w:val="19"/>
          <w:color w:val="auto"/>
        </w:rPr>
        <w:t>no claim or entitlement to compensation or damages shall arise from forfeiture of the Stock Units resulting from (i) the application of any recoupment or recovery policy adopted by the Company or otherwise required by law, or</w:t>
      </w:r>
    </w:p>
    <w:p>
      <w:pPr>
        <w:spacing w:after="0" w:line="1" w:lineRule="exact"/>
        <w:rPr>
          <w:rFonts w:ascii="Arial" w:cs="Arial" w:eastAsia="Arial" w:hAnsi="Arial"/>
          <w:sz w:val="19"/>
          <w:szCs w:val="19"/>
          <w:color w:val="auto"/>
        </w:rPr>
      </w:pPr>
    </w:p>
    <w:p>
      <w:pPr>
        <w:jc w:val="both"/>
        <w:ind w:firstLine="8"/>
        <w:spacing w:after="0" w:line="245" w:lineRule="auto"/>
        <w:tabs>
          <w:tab w:leader="none" w:pos="341" w:val="left"/>
        </w:tabs>
        <w:numPr>
          <w:ilvl w:val="0"/>
          <w:numId w:val="61"/>
        </w:numPr>
        <w:rPr>
          <w:rFonts w:ascii="Arial" w:cs="Arial" w:eastAsia="Arial" w:hAnsi="Arial"/>
          <w:sz w:val="22"/>
          <w:szCs w:val="22"/>
          <w:color w:val="auto"/>
        </w:rPr>
      </w:pPr>
      <w:r>
        <w:rPr>
          <w:rFonts w:ascii="Arial" w:cs="Arial" w:eastAsia="Arial" w:hAnsi="Arial"/>
          <w:sz w:val="22"/>
          <w:szCs w:val="22"/>
          <w:color w:val="auto"/>
        </w:rPr>
        <w:t>termination of Participant’s Continuous Service (for any reason whatsoever, whether or not later found to be invalid or in breach of local labor laws in the jurisdiction where Participant is employed or otherwise providing services or the terms of his or her employment or other service contract, if any);</w:t>
      </w:r>
    </w:p>
    <w:p>
      <w:pPr>
        <w:spacing w:after="0" w:line="192" w:lineRule="exact"/>
        <w:rPr>
          <w:rFonts w:ascii="Arial" w:cs="Arial" w:eastAsia="Arial" w:hAnsi="Arial"/>
          <w:sz w:val="22"/>
          <w:szCs w:val="22"/>
          <w:color w:val="auto"/>
        </w:rPr>
      </w:pPr>
    </w:p>
    <w:p>
      <w:pPr>
        <w:jc w:val="both"/>
        <w:ind w:firstLine="1628"/>
        <w:spacing w:after="0" w:line="271" w:lineRule="auto"/>
        <w:tabs>
          <w:tab w:leader="none" w:pos="2250" w:val="left"/>
        </w:tabs>
        <w:numPr>
          <w:ilvl w:val="1"/>
          <w:numId w:val="61"/>
        </w:numPr>
        <w:rPr>
          <w:rFonts w:ascii="Arial" w:cs="Arial" w:eastAsia="Arial" w:hAnsi="Arial"/>
          <w:sz w:val="21"/>
          <w:szCs w:val="21"/>
          <w:color w:val="auto"/>
        </w:rPr>
      </w:pPr>
      <w:r>
        <w:rPr>
          <w:rFonts w:ascii="Arial" w:cs="Arial" w:eastAsia="Arial" w:hAnsi="Arial"/>
          <w:sz w:val="21"/>
          <w:szCs w:val="21"/>
          <w:color w:val="auto"/>
        </w:rPr>
        <w:t>the Company is not providing any tax, legal or financial advice, nor is the Company making any recommendations regarding Participant’s participation in the Plan; Participant should consult with his or her own personal tax, legal and financial advisors regarding participation in the Plan before taking any action related to the Plan;</w:t>
      </w:r>
    </w:p>
    <w:p>
      <w:pPr>
        <w:spacing w:after="0" w:line="167" w:lineRule="exact"/>
        <w:rPr>
          <w:rFonts w:ascii="Arial" w:cs="Arial" w:eastAsia="Arial" w:hAnsi="Arial"/>
          <w:sz w:val="21"/>
          <w:szCs w:val="21"/>
          <w:color w:val="auto"/>
        </w:rPr>
      </w:pPr>
    </w:p>
    <w:p>
      <w:pPr>
        <w:ind w:firstLine="1628"/>
        <w:spacing w:after="0" w:line="263" w:lineRule="auto"/>
        <w:tabs>
          <w:tab w:leader="none" w:pos="2050" w:val="left"/>
        </w:tabs>
        <w:numPr>
          <w:ilvl w:val="1"/>
          <w:numId w:val="61"/>
        </w:numPr>
        <w:rPr>
          <w:rFonts w:ascii="Arial" w:cs="Arial" w:eastAsia="Arial" w:hAnsi="Arial"/>
          <w:sz w:val="22"/>
          <w:szCs w:val="22"/>
          <w:color w:val="auto"/>
        </w:rPr>
      </w:pPr>
      <w:r>
        <w:rPr>
          <w:rFonts w:ascii="Arial" w:cs="Arial" w:eastAsia="Arial" w:hAnsi="Arial"/>
          <w:sz w:val="22"/>
          <w:szCs w:val="22"/>
          <w:color w:val="auto"/>
        </w:rPr>
        <w:t>the Stock Units and the benefits under the Plan, if any, will not automatically transfer to another company in the case of a merger, take-over or transfer of liability; and</w:t>
      </w:r>
    </w:p>
    <w:p>
      <w:pPr>
        <w:spacing w:after="0" w:line="174" w:lineRule="exact"/>
        <w:rPr>
          <w:rFonts w:ascii="Arial" w:cs="Arial" w:eastAsia="Arial" w:hAnsi="Arial"/>
          <w:sz w:val="22"/>
          <w:szCs w:val="22"/>
          <w:color w:val="auto"/>
        </w:rPr>
      </w:pPr>
    </w:p>
    <w:p>
      <w:pPr>
        <w:jc w:val="both"/>
        <w:ind w:firstLine="1628"/>
        <w:spacing w:after="0" w:line="250" w:lineRule="auto"/>
        <w:tabs>
          <w:tab w:leader="none" w:pos="2223" w:val="left"/>
        </w:tabs>
        <w:numPr>
          <w:ilvl w:val="1"/>
          <w:numId w:val="61"/>
        </w:numPr>
        <w:rPr>
          <w:rFonts w:ascii="Arial" w:cs="Arial" w:eastAsia="Arial" w:hAnsi="Arial"/>
          <w:sz w:val="22"/>
          <w:szCs w:val="22"/>
          <w:color w:val="auto"/>
        </w:rPr>
      </w:pPr>
      <w:r>
        <w:rPr>
          <w:rFonts w:ascii="Arial" w:cs="Arial" w:eastAsia="Arial" w:hAnsi="Arial"/>
          <w:sz w:val="22"/>
          <w:szCs w:val="22"/>
          <w:color w:val="auto"/>
        </w:rPr>
        <w:t>neither the Company, the Employer nor any other Parent or Subsidiary shall be liable for any foreign exchange rate fluctuation between Participant’s local currency (if not the United States dollar) and the United States dollar that may affect the value of the Stock Units or of any amounts due to Participant pursuant to the settlement of the Stock Units or the subsequent sale of any Shares acquired under the Plan.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220"/>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240"/>
          </w:cols>
          <w:pgMar w:left="320" w:top="1428" w:right="339" w:bottom="1440" w:gutter="0" w:footer="0" w:header="0"/>
        </w:sectPr>
      </w:pPr>
    </w:p>
    <w:bookmarkStart w:id="86" w:name="page87"/>
    <w:bookmarkEnd w:id="86"/>
    <w:p>
      <w:pPr>
        <w:ind w:left="1080" w:hanging="644"/>
        <w:spacing w:after="0"/>
        <w:tabs>
          <w:tab w:leader="none" w:pos="1080" w:val="left"/>
        </w:tabs>
        <w:numPr>
          <w:ilvl w:val="0"/>
          <w:numId w:val="62"/>
        </w:numPr>
        <w:rPr>
          <w:rFonts w:ascii="Arial" w:cs="Arial" w:eastAsia="Arial" w:hAnsi="Arial"/>
          <w:sz w:val="22"/>
          <w:szCs w:val="22"/>
          <w:color w:val="auto"/>
        </w:rPr>
      </w:pPr>
      <w:r>
        <w:rPr>
          <w:rFonts w:ascii="Arial" w:cs="Arial" w:eastAsia="Arial" w:hAnsi="Arial"/>
          <w:sz w:val="22"/>
          <w:szCs w:val="22"/>
          <w:b w:val="1"/>
          <w:bCs w:val="1"/>
          <w:i w:val="1"/>
          <w:iCs w:val="1"/>
          <w:u w:val="single" w:color="auto"/>
          <w:color w:val="auto"/>
        </w:rPr>
        <w:t>Data Privacy Information and Consent</w:t>
      </w:r>
      <w:r>
        <w:rPr>
          <w:rFonts w:ascii="Arial" w:cs="Arial" w:eastAsia="Arial" w:hAnsi="Arial"/>
          <w:sz w:val="22"/>
          <w:szCs w:val="22"/>
          <w:b w:val="1"/>
          <w:bCs w:val="1"/>
          <w:i w:val="1"/>
          <w:iCs w:val="1"/>
          <w:color w:val="auto"/>
        </w:rPr>
        <w:t>.</w:t>
      </w:r>
    </w:p>
    <w:p>
      <w:pPr>
        <w:spacing w:after="0" w:line="213" w:lineRule="exact"/>
        <w:rPr>
          <w:rFonts w:ascii="Arial" w:cs="Arial" w:eastAsia="Arial" w:hAnsi="Arial"/>
          <w:sz w:val="22"/>
          <w:szCs w:val="22"/>
          <w:color w:val="auto"/>
        </w:rPr>
      </w:pPr>
    </w:p>
    <w:p>
      <w:pPr>
        <w:jc w:val="both"/>
        <w:ind w:left="-220" w:firstLine="1628"/>
        <w:spacing w:after="0" w:line="261" w:lineRule="auto"/>
        <w:tabs>
          <w:tab w:leader="none" w:pos="1871" w:val="left"/>
        </w:tabs>
        <w:numPr>
          <w:ilvl w:val="1"/>
          <w:numId w:val="62"/>
        </w:numPr>
        <w:rPr>
          <w:rFonts w:ascii="Arial" w:cs="Arial" w:eastAsia="Arial" w:hAnsi="Arial"/>
          <w:sz w:val="21"/>
          <w:szCs w:val="21"/>
          <w:color w:val="auto"/>
        </w:rPr>
      </w:pPr>
      <w:r>
        <w:rPr>
          <w:rFonts w:ascii="Arial" w:cs="Arial" w:eastAsia="Arial" w:hAnsi="Arial"/>
          <w:sz w:val="21"/>
          <w:szCs w:val="21"/>
          <w:b w:val="1"/>
          <w:bCs w:val="1"/>
          <w:color w:val="auto"/>
        </w:rPr>
        <w:t>Data Collection and Usage</w:t>
      </w:r>
      <w:r>
        <w:rPr>
          <w:rFonts w:ascii="Arial" w:cs="Arial" w:eastAsia="Arial" w:hAnsi="Arial"/>
          <w:sz w:val="21"/>
          <w:szCs w:val="21"/>
          <w:b w:val="1"/>
          <w:bCs w:val="1"/>
          <w:i w:val="1"/>
          <w:iCs w:val="1"/>
          <w:color w:val="auto"/>
        </w:rPr>
        <w:t>. The Company and the Employer collect, process and use certain personal</w:t>
      </w:r>
      <w:r>
        <w:rPr>
          <w:rFonts w:ascii="Arial" w:cs="Arial" w:eastAsia="Arial" w:hAnsi="Arial"/>
          <w:sz w:val="21"/>
          <w:szCs w:val="21"/>
          <w:b w:val="1"/>
          <w:bCs w:val="1"/>
          <w:color w:val="auto"/>
        </w:rPr>
        <w:t xml:space="preserve"> </w:t>
      </w:r>
      <w:r>
        <w:rPr>
          <w:rFonts w:ascii="Arial" w:cs="Arial" w:eastAsia="Arial" w:hAnsi="Arial"/>
          <w:sz w:val="21"/>
          <w:szCs w:val="21"/>
          <w:b w:val="1"/>
          <w:bCs w:val="1"/>
          <w:i w:val="1"/>
          <w:iCs w:val="1"/>
          <w:color w:val="auto"/>
        </w:rPr>
        <w:t>information about Participant, including, but not limited to, Participant’s name, home address, telephone number, email address, date of birth, social insurance number, passport or other identification number, salary, nationality, job title, any Shares or directorships held in the Company, details of all awards granted under the Plan or any other entitlement to Shares or equivalent benefits awarded, canceled, exercised, vested, unvested or outstanding in Participant’s favor (“Data”), for purposes of implementing, administering and managing the Plan. The legal basis, where required, for the processing of Data is Participant’s consent.</w:t>
      </w:r>
    </w:p>
    <w:p>
      <w:pPr>
        <w:spacing w:after="0" w:line="173" w:lineRule="exact"/>
        <w:rPr>
          <w:rFonts w:ascii="Arial" w:cs="Arial" w:eastAsia="Arial" w:hAnsi="Arial"/>
          <w:sz w:val="21"/>
          <w:szCs w:val="21"/>
          <w:color w:val="auto"/>
        </w:rPr>
      </w:pPr>
    </w:p>
    <w:p>
      <w:pPr>
        <w:jc w:val="both"/>
        <w:ind w:left="-220" w:firstLine="1628"/>
        <w:spacing w:after="0" w:line="295" w:lineRule="auto"/>
        <w:tabs>
          <w:tab w:leader="none" w:pos="1902" w:val="left"/>
        </w:tabs>
        <w:numPr>
          <w:ilvl w:val="1"/>
          <w:numId w:val="62"/>
        </w:numPr>
        <w:rPr>
          <w:rFonts w:ascii="Arial" w:cs="Arial" w:eastAsia="Arial" w:hAnsi="Arial"/>
          <w:sz w:val="19"/>
          <w:szCs w:val="19"/>
          <w:color w:val="auto"/>
        </w:rPr>
      </w:pPr>
      <w:r>
        <w:rPr>
          <w:rFonts w:ascii="Arial" w:cs="Arial" w:eastAsia="Arial" w:hAnsi="Arial"/>
          <w:sz w:val="19"/>
          <w:szCs w:val="19"/>
          <w:b w:val="1"/>
          <w:bCs w:val="1"/>
          <w:color w:val="auto"/>
        </w:rPr>
        <w:t>Stock Plan Administration Service Providers</w:t>
      </w:r>
      <w:r>
        <w:rPr>
          <w:rFonts w:ascii="Arial" w:cs="Arial" w:eastAsia="Arial" w:hAnsi="Arial"/>
          <w:sz w:val="19"/>
          <w:szCs w:val="19"/>
          <w:b w:val="1"/>
          <w:bCs w:val="1"/>
          <w:i w:val="1"/>
          <w:iCs w:val="1"/>
          <w:color w:val="auto"/>
        </w:rPr>
        <w:t>. The Company transfers Data to E*TRADE Financial</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Corporate Services, Inc. and certain of its affiliated companies (the “Designated Broker”), an independent service provider based in the United States, which is assisting the Company with the implementation, administration and management of the Plan. Participant may be asked to agree on separate terms and data processing practices with the Designated Broker, with such agreement being a condition to the ability to participate in the Plan. In the future, the Company may select a different service provider or additional service providers and share Data with such other provider(s) serving in a similar manner.</w:t>
      </w:r>
    </w:p>
    <w:p>
      <w:pPr>
        <w:spacing w:after="0" w:line="143" w:lineRule="exact"/>
        <w:rPr>
          <w:rFonts w:ascii="Arial" w:cs="Arial" w:eastAsia="Arial" w:hAnsi="Arial"/>
          <w:sz w:val="19"/>
          <w:szCs w:val="19"/>
          <w:color w:val="auto"/>
        </w:rPr>
      </w:pPr>
    </w:p>
    <w:p>
      <w:pPr>
        <w:jc w:val="both"/>
        <w:ind w:left="-220" w:firstLine="1628"/>
        <w:spacing w:after="0" w:line="287" w:lineRule="auto"/>
        <w:tabs>
          <w:tab w:leader="none" w:pos="1856" w:val="left"/>
        </w:tabs>
        <w:numPr>
          <w:ilvl w:val="1"/>
          <w:numId w:val="62"/>
        </w:numPr>
        <w:rPr>
          <w:rFonts w:ascii="Arial" w:cs="Arial" w:eastAsia="Arial" w:hAnsi="Arial"/>
          <w:sz w:val="19"/>
          <w:szCs w:val="19"/>
          <w:color w:val="auto"/>
        </w:rPr>
      </w:pPr>
      <w:r>
        <w:rPr>
          <w:rFonts w:ascii="Arial" w:cs="Arial" w:eastAsia="Arial" w:hAnsi="Arial"/>
          <w:sz w:val="19"/>
          <w:szCs w:val="19"/>
          <w:b w:val="1"/>
          <w:bCs w:val="1"/>
          <w:color w:val="auto"/>
        </w:rPr>
        <w:t>International Data Transfers</w:t>
      </w:r>
      <w:r>
        <w:rPr>
          <w:rFonts w:ascii="Arial" w:cs="Arial" w:eastAsia="Arial" w:hAnsi="Arial"/>
          <w:sz w:val="19"/>
          <w:szCs w:val="19"/>
          <w:b w:val="1"/>
          <w:bCs w:val="1"/>
          <w:i w:val="1"/>
          <w:iCs w:val="1"/>
          <w:color w:val="auto"/>
        </w:rPr>
        <w:t>. If Participant resides, works or is otherwise located outside of Bermuda</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and/or the United States, Data will be transferred from Participant’s country to Bermuda and the United States, where the Company and the Designated Broker, respectively, are based. Participant’s country or jurisdiction may have different data privacy laws and protections than Bermuda and the United States. If Participant is located in the European Union (“EU”) and/or European Economic Area (“EEA”), Participant understands and acknowledges that Bermuda and the United States are not subject to an unlimited adequacy finding by the European Commission and might not provide a level of protection of personal data equivalent to the level of protection in Participant’s country. As a result, in the absence of a self-certification of the data recipient in the United States under the EU-U.S. Privacy Shield Framework or the implementation of appropriate safeguards such as the Standard Contractual Clauses or binding corporate rules adopted by the EU Commission, the processing of personal data might not be subject to substantive data processing principles or supervision by data protection authorities. In addition, data subjects might have no, or less, enforceable rights regarding the processing of their personal data. The Company’s legal basis for the transfer of Data, where required, is Participant’s consent.</w:t>
      </w:r>
    </w:p>
    <w:p>
      <w:pPr>
        <w:spacing w:after="0" w:line="158" w:lineRule="exact"/>
        <w:rPr>
          <w:rFonts w:ascii="Arial" w:cs="Arial" w:eastAsia="Arial" w:hAnsi="Arial"/>
          <w:sz w:val="19"/>
          <w:szCs w:val="19"/>
          <w:color w:val="auto"/>
        </w:rPr>
      </w:pPr>
    </w:p>
    <w:p>
      <w:pPr>
        <w:jc w:val="both"/>
        <w:ind w:left="-220" w:right="20" w:firstLine="1628"/>
        <w:spacing w:after="0" w:line="256" w:lineRule="auto"/>
        <w:tabs>
          <w:tab w:leader="none" w:pos="1976" w:val="left"/>
        </w:tabs>
        <w:numPr>
          <w:ilvl w:val="1"/>
          <w:numId w:val="62"/>
        </w:numPr>
        <w:rPr>
          <w:rFonts w:ascii="Arial" w:cs="Arial" w:eastAsia="Arial" w:hAnsi="Arial"/>
          <w:sz w:val="22"/>
          <w:szCs w:val="22"/>
          <w:color w:val="auto"/>
        </w:rPr>
      </w:pPr>
      <w:r>
        <w:rPr>
          <w:rFonts w:ascii="Arial" w:cs="Arial" w:eastAsia="Arial" w:hAnsi="Arial"/>
          <w:sz w:val="22"/>
          <w:szCs w:val="22"/>
          <w:b w:val="1"/>
          <w:bCs w:val="1"/>
          <w:color w:val="auto"/>
        </w:rPr>
        <w:t>Data Retention</w:t>
      </w:r>
      <w:r>
        <w:rPr>
          <w:rFonts w:ascii="Arial" w:cs="Arial" w:eastAsia="Arial" w:hAnsi="Arial"/>
          <w:sz w:val="22"/>
          <w:szCs w:val="22"/>
          <w:b w:val="1"/>
          <w:bCs w:val="1"/>
          <w:i w:val="1"/>
          <w:iCs w:val="1"/>
          <w:color w:val="auto"/>
        </w:rPr>
        <w:t>. The Company will hold and use Data only as long as is necessary to implement,</w:t>
      </w:r>
      <w:r>
        <w:rPr>
          <w:rFonts w:ascii="Arial" w:cs="Arial" w:eastAsia="Arial" w:hAnsi="Arial"/>
          <w:sz w:val="22"/>
          <w:szCs w:val="22"/>
          <w:b w:val="1"/>
          <w:bCs w:val="1"/>
          <w:color w:val="auto"/>
        </w:rPr>
        <w:t xml:space="preserve"> </w:t>
      </w:r>
      <w:r>
        <w:rPr>
          <w:rFonts w:ascii="Arial" w:cs="Arial" w:eastAsia="Arial" w:hAnsi="Arial"/>
          <w:sz w:val="22"/>
          <w:szCs w:val="22"/>
          <w:b w:val="1"/>
          <w:bCs w:val="1"/>
          <w:i w:val="1"/>
          <w:iCs w:val="1"/>
          <w:color w:val="auto"/>
        </w:rPr>
        <w:t>administer and manage Participant’s participation in the Plan, or as required to comply with legal or regulatory obligations, including under tax, securities, exchange control, labor and other laws.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020"/>
          </w:cols>
          <w:pgMar w:left="540" w:top="1428" w:right="339" w:bottom="1440" w:gutter="0" w:footer="0" w:header="0"/>
        </w:sectPr>
      </w:pPr>
    </w:p>
    <w:bookmarkStart w:id="87" w:name="page88"/>
    <w:bookmarkEnd w:id="87"/>
    <w:p>
      <w:pPr>
        <w:jc w:val="both"/>
        <w:ind w:firstLine="1628"/>
        <w:spacing w:after="0" w:line="293" w:lineRule="auto"/>
        <w:tabs>
          <w:tab w:leader="none" w:pos="2199" w:val="left"/>
        </w:tabs>
        <w:numPr>
          <w:ilvl w:val="0"/>
          <w:numId w:val="63"/>
        </w:numPr>
        <w:rPr>
          <w:rFonts w:ascii="Arial" w:cs="Arial" w:eastAsia="Arial" w:hAnsi="Arial"/>
          <w:sz w:val="19"/>
          <w:szCs w:val="19"/>
          <w:color w:val="auto"/>
        </w:rPr>
      </w:pPr>
      <w:r>
        <w:rPr>
          <w:rFonts w:ascii="Arial" w:cs="Arial" w:eastAsia="Arial" w:hAnsi="Arial"/>
          <w:sz w:val="19"/>
          <w:szCs w:val="19"/>
          <w:b w:val="1"/>
          <w:bCs w:val="1"/>
          <w:color w:val="auto"/>
        </w:rPr>
        <w:t>Voluntariness and Consequences of Consent Denial or Withdrawal</w:t>
      </w:r>
      <w:r>
        <w:rPr>
          <w:rFonts w:ascii="Arial" w:cs="Arial" w:eastAsia="Arial" w:hAnsi="Arial"/>
          <w:sz w:val="19"/>
          <w:szCs w:val="19"/>
          <w:b w:val="1"/>
          <w:bCs w:val="1"/>
          <w:i w:val="1"/>
          <w:iCs w:val="1"/>
          <w:color w:val="auto"/>
        </w:rPr>
        <w:t>. Participation in the Plan is</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voluntary and Participant is providing the consents herein on a purely voluntary basis. Participant may withdraw any such consent at any time with future effect for any or no reason. If Participant does not consent, or if Participant later seeks to revoke the consent, Participant’s salary from or employment with the Employer will not be affected; the only consequence of refusing or withdrawing consent is that the Company would not be able to grant Participant Stock Units under the Plan or other awards or administer or maintain such awards. For more information on the consequences of refusal to consent or withdrawal of consent, Participant should contact his or her local human resources representative.</w:t>
      </w:r>
    </w:p>
    <w:p>
      <w:pPr>
        <w:spacing w:after="0" w:line="144" w:lineRule="exact"/>
        <w:rPr>
          <w:rFonts w:ascii="Arial" w:cs="Arial" w:eastAsia="Arial" w:hAnsi="Arial"/>
          <w:sz w:val="19"/>
          <w:szCs w:val="19"/>
          <w:color w:val="auto"/>
        </w:rPr>
      </w:pPr>
    </w:p>
    <w:p>
      <w:pPr>
        <w:jc w:val="both"/>
        <w:ind w:firstLine="1628"/>
        <w:spacing w:after="0" w:line="247" w:lineRule="auto"/>
        <w:tabs>
          <w:tab w:leader="none" w:pos="2106" w:val="left"/>
        </w:tabs>
        <w:numPr>
          <w:ilvl w:val="0"/>
          <w:numId w:val="63"/>
        </w:numPr>
        <w:rPr>
          <w:rFonts w:ascii="Arial" w:cs="Arial" w:eastAsia="Arial" w:hAnsi="Arial"/>
          <w:sz w:val="22"/>
          <w:szCs w:val="22"/>
          <w:color w:val="auto"/>
        </w:rPr>
      </w:pPr>
      <w:r>
        <w:rPr>
          <w:rFonts w:ascii="Arial" w:cs="Arial" w:eastAsia="Arial" w:hAnsi="Arial"/>
          <w:sz w:val="22"/>
          <w:szCs w:val="22"/>
          <w:b w:val="1"/>
          <w:bCs w:val="1"/>
          <w:color w:val="auto"/>
        </w:rPr>
        <w:t>Data Subject Rights</w:t>
      </w:r>
      <w:r>
        <w:rPr>
          <w:rFonts w:ascii="Arial" w:cs="Arial" w:eastAsia="Arial" w:hAnsi="Arial"/>
          <w:sz w:val="22"/>
          <w:szCs w:val="22"/>
          <w:b w:val="1"/>
          <w:bCs w:val="1"/>
          <w:i w:val="1"/>
          <w:iCs w:val="1"/>
          <w:color w:val="auto"/>
        </w:rPr>
        <w:t>. Participant may have a number of rights under data privacy laws in his or her</w:t>
      </w:r>
      <w:r>
        <w:rPr>
          <w:rFonts w:ascii="Arial" w:cs="Arial" w:eastAsia="Arial" w:hAnsi="Arial"/>
          <w:sz w:val="22"/>
          <w:szCs w:val="22"/>
          <w:b w:val="1"/>
          <w:bCs w:val="1"/>
          <w:color w:val="auto"/>
        </w:rPr>
        <w:t xml:space="preserve"> </w:t>
      </w:r>
      <w:r>
        <w:rPr>
          <w:rFonts w:ascii="Arial" w:cs="Arial" w:eastAsia="Arial" w:hAnsi="Arial"/>
          <w:sz w:val="22"/>
          <w:szCs w:val="22"/>
          <w:b w:val="1"/>
          <w:bCs w:val="1"/>
          <w:i w:val="1"/>
          <w:iCs w:val="1"/>
          <w:color w:val="auto"/>
        </w:rPr>
        <w:t>jurisdiction. Depending on where Participant is based, such rights may include the right to (i) request access to or copies of Data the Company processes, (ii) rectification or amendment of incorrect or incomplete Data, (iii) deletion of Data, (iv) request restrictions on processing of Data, (v) portability of Data, (vi) lodge complaints with competent authorities in Participant’s jurisdiction, and/or (vii) receive a list with the names and addresses of any potential recipients of Data. To receive clarification regarding these rights or to exercise these rights, Participant can contact his or her local human resources representative.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146050</wp:posOffset>
            </wp:positionV>
            <wp:extent cx="6995160" cy="10033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995160" cy="1003300"/>
                    </a:xfrm>
                    <a:prstGeom prst="rect">
                      <a:avLst/>
                    </a:prstGeom>
                    <a:noFill/>
                  </pic:spPr>
                </pic:pic>
              </a:graphicData>
            </a:graphic>
          </wp:anchor>
        </w:drawing>
      </w:r>
    </w:p>
    <w:p>
      <w:pPr>
        <w:spacing w:after="0" w:line="237" w:lineRule="exact"/>
        <w:rPr>
          <w:sz w:val="20"/>
          <w:szCs w:val="20"/>
          <w:color w:val="auto"/>
        </w:rPr>
      </w:pPr>
    </w:p>
    <w:p>
      <w:pPr>
        <w:jc w:val="both"/>
        <w:ind w:left="40" w:right="260"/>
        <w:spacing w:after="0" w:line="298" w:lineRule="auto"/>
        <w:rPr>
          <w:sz w:val="20"/>
          <w:szCs w:val="20"/>
          <w:color w:val="auto"/>
        </w:rPr>
      </w:pPr>
      <w:r>
        <w:rPr>
          <w:rFonts w:ascii="Arial" w:cs="Arial" w:eastAsia="Arial" w:hAnsi="Arial"/>
          <w:sz w:val="19"/>
          <w:szCs w:val="19"/>
          <w:b w:val="1"/>
          <w:bCs w:val="1"/>
          <w:color w:val="auto"/>
        </w:rPr>
        <w:t xml:space="preserve">Declaration of Consent. </w:t>
      </w:r>
      <w:r>
        <w:rPr>
          <w:rFonts w:ascii="Arial" w:cs="Arial" w:eastAsia="Arial" w:hAnsi="Arial"/>
          <w:sz w:val="19"/>
          <w:szCs w:val="19"/>
          <w:b w:val="1"/>
          <w:bCs w:val="1"/>
          <w:i w:val="1"/>
          <w:iCs w:val="1"/>
          <w:color w:val="auto"/>
        </w:rPr>
        <w:t>By accepting this Agreement and indicating consent via the Company’s acceptance procedure,</w:t>
      </w:r>
      <w:r>
        <w:rPr>
          <w:rFonts w:ascii="Arial" w:cs="Arial" w:eastAsia="Arial" w:hAnsi="Arial"/>
          <w:sz w:val="19"/>
          <w:szCs w:val="19"/>
          <w:b w:val="1"/>
          <w:bCs w:val="1"/>
          <w:color w:val="auto"/>
        </w:rPr>
        <w:t xml:space="preserve"> </w:t>
      </w:r>
      <w:r>
        <w:rPr>
          <w:rFonts w:ascii="Arial" w:cs="Arial" w:eastAsia="Arial" w:hAnsi="Arial"/>
          <w:sz w:val="19"/>
          <w:szCs w:val="19"/>
          <w:b w:val="1"/>
          <w:bCs w:val="1"/>
          <w:i w:val="1"/>
          <w:iCs w:val="1"/>
          <w:color w:val="auto"/>
        </w:rPr>
        <w:t>Participant explicitly declares his or her consent to the data processing practices described in this Section 10, including, without limitation, to the collection, processing and use of Data by the Company and, if applicable, to the transfer of Data to the recipients mentioned above, including the onward transfer of Data by the Company to the Designated Broker, or, as the case may be, a different service provider selected by the Company.</w:t>
      </w:r>
    </w:p>
    <w:p>
      <w:pPr>
        <w:spacing w:after="0" w:line="291" w:lineRule="exact"/>
        <w:rPr>
          <w:sz w:val="20"/>
          <w:szCs w:val="20"/>
          <w:color w:val="auto"/>
        </w:rPr>
      </w:pPr>
    </w:p>
    <w:p>
      <w:pPr>
        <w:ind w:left="1300" w:hanging="644"/>
        <w:spacing w:after="0"/>
        <w:tabs>
          <w:tab w:leader="none" w:pos="1300" w:val="left"/>
        </w:tabs>
        <w:numPr>
          <w:ilvl w:val="0"/>
          <w:numId w:val="64"/>
        </w:numPr>
        <w:rPr>
          <w:rFonts w:ascii="Arial" w:cs="Arial" w:eastAsia="Arial" w:hAnsi="Arial"/>
          <w:sz w:val="21"/>
          <w:szCs w:val="21"/>
          <w:color w:val="auto"/>
        </w:rPr>
      </w:pPr>
      <w:r>
        <w:rPr>
          <w:rFonts w:ascii="Arial" w:cs="Arial" w:eastAsia="Arial" w:hAnsi="Arial"/>
          <w:sz w:val="21"/>
          <w:szCs w:val="21"/>
          <w:u w:val="single" w:color="auto"/>
          <w:color w:val="auto"/>
        </w:rPr>
        <w:t>Participant Acknowledgments</w:t>
      </w:r>
      <w:r>
        <w:rPr>
          <w:rFonts w:ascii="Arial" w:cs="Arial" w:eastAsia="Arial" w:hAnsi="Arial"/>
          <w:sz w:val="21"/>
          <w:szCs w:val="21"/>
          <w:color w:val="auto"/>
        </w:rPr>
        <w:t xml:space="preserve">. </w:t>
      </w:r>
      <w:r>
        <w:rPr>
          <w:rFonts w:ascii="Arial" w:cs="Arial" w:eastAsia="Arial" w:hAnsi="Arial"/>
          <w:sz w:val="21"/>
          <w:szCs w:val="21"/>
          <w:b w:val="1"/>
          <w:bCs w:val="1"/>
          <w:color w:val="auto"/>
        </w:rPr>
        <w:t>PARTICIPANT ACKNOWLEDGES AND AGREES THAT THE VESTING</w:t>
      </w:r>
    </w:p>
    <w:p>
      <w:pPr>
        <w:spacing w:after="0" w:line="38" w:lineRule="exact"/>
        <w:rPr>
          <w:rFonts w:ascii="Arial" w:cs="Arial" w:eastAsia="Arial" w:hAnsi="Arial"/>
          <w:sz w:val="21"/>
          <w:szCs w:val="21"/>
          <w:color w:val="auto"/>
        </w:rPr>
      </w:pPr>
    </w:p>
    <w:p>
      <w:pPr>
        <w:jc w:val="both"/>
        <w:spacing w:after="0" w:line="243" w:lineRule="auto"/>
        <w:rPr>
          <w:rFonts w:ascii="Arial" w:cs="Arial" w:eastAsia="Arial" w:hAnsi="Arial"/>
          <w:sz w:val="21"/>
          <w:szCs w:val="21"/>
          <w:color w:val="auto"/>
        </w:rPr>
      </w:pPr>
      <w:r>
        <w:rPr>
          <w:rFonts w:ascii="Arial" w:cs="Arial" w:eastAsia="Arial" w:hAnsi="Arial"/>
          <w:sz w:val="22"/>
          <w:szCs w:val="22"/>
          <w:b w:val="1"/>
          <w:bCs w:val="1"/>
          <w:color w:val="auto"/>
        </w:rPr>
        <w:t>OF THE STOCK UNITS PURSUANT TO THE VESTING SCHEDULE HEREOF IS EARNED ONLY BY PROVIDING CONTINUOUS SERVICE THROUGH THE VESTING DATE AND NOT THROUGH THE ACT OF BEING HIRED, BEING GRANTED THIS AWARD OF STOCK UNITS OR ACQUIRING SHARES HEREUNDER. Participant FURTHER acknowledges that he or she is not entitled to pro rata vesting of any Shares for any period prior to the Termination Date. PARTICIPANT ACKNOWLEDGES AND AGREES THAT THIS AGREEMENT, THE TRANSACTIONS CONTEMPLATED HEREUNDER AND THE VESTING SCHEDULE SET FORTH HEREIN DO NOT CONSTITUTE AN EXPRESS OR IMPLIED PROMISE OF CONTINUED ENGAGEMENT FOR CONTINUOUS SERVICE FOR THE VESTING PERIOD, FOR ANY PERIOD, OR AT ALL, AND WILL NOT INTERFERE IN ANY WAY WITH PARTICIPANT’S RIGHT OR THE RIGHT OF THE EMPLOYER TO TERMINATE PARTICIPANT’S CONTINUOUS SERVICE AT ANY TIME, WITH OR WITHOUT CAUSE.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20"/>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240"/>
          </w:cols>
          <w:pgMar w:left="320" w:top="1422" w:right="339" w:bottom="1440" w:gutter="0" w:footer="0" w:header="0"/>
        </w:sectPr>
      </w:pPr>
    </w:p>
    <w:bookmarkStart w:id="88" w:name="page89"/>
    <w:bookmarkEnd w:id="88"/>
    <w:p>
      <w:pPr>
        <w:jc w:val="both"/>
        <w:ind w:firstLine="648"/>
        <w:spacing w:after="0" w:line="260" w:lineRule="auto"/>
        <w:rPr>
          <w:sz w:val="20"/>
          <w:szCs w:val="20"/>
          <w:color w:val="auto"/>
        </w:rPr>
      </w:pPr>
      <w:r>
        <w:rPr>
          <w:rFonts w:ascii="Arial" w:cs="Arial" w:eastAsia="Arial" w:hAnsi="Arial"/>
          <w:sz w:val="21"/>
          <w:szCs w:val="21"/>
          <w:color w:val="auto"/>
        </w:rPr>
        <w:t>Participant acknowledges receipt of a copy of the Plan and represents that he or she is familiar with the terms and provisions thereof, and hereby accepts the Stock Units subject to all of the terms and provisions thereof. Participant has reviewed the Plan, this Agreement, and the Notice of Grant in their entirety, has had an opportunity to obtain the advice of counsel prior to executing this Agreement and fully understands all provisions of such documents. Participant understands that the Plan is discretionary in nature and may be amended, suspended or terminated by the Company at any time. Participant hereby agrees to accept as binding, conclusive and final all decisions or interpretations of the Administrator upon any questions arising under the Plan, the Notice of Grant or this Agreement.</w:t>
      </w:r>
    </w:p>
    <w:p>
      <w:pPr>
        <w:spacing w:after="0" w:line="180" w:lineRule="exact"/>
        <w:rPr>
          <w:sz w:val="20"/>
          <w:szCs w:val="20"/>
          <w:color w:val="auto"/>
        </w:rPr>
      </w:pPr>
    </w:p>
    <w:p>
      <w:pPr>
        <w:jc w:val="both"/>
        <w:ind w:firstLine="656"/>
        <w:spacing w:after="0" w:line="302" w:lineRule="auto"/>
        <w:tabs>
          <w:tab w:leader="none" w:pos="1296" w:val="left"/>
        </w:tabs>
        <w:numPr>
          <w:ilvl w:val="0"/>
          <w:numId w:val="65"/>
        </w:numPr>
        <w:rPr>
          <w:rFonts w:ascii="Arial" w:cs="Arial" w:eastAsia="Arial" w:hAnsi="Arial"/>
          <w:sz w:val="19"/>
          <w:szCs w:val="19"/>
          <w:color w:val="auto"/>
        </w:rPr>
      </w:pPr>
      <w:r>
        <w:rPr>
          <w:rFonts w:ascii="Arial" w:cs="Arial" w:eastAsia="Arial" w:hAnsi="Arial"/>
          <w:sz w:val="19"/>
          <w:szCs w:val="19"/>
          <w:u w:val="single" w:color="auto"/>
          <w:color w:val="auto"/>
        </w:rPr>
        <w:t>Address</w:t>
      </w:r>
      <w:r>
        <w:rPr>
          <w:rFonts w:ascii="Arial" w:cs="Arial" w:eastAsia="Arial" w:hAnsi="Arial"/>
          <w:sz w:val="19"/>
          <w:szCs w:val="19"/>
          <w:color w:val="auto"/>
        </w:rPr>
        <w:t>. Any notice to be given to the Company under the terms of this Agreement should be addressed to the Company at its corporate headquarters, or at such other address as the Company may hereafter designate in writing. Participant agrees to timely notify the Company upon any change in his or her residence address, and acknowledges that the Company may in its discretion deliver share certificates representing Shares issued pursuant to the settlement of the Stock Units to such address.</w:t>
      </w:r>
    </w:p>
    <w:p>
      <w:pPr>
        <w:spacing w:after="0" w:line="142" w:lineRule="exact"/>
        <w:rPr>
          <w:rFonts w:ascii="Arial" w:cs="Arial" w:eastAsia="Arial" w:hAnsi="Arial"/>
          <w:sz w:val="19"/>
          <w:szCs w:val="19"/>
          <w:color w:val="auto"/>
        </w:rPr>
      </w:pPr>
    </w:p>
    <w:p>
      <w:pPr>
        <w:jc w:val="both"/>
        <w:ind w:firstLine="656"/>
        <w:spacing w:after="0" w:line="253" w:lineRule="auto"/>
        <w:tabs>
          <w:tab w:leader="none" w:pos="1296" w:val="left"/>
        </w:tabs>
        <w:numPr>
          <w:ilvl w:val="0"/>
          <w:numId w:val="65"/>
        </w:numPr>
        <w:rPr>
          <w:rFonts w:ascii="Arial" w:cs="Arial" w:eastAsia="Arial" w:hAnsi="Arial"/>
          <w:sz w:val="22"/>
          <w:szCs w:val="22"/>
          <w:color w:val="auto"/>
        </w:rPr>
      </w:pPr>
      <w:r>
        <w:rPr>
          <w:rFonts w:ascii="Arial" w:cs="Arial" w:eastAsia="Arial" w:hAnsi="Arial"/>
          <w:sz w:val="22"/>
          <w:szCs w:val="22"/>
          <w:u w:val="single" w:color="auto"/>
          <w:color w:val="auto"/>
        </w:rPr>
        <w:t>Grant Not Transferable</w:t>
      </w:r>
      <w:r>
        <w:rPr>
          <w:rFonts w:ascii="Arial" w:cs="Arial" w:eastAsia="Arial" w:hAnsi="Arial"/>
          <w:sz w:val="22"/>
          <w:szCs w:val="22"/>
          <w:color w:val="auto"/>
        </w:rPr>
        <w:t>. The Stock Units may not be transferred in any manner otherwise than by will or by the laws of descent or distribution. The terms of Stock Units shall be binding upon the executors, administrators, heirs, successors and assigns of Participant.</w:t>
      </w:r>
    </w:p>
    <w:p>
      <w:pPr>
        <w:spacing w:after="0" w:line="185" w:lineRule="exact"/>
        <w:rPr>
          <w:rFonts w:ascii="Arial" w:cs="Arial" w:eastAsia="Arial" w:hAnsi="Arial"/>
          <w:sz w:val="22"/>
          <w:szCs w:val="22"/>
          <w:color w:val="auto"/>
        </w:rPr>
      </w:pPr>
    </w:p>
    <w:p>
      <w:pPr>
        <w:ind w:firstLine="656"/>
        <w:spacing w:after="0" w:line="343" w:lineRule="auto"/>
        <w:tabs>
          <w:tab w:leader="none" w:pos="1296" w:val="left"/>
        </w:tabs>
        <w:numPr>
          <w:ilvl w:val="0"/>
          <w:numId w:val="65"/>
        </w:numPr>
        <w:rPr>
          <w:rFonts w:ascii="Arial" w:cs="Arial" w:eastAsia="Arial" w:hAnsi="Arial"/>
          <w:sz w:val="19"/>
          <w:szCs w:val="19"/>
          <w:color w:val="auto"/>
        </w:rPr>
      </w:pPr>
      <w:r>
        <w:rPr>
          <w:rFonts w:ascii="Arial" w:cs="Arial" w:eastAsia="Arial" w:hAnsi="Arial"/>
          <w:sz w:val="19"/>
          <w:szCs w:val="19"/>
          <w:u w:val="single" w:color="auto"/>
          <w:color w:val="auto"/>
        </w:rPr>
        <w:t>Plan Governs</w:t>
      </w:r>
      <w:r>
        <w:rPr>
          <w:rFonts w:ascii="Arial" w:cs="Arial" w:eastAsia="Arial" w:hAnsi="Arial"/>
          <w:sz w:val="19"/>
          <w:szCs w:val="19"/>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104" w:lineRule="exact"/>
        <w:rPr>
          <w:rFonts w:ascii="Arial" w:cs="Arial" w:eastAsia="Arial" w:hAnsi="Arial"/>
          <w:sz w:val="19"/>
          <w:szCs w:val="19"/>
          <w:color w:val="auto"/>
        </w:rPr>
      </w:pPr>
    </w:p>
    <w:p>
      <w:pPr>
        <w:jc w:val="both"/>
        <w:ind w:firstLine="656"/>
        <w:spacing w:after="0" w:line="253" w:lineRule="auto"/>
        <w:tabs>
          <w:tab w:leader="none" w:pos="1296" w:val="left"/>
        </w:tabs>
        <w:numPr>
          <w:ilvl w:val="0"/>
          <w:numId w:val="65"/>
        </w:numPr>
        <w:rPr>
          <w:rFonts w:ascii="Arial" w:cs="Arial" w:eastAsia="Arial" w:hAnsi="Arial"/>
          <w:sz w:val="22"/>
          <w:szCs w:val="22"/>
          <w:color w:val="auto"/>
        </w:rPr>
      </w:pPr>
      <w:r>
        <w:rPr>
          <w:rFonts w:ascii="Arial" w:cs="Arial" w:eastAsia="Arial" w:hAnsi="Arial"/>
          <w:sz w:val="22"/>
          <w:szCs w:val="22"/>
          <w:u w:val="single" w:color="auto"/>
          <w:color w:val="auto"/>
        </w:rPr>
        <w:t>Binding Agreement</w:t>
      </w:r>
      <w:r>
        <w:rPr>
          <w:rFonts w:ascii="Arial" w:cs="Arial" w:eastAsia="Arial" w:hAnsi="Arial"/>
          <w:sz w:val="22"/>
          <w:szCs w:val="22"/>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85" w:lineRule="exact"/>
        <w:rPr>
          <w:rFonts w:ascii="Arial" w:cs="Arial" w:eastAsia="Arial" w:hAnsi="Arial"/>
          <w:sz w:val="22"/>
          <w:szCs w:val="22"/>
          <w:color w:val="auto"/>
        </w:rPr>
      </w:pPr>
    </w:p>
    <w:p>
      <w:pPr>
        <w:jc w:val="both"/>
        <w:ind w:firstLine="656"/>
        <w:spacing w:after="0" w:line="288" w:lineRule="auto"/>
        <w:tabs>
          <w:tab w:leader="none" w:pos="1296" w:val="left"/>
        </w:tabs>
        <w:numPr>
          <w:ilvl w:val="0"/>
          <w:numId w:val="65"/>
        </w:numPr>
        <w:rPr>
          <w:rFonts w:ascii="Arial" w:cs="Arial" w:eastAsia="Arial" w:hAnsi="Arial"/>
          <w:sz w:val="19"/>
          <w:szCs w:val="19"/>
          <w:color w:val="auto"/>
        </w:rPr>
      </w:pPr>
      <w:r>
        <w:rPr>
          <w:rFonts w:ascii="Arial" w:cs="Arial" w:eastAsia="Arial" w:hAnsi="Arial"/>
          <w:sz w:val="19"/>
          <w:szCs w:val="19"/>
          <w:u w:val="single" w:color="auto"/>
          <w:color w:val="auto"/>
        </w:rPr>
        <w:t>Additional Conditions to Issuance of Stock</w:t>
      </w:r>
      <w:r>
        <w:rPr>
          <w:rFonts w:ascii="Arial" w:cs="Arial" w:eastAsia="Arial" w:hAnsi="Arial"/>
          <w:sz w:val="19"/>
          <w:szCs w:val="19"/>
          <w:color w:val="auto"/>
        </w:rPr>
        <w:t>. If at any time the Company will determine, in its discretion, that the listing, registration or qualification of the Shares upon any securities exchange or under any U.S. or non-U.S. federal, state or local law, or the consent 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U.S. or non-U.S. federal, state or local securities, exchange control or other applicable laws, the Company will defer delivery until the earliest date at which the Company reasonably anticipates that the delivery of Shares will no longer cause such violation. The Company is under no obligation to register or qualify the shares with U.S. or non-U.S. securities commission or to seek approval or clearance from any governmental authority for the issuance or sale of Shares.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20"/>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240"/>
          </w:cols>
          <w:pgMar w:left="320" w:top="1428" w:right="339" w:bottom="1440" w:gutter="0" w:footer="0" w:header="0"/>
        </w:sectPr>
      </w:pPr>
    </w:p>
    <w:bookmarkStart w:id="89" w:name="page90"/>
    <w:bookmarkEnd w:id="89"/>
    <w:p>
      <w:pPr>
        <w:jc w:val="both"/>
        <w:ind w:left="-220" w:firstLine="656"/>
        <w:spacing w:after="0" w:line="294" w:lineRule="auto"/>
        <w:tabs>
          <w:tab w:leader="none" w:pos="1076" w:val="left"/>
        </w:tabs>
        <w:numPr>
          <w:ilvl w:val="0"/>
          <w:numId w:val="66"/>
        </w:numPr>
        <w:rPr>
          <w:rFonts w:ascii="Arial" w:cs="Arial" w:eastAsia="Arial" w:hAnsi="Arial"/>
          <w:sz w:val="19"/>
          <w:szCs w:val="19"/>
          <w:color w:val="auto"/>
        </w:rPr>
      </w:pPr>
      <w:r>
        <w:rPr>
          <w:rFonts w:ascii="Arial" w:cs="Arial" w:eastAsia="Arial" w:hAnsi="Arial"/>
          <w:sz w:val="19"/>
          <w:szCs w:val="19"/>
          <w:u w:val="single" w:color="auto"/>
          <w:color w:val="auto"/>
        </w:rPr>
        <w:t>Administrator Authority</w:t>
      </w:r>
      <w:r>
        <w:rPr>
          <w:rFonts w:ascii="Arial" w:cs="Arial" w:eastAsia="Arial" w:hAnsi="Arial"/>
          <w:sz w:val="19"/>
          <w:szCs w:val="19"/>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Stock Units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49" w:lineRule="exact"/>
        <w:rPr>
          <w:rFonts w:ascii="Arial" w:cs="Arial" w:eastAsia="Arial" w:hAnsi="Arial"/>
          <w:sz w:val="19"/>
          <w:szCs w:val="19"/>
          <w:color w:val="auto"/>
        </w:rPr>
      </w:pPr>
    </w:p>
    <w:p>
      <w:pPr>
        <w:jc w:val="both"/>
        <w:ind w:left="-220" w:firstLine="656"/>
        <w:spacing w:after="0" w:line="248" w:lineRule="auto"/>
        <w:tabs>
          <w:tab w:leader="none" w:pos="1076" w:val="left"/>
        </w:tabs>
        <w:numPr>
          <w:ilvl w:val="0"/>
          <w:numId w:val="66"/>
        </w:numPr>
        <w:rPr>
          <w:rFonts w:ascii="Arial" w:cs="Arial" w:eastAsia="Arial" w:hAnsi="Arial"/>
          <w:sz w:val="22"/>
          <w:szCs w:val="22"/>
          <w:color w:val="auto"/>
        </w:rPr>
      </w:pPr>
      <w:r>
        <w:rPr>
          <w:rFonts w:ascii="Arial" w:cs="Arial" w:eastAsia="Arial" w:hAnsi="Arial"/>
          <w:sz w:val="22"/>
          <w:szCs w:val="22"/>
          <w:u w:val="single" w:color="auto"/>
          <w:color w:val="auto"/>
        </w:rPr>
        <w:t>Electronic Delivery and Acceptance</w:t>
      </w:r>
      <w:r>
        <w:rPr>
          <w:rFonts w:ascii="Arial" w:cs="Arial" w:eastAsia="Arial" w:hAnsi="Arial"/>
          <w:sz w:val="22"/>
          <w:szCs w:val="22"/>
          <w:color w:val="auto"/>
        </w:rPr>
        <w:t>. The Company may, in its sole discretion, decide to deliver any documents related to Stock Units awarded under the Plan or future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third party designated by the Company.</w:t>
      </w:r>
    </w:p>
    <w:p>
      <w:pPr>
        <w:spacing w:after="0" w:line="191" w:lineRule="exact"/>
        <w:rPr>
          <w:rFonts w:ascii="Arial" w:cs="Arial" w:eastAsia="Arial" w:hAnsi="Arial"/>
          <w:sz w:val="22"/>
          <w:szCs w:val="22"/>
          <w:color w:val="auto"/>
        </w:rPr>
      </w:pPr>
    </w:p>
    <w:p>
      <w:pPr>
        <w:ind w:left="-220" w:right="20" w:firstLine="656"/>
        <w:spacing w:after="0" w:line="263" w:lineRule="auto"/>
        <w:tabs>
          <w:tab w:leader="none" w:pos="1076" w:val="left"/>
        </w:tabs>
        <w:numPr>
          <w:ilvl w:val="0"/>
          <w:numId w:val="66"/>
        </w:numPr>
        <w:rPr>
          <w:rFonts w:ascii="Arial" w:cs="Arial" w:eastAsia="Arial" w:hAnsi="Arial"/>
          <w:sz w:val="22"/>
          <w:szCs w:val="22"/>
          <w:color w:val="auto"/>
        </w:rPr>
      </w:pPr>
      <w:r>
        <w:rPr>
          <w:rFonts w:ascii="Arial" w:cs="Arial" w:eastAsia="Arial" w:hAnsi="Arial"/>
          <w:sz w:val="22"/>
          <w:szCs w:val="22"/>
          <w:u w:val="single" w:color="auto"/>
          <w:color w:val="auto"/>
        </w:rPr>
        <w:t>Captions</w:t>
      </w:r>
      <w:r>
        <w:rPr>
          <w:rFonts w:ascii="Arial" w:cs="Arial" w:eastAsia="Arial" w:hAnsi="Arial"/>
          <w:sz w:val="22"/>
          <w:szCs w:val="22"/>
          <w:color w:val="auto"/>
        </w:rPr>
        <w:t>. Captions provided herein are for convenience only and are not to serve as a basis for interpretation or construction of this Agreement.</w:t>
      </w:r>
    </w:p>
    <w:p>
      <w:pPr>
        <w:spacing w:after="0" w:line="174" w:lineRule="exact"/>
        <w:rPr>
          <w:rFonts w:ascii="Arial" w:cs="Arial" w:eastAsia="Arial" w:hAnsi="Arial"/>
          <w:sz w:val="22"/>
          <w:szCs w:val="22"/>
          <w:color w:val="auto"/>
        </w:rPr>
      </w:pPr>
    </w:p>
    <w:p>
      <w:pPr>
        <w:jc w:val="both"/>
        <w:ind w:left="-220" w:firstLine="656"/>
        <w:spacing w:after="0" w:line="253" w:lineRule="auto"/>
        <w:tabs>
          <w:tab w:leader="none" w:pos="1076" w:val="left"/>
        </w:tabs>
        <w:numPr>
          <w:ilvl w:val="0"/>
          <w:numId w:val="66"/>
        </w:numPr>
        <w:rPr>
          <w:rFonts w:ascii="Arial" w:cs="Arial" w:eastAsia="Arial" w:hAnsi="Arial"/>
          <w:sz w:val="22"/>
          <w:szCs w:val="22"/>
          <w:color w:val="auto"/>
        </w:rPr>
      </w:pPr>
      <w:r>
        <w:rPr>
          <w:rFonts w:ascii="Arial" w:cs="Arial" w:eastAsia="Arial" w:hAnsi="Arial"/>
          <w:sz w:val="22"/>
          <w:szCs w:val="22"/>
          <w:u w:val="single" w:color="auto"/>
          <w:color w:val="auto"/>
        </w:rPr>
        <w:t>Agreement Severable</w:t>
      </w:r>
      <w:r>
        <w:rPr>
          <w:rFonts w:ascii="Arial" w:cs="Arial" w:eastAsia="Arial" w:hAnsi="Arial"/>
          <w:sz w:val="22"/>
          <w:szCs w:val="22"/>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85" w:lineRule="exact"/>
        <w:rPr>
          <w:rFonts w:ascii="Arial" w:cs="Arial" w:eastAsia="Arial" w:hAnsi="Arial"/>
          <w:sz w:val="22"/>
          <w:szCs w:val="22"/>
          <w:color w:val="auto"/>
        </w:rPr>
      </w:pPr>
    </w:p>
    <w:p>
      <w:pPr>
        <w:jc w:val="both"/>
        <w:ind w:left="-220" w:firstLine="656"/>
        <w:spacing w:after="0" w:line="294" w:lineRule="auto"/>
        <w:tabs>
          <w:tab w:leader="none" w:pos="1076" w:val="left"/>
        </w:tabs>
        <w:numPr>
          <w:ilvl w:val="0"/>
          <w:numId w:val="66"/>
        </w:numPr>
        <w:rPr>
          <w:rFonts w:ascii="Arial" w:cs="Arial" w:eastAsia="Arial" w:hAnsi="Arial"/>
          <w:sz w:val="19"/>
          <w:szCs w:val="19"/>
          <w:color w:val="auto"/>
        </w:rPr>
      </w:pPr>
      <w:r>
        <w:rPr>
          <w:rFonts w:ascii="Arial" w:cs="Arial" w:eastAsia="Arial" w:hAnsi="Arial"/>
          <w:sz w:val="19"/>
          <w:szCs w:val="19"/>
          <w:u w:val="single" w:color="auto"/>
          <w:color w:val="auto"/>
        </w:rPr>
        <w:t>Entirety; Modifications to Agreement</w:t>
      </w:r>
      <w:r>
        <w:rPr>
          <w:rFonts w:ascii="Arial" w:cs="Arial" w:eastAsia="Arial" w:hAnsi="Arial"/>
          <w:sz w:val="19"/>
          <w:szCs w:val="19"/>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Notwithstanding anything to the contrary in the Plan or this Agreement, if Participant is a U.S. taxpayer, the Company reserves the right to revise this Agreement as it deems necessary or advisable, in its sole discretion and without the consent of Participant, to comply with Section 409A or to otherwise avoid imposition of any additional tax or income recognition under Section 409A in connection to this Award of Stock Units.</w:t>
      </w:r>
    </w:p>
    <w:p>
      <w:pPr>
        <w:spacing w:after="0" w:line="149" w:lineRule="exact"/>
        <w:rPr>
          <w:rFonts w:ascii="Arial" w:cs="Arial" w:eastAsia="Arial" w:hAnsi="Arial"/>
          <w:sz w:val="19"/>
          <w:szCs w:val="19"/>
          <w:color w:val="auto"/>
        </w:rPr>
      </w:pPr>
    </w:p>
    <w:p>
      <w:pPr>
        <w:jc w:val="both"/>
        <w:ind w:left="-220" w:firstLine="656"/>
        <w:spacing w:after="0" w:line="247" w:lineRule="auto"/>
        <w:tabs>
          <w:tab w:leader="none" w:pos="1076" w:val="left"/>
        </w:tabs>
        <w:numPr>
          <w:ilvl w:val="0"/>
          <w:numId w:val="66"/>
        </w:numPr>
        <w:rPr>
          <w:rFonts w:ascii="Arial" w:cs="Arial" w:eastAsia="Arial" w:hAnsi="Arial"/>
          <w:sz w:val="22"/>
          <w:szCs w:val="22"/>
          <w:color w:val="auto"/>
        </w:rPr>
      </w:pPr>
      <w:r>
        <w:rPr>
          <w:rFonts w:ascii="Arial" w:cs="Arial" w:eastAsia="Arial" w:hAnsi="Arial"/>
          <w:sz w:val="22"/>
          <w:szCs w:val="22"/>
          <w:u w:val="single" w:color="auto"/>
          <w:color w:val="auto"/>
        </w:rPr>
        <w:t>Governing Law and Venue</w:t>
      </w:r>
      <w:r>
        <w:rPr>
          <w:rFonts w:ascii="Arial" w:cs="Arial" w:eastAsia="Arial" w:hAnsi="Arial"/>
          <w:sz w:val="22"/>
          <w:szCs w:val="22"/>
          <w:color w:val="auto"/>
        </w:rPr>
        <w:t>. This Agreement shall be governed by the laws of the State of California, without giving effect to the conflict of law principles thereof. For purposes of litigating any dispute that arises under this Award of Stock Units or this Agreement, the parties hereby submit to and consent to the exclusive jurisdiction of the State of California, and agree that such litigation will be conducted exclusively in the courts of Santa Clara County, California, or the federal courts for the United States for the Northern District of California, and no other courts, where this Award of Stock Units is made and/or to be performed.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020"/>
          </w:cols>
          <w:pgMar w:left="540" w:top="1428" w:right="339" w:bottom="1440" w:gutter="0" w:footer="0" w:header="0"/>
        </w:sectPr>
      </w:pPr>
    </w:p>
    <w:bookmarkStart w:id="90" w:name="page91"/>
    <w:bookmarkEnd w:id="90"/>
    <w:p>
      <w:pPr>
        <w:jc w:val="both"/>
        <w:ind w:left="-220" w:firstLine="656"/>
        <w:spacing w:after="0" w:line="263" w:lineRule="auto"/>
        <w:tabs>
          <w:tab w:leader="none" w:pos="1076" w:val="left"/>
        </w:tabs>
        <w:numPr>
          <w:ilvl w:val="0"/>
          <w:numId w:val="67"/>
        </w:numPr>
        <w:rPr>
          <w:rFonts w:ascii="Arial" w:cs="Arial" w:eastAsia="Arial" w:hAnsi="Arial"/>
          <w:sz w:val="21"/>
          <w:szCs w:val="21"/>
          <w:color w:val="auto"/>
        </w:rPr>
      </w:pPr>
      <w:r>
        <w:rPr>
          <w:rFonts w:ascii="Arial" w:cs="Arial" w:eastAsia="Arial" w:hAnsi="Arial"/>
          <w:sz w:val="21"/>
          <w:szCs w:val="21"/>
          <w:u w:val="single" w:color="auto"/>
          <w:color w:val="auto"/>
        </w:rPr>
        <w:t>Language</w:t>
      </w:r>
      <w:r>
        <w:rPr>
          <w:rFonts w:ascii="Arial" w:cs="Arial" w:eastAsia="Arial" w:hAnsi="Arial"/>
          <w:sz w:val="21"/>
          <w:szCs w:val="21"/>
          <w:color w:val="auto"/>
        </w:rPr>
        <w:t>. By accepting the Award of Stock Units, Participant acknowledges that he or she is proficient in the English language or has consulted with an advisor who is sufficiently proficient in English as to allow Participant to understand the content of this Agreement and any other Plan-related materials.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75" w:lineRule="exact"/>
        <w:rPr>
          <w:rFonts w:ascii="Arial" w:cs="Arial" w:eastAsia="Arial" w:hAnsi="Arial"/>
          <w:sz w:val="21"/>
          <w:szCs w:val="21"/>
          <w:color w:val="auto"/>
        </w:rPr>
      </w:pPr>
    </w:p>
    <w:p>
      <w:pPr>
        <w:jc w:val="both"/>
        <w:ind w:left="-220" w:firstLine="656"/>
        <w:spacing w:after="0" w:line="263" w:lineRule="auto"/>
        <w:tabs>
          <w:tab w:leader="none" w:pos="1076" w:val="left"/>
        </w:tabs>
        <w:numPr>
          <w:ilvl w:val="0"/>
          <w:numId w:val="67"/>
        </w:numPr>
        <w:rPr>
          <w:rFonts w:ascii="Arial" w:cs="Arial" w:eastAsia="Arial" w:hAnsi="Arial"/>
          <w:sz w:val="21"/>
          <w:szCs w:val="21"/>
          <w:color w:val="auto"/>
        </w:rPr>
      </w:pPr>
      <w:r>
        <w:rPr>
          <w:rFonts w:ascii="Arial" w:cs="Arial" w:eastAsia="Arial" w:hAnsi="Arial"/>
          <w:sz w:val="21"/>
          <w:szCs w:val="21"/>
          <w:u w:val="single" w:color="auto"/>
          <w:color w:val="auto"/>
        </w:rPr>
        <w:t>Appendix</w:t>
      </w:r>
      <w:r>
        <w:rPr>
          <w:rFonts w:ascii="Arial" w:cs="Arial" w:eastAsia="Arial" w:hAnsi="Arial"/>
          <w:sz w:val="21"/>
          <w:szCs w:val="21"/>
          <w:color w:val="auto"/>
        </w:rPr>
        <w:t>. Notwithstanding any provisions in this Stock Unit Agreement, the Stock Units shall be subject to any additional terms and conditions set forth in any Appendix to this Agreement for Participant’s country. Moreover, if Participant relocates to one of the countries included in the Appendix, the additional terms and conditions for such country will apply to Participant, to the extent the Company determines that the application of such terms and conditions is necessary or advisable for legal or administrative reasons. The Appendix constitutes part of this Agreement.</w:t>
      </w:r>
    </w:p>
    <w:p>
      <w:pPr>
        <w:spacing w:after="0" w:line="175" w:lineRule="exact"/>
        <w:rPr>
          <w:rFonts w:ascii="Arial" w:cs="Arial" w:eastAsia="Arial" w:hAnsi="Arial"/>
          <w:sz w:val="21"/>
          <w:szCs w:val="21"/>
          <w:color w:val="auto"/>
        </w:rPr>
      </w:pPr>
    </w:p>
    <w:p>
      <w:pPr>
        <w:jc w:val="both"/>
        <w:ind w:left="-220" w:firstLine="656"/>
        <w:spacing w:after="0" w:line="287" w:lineRule="auto"/>
        <w:tabs>
          <w:tab w:leader="none" w:pos="1076" w:val="left"/>
        </w:tabs>
        <w:numPr>
          <w:ilvl w:val="0"/>
          <w:numId w:val="67"/>
        </w:numPr>
        <w:rPr>
          <w:rFonts w:ascii="Arial" w:cs="Arial" w:eastAsia="Arial" w:hAnsi="Arial"/>
          <w:sz w:val="19"/>
          <w:szCs w:val="19"/>
          <w:color w:val="auto"/>
        </w:rPr>
      </w:pPr>
      <w:r>
        <w:rPr>
          <w:rFonts w:ascii="Arial" w:cs="Arial" w:eastAsia="Arial" w:hAnsi="Arial"/>
          <w:sz w:val="19"/>
          <w:szCs w:val="19"/>
          <w:u w:val="single" w:color="auto"/>
          <w:color w:val="auto"/>
        </w:rPr>
        <w:t>Insider-Trading/Market-Abuse Laws</w:t>
      </w:r>
      <w:r>
        <w:rPr>
          <w:rFonts w:ascii="Arial" w:cs="Arial" w:eastAsia="Arial" w:hAnsi="Arial"/>
          <w:sz w:val="19"/>
          <w:szCs w:val="19"/>
          <w:color w:val="auto"/>
        </w:rPr>
        <w:t>. Participant acknowledges that he or she may be subject to insider-trading restrictions and/or market-abuse laws in applicable jurisdictions, including the United States and (if different) the Participant’s country, his or her broker’s country and/or the country where the Shares are listed, which may affect his or her ability to accept, acquire, sell or attempt to sell, or otherwise dispose of Shares or right to Shares (</w:t>
      </w:r>
      <w:r>
        <w:rPr>
          <w:rFonts w:ascii="Arial" w:cs="Arial" w:eastAsia="Arial" w:hAnsi="Arial"/>
          <w:sz w:val="19"/>
          <w:szCs w:val="19"/>
          <w:i w:val="1"/>
          <w:iCs w:val="1"/>
          <w:color w:val="auto"/>
        </w:rPr>
        <w:t>e.g.</w:t>
      </w:r>
      <w:r>
        <w:rPr>
          <w:rFonts w:ascii="Arial" w:cs="Arial" w:eastAsia="Arial" w:hAnsi="Arial"/>
          <w:sz w:val="19"/>
          <w:szCs w:val="19"/>
          <w:color w:val="auto"/>
        </w:rPr>
        <w:t>, Stock Units), or rights linked to the value of Shares, during such times as he or she is considered to have “inside information” regarding the Company (as defined by the laws or regulations in the applicable jurisdictions, including the United States and, if different, Participant’s country). Local insider trading laws and regulations may prohibit the cancellation or amendment of orders Participant placed before possessing inside information. Furthermore, Participant may be prohibited from (i) disclosing the inside information to any third party and (ii) “tipping” third parties or causing them to otherwise buy or sell securities (third parties include fellow employees). Any restrictions under these laws or regulations are separate from and in addition to any restrictions that may be imposed under any applicable Company insider-trading policy. Participant is responsible for complying with any applicable restrictions, so Participant should speak to his or her personal legal advisor for further details regarding any applicable insider-trading and/or market-abuse laws in Participant’s country.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020"/>
          </w:cols>
          <w:pgMar w:left="540" w:top="1428" w:right="339" w:bottom="1440" w:gutter="0" w:footer="0" w:header="0"/>
        </w:sectPr>
      </w:pPr>
    </w:p>
    <w:bookmarkStart w:id="91" w:name="page92"/>
    <w:bookmarkEnd w:id="91"/>
    <w:p>
      <w:pPr>
        <w:jc w:val="both"/>
        <w:ind w:left="-220" w:firstLine="656"/>
        <w:spacing w:after="0" w:line="289" w:lineRule="auto"/>
        <w:tabs>
          <w:tab w:leader="none" w:pos="1076" w:val="left"/>
        </w:tabs>
        <w:numPr>
          <w:ilvl w:val="0"/>
          <w:numId w:val="68"/>
        </w:numPr>
        <w:rPr>
          <w:rFonts w:ascii="Arial" w:cs="Arial" w:eastAsia="Arial" w:hAnsi="Arial"/>
          <w:sz w:val="19"/>
          <w:szCs w:val="19"/>
          <w:color w:val="auto"/>
        </w:rPr>
      </w:pPr>
      <w:r>
        <w:rPr>
          <w:rFonts w:ascii="Arial" w:cs="Arial" w:eastAsia="Arial" w:hAnsi="Arial"/>
          <w:sz w:val="19"/>
          <w:szCs w:val="19"/>
          <w:u w:val="single" w:color="auto"/>
          <w:color w:val="auto"/>
        </w:rPr>
        <w:t>Foreign Asset/Account Reporting Requirements; Exchange Controls; Tax Reporting</w:t>
      </w:r>
      <w:r>
        <w:rPr>
          <w:rFonts w:ascii="Arial" w:cs="Arial" w:eastAsia="Arial" w:hAnsi="Arial"/>
          <w:sz w:val="19"/>
          <w:szCs w:val="19"/>
          <w:color w:val="auto"/>
        </w:rPr>
        <w:t>. Participant acknowledges that Participant’s country may have certain foreign asset and/or account reporting requirements, exchange controls and/or tax reporting requirements which may affect Participant’s ability to acquire or hold Shares acquired under the Plan (or cash received from participating in the Plan) in a brokerage or bank account outside of Participant’s country. Participant may be required to report such accounts, assets or transactions to the tax or other authorities in his or her country and/or to pay and/or report applicable taxes due in connection with the Award on his or her own behalf. Participant may also be required to repatriate sale proceeds or other funds received as a result of participating in the Plan to Participant’s country through a designated bank or broker within a certain time after receipt. Participant acknowledges that it is his or her responsibility to be aware of and compliant with such regulations and Participant should speak to his or her personal advisor on this matter.</w:t>
      </w:r>
    </w:p>
    <w:p>
      <w:pPr>
        <w:spacing w:after="0" w:line="156" w:lineRule="exact"/>
        <w:rPr>
          <w:rFonts w:ascii="Arial" w:cs="Arial" w:eastAsia="Arial" w:hAnsi="Arial"/>
          <w:sz w:val="19"/>
          <w:szCs w:val="19"/>
          <w:color w:val="auto"/>
        </w:rPr>
      </w:pPr>
    </w:p>
    <w:p>
      <w:pPr>
        <w:jc w:val="both"/>
        <w:ind w:left="-220" w:firstLine="656"/>
        <w:spacing w:after="0" w:line="253" w:lineRule="auto"/>
        <w:tabs>
          <w:tab w:leader="none" w:pos="1076" w:val="left"/>
        </w:tabs>
        <w:numPr>
          <w:ilvl w:val="0"/>
          <w:numId w:val="68"/>
        </w:numPr>
        <w:rPr>
          <w:rFonts w:ascii="Arial" w:cs="Arial" w:eastAsia="Arial" w:hAnsi="Arial"/>
          <w:sz w:val="22"/>
          <w:szCs w:val="22"/>
          <w:color w:val="auto"/>
        </w:rPr>
      </w:pPr>
      <w:r>
        <w:rPr>
          <w:rFonts w:ascii="Arial" w:cs="Arial" w:eastAsia="Arial" w:hAnsi="Arial"/>
          <w:sz w:val="22"/>
          <w:szCs w:val="22"/>
          <w:u w:val="single" w:color="auto"/>
          <w:color w:val="auto"/>
        </w:rPr>
        <w:t>Waiver</w:t>
      </w:r>
      <w:r>
        <w:rPr>
          <w:rFonts w:ascii="Arial" w:cs="Arial" w:eastAsia="Arial" w:hAnsi="Arial"/>
          <w:sz w:val="22"/>
          <w:szCs w:val="22"/>
          <w:color w:val="auto"/>
        </w:rPr>
        <w:t>. Participant acknowledges that a waiver by the Company of a breach of any provisions of this Agreement shall not operate or be construed as a waiver of any other provision of this Agreement, or of any subsequent breach by Participant or any other participant.</w:t>
      </w:r>
    </w:p>
    <w:p>
      <w:pPr>
        <w:spacing w:after="0" w:line="185" w:lineRule="exact"/>
        <w:rPr>
          <w:rFonts w:ascii="Arial" w:cs="Arial" w:eastAsia="Arial" w:hAnsi="Arial"/>
          <w:sz w:val="22"/>
          <w:szCs w:val="22"/>
          <w:color w:val="auto"/>
        </w:rPr>
      </w:pPr>
    </w:p>
    <w:p>
      <w:pPr>
        <w:jc w:val="both"/>
        <w:ind w:left="-220" w:firstLine="656"/>
        <w:spacing w:after="0" w:line="250" w:lineRule="auto"/>
        <w:tabs>
          <w:tab w:leader="none" w:pos="1076" w:val="left"/>
        </w:tabs>
        <w:numPr>
          <w:ilvl w:val="0"/>
          <w:numId w:val="68"/>
        </w:numPr>
        <w:rPr>
          <w:rFonts w:ascii="Arial" w:cs="Arial" w:eastAsia="Arial" w:hAnsi="Arial"/>
          <w:sz w:val="22"/>
          <w:szCs w:val="22"/>
          <w:color w:val="auto"/>
        </w:rPr>
      </w:pPr>
      <w:r>
        <w:rPr>
          <w:rFonts w:ascii="Arial" w:cs="Arial" w:eastAsia="Arial" w:hAnsi="Arial"/>
          <w:sz w:val="22"/>
          <w:szCs w:val="22"/>
          <w:u w:val="single" w:color="auto"/>
          <w:color w:val="auto"/>
        </w:rPr>
        <w:t>Imposition of Other Requirements</w:t>
      </w:r>
      <w:r>
        <w:rPr>
          <w:rFonts w:ascii="Arial" w:cs="Arial" w:eastAsia="Arial" w:hAnsi="Arial"/>
          <w:sz w:val="22"/>
          <w:szCs w:val="22"/>
          <w:color w:val="auto"/>
        </w:rPr>
        <w:t>. The Company reserves the right to impose other requirements on Participant’s participation in the Plan, on the Stock Units and on any Shares acquired under the Plan, to the extent the Company determines it is necessary or advisable for legal or administrative reasons, and to require Participant to sign any additional agreements or undertakings that may be necessary to accomplish the foregoing.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020"/>
          </w:cols>
          <w:pgMar w:left="540" w:top="1428" w:right="339" w:bottom="1440" w:gutter="0" w:footer="0" w:header="0"/>
        </w:sectPr>
      </w:pPr>
    </w:p>
    <w:bookmarkStart w:id="92" w:name="page93"/>
    <w:bookmarkEnd w:id="92"/>
    <w:p>
      <w:pPr>
        <w:jc w:val="right"/>
        <w:spacing w:after="0"/>
        <w:rPr>
          <w:sz w:val="20"/>
          <w:szCs w:val="20"/>
          <w:color w:val="auto"/>
        </w:rPr>
      </w:pPr>
      <w:r>
        <w:rPr>
          <w:rFonts w:ascii="Arial" w:cs="Arial" w:eastAsia="Arial" w:hAnsi="Arial"/>
          <w:sz w:val="18"/>
          <w:szCs w:val="18"/>
          <w:b w:val="1"/>
          <w:bCs w:val="1"/>
          <w:color w:val="auto"/>
        </w:rPr>
        <w:t>Exhibit 10.3</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ind w:left="3940"/>
        <w:spacing w:after="0"/>
        <w:rPr>
          <w:sz w:val="20"/>
          <w:szCs w:val="20"/>
          <w:color w:val="auto"/>
        </w:rPr>
      </w:pPr>
      <w:r>
        <w:rPr>
          <w:rFonts w:ascii="Arial" w:cs="Arial" w:eastAsia="Arial" w:hAnsi="Arial"/>
          <w:sz w:val="18"/>
          <w:szCs w:val="18"/>
          <w:b w:val="1"/>
          <w:bCs w:val="1"/>
          <w:color w:val="auto"/>
        </w:rPr>
        <w:t xml:space="preserve">2000 </w:t>
      </w:r>
      <w:r>
        <w:rPr>
          <w:rFonts w:ascii="Arial" w:cs="Arial" w:eastAsia="Arial" w:hAnsi="Arial"/>
          <w:sz w:val="16"/>
          <w:szCs w:val="16"/>
          <w:b w:val="1"/>
          <w:bCs w:val="1"/>
          <w:color w:val="auto"/>
        </w:rPr>
        <w:t>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 xml:space="preserve">Enrollment Date: </w:t>
      </w:r>
      <w:r>
        <w:rPr>
          <w:rFonts w:ascii="Arial" w:cs="Arial" w:eastAsia="Arial" w:hAnsi="Arial"/>
          <w:sz w:val="14"/>
          <w:szCs w:val="14"/>
          <w:b w:val="1"/>
          <w:bCs w:val="1"/>
          <w:color w:val="auto"/>
        </w:rPr>
        <w:t>_</w:t>
      </w:r>
      <w:r>
        <w:rPr>
          <w:rFonts w:ascii="Arial" w:cs="Arial" w:eastAsia="Arial" w:hAnsi="Arial"/>
          <w:sz w:val="18"/>
          <w:szCs w:val="18"/>
          <w:b w:val="1"/>
          <w:bCs w:val="1"/>
          <w:color w:val="auto"/>
        </w:rPr>
        <w:t>I understand that this Subscription Agreement shall remain in effect throughout successive Offering Periods unless terminated or unless i am required to sign a new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927735</wp:posOffset>
            </wp:positionH>
            <wp:positionV relativeFrom="paragraph">
              <wp:posOffset>-185420</wp:posOffset>
            </wp:positionV>
            <wp:extent cx="254000"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254000" cy="8255"/>
                    </a:xfrm>
                    <a:prstGeom prst="rect">
                      <a:avLst/>
                    </a:prstGeom>
                    <a:noFill/>
                  </pic:spPr>
                </pic:pic>
              </a:graphicData>
            </a:graphic>
          </wp:anchor>
        </w:drawing>
      </w:r>
    </w:p>
    <w:p>
      <w:pPr>
        <w:spacing w:after="0" w:line="200" w:lineRule="exact"/>
        <w:rPr>
          <w:sz w:val="20"/>
          <w:szCs w:val="20"/>
          <w:color w:val="auto"/>
        </w:rPr>
      </w:pPr>
    </w:p>
    <w:p>
      <w:pPr>
        <w:spacing w:after="0" w:line="216" w:lineRule="exact"/>
        <w:rPr>
          <w:sz w:val="20"/>
          <w:szCs w:val="20"/>
          <w:color w:val="auto"/>
        </w:rPr>
      </w:pPr>
    </w:p>
    <w:p>
      <w:pPr>
        <w:jc w:val="both"/>
        <w:ind w:left="340" w:hanging="332"/>
        <w:spacing w:after="0" w:line="259" w:lineRule="auto"/>
        <w:tabs>
          <w:tab w:leader="none" w:pos="3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Group Ltd. 2000 Employee Stock Purchase Plan, as may be amended and restated from time to time (the “Stock Purchase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213" w:lineRule="exact"/>
        <w:rPr>
          <w:rFonts w:ascii="Arial" w:cs="Arial" w:eastAsia="Arial" w:hAnsi="Arial"/>
          <w:sz w:val="18"/>
          <w:szCs w:val="18"/>
          <w:color w:val="auto"/>
        </w:rPr>
      </w:pPr>
    </w:p>
    <w:p>
      <w:pPr>
        <w:jc w:val="both"/>
        <w:ind w:left="340" w:hanging="332"/>
        <w:spacing w:after="0" w:line="259" w:lineRule="auto"/>
        <w:tabs>
          <w:tab w:leader="none" w:pos="3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I hereby authorize Payroll deductions from each paycheck in the amount of ______% (maximum 15%, in whole percentages only) of my Payroll on each payday during the Offering Period in accordance with the Stock Purchase Plan. (No fractional percentages are permitted.) Such deductions are to continue for succeeding Offering Periods until I give written instructions for a change in or termination of such deductions or my participation is otherwise terminated in accordance with the Stock Purchase Plan.</w:t>
      </w:r>
    </w:p>
    <w:p>
      <w:pPr>
        <w:spacing w:after="0" w:line="213" w:lineRule="exact"/>
        <w:rPr>
          <w:rFonts w:ascii="Arial" w:cs="Arial" w:eastAsia="Arial" w:hAnsi="Arial"/>
          <w:sz w:val="18"/>
          <w:szCs w:val="18"/>
          <w:color w:val="auto"/>
        </w:rPr>
      </w:pPr>
    </w:p>
    <w:p>
      <w:pPr>
        <w:jc w:val="both"/>
        <w:ind w:left="340" w:hanging="332"/>
        <w:spacing w:after="0" w:line="271" w:lineRule="auto"/>
        <w:tabs>
          <w:tab w:leader="none" w:pos="340" w:val="left"/>
        </w:tabs>
        <w:numPr>
          <w:ilvl w:val="0"/>
          <w:numId w:val="69"/>
        </w:numPr>
        <w:rPr>
          <w:rFonts w:ascii="Arial" w:cs="Arial" w:eastAsia="Arial" w:hAnsi="Arial"/>
          <w:sz w:val="17"/>
          <w:szCs w:val="17"/>
          <w:color w:val="auto"/>
        </w:rPr>
      </w:pPr>
      <w:r>
        <w:rPr>
          <w:rFonts w:ascii="Arial" w:cs="Arial" w:eastAsia="Arial" w:hAnsi="Arial"/>
          <w:sz w:val="17"/>
          <w:szCs w:val="17"/>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withdraw from the Stock Purchase Plan by giving written notice to the Company for such purpose at least 15 days before the Purchase Date or unless my participation in the Stock Purchase Plan is otherwise terminated.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I understand that the duration of Offering Periods (including the commencement dates thereof) shall be subject to change by the Administrator in accordance with Sections 4 and 18 of the Stock Purchase Plan.</w:t>
      </w:r>
    </w:p>
    <w:p>
      <w:pPr>
        <w:spacing w:after="0" w:line="205" w:lineRule="exact"/>
        <w:rPr>
          <w:rFonts w:ascii="Arial" w:cs="Arial" w:eastAsia="Arial" w:hAnsi="Arial"/>
          <w:sz w:val="17"/>
          <w:szCs w:val="17"/>
          <w:color w:val="auto"/>
        </w:rPr>
      </w:pPr>
    </w:p>
    <w:p>
      <w:pPr>
        <w:ind w:left="340" w:hanging="332"/>
        <w:spacing w:after="0" w:line="308" w:lineRule="auto"/>
        <w:tabs>
          <w:tab w:leader="none" w:pos="340" w:val="left"/>
        </w:tabs>
        <w:numPr>
          <w:ilvl w:val="0"/>
          <w:numId w:val="69"/>
        </w:numPr>
        <w:rPr>
          <w:rFonts w:ascii="Arial" w:cs="Arial" w:eastAsia="Arial" w:hAnsi="Arial"/>
          <w:sz w:val="17"/>
          <w:szCs w:val="17"/>
          <w:color w:val="auto"/>
        </w:rPr>
      </w:pPr>
      <w:r>
        <w:rPr>
          <w:rFonts w:ascii="Arial" w:cs="Arial" w:eastAsia="Arial" w:hAnsi="Arial"/>
          <w:sz w:val="17"/>
          <w:szCs w:val="17"/>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173" w:lineRule="exact"/>
        <w:rPr>
          <w:rFonts w:ascii="Arial" w:cs="Arial" w:eastAsia="Arial" w:hAnsi="Arial"/>
          <w:sz w:val="17"/>
          <w:szCs w:val="17"/>
          <w:color w:val="auto"/>
        </w:rPr>
      </w:pPr>
    </w:p>
    <w:p>
      <w:pPr>
        <w:jc w:val="both"/>
        <w:ind w:left="340" w:hanging="332"/>
        <w:spacing w:after="0" w:line="257" w:lineRule="auto"/>
        <w:tabs>
          <w:tab w:leader="none" w:pos="3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I understand that during subsequent Offering Periods my participation in the Stock Purchase Plan will continue to be governed by this Subscription Agreement, including the Addendum, and the Stock Purchase Plan. Further, I understand that at its discretion and to the extent permitted by the Stock Purchase Plan, the Company may amend the Stock Purchase Plan and/or this Subscription Agreement, and by continuing to participate in the Stock Purchase Plan, and without the need to provide affirmative consent, I agree to the terms and conditions of the amended Stock Purchase Plan and/or Subscription Agreement.</w:t>
      </w:r>
    </w:p>
    <w:p>
      <w:pPr>
        <w:spacing w:after="0" w:line="214" w:lineRule="exact"/>
        <w:rPr>
          <w:rFonts w:ascii="Arial" w:cs="Arial" w:eastAsia="Arial" w:hAnsi="Arial"/>
          <w:sz w:val="18"/>
          <w:szCs w:val="18"/>
          <w:color w:val="auto"/>
        </w:rPr>
      </w:pPr>
    </w:p>
    <w:p>
      <w:pPr>
        <w:jc w:val="both"/>
        <w:ind w:left="340" w:hanging="332"/>
        <w:spacing w:after="0" w:line="288" w:lineRule="auto"/>
        <w:tabs>
          <w:tab w:leader="none" w:pos="340" w:val="left"/>
        </w:tabs>
        <w:numPr>
          <w:ilvl w:val="0"/>
          <w:numId w:val="69"/>
        </w:numPr>
        <w:rPr>
          <w:rFonts w:ascii="Arial" w:cs="Arial" w:eastAsia="Arial" w:hAnsi="Arial"/>
          <w:sz w:val="16"/>
          <w:szCs w:val="16"/>
          <w:color w:val="auto"/>
        </w:rPr>
      </w:pPr>
      <w:r>
        <w:rPr>
          <w:rFonts w:ascii="Arial" w:cs="Arial" w:eastAsia="Arial" w:hAnsi="Arial"/>
          <w:sz w:val="16"/>
          <w:szCs w:val="16"/>
          <w:color w:val="auto"/>
        </w:rPr>
        <w:t>I acknowledge that, regardless of any action taken by the Company or my employer, if different (the “Employer”), the ultimate liability for all income tax, social insurance, payroll tax, fringe benefits tax, payment on account or other tax-related items related to my participation in the Stock Purchase Plan and legally applicable to me (“Tax-Related Items”) is and remains my responsibility and may exceed the amount, if any, actually withheld by the Company or the Employer. I further acknowledge that the Company and/or the Employer (i)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 Purchase Plan, the subsequent sale of shares of Common Stock acquired under the Stock Purchase Plan and the receipt of any dividends; and (ii) do not commit to and are under no obligation to structure the terms of the grant or any aspect of the Purchase Right to reduce or eliminate my liability for Tax-Related Items or achieve any particular tax result. Further, I acknowledges that if I am subject to Tax-Related Items in more than one jurisdiction, the Company and/or the Employer (or former employer, as applicable) may be required to withhold or account for Tax-Related Items in more than one jurisdiction.</w:t>
      </w:r>
    </w:p>
    <w:p>
      <w:pPr>
        <w:sectPr>
          <w:pgSz w:w="11900" w:h="16838" w:orient="portrait"/>
          <w:cols w:equalWidth="0" w:num="1">
            <w:col w:w="11240"/>
          </w:cols>
          <w:pgMar w:left="320" w:top="769" w:right="339" w:bottom="1440" w:gutter="0" w:footer="0" w:header="0"/>
        </w:sectPr>
      </w:pPr>
    </w:p>
    <w:bookmarkStart w:id="93" w:name="page94"/>
    <w:bookmarkEnd w:id="93"/>
    <w:p>
      <w:pPr>
        <w:jc w:val="both"/>
        <w:ind w:hanging="26"/>
        <w:spacing w:after="0" w:line="271" w:lineRule="auto"/>
        <w:rPr>
          <w:sz w:val="20"/>
          <w:szCs w:val="20"/>
          <w:color w:val="auto"/>
        </w:rPr>
      </w:pPr>
      <w:r>
        <w:rPr>
          <w:rFonts w:ascii="Arial" w:cs="Arial" w:eastAsia="Arial" w:hAnsi="Arial"/>
          <w:sz w:val="17"/>
          <w:szCs w:val="17"/>
          <w:color w:val="auto"/>
        </w:rPr>
        <w:t>Prior to any relevant taxable or tax withholding event, as applicable, I will make adequate arrangements satisfactory to the Company and/or the Employer to satisfy all Tax-Related Items. In this regard, I authorize the Company and/or the Employer, or their respective agents, at their discretion, to satisfy their withholding obligations, if any, with regard to all applicable Tax-Related Items by one or a combination of the following: (a) withholding from my wages or other cash compensation payable to me by the Company and/or the Employer; (b) withholding from proceeds of the sale of shares of Common Stock acquired upon exercise of the Purchase Right either through a voluntary sale or through a mandatory sale arranged by the Company (on my behalf pursuant to this authorization); or (c) withholding shares of Common Stock to be issued upon exercise of the Purchase Right, provided, however, that if I am a Section 16 officer of the Company, withholding shares of Common Stock will be subject to approval by the Board to the extent required under applicable law.</w:t>
      </w:r>
    </w:p>
    <w:p>
      <w:pPr>
        <w:spacing w:after="0" w:line="205" w:lineRule="exact"/>
        <w:rPr>
          <w:sz w:val="20"/>
          <w:szCs w:val="20"/>
          <w:color w:val="auto"/>
        </w:rPr>
      </w:pPr>
    </w:p>
    <w:p>
      <w:pPr>
        <w:jc w:val="both"/>
        <w:ind w:hanging="146"/>
        <w:spacing w:after="0" w:line="273" w:lineRule="auto"/>
        <w:rPr>
          <w:sz w:val="20"/>
          <w:szCs w:val="20"/>
          <w:color w:val="auto"/>
        </w:rPr>
      </w:pPr>
      <w:r>
        <w:rPr>
          <w:rFonts w:ascii="Arial" w:cs="Arial" w:eastAsia="Arial" w:hAnsi="Arial"/>
          <w:sz w:val="17"/>
          <w:szCs w:val="17"/>
          <w:color w:val="auto"/>
        </w:rPr>
        <w:t>The Company may withhold or account for Tax-Related Items by considering minimum statutory withholding rates or other applicable withholding rates, including maximum rates applicable in my jurisdiction(s), in which case I may receive a refund of any over-withheld amount in cash and will have no entitlement to the Common Stock equivalent. If I do not receive a refund of any over-withheld amount from the Company or the Employer, I may seek a refund from the applicable tax authorities. If the obligation for Tax-Related Items is satisfied by withholding shares of Common Stock, for tax purposes, I will be deemed to have been issued the full number of shares of Common Stock subject to the exercised Purchase Right, notwithstanding that a number of shares of Common Stock is held back solely for the purpose of paying the Tax-Related Items.</w:t>
      </w:r>
    </w:p>
    <w:p>
      <w:pPr>
        <w:spacing w:after="0" w:line="205" w:lineRule="exact"/>
        <w:rPr>
          <w:sz w:val="20"/>
          <w:szCs w:val="20"/>
          <w:color w:val="auto"/>
        </w:rPr>
      </w:pPr>
    </w:p>
    <w:p>
      <w:pPr>
        <w:jc w:val="both"/>
        <w:ind w:hanging="139"/>
        <w:spacing w:after="0" w:line="279" w:lineRule="auto"/>
        <w:rPr>
          <w:sz w:val="20"/>
          <w:szCs w:val="20"/>
          <w:color w:val="auto"/>
        </w:rPr>
      </w:pPr>
      <w:r>
        <w:rPr>
          <w:rFonts w:ascii="Arial" w:cs="Arial" w:eastAsia="Arial" w:hAnsi="Arial"/>
          <w:sz w:val="17"/>
          <w:szCs w:val="17"/>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make satisfactory arrangements to satisfy applicable withholding obligations for Tax-Related Items.</w:t>
      </w:r>
    </w:p>
    <w:p>
      <w:pPr>
        <w:sectPr>
          <w:pgSz w:w="11900" w:h="16838" w:orient="portrait"/>
          <w:cols w:equalWidth="0" w:num="1">
            <w:col w:w="10900"/>
          </w:cols>
          <w:pgMar w:left="660" w:top="773" w:right="339" w:bottom="1440" w:gutter="0" w:footer="0" w:header="0"/>
        </w:sectPr>
      </w:pPr>
    </w:p>
    <w:bookmarkStart w:id="94" w:name="page95"/>
    <w:bookmarkEnd w:id="94"/>
    <w:p>
      <w:pPr>
        <w:jc w:val="both"/>
        <w:ind w:left="332" w:hanging="332"/>
        <w:spacing w:after="0" w:line="283" w:lineRule="auto"/>
        <w:tabs>
          <w:tab w:leader="none" w:pos="332" w:val="left"/>
        </w:tabs>
        <w:numPr>
          <w:ilvl w:val="0"/>
          <w:numId w:val="70"/>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to the extent provided in the Stock Purchase Plan; (b) the grant of the Purchase Right is exceptional, voluntary and occasional and does not create any contractual or other right to receive future Purchase Rights, or benefits in lieu of Purchase Rights, even if Purchase Rights have been granted in the past; (c) all decisions with respect to future grants of Purchase Rights, if any, will be at the sole discretion of the Company; (d) my participation in the Stock Purchase Plan shall not create a right to further employment or be interpreted as forming or amending an employment or service relationship with the Company, the Employer or any other Parent or Subsidiary and shall not interfere with the ability of the Employer to terminate my employment or other service relationship (if any) at any time; (e) I am voluntarily participating in the Stock Purchase Plan; (f) the Purchase Right and the shares of Common Stock subject to the Purchase Right, and the income from and value of same, are not intended to replace any pension rights or compensation;</w:t>
      </w:r>
    </w:p>
    <w:p>
      <w:pPr>
        <w:spacing w:after="0" w:line="5" w:lineRule="exact"/>
        <w:rPr>
          <w:rFonts w:ascii="Arial" w:cs="Arial" w:eastAsia="Arial" w:hAnsi="Arial"/>
          <w:sz w:val="16"/>
          <w:szCs w:val="16"/>
          <w:color w:val="auto"/>
        </w:rPr>
      </w:pPr>
    </w:p>
    <w:p>
      <w:pPr>
        <w:jc w:val="both"/>
        <w:ind w:left="332"/>
        <w:spacing w:after="0" w:line="283" w:lineRule="auto"/>
        <w:rPr>
          <w:rFonts w:ascii="Arial" w:cs="Arial" w:eastAsia="Arial" w:hAnsi="Arial"/>
          <w:sz w:val="16"/>
          <w:szCs w:val="16"/>
          <w:color w:val="auto"/>
        </w:rPr>
      </w:pPr>
      <w:r>
        <w:rPr>
          <w:rFonts w:ascii="Arial" w:cs="Arial" w:eastAsia="Arial" w:hAnsi="Arial"/>
          <w:sz w:val="16"/>
          <w:szCs w:val="16"/>
          <w:color w:val="auto"/>
        </w:rPr>
        <w:t>(g) the Purchase Right and the shares of Common Stock subject to the Purchase Right, and the income from and value of same, are not part of normal or expected compensation or salary for any purpose including, but not limited to, calculating any severance, resignation, termination, redundancy, dismissal, end of service payments, holiday pay, bonuses, long-service awards, leave-related payments, holiday top-up, pension or retirement, or welfare benefits or similar mandatory payments; (h) unless otherwise agreed in writing with the Company, the Purchase Right the shares of Common Stock subject to the Purchase Right, and the income from and value of same, are not granted in consideration for, or in connection with, any service I may provide as a director of any Parent or Subsidiary; (i) the future value of the shares of Common Stock purchased or to be purchased under the Stock Purchase Plan is unknown, indeterminable, and cannot be predicted with certainty; (j) if shares of Common Stock are purchased for me on a Purchase Date, the value of those shares of Common Stock acquired under the Stock Purchase Plan may increase or decrease in value, even below the purchase price; (k) no claim or entitlement to compensation or damages shall arise from forfeiture of the Purchase Right resulting from (i) the application of any recoupment or recovery policy adopted by the Company or otherwise required by law, or (ii) termination of my Continuous Employment (for any reason whatsoever, whether or not later found invalid or in breach of local labor laws in the jurisdiction where I am employed or the terms of my employment contract, if any); (l) in the event of termination of my Continuous Employment (regardless of the reason for the termination and whether or not such termination is later found to be invalid or in breach of employment laws in the jurisdiction where I am employed or the terms of my employment contract, if any), my right to participate in and to purchase shares of Common Stock under the Stock Purchase Plan, if any, will terminate effective as of the date that I am no longer actively providing services to the Employer, the Company or any other Parent or Subsidiary, and will not be extended by any notice period (e.g., the period of my Continuous Employment would not include any contractual notice period or any period of “garden leave” or similar period mandated under local law or my employment contract, if any); the Administrator shall have the exclusive discretion to determine when I am no longer actively employed for purposes of my participation in the Stock Purchase Plan (including whether I may still be considered to be providing services while on a leave of absence); (m) unless otherwise provided in the Stock Purchase Plan or by the Company in its discretion, the Purchase Right and the benefits under the Stock Purchase Plan, if any, will not automatically transfer to another company in the case of a merger, take-over, or transfer of liability; and (n) neither the Company, the Employer, nor any other Parent or Subsidiary shall be liable for any foreign exchange rate fluctuation between my local currency (if not the United States dollar) and the United States dollar that may affect the value of the Purchase Right or of any amounts due to me pursuant to the purchase of shares or the subsequent sale of any shares purchased under the Stock Purchase Plan.</w:t>
      </w:r>
    </w:p>
    <w:p>
      <w:pPr>
        <w:spacing w:after="0" w:line="200" w:lineRule="exact"/>
        <w:rPr>
          <w:rFonts w:ascii="Arial" w:cs="Arial" w:eastAsia="Arial" w:hAnsi="Arial"/>
          <w:sz w:val="16"/>
          <w:szCs w:val="16"/>
          <w:color w:val="auto"/>
        </w:rPr>
      </w:pPr>
    </w:p>
    <w:p>
      <w:pPr>
        <w:spacing w:after="0" w:line="222" w:lineRule="exact"/>
        <w:rPr>
          <w:rFonts w:ascii="Arial" w:cs="Arial" w:eastAsia="Arial" w:hAnsi="Arial"/>
          <w:sz w:val="16"/>
          <w:szCs w:val="16"/>
          <w:color w:val="auto"/>
        </w:rPr>
      </w:pPr>
    </w:p>
    <w:p>
      <w:pPr>
        <w:jc w:val="both"/>
        <w:ind w:left="332" w:hanging="332"/>
        <w:spacing w:after="0" w:line="286" w:lineRule="auto"/>
        <w:tabs>
          <w:tab w:leader="none" w:pos="332" w:val="left"/>
        </w:tabs>
        <w:numPr>
          <w:ilvl w:val="0"/>
          <w:numId w:val="70"/>
        </w:numPr>
        <w:rPr>
          <w:rFonts w:ascii="Arial" w:cs="Arial" w:eastAsia="Arial" w:hAnsi="Arial"/>
          <w:sz w:val="17"/>
          <w:szCs w:val="17"/>
          <w:color w:val="auto"/>
        </w:rPr>
      </w:pPr>
      <w:r>
        <w:rPr>
          <w:rFonts w:ascii="Arial" w:cs="Arial" w:eastAsia="Arial" w:hAnsi="Arial"/>
          <w:sz w:val="17"/>
          <w:szCs w:val="17"/>
          <w:color w:val="auto"/>
        </w:rPr>
        <w:t>The Company is not providing any tax, legal, or financial advice, nor is the Company making any recommendations regarding my participation in the Stock Purchase Plan, or my acquisition or sale of the underlying shares of Common Stock. I should consult with my own personal tax, legal, and financial advisors regarding my participation in the Stock Purchase Plan before taking any action related to the Stock Purchase Plan.</w:t>
      </w:r>
    </w:p>
    <w:p>
      <w:pPr>
        <w:spacing w:after="0" w:line="188" w:lineRule="exact"/>
        <w:rPr>
          <w:rFonts w:ascii="Arial" w:cs="Arial" w:eastAsia="Arial" w:hAnsi="Arial"/>
          <w:sz w:val="17"/>
          <w:szCs w:val="17"/>
          <w:color w:val="auto"/>
        </w:rPr>
      </w:pPr>
    </w:p>
    <w:p>
      <w:pPr>
        <w:jc w:val="both"/>
        <w:ind w:left="332" w:hanging="332"/>
        <w:spacing w:after="0" w:line="274" w:lineRule="auto"/>
        <w:tabs>
          <w:tab w:leader="none" w:pos="332" w:val="left"/>
        </w:tabs>
        <w:numPr>
          <w:ilvl w:val="0"/>
          <w:numId w:val="70"/>
        </w:numPr>
        <w:rPr>
          <w:rFonts w:ascii="Arial" w:cs="Arial" w:eastAsia="Arial" w:hAnsi="Arial"/>
          <w:sz w:val="17"/>
          <w:szCs w:val="17"/>
          <w:color w:val="auto"/>
        </w:rPr>
      </w:pPr>
      <w:r>
        <w:rPr>
          <w:rFonts w:ascii="Arial" w:cs="Arial" w:eastAsia="Arial" w:hAnsi="Arial"/>
          <w:sz w:val="17"/>
          <w:szCs w:val="17"/>
          <w:b w:val="1"/>
          <w:bCs w:val="1"/>
          <w:color w:val="auto"/>
        </w:rPr>
        <w:t>Data Collection and Usage</w:t>
      </w:r>
      <w:r>
        <w:rPr>
          <w:rFonts w:ascii="Arial" w:cs="Arial" w:eastAsia="Arial" w:hAnsi="Arial"/>
          <w:sz w:val="17"/>
          <w:szCs w:val="17"/>
          <w:b w:val="1"/>
          <w:bCs w:val="1"/>
          <w:i w:val="1"/>
          <w:iCs w:val="1"/>
          <w:color w:val="auto"/>
        </w:rPr>
        <w:t>. The Company and the Employer collect, process and use certain personal information about me, including, but not</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limited to, my name, home address, telephone number, email address, date of birth, social insurance number, passport or other identification number, salary, nationality, job title, any shares of Common Stock or directorships held in the Company, details of all Purchase Rights or any other entitlement to shares of Common Stock or equivalent benefits awarded, canceled, exercised, vested, unvested or outstanding in my favor (“Data”), for purposes of implementing, administering and managing the Stock Purchase Plan. The legal basis, where required, for the processing of Data is my consent.</w:t>
      </w:r>
    </w:p>
    <w:p>
      <w:pPr>
        <w:spacing w:after="0" w:line="200" w:lineRule="exact"/>
        <w:rPr>
          <w:rFonts w:ascii="Arial" w:cs="Arial" w:eastAsia="Arial" w:hAnsi="Arial"/>
          <w:sz w:val="17"/>
          <w:szCs w:val="17"/>
          <w:color w:val="auto"/>
        </w:rPr>
      </w:pPr>
    </w:p>
    <w:p>
      <w:pPr>
        <w:jc w:val="both"/>
        <w:ind w:left="332"/>
        <w:spacing w:after="0" w:line="256" w:lineRule="auto"/>
        <w:rPr>
          <w:rFonts w:ascii="Arial" w:cs="Arial" w:eastAsia="Arial" w:hAnsi="Arial"/>
          <w:sz w:val="17"/>
          <w:szCs w:val="17"/>
          <w:color w:val="auto"/>
        </w:rPr>
      </w:pPr>
      <w:r>
        <w:rPr>
          <w:rFonts w:ascii="Arial" w:cs="Arial" w:eastAsia="Arial" w:hAnsi="Arial"/>
          <w:sz w:val="18"/>
          <w:szCs w:val="18"/>
          <w:b w:val="1"/>
          <w:bCs w:val="1"/>
          <w:color w:val="auto"/>
        </w:rPr>
        <w:t>Stock Plan Administration Service Providers</w:t>
      </w:r>
      <w:r>
        <w:rPr>
          <w:rFonts w:ascii="Arial" w:cs="Arial" w:eastAsia="Arial" w:hAnsi="Arial"/>
          <w:sz w:val="18"/>
          <w:szCs w:val="18"/>
          <w:b w:val="1"/>
          <w:bCs w:val="1"/>
          <w:i w:val="1"/>
          <w:iCs w:val="1"/>
          <w:color w:val="auto"/>
        </w:rPr>
        <w:t>. The Company transfers Data to [E*TRADE Financial Corporate Services, Inc.] and certain of its</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affiliated companies (the “Designated Broker”), an independent service provider based in the United States, which is assisting the Company with the implementation, administration and management of the Stock Purchase Plan. I may be asked to agree on separate terms and data processing practices with the Designated Broker, with such agreement being a condition to the ability to participate in the Stock Purchase Plan. In the future, the Company may select a different service provider or additional service providers and share Data with such other provider(s) serving in a similar manner.</w:t>
      </w:r>
    </w:p>
    <w:p>
      <w:pPr>
        <w:sectPr>
          <w:pgSz w:w="11900" w:h="16838" w:orient="portrait"/>
          <w:cols w:equalWidth="0" w:num="1">
            <w:col w:w="11232"/>
          </w:cols>
          <w:pgMar w:left="328" w:top="773" w:right="339" w:bottom="1440" w:gutter="0" w:footer="0" w:header="0"/>
        </w:sectPr>
      </w:pPr>
    </w:p>
    <w:bookmarkStart w:id="95" w:name="page96"/>
    <w:bookmarkEnd w:id="95"/>
    <w:p>
      <w:pPr>
        <w:jc w:val="both"/>
        <w:ind w:left="332" w:hanging="130"/>
        <w:spacing w:after="0" w:line="289" w:lineRule="auto"/>
        <w:rPr>
          <w:sz w:val="20"/>
          <w:szCs w:val="20"/>
          <w:color w:val="auto"/>
        </w:rPr>
      </w:pPr>
      <w:r>
        <w:rPr>
          <w:rFonts w:ascii="Arial" w:cs="Arial" w:eastAsia="Arial" w:hAnsi="Arial"/>
          <w:sz w:val="16"/>
          <w:szCs w:val="16"/>
          <w:b w:val="1"/>
          <w:bCs w:val="1"/>
          <w:color w:val="auto"/>
        </w:rPr>
        <w:t>International Data Transfers</w:t>
      </w:r>
      <w:r>
        <w:rPr>
          <w:rFonts w:ascii="Arial" w:cs="Arial" w:eastAsia="Arial" w:hAnsi="Arial"/>
          <w:sz w:val="16"/>
          <w:szCs w:val="16"/>
          <w:b w:val="1"/>
          <w:bCs w:val="1"/>
          <w:i w:val="1"/>
          <w:iCs w:val="1"/>
          <w:color w:val="auto"/>
        </w:rPr>
        <w:t>. If I reside, work or am otherwise located outside of Bermuda and/or the United States, Data will be transferred from</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my country to Bermuda and the United States, where the Company and the Designated Broker, respectively, are based. My country or jurisdiction may have different data privacy laws and protections than Bermuda and the United States. If I am located in the European Union (“EU”) and/or European Economic Area (“EEA”), I understands and acknowledges that Bermuda and the United States are not subject to an unlimited adequacy finding by the European Commission and might not provide a level of protection of personal data equivalent to the level of protection in my country. As a result, in the absence of a self-certification of the data recipient in the United States under the EU-U.S. Privacy Shield Framework or the implementation of appropriate safeguards such as the Standard Contractual Clauses or binding corporate rules adopted by the EU Commission, the processing of personal data might not be subject to substantive data processing principles or supervision by data protection authorities. In addition, data subjects might have no, or less, enforceable rights regarding the processing of my personal data. The Company’s legal basis for the transfer of Data, where required, is my consent.</w:t>
      </w:r>
    </w:p>
    <w:p>
      <w:pPr>
        <w:spacing w:after="0" w:line="188" w:lineRule="exact"/>
        <w:rPr>
          <w:sz w:val="20"/>
          <w:szCs w:val="20"/>
          <w:color w:val="auto"/>
        </w:rPr>
      </w:pPr>
    </w:p>
    <w:p>
      <w:pPr>
        <w:jc w:val="both"/>
        <w:ind w:left="332" w:hanging="89"/>
        <w:spacing w:after="0" w:line="266" w:lineRule="auto"/>
        <w:rPr>
          <w:sz w:val="20"/>
          <w:szCs w:val="20"/>
          <w:color w:val="auto"/>
        </w:rPr>
      </w:pPr>
      <w:r>
        <w:rPr>
          <w:rFonts w:ascii="Arial" w:cs="Arial" w:eastAsia="Arial" w:hAnsi="Arial"/>
          <w:sz w:val="18"/>
          <w:szCs w:val="18"/>
          <w:b w:val="1"/>
          <w:bCs w:val="1"/>
          <w:color w:val="auto"/>
        </w:rPr>
        <w:t xml:space="preserve">Data Retention. </w:t>
      </w:r>
      <w:r>
        <w:rPr>
          <w:rFonts w:ascii="Arial" w:cs="Arial" w:eastAsia="Arial" w:hAnsi="Arial"/>
          <w:sz w:val="18"/>
          <w:szCs w:val="18"/>
          <w:b w:val="1"/>
          <w:bCs w:val="1"/>
          <w:i w:val="1"/>
          <w:iCs w:val="1"/>
          <w:color w:val="auto"/>
        </w:rPr>
        <w:t>The Company will hold and use Data only as long as is necessary to implement, administer and manage my participation in the</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Stock Purchase Plan, or as required to comply with legal or regulatory obligations, including under tax, securities, exchange control, labor and other laws.</w:t>
      </w:r>
    </w:p>
    <w:p>
      <w:pPr>
        <w:spacing w:after="0" w:line="203" w:lineRule="exact"/>
        <w:rPr>
          <w:sz w:val="20"/>
          <w:szCs w:val="20"/>
          <w:color w:val="auto"/>
        </w:rPr>
      </w:pPr>
    </w:p>
    <w:p>
      <w:pPr>
        <w:ind w:left="192"/>
        <w:spacing w:after="0"/>
        <w:rPr>
          <w:sz w:val="20"/>
          <w:szCs w:val="20"/>
          <w:color w:val="auto"/>
        </w:rPr>
      </w:pPr>
      <w:r>
        <w:rPr>
          <w:rFonts w:ascii="Arial" w:cs="Arial" w:eastAsia="Arial" w:hAnsi="Arial"/>
          <w:sz w:val="16"/>
          <w:szCs w:val="16"/>
          <w:b w:val="1"/>
          <w:bCs w:val="1"/>
          <w:color w:val="auto"/>
        </w:rPr>
        <w:t>Voluntariness and Consequences of Consent Denial or Withdrawal</w:t>
      </w:r>
      <w:r>
        <w:rPr>
          <w:rFonts w:ascii="Arial" w:cs="Arial" w:eastAsia="Arial" w:hAnsi="Arial"/>
          <w:sz w:val="16"/>
          <w:szCs w:val="16"/>
          <w:b w:val="1"/>
          <w:bCs w:val="1"/>
          <w:i w:val="1"/>
          <w:iCs w:val="1"/>
          <w:color w:val="auto"/>
        </w:rPr>
        <w:t>. Participation in the Stock Purchase Plan is voluntary and I am providing the</w:t>
      </w:r>
    </w:p>
    <w:p>
      <w:pPr>
        <w:spacing w:after="0" w:line="77" w:lineRule="exact"/>
        <w:rPr>
          <w:sz w:val="20"/>
          <w:szCs w:val="20"/>
          <w:color w:val="auto"/>
        </w:rPr>
      </w:pPr>
    </w:p>
    <w:p>
      <w:pPr>
        <w:jc w:val="both"/>
        <w:ind w:left="332"/>
        <w:spacing w:after="0" w:line="275" w:lineRule="auto"/>
        <w:rPr>
          <w:sz w:val="20"/>
          <w:szCs w:val="20"/>
          <w:color w:val="auto"/>
        </w:rPr>
      </w:pPr>
      <w:r>
        <w:rPr>
          <w:rFonts w:ascii="Arial" w:cs="Arial" w:eastAsia="Arial" w:hAnsi="Arial"/>
          <w:sz w:val="17"/>
          <w:szCs w:val="17"/>
          <w:b w:val="1"/>
          <w:bCs w:val="1"/>
          <w:i w:val="1"/>
          <w:iCs w:val="1"/>
          <w:color w:val="auto"/>
        </w:rPr>
        <w:t>consents herein on a purely voluntary basis. I may withdraw any such consent at any time with future effect for any or no reason. If I do not consent, or if I later seek to revoke the consent, my salary from or employment with the Employer will not be affected; the only consequence of refusing or withdrawing consent is that the Company would not be able to grant me Purchase Rights under the Stock Purchase Plan or other equity awards or administer or maintain such awards. For more information on the consequences of refusal to consent or withdrawal of consent, I should contact my local human resources representative.</w:t>
      </w:r>
    </w:p>
    <w:p>
      <w:pPr>
        <w:spacing w:after="0" w:line="199" w:lineRule="exact"/>
        <w:rPr>
          <w:sz w:val="20"/>
          <w:szCs w:val="20"/>
          <w:color w:val="auto"/>
        </w:rPr>
      </w:pPr>
    </w:p>
    <w:p>
      <w:pPr>
        <w:jc w:val="right"/>
        <w:ind w:left="212" w:right="20"/>
        <w:spacing w:after="0" w:line="313" w:lineRule="auto"/>
        <w:rPr>
          <w:sz w:val="20"/>
          <w:szCs w:val="20"/>
          <w:color w:val="auto"/>
        </w:rPr>
      </w:pPr>
      <w:r>
        <w:rPr>
          <w:rFonts w:ascii="Arial" w:cs="Arial" w:eastAsia="Arial" w:hAnsi="Arial"/>
          <w:sz w:val="15"/>
          <w:szCs w:val="15"/>
          <w:b w:val="1"/>
          <w:bCs w:val="1"/>
          <w:color w:val="auto"/>
        </w:rPr>
        <w:t>Data Subject Rights</w:t>
      </w:r>
      <w:r>
        <w:rPr>
          <w:rFonts w:ascii="Arial" w:cs="Arial" w:eastAsia="Arial" w:hAnsi="Arial"/>
          <w:sz w:val="15"/>
          <w:szCs w:val="15"/>
          <w:b w:val="1"/>
          <w:bCs w:val="1"/>
          <w:i w:val="1"/>
          <w:iCs w:val="1"/>
          <w:color w:val="auto"/>
        </w:rPr>
        <w:t>. I may have a number of rights under data privacy laws in my jurisdiction. Depending on where I am based, such rights may</w:t>
      </w:r>
      <w:r>
        <w:rPr>
          <w:rFonts w:ascii="Arial" w:cs="Arial" w:eastAsia="Arial" w:hAnsi="Arial"/>
          <w:sz w:val="15"/>
          <w:szCs w:val="15"/>
          <w:b w:val="1"/>
          <w:bCs w:val="1"/>
          <w:color w:val="auto"/>
        </w:rPr>
        <w:t xml:space="preserve"> </w:t>
      </w:r>
      <w:r>
        <w:rPr>
          <w:rFonts w:ascii="Arial" w:cs="Arial" w:eastAsia="Arial" w:hAnsi="Arial"/>
          <w:sz w:val="15"/>
          <w:szCs w:val="15"/>
          <w:b w:val="1"/>
          <w:bCs w:val="1"/>
          <w:i w:val="1"/>
          <w:iCs w:val="1"/>
          <w:color w:val="auto"/>
        </w:rPr>
        <w:t>include the right to (i) request access to or copies of Data the Company processes, (ii) rectification or amendment of incorrect or incomplete Data,</w:t>
      </w:r>
    </w:p>
    <w:p>
      <w:pPr>
        <w:jc w:val="both"/>
        <w:ind w:left="332" w:hanging="8"/>
        <w:spacing w:after="0" w:line="255" w:lineRule="auto"/>
        <w:tabs>
          <w:tab w:leader="none" w:pos="652" w:val="left"/>
        </w:tabs>
        <w:numPr>
          <w:ilvl w:val="0"/>
          <w:numId w:val="7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deletion of Data, (iv) request restrictions on processing of Data, (v) portability of Data, (vi) lodge complaints with competent authorities in my jurisdiction, and/or (vii) receive a list with the names and addresses of any potential recipients of Data. To receive clarification regarding these rights or to exercise these rights, I can contact my local human resources representative.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163830</wp:posOffset>
            </wp:positionV>
            <wp:extent cx="7132320" cy="60007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32320" cy="600075"/>
                    </a:xfrm>
                    <a:prstGeom prst="rect">
                      <a:avLst/>
                    </a:prstGeom>
                    <a:noFill/>
                  </pic:spPr>
                </pic:pic>
              </a:graphicData>
            </a:graphic>
          </wp:anchor>
        </w:drawing>
      </w:r>
    </w:p>
    <w:p>
      <w:pPr>
        <w:spacing w:after="0" w:line="260" w:lineRule="exact"/>
        <w:rPr>
          <w:sz w:val="20"/>
          <w:szCs w:val="20"/>
          <w:color w:val="auto"/>
        </w:rPr>
      </w:pPr>
    </w:p>
    <w:p>
      <w:pPr>
        <w:jc w:val="both"/>
        <w:ind w:left="352" w:right="40" w:hanging="89"/>
        <w:spacing w:after="0" w:line="303" w:lineRule="auto"/>
        <w:rPr>
          <w:sz w:val="20"/>
          <w:szCs w:val="20"/>
          <w:color w:val="auto"/>
        </w:rPr>
      </w:pPr>
      <w:r>
        <w:rPr>
          <w:rFonts w:ascii="Arial" w:cs="Arial" w:eastAsia="Arial" w:hAnsi="Arial"/>
          <w:sz w:val="16"/>
          <w:szCs w:val="16"/>
          <w:b w:val="1"/>
          <w:bCs w:val="1"/>
          <w:color w:val="auto"/>
        </w:rPr>
        <w:t xml:space="preserve">Declaration of Consent. </w:t>
      </w:r>
      <w:r>
        <w:rPr>
          <w:rFonts w:ascii="Arial" w:cs="Arial" w:eastAsia="Arial" w:hAnsi="Arial"/>
          <w:sz w:val="16"/>
          <w:szCs w:val="16"/>
          <w:b w:val="1"/>
          <w:bCs w:val="1"/>
          <w:i w:val="1"/>
          <w:iCs w:val="1"/>
          <w:color w:val="auto"/>
        </w:rPr>
        <w:t>By accepting this Subscription Agreement and indicating consent via the Company’s acceptance procedure, I explicitly</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declare my consent to the data processing practices described in this Section 9, including, without limitation, to the collection, processing and use of Data by the Company and, if applicable, to the transfer of Data to the recipients mentioned above, including the onward transfer of Data by the Company to the Designated Broker, or, as the case may be, a different service provider selected by the Company.</w:t>
      </w:r>
    </w:p>
    <w:p>
      <w:pPr>
        <w:spacing w:after="0" w:line="303" w:lineRule="exact"/>
        <w:rPr>
          <w:sz w:val="20"/>
          <w:szCs w:val="20"/>
          <w:color w:val="auto"/>
        </w:rPr>
      </w:pPr>
    </w:p>
    <w:p>
      <w:pPr>
        <w:jc w:val="both"/>
        <w:ind w:left="332" w:hanging="332"/>
        <w:spacing w:after="0" w:line="257" w:lineRule="auto"/>
        <w:tabs>
          <w:tab w:leader="none" w:pos="327"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exclusively in the courts of Santa Clara County, California, or the federal courts for the United States for the Northern District of California, and no other courts, where this grant is made and/or to be performed.</w:t>
      </w:r>
    </w:p>
    <w:p>
      <w:pPr>
        <w:spacing w:after="0" w:line="214" w:lineRule="exact"/>
        <w:rPr>
          <w:rFonts w:ascii="Arial" w:cs="Arial" w:eastAsia="Arial" w:hAnsi="Arial"/>
          <w:sz w:val="18"/>
          <w:szCs w:val="18"/>
          <w:color w:val="auto"/>
        </w:rPr>
      </w:pPr>
    </w:p>
    <w:p>
      <w:pPr>
        <w:jc w:val="both"/>
        <w:ind w:left="332" w:hanging="332"/>
        <w:spacing w:after="0" w:line="279" w:lineRule="auto"/>
        <w:tabs>
          <w:tab w:leader="none" w:pos="321" w:val="left"/>
        </w:tabs>
        <w:numPr>
          <w:ilvl w:val="0"/>
          <w:numId w:val="72"/>
        </w:numPr>
        <w:rPr>
          <w:rFonts w:ascii="Arial" w:cs="Arial" w:eastAsia="Arial" w:hAnsi="Arial"/>
          <w:sz w:val="17"/>
          <w:szCs w:val="17"/>
          <w:color w:val="auto"/>
        </w:rPr>
      </w:pPr>
      <w:r>
        <w:rPr>
          <w:rFonts w:ascii="Arial" w:cs="Arial" w:eastAsia="Arial" w:hAnsi="Arial"/>
          <w:sz w:val="17"/>
          <w:szCs w:val="17"/>
          <w:color w:val="auto"/>
        </w:rPr>
        <w:t>By participating in the Stock Purchase Plan, I acknowledge that I am proficient in the English language or have consulted with an advisor who is sufficiently proficient in English as to allow me to understand the content of this Subscription Agreement and any other materials related to the Stock Purchase Plan. 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198" w:lineRule="exact"/>
        <w:rPr>
          <w:rFonts w:ascii="Arial" w:cs="Arial" w:eastAsia="Arial" w:hAnsi="Arial"/>
          <w:sz w:val="17"/>
          <w:szCs w:val="17"/>
          <w:color w:val="auto"/>
        </w:rPr>
      </w:pPr>
    </w:p>
    <w:p>
      <w:pPr>
        <w:jc w:val="both"/>
        <w:ind w:left="332" w:hanging="332"/>
        <w:spacing w:after="0" w:line="286" w:lineRule="auto"/>
        <w:tabs>
          <w:tab w:leader="none" w:pos="327"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192" w:lineRule="exact"/>
        <w:rPr>
          <w:rFonts w:ascii="Arial" w:cs="Arial" w:eastAsia="Arial" w:hAnsi="Arial"/>
          <w:sz w:val="17"/>
          <w:szCs w:val="17"/>
          <w:color w:val="auto"/>
        </w:rPr>
      </w:pPr>
    </w:p>
    <w:p>
      <w:pPr>
        <w:ind w:left="332" w:hanging="332"/>
        <w:spacing w:after="0" w:line="277" w:lineRule="auto"/>
        <w:tabs>
          <w:tab w:leader="none" w:pos="327"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ectPr>
          <w:pgSz w:w="11900" w:h="16838" w:orient="portrait"/>
          <w:cols w:equalWidth="0" w:num="1">
            <w:col w:w="11232"/>
          </w:cols>
          <w:pgMar w:left="328" w:top="769" w:right="339" w:bottom="1440" w:gutter="0" w:footer="0" w:header="0"/>
        </w:sectPr>
      </w:pPr>
    </w:p>
    <w:bookmarkStart w:id="96" w:name="page97"/>
    <w:bookmarkEnd w:id="96"/>
    <w:p>
      <w:pPr>
        <w:jc w:val="both"/>
        <w:ind w:left="340" w:hanging="332"/>
        <w:spacing w:after="0" w:line="279" w:lineRule="auto"/>
        <w:tabs>
          <w:tab w:leader="none" w:pos="335" w:val="left"/>
        </w:tabs>
        <w:numPr>
          <w:ilvl w:val="0"/>
          <w:numId w:val="73"/>
        </w:numPr>
        <w:rPr>
          <w:rFonts w:ascii="Arial" w:cs="Arial" w:eastAsia="Arial" w:hAnsi="Arial"/>
          <w:sz w:val="17"/>
          <w:szCs w:val="17"/>
          <w:color w:val="auto"/>
        </w:rPr>
      </w:pPr>
      <w:r>
        <w:rPr>
          <w:rFonts w:ascii="Arial" w:cs="Arial" w:eastAsia="Arial" w:hAnsi="Arial"/>
          <w:sz w:val="17"/>
          <w:szCs w:val="17"/>
          <w:color w:val="auto"/>
        </w:rPr>
        <w:t>Notwithstanding any provisions in this Subscription Agreement, the Purchase Right shall be subject to any additional terms and conditions set forth in the Addendum to this Subscription Agreement. Moreover, if I relocate to one of the countries included in the Addendum, the additional terms and conditions for such country will apply to me, to the extent the Company determines that the application of such terms and conditions is necessary or advisable for legal or administrative reasons. The Addendum constitutes part of this Subscription Agreement.</w:t>
      </w:r>
    </w:p>
    <w:p>
      <w:pPr>
        <w:spacing w:after="0" w:line="198" w:lineRule="exact"/>
        <w:rPr>
          <w:rFonts w:ascii="Arial" w:cs="Arial" w:eastAsia="Arial" w:hAnsi="Arial"/>
          <w:sz w:val="17"/>
          <w:szCs w:val="17"/>
          <w:color w:val="auto"/>
        </w:rPr>
      </w:pPr>
    </w:p>
    <w:p>
      <w:pPr>
        <w:jc w:val="both"/>
        <w:ind w:left="340" w:hanging="332"/>
        <w:spacing w:after="0" w:line="311" w:lineRule="auto"/>
        <w:tabs>
          <w:tab w:leader="none" w:pos="335" w:val="left"/>
        </w:tabs>
        <w:numPr>
          <w:ilvl w:val="0"/>
          <w:numId w:val="73"/>
        </w:numPr>
        <w:rPr>
          <w:rFonts w:ascii="Arial" w:cs="Arial" w:eastAsia="Arial" w:hAnsi="Arial"/>
          <w:sz w:val="16"/>
          <w:szCs w:val="16"/>
          <w:color w:val="auto"/>
        </w:rPr>
      </w:pPr>
      <w:r>
        <w:rPr>
          <w:rFonts w:ascii="Arial" w:cs="Arial" w:eastAsia="Arial" w:hAnsi="Arial"/>
          <w:sz w:val="16"/>
          <w:szCs w:val="16"/>
          <w:color w:val="auto"/>
        </w:rPr>
        <w:t>The Company reserves the right to impose other requirements on my participation in the Stock Purchase Plan, on the Purchase Right, and on any shares of Common Stock acquired under the Stock Purchase Plan, to the extent the Company determines it is necessary or advisable for legal or administrative reasons, and to require me to sign any additional agreements or undertakings that may be necessary to accomplish the foregoing.</w:t>
      </w:r>
    </w:p>
    <w:p>
      <w:pPr>
        <w:spacing w:after="0" w:line="175" w:lineRule="exact"/>
        <w:rPr>
          <w:rFonts w:ascii="Arial" w:cs="Arial" w:eastAsia="Arial" w:hAnsi="Arial"/>
          <w:sz w:val="16"/>
          <w:szCs w:val="16"/>
          <w:color w:val="auto"/>
        </w:rPr>
      </w:pPr>
    </w:p>
    <w:p>
      <w:pPr>
        <w:jc w:val="both"/>
        <w:ind w:left="340" w:hanging="332"/>
        <w:spacing w:after="0" w:line="269" w:lineRule="auto"/>
        <w:tabs>
          <w:tab w:leader="none" w:pos="335" w:val="left"/>
        </w:tabs>
        <w:numPr>
          <w:ilvl w:val="0"/>
          <w:numId w:val="73"/>
        </w:numPr>
        <w:rPr>
          <w:rFonts w:ascii="Arial" w:cs="Arial" w:eastAsia="Arial" w:hAnsi="Arial"/>
          <w:sz w:val="17"/>
          <w:szCs w:val="17"/>
          <w:color w:val="auto"/>
        </w:rPr>
      </w:pPr>
      <w:r>
        <w:rPr>
          <w:rFonts w:ascii="Arial" w:cs="Arial" w:eastAsia="Arial" w:hAnsi="Arial"/>
          <w:sz w:val="17"/>
          <w:szCs w:val="17"/>
          <w:color w:val="auto"/>
        </w:rPr>
        <w:t>I acknowledge that I may be subject to insider-trading restrictions and/or market-abuse laws in applicable jurisdictions, including the United States and (if different) my country, my broker’s country and/or the country where the Shares are listed, which may affect my ability to accept, acquire, sell or attempt to sell, or otherwise dispose of shares of Common Stock, rights to shares of Common Stock or rights linked to the value of shares of Common Stock, during such times as I am considered to have “inside information” regarding the Company (as defined by the laws or regulations in the applicable jurisdictions, including the United States and, if different, my country). Local insider trading laws and regulations may prohibit the cancellation or amendment of orders I placed before possessing inside information. Furthermore, I may be prohibited from (i) disclosing the inside information to any third party and (ii) “tipping” third parties or causing them to otherwise buy or sell securities (third parties include fellow employees). Any restrictions under these laws or regulations are separate from and in addition to any restrictions that may be imposed under any applicable Company insider-trading policy. I am responsible for complying with any applicable restrictions, so I should speak to my personal legal advisor for further details regarding any applicable insider-trading and/or market-abuse laws in my country.</w:t>
      </w:r>
    </w:p>
    <w:p>
      <w:pPr>
        <w:spacing w:after="0" w:line="212" w:lineRule="exact"/>
        <w:rPr>
          <w:rFonts w:ascii="Arial" w:cs="Arial" w:eastAsia="Arial" w:hAnsi="Arial"/>
          <w:sz w:val="17"/>
          <w:szCs w:val="17"/>
          <w:color w:val="auto"/>
        </w:rPr>
      </w:pPr>
    </w:p>
    <w:p>
      <w:pPr>
        <w:jc w:val="both"/>
        <w:ind w:left="340" w:hanging="332"/>
        <w:spacing w:after="0" w:line="272" w:lineRule="auto"/>
        <w:tabs>
          <w:tab w:leader="none" w:pos="335" w:val="left"/>
        </w:tabs>
        <w:numPr>
          <w:ilvl w:val="0"/>
          <w:numId w:val="73"/>
        </w:numPr>
        <w:rPr>
          <w:rFonts w:ascii="Arial" w:cs="Arial" w:eastAsia="Arial" w:hAnsi="Arial"/>
          <w:sz w:val="17"/>
          <w:szCs w:val="17"/>
          <w:color w:val="auto"/>
        </w:rPr>
      </w:pPr>
      <w:r>
        <w:rPr>
          <w:rFonts w:ascii="Arial" w:cs="Arial" w:eastAsia="Arial" w:hAnsi="Arial"/>
          <w:sz w:val="17"/>
          <w:szCs w:val="17"/>
          <w:color w:val="auto"/>
        </w:rPr>
        <w:t>I acknowledge that my country may have certain foreign asset and/or account reporting requirements, exchange controls and/or tax reporting requirements which may affect my ability to acquire or hold shares of Common Stock under the Stock Purchase Plan, or cash received from participating in the Stock Purchase Plan, in a brokerage or bank account outside of my country. I understand that I may be required to report such accounts, assets or transactions to the tax or other authorities in my country and/or to pay and/or report applicable taxes due in connection with the Award on my own behalf. I may also be required to repatriate sale proceeds or other funds received as a result of participating in the Stock Purchase Plan to my country of residence through a designated bank or broker within a certain time after receipt. I acknowledge that it is my responsibility to be aware of and compliant with such regulations and that I should speak with my personal advisor on this matter.</w:t>
      </w:r>
    </w:p>
    <w:p>
      <w:pPr>
        <w:spacing w:after="0" w:line="204" w:lineRule="exact"/>
        <w:rPr>
          <w:rFonts w:ascii="Arial" w:cs="Arial" w:eastAsia="Arial" w:hAnsi="Arial"/>
          <w:sz w:val="17"/>
          <w:szCs w:val="17"/>
          <w:color w:val="auto"/>
        </w:rPr>
      </w:pPr>
    </w:p>
    <w:p>
      <w:pPr>
        <w:ind w:left="340" w:hanging="332"/>
        <w:spacing w:after="0" w:line="277" w:lineRule="auto"/>
        <w:tabs>
          <w:tab w:leader="none" w:pos="335" w:val="left"/>
        </w:tabs>
        <w:numPr>
          <w:ilvl w:val="0"/>
          <w:numId w:val="73"/>
        </w:numPr>
        <w:rPr>
          <w:rFonts w:ascii="Arial" w:cs="Arial" w:eastAsia="Arial" w:hAnsi="Arial"/>
          <w:sz w:val="18"/>
          <w:szCs w:val="18"/>
          <w:color w:val="auto"/>
        </w:rPr>
      </w:pPr>
      <w:r>
        <w:rPr>
          <w:rFonts w:ascii="Arial" w:cs="Arial" w:eastAsia="Arial" w:hAnsi="Arial"/>
          <w:sz w:val="18"/>
          <w:szCs w:val="18"/>
          <w:color w:val="auto"/>
        </w:rPr>
        <w:t>I acknowledge that a waiver by the Company of a breach of any provisions of this Subscription Agreement shall not operate or be construed as a waiver of any other provision of this Subscription Agreement, or of any subsequent breach by me or any other participant.</w:t>
      </w:r>
    </w:p>
    <w:p>
      <w:pPr>
        <w:spacing w:after="0" w:line="197" w:lineRule="exact"/>
        <w:rPr>
          <w:rFonts w:ascii="Arial" w:cs="Arial" w:eastAsia="Arial" w:hAnsi="Arial"/>
          <w:sz w:val="18"/>
          <w:szCs w:val="18"/>
          <w:color w:val="auto"/>
        </w:rPr>
      </w:pPr>
    </w:p>
    <w:p>
      <w:pPr>
        <w:jc w:val="both"/>
        <w:ind w:left="340" w:hanging="332"/>
        <w:spacing w:after="0" w:line="263" w:lineRule="auto"/>
        <w:tabs>
          <w:tab w:leader="none" w:pos="335" w:val="left"/>
        </w:tabs>
        <w:numPr>
          <w:ilvl w:val="0"/>
          <w:numId w:val="73"/>
        </w:numPr>
        <w:rPr>
          <w:rFonts w:ascii="Arial" w:cs="Arial" w:eastAsia="Arial" w:hAnsi="Arial"/>
          <w:sz w:val="18"/>
          <w:szCs w:val="18"/>
          <w:color w:val="auto"/>
        </w:rPr>
      </w:pPr>
      <w:r>
        <w:rPr>
          <w:rFonts w:ascii="Arial" w:cs="Arial" w:eastAsia="Arial" w:hAnsi="Arial"/>
          <w:sz w:val="18"/>
          <w:szCs w:val="18"/>
          <w:color w:val="auto"/>
        </w:rPr>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_________________________________</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 Signature</w:t>
      </w:r>
    </w:p>
    <w:p>
      <w:pPr>
        <w:sectPr>
          <w:pgSz w:w="11900" w:h="16838" w:orient="portrait"/>
          <w:cols w:equalWidth="0" w:num="1">
            <w:col w:w="11240"/>
          </w:cols>
          <w:pgMar w:left="320" w:top="773" w:right="339" w:bottom="1440" w:gutter="0" w:footer="0" w:header="0"/>
        </w:sectPr>
      </w:pPr>
    </w:p>
    <w:p>
      <w:pPr>
        <w:spacing w:after="0" w:line="200" w:lineRule="exact"/>
        <w:rPr>
          <w:sz w:val="20"/>
          <w:szCs w:val="20"/>
          <w:color w:val="auto"/>
        </w:rPr>
      </w:pPr>
    </w:p>
    <w:p>
      <w:pPr>
        <w:spacing w:after="0" w:line="277" w:lineRule="exact"/>
        <w:rPr>
          <w:sz w:val="20"/>
          <w:szCs w:val="20"/>
          <w:color w:val="auto"/>
        </w:rPr>
      </w:pPr>
    </w:p>
    <w:p>
      <w:pPr>
        <w:spacing w:after="0" w:line="347" w:lineRule="auto"/>
        <w:rPr>
          <w:sz w:val="20"/>
          <w:szCs w:val="20"/>
          <w:color w:val="auto"/>
        </w:rPr>
      </w:pPr>
      <w:r>
        <w:rPr>
          <w:rFonts w:ascii="Arial" w:cs="Arial" w:eastAsia="Arial" w:hAnsi="Arial"/>
          <w:sz w:val="16"/>
          <w:szCs w:val="16"/>
          <w:b w:val="1"/>
          <w:bCs w:val="1"/>
          <w:color w:val="auto"/>
        </w:rPr>
        <w:t>__________________________________ Employee Name (Please Print Full Legal Name)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_____________</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Employee ID # (payroll file number)</w:t>
      </w:r>
    </w:p>
    <w:p>
      <w:pPr>
        <w:sectPr>
          <w:pgSz w:w="11900" w:h="16838" w:orient="portrait"/>
          <w:cols w:equalWidth="0" w:num="2">
            <w:col w:w="3680" w:space="260"/>
            <w:col w:w="7300"/>
          </w:cols>
          <w:pgMar w:left="320" w:top="773" w:right="339" w:bottom="1440" w:gutter="0" w:footer="0" w:header="0"/>
          <w:type w:val="continuous"/>
        </w:sectPr>
      </w:pPr>
    </w:p>
    <w:bookmarkStart w:id="97" w:name="page98"/>
    <w:bookmarkEnd w:id="97"/>
    <w:p>
      <w:pPr>
        <w:jc w:val="center"/>
        <w:spacing w:after="0"/>
        <w:rPr>
          <w:sz w:val="20"/>
          <w:szCs w:val="20"/>
          <w:color w:val="auto"/>
        </w:rPr>
      </w:pPr>
      <w:r>
        <w:rPr>
          <w:rFonts w:ascii="Arial" w:cs="Arial" w:eastAsia="Arial" w:hAnsi="Arial"/>
          <w:sz w:val="18"/>
          <w:szCs w:val="18"/>
          <w:b w:val="1"/>
          <w:bCs w:val="1"/>
          <w:color w:val="auto"/>
        </w:rPr>
        <w:t>ADDENDUM TO THE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38"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Certain capitalized terms used but not defined in this Addendum have the meanings set forth in the Stock Purchase Plan and/or the Subscription Agreement to which this Addendum is attached.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This Addendum to the Subscription Agreement includes additional terms and conditions that govern the Purchase Right granted to me under the Stock Purchase Plan if I reside and/or work in one of the countries listed herein.</w:t>
      </w:r>
    </w:p>
    <w:p>
      <w:pPr>
        <w:spacing w:after="0" w:line="197"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If I am a citizen or resident of a country other than the one in which I am currently residing and/or working, transfer employment and/or residency to another country after enrolling in the Stock Purchase Plan, or am considered resident of another country for local law purposes, the Company shall, in its sole discretion, determine to what extent the terms and conditions included herein will apply to me.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jc w:val="both"/>
        <w:spacing w:after="0" w:line="296" w:lineRule="auto"/>
        <w:rPr>
          <w:sz w:val="20"/>
          <w:szCs w:val="20"/>
          <w:color w:val="auto"/>
        </w:rPr>
      </w:pPr>
      <w:r>
        <w:rPr>
          <w:rFonts w:ascii="Arial" w:cs="Arial" w:eastAsia="Arial" w:hAnsi="Arial"/>
          <w:sz w:val="16"/>
          <w:szCs w:val="16"/>
          <w:color w:val="auto"/>
        </w:rPr>
        <w:t>This Addendum also includes information regarding exchange controls and certain other issues of which I should be aware with respect to my participation in the Stock Purchase Plan. The information is based on the tax, securities, exchange control, and other laws in effect in the respective countries as of April 2020. Such laws are often complex and change frequently. As a result, the Company strongly recommends that I not rely on the information in this Addendum as the only source of information relating to the consequences of my participation in the Stock Purchase Plan because the information may be out of date at the time the Purchase Right is exercised or I sell shares of Common Stock acquired under the Stock Purchase Plan.</w:t>
      </w:r>
    </w:p>
    <w:p>
      <w:pPr>
        <w:spacing w:after="0" w:line="188"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In addition, the information contained herein is general in nature and may not apply to my particular situation, and the Company is not in a position to assure me of any particular result. Accordingly, I should seek appropriate professional advice as to how the relevant laws in my country may apply to my situation.</w:t>
      </w:r>
    </w:p>
    <w:p>
      <w:pPr>
        <w:spacing w:after="0" w:line="211"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Finally, if I am a citizen or resident of a country other than the one in which I am currently residing and/or working, transfer employment and/or residency to another country after enrolling in the Stock Purchase Plan, or am considered a resident of another country for local law purposes, the information contained herein may not be applicable to me.</w:t>
      </w:r>
    </w:p>
    <w:p>
      <w:pPr>
        <w:sectPr>
          <w:pgSz w:w="11900" w:h="16838" w:orient="portrait"/>
          <w:cols w:equalWidth="0" w:num="1">
            <w:col w:w="11240"/>
          </w:cols>
          <w:pgMar w:left="320" w:top="769" w:right="339" w:bottom="1440" w:gutter="0" w:footer="0" w:header="0"/>
        </w:sectPr>
      </w:pPr>
    </w:p>
    <w:bookmarkStart w:id="98" w:name="page99"/>
    <w:bookmarkEnd w:id="98"/>
    <w:p>
      <w:pPr>
        <w:spacing w:after="0"/>
        <w:rPr>
          <w:sz w:val="20"/>
          <w:szCs w:val="20"/>
          <w:color w:val="auto"/>
        </w:rPr>
      </w:pPr>
      <w:r>
        <w:rPr>
          <w:rFonts w:ascii="Arial" w:cs="Arial" w:eastAsia="Arial" w:hAnsi="Arial"/>
          <w:sz w:val="18"/>
          <w:szCs w:val="18"/>
          <w:b w:val="1"/>
          <w:bCs w:val="1"/>
          <w:u w:val="single" w:color="auto"/>
          <w:color w:val="auto"/>
        </w:rPr>
        <w:t>Canada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Termination of Relationship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replaces Section 7(l) of the Subscription Agreement:</w:t>
      </w:r>
    </w:p>
    <w:p>
      <w:pPr>
        <w:spacing w:after="0" w:line="238" w:lineRule="exact"/>
        <w:rPr>
          <w:sz w:val="20"/>
          <w:szCs w:val="20"/>
          <w:color w:val="auto"/>
        </w:rPr>
      </w:pPr>
    </w:p>
    <w:p>
      <w:pPr>
        <w:jc w:val="both"/>
        <w:spacing w:after="0" w:line="287" w:lineRule="auto"/>
        <w:rPr>
          <w:sz w:val="20"/>
          <w:szCs w:val="20"/>
          <w:color w:val="auto"/>
        </w:rPr>
      </w:pPr>
      <w:r>
        <w:rPr>
          <w:rFonts w:ascii="Arial" w:cs="Arial" w:eastAsia="Arial" w:hAnsi="Arial"/>
          <w:sz w:val="16"/>
          <w:szCs w:val="16"/>
          <w:color w:val="auto"/>
        </w:rPr>
        <w:t>in the event of termination of my Continuous Employment (regardless of the reason for the termination and whether or not such termination is later found invalid or in breach of local labor laws or the terms of my employment contract, if any), my right to participate in and purchase shares of Common Stock under the Stock Purchase Plan, if any, will terminate effective as of the date that is the earliest of: (1) the date of termination of my Continuous Employment, (2) the date I receive notice of termination of my Continuous Employment or (3) the date I am no longer actively providing services to the Company, the Employer or any other Parent or Subsidiary, regardless of any notice period or period of pay in lieu of such notice required under applicable employment law in the jurisdiction where I am employed or the terms of my employment contract, if any; the Administrator shall have the sole discretion to determine when I am no longer actively providing services for purposes of my participation in the Stock Purchase Plan (including whether I may still be considered to be providing services while on a leave of absence). Notwithstanding the foregoing, if applicable employment standards legislation explicitly requires continued entitlement to participate in and purchase shares of Common Stock under the Stock Purchase Plan during a statutory notice period, my right to continue participating in and to purchase shares of Common Stock Under the Stock Purchase Plan, if any, will terminate effective as of the last day of my minimum statutory notice period, but I will not earn or be entitled to any pro-rated Purchase Rights if a purchase date falls after the end of my statutory notice period, nor will I be entitled to any compensation for lost participation or lost Purchase Rights.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following provisions apply if I reside in Quebec:</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Language Consent</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The parties acknowledge that it is their express wish that the Subscription Agreement, as well as all addenda, documents, notices and legal proceeds entered into, given or instituted pursuant hereto or relating directly or indirectly hereto, be drawn up in English.</w:t>
      </w:r>
    </w:p>
    <w:p>
      <w:pPr>
        <w:spacing w:after="0" w:line="212" w:lineRule="exact"/>
        <w:rPr>
          <w:sz w:val="20"/>
          <w:szCs w:val="20"/>
          <w:color w:val="auto"/>
        </w:rPr>
      </w:pPr>
    </w:p>
    <w:p>
      <w:pPr>
        <w:jc w:val="both"/>
        <w:spacing w:after="0" w:line="277" w:lineRule="auto"/>
        <w:rPr>
          <w:sz w:val="20"/>
          <w:szCs w:val="20"/>
          <w:color w:val="auto"/>
        </w:rPr>
      </w:pPr>
      <w:r>
        <w:rPr>
          <w:rFonts w:ascii="Arial" w:cs="Arial" w:eastAsia="Arial" w:hAnsi="Arial"/>
          <w:sz w:val="18"/>
          <w:szCs w:val="18"/>
          <w:i w:val="1"/>
          <w:iCs w:val="1"/>
          <w:color w:val="auto"/>
        </w:rPr>
        <w:t>Les parties reconnaissent avoir exigé la rédaction en anglais de cette Convention, ainsi que de tous documents exécutés, avis donnés et procédures judiciaires intentées, directement ou indirectement, relativement à ou suite à la présente convention.</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Data Privacy Notice and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8 of the Subscription Agreement:</w:t>
      </w:r>
    </w:p>
    <w:p>
      <w:pPr>
        <w:spacing w:after="0" w:line="238"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I hereby authorize the Company and the Company’s representatives to discuss and obtain all relevant information from all personnel, professional or non-professional, involved in the administration of the Stock Purchase Plan. I further authorize the Company, the Employer, and any other Parent or Subsidiary to disclose and discuss such information with their advisors. I also authorize the Company, the Employer and any other Parent or Subsidiary to record such information and to keep such information in my employee file.</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acknowledge that I am permitted to sell shares of Common Stock acquired under the Stock Purchase Plan only through the Designated Broker, if any, provided the sale of the shares acquired under the Stock Purchase Plan takes place outside of Canada through the facilities of a stock exchange on which the shares are listed (</w:t>
      </w:r>
      <w:r>
        <w:rPr>
          <w:rFonts w:ascii="Arial" w:cs="Arial" w:eastAsia="Arial" w:hAnsi="Arial"/>
          <w:sz w:val="18"/>
          <w:szCs w:val="18"/>
          <w:i w:val="1"/>
          <w:iCs w:val="1"/>
          <w:color w:val="auto"/>
        </w:rPr>
        <w:t>i.e.</w:t>
      </w:r>
      <w:r>
        <w:rPr>
          <w:rFonts w:ascii="Arial" w:cs="Arial" w:eastAsia="Arial" w:hAnsi="Arial"/>
          <w:sz w:val="18"/>
          <w:szCs w:val="18"/>
          <w:color w:val="auto"/>
        </w:rPr>
        <w:t>, the Nasdaq Stock Market).</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2" w:lineRule="auto"/>
        <w:rPr>
          <w:sz w:val="20"/>
          <w:szCs w:val="20"/>
          <w:color w:val="auto"/>
        </w:rPr>
      </w:pPr>
      <w:r>
        <w:rPr>
          <w:rFonts w:ascii="Arial" w:cs="Arial" w:eastAsia="Arial" w:hAnsi="Arial"/>
          <w:sz w:val="18"/>
          <w:szCs w:val="18"/>
          <w:color w:val="auto"/>
        </w:rPr>
        <w:t>Specified foreign property, including shares and rights to receive shares (</w:t>
      </w:r>
      <w:r>
        <w:rPr>
          <w:rFonts w:ascii="Arial" w:cs="Arial" w:eastAsia="Arial" w:hAnsi="Arial"/>
          <w:sz w:val="18"/>
          <w:szCs w:val="18"/>
          <w:i w:val="1"/>
          <w:iCs w:val="1"/>
          <w:color w:val="auto"/>
        </w:rPr>
        <w:t>e.g.</w:t>
      </w:r>
      <w:r>
        <w:rPr>
          <w:rFonts w:ascii="Arial" w:cs="Arial" w:eastAsia="Arial" w:hAnsi="Arial"/>
          <w:sz w:val="18"/>
          <w:szCs w:val="18"/>
          <w:color w:val="auto"/>
        </w:rPr>
        <w:t>, stock options, restricted stock units) of a non-Canadian company held by a Canadian resident must generally be reported annually on a Form T1135 (Foreign Income Verification Statement) if the total cost of the foreign specified property exceeds C$100,000 at any time during the year. Thus, the Purchase Rights must be reported (generally at a nil cost) if the C$100,000 cost threshold is exceeded because of other specified foreign property I hold. When shares of Common Stock are acquired, their cost generally is the adjusted cost base (“ACB”) of the shares. The ACB would equal the fair market value of the shares at the time of acquisition, but if I own other shares of Common Stock, this ACB may have to be averaged with the ACB of the other shares. I should consult with a personal advisor to ensure compliance with applicable reporting obligations.</w:t>
      </w:r>
    </w:p>
    <w:p>
      <w:pPr>
        <w:sectPr>
          <w:pgSz w:w="11900" w:h="16838" w:orient="portrait"/>
          <w:cols w:equalWidth="0" w:num="1">
            <w:col w:w="11240"/>
          </w:cols>
          <w:pgMar w:left="320" w:top="769" w:right="339" w:bottom="1440" w:gutter="0" w:footer="0" w:header="0"/>
        </w:sectPr>
      </w:pPr>
    </w:p>
    <w:bookmarkStart w:id="99" w:name="page100"/>
    <w:bookmarkEnd w:id="99"/>
    <w:p>
      <w:pPr>
        <w:spacing w:after="0"/>
        <w:rPr>
          <w:sz w:val="20"/>
          <w:szCs w:val="20"/>
          <w:color w:val="auto"/>
        </w:rPr>
      </w:pPr>
      <w:r>
        <w:rPr>
          <w:rFonts w:ascii="Arial" w:cs="Arial" w:eastAsia="Arial" w:hAnsi="Arial"/>
          <w:sz w:val="18"/>
          <w:szCs w:val="18"/>
          <w:b w:val="1"/>
          <w:bCs w:val="1"/>
          <w:u w:val="single" w:color="auto"/>
          <w:color w:val="auto"/>
        </w:rPr>
        <w:t>China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jc w:val="both"/>
        <w:spacing w:after="0" w:line="381" w:lineRule="auto"/>
        <w:rPr>
          <w:sz w:val="20"/>
          <w:szCs w:val="20"/>
          <w:color w:val="auto"/>
        </w:rPr>
      </w:pPr>
      <w:r>
        <w:rPr>
          <w:rFonts w:ascii="Arial" w:cs="Arial" w:eastAsia="Arial" w:hAnsi="Arial"/>
          <w:sz w:val="15"/>
          <w:szCs w:val="15"/>
          <w:b w:val="1"/>
          <w:bCs w:val="1"/>
          <w:i w:val="1"/>
          <w:iCs w:val="1"/>
          <w:color w:val="auto"/>
        </w:rPr>
        <w:t>The following Terms and Conditions apply only to me if I am subject to exchange control restrictions and regulations in the People’s Republic of China (“PRC”), including the requirements imposed by the State Administration of Foreign Exchange, as determined by the Company, in its sole discretion.</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Supplemental Rules for PRC Employees</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By enrolling in the Stock Purchase Plan, I acknowledge and agree to be bound by the terms of the Supplemental Rules of Marvell Stock Plans for China Employees.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No Transfer of Shares.</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agree that any shares of Common Stock to be issued to me shall be deposited directly into an account with the Designated Broker. The deposited shares of Common Stock shall not be transferable (either electronically or in certificate form) from the brokerage account. This limitation shall apply both to transfers to different accounts with the Designated Broker and to transfers to other brokerage firms. The limitation shall apply to all Shares issued to me under the Stock Purchase Plan, and whether or not my Continuous Employment terminates.</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Restrictions.</w:t>
      </w:r>
    </w:p>
    <w:p>
      <w:pPr>
        <w:spacing w:after="0" w:line="23" w:lineRule="exact"/>
        <w:rPr>
          <w:sz w:val="20"/>
          <w:szCs w:val="20"/>
          <w:color w:val="auto"/>
        </w:rPr>
      </w:pPr>
    </w:p>
    <w:p>
      <w:pPr>
        <w:jc w:val="both"/>
        <w:spacing w:after="0" w:line="295" w:lineRule="auto"/>
        <w:rPr>
          <w:sz w:val="20"/>
          <w:szCs w:val="20"/>
          <w:color w:val="auto"/>
        </w:rPr>
      </w:pPr>
      <w:r>
        <w:rPr>
          <w:rFonts w:ascii="Arial" w:cs="Arial" w:eastAsia="Arial" w:hAnsi="Arial"/>
          <w:sz w:val="16"/>
          <w:szCs w:val="16"/>
          <w:color w:val="auto"/>
        </w:rPr>
        <w:t>I understand and agree that my participation in and ability to purchase shares of Common Stock under the Stock Purchase Plan is subject to the continued registration and compliance of the Stock Purchase Plan with applicable exchange control regulations in China. I agree that if the registration of the Stock Purchase Plan lapses or the Company determines, in its discretion, that the Purchase Rights cannot vest due to regulatory restrictions, my participation in the Stock Purchase Plan may be suspended, terminated or otherwise modified to ensure compliance with applicable laws and regulations.</w:t>
      </w:r>
    </w:p>
    <w:p>
      <w:pPr>
        <w:spacing w:after="0" w:line="188" w:lineRule="exact"/>
        <w:rPr>
          <w:sz w:val="20"/>
          <w:szCs w:val="20"/>
          <w:color w:val="auto"/>
        </w:rPr>
      </w:pPr>
    </w:p>
    <w:p>
      <w:pPr>
        <w:jc w:val="both"/>
        <w:spacing w:after="0" w:line="269" w:lineRule="auto"/>
        <w:rPr>
          <w:sz w:val="20"/>
          <w:szCs w:val="20"/>
          <w:color w:val="auto"/>
        </w:rPr>
      </w:pPr>
      <w:r>
        <w:rPr>
          <w:rFonts w:ascii="Arial" w:cs="Arial" w:eastAsia="Arial" w:hAnsi="Arial"/>
          <w:sz w:val="17"/>
          <w:szCs w:val="17"/>
          <w:color w:val="auto"/>
        </w:rPr>
        <w:t>I understand and agree that, due to exchange control laws in China, I will be required to immediately repatriate to China any cash proceeds I receive from participating in the Stock Purchase Plan (</w:t>
      </w:r>
      <w:r>
        <w:rPr>
          <w:rFonts w:ascii="Arial" w:cs="Arial" w:eastAsia="Arial" w:hAnsi="Arial"/>
          <w:sz w:val="17"/>
          <w:szCs w:val="17"/>
          <w:i w:val="1"/>
          <w:iCs w:val="1"/>
          <w:color w:val="auto"/>
        </w:rPr>
        <w:t>i.e.</w:t>
      </w:r>
      <w:r>
        <w:rPr>
          <w:rFonts w:ascii="Arial" w:cs="Arial" w:eastAsia="Arial" w:hAnsi="Arial"/>
          <w:sz w:val="17"/>
          <w:szCs w:val="17"/>
          <w:color w:val="auto"/>
        </w:rPr>
        <w:t>, cash proceeds from the sale of shares of Common Stock or the receipt of any dividends on such shares). I further understand that, under local law, such repatriation of the cash proceeds may need to be effected through a special exchange control account established by the Company, the Employer or another Parent or Subsidiary, and I hereby consent and agree that the proceeds will be transferred to such special account prior to being delivered to me. I understand that the proceeds will be delivered to me as soon as possible, but there may be delays in distributing the funds due to exchange control requirements in China. Proceeds may be paid in U.S. dollars or local currency, at the Company’s discretion. If the proceeds are paid in U.S. dollars, I understand that I will be required to set up a U.S. dollar bank account in China so that the proceeds may be deposited into this account. If the proceeds are paid in local currency, the Company is under no obligation to secure any particular exchange conversion rate and there may be delays in converting the proceeds to local currency due to exchange control restrictions. I agree that I bear the risk of any exchange conversion rate fluctuation during that time. I further agree to comply with any other requirements that may be imposed by the Company in the future in order to facilitate compliance with exchange control requirements in China.</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Receipt and Sale of Shares</w:t>
      </w:r>
    </w:p>
    <w:p>
      <w:pPr>
        <w:spacing w:after="0" w:line="23" w:lineRule="exact"/>
        <w:rPr>
          <w:sz w:val="20"/>
          <w:szCs w:val="20"/>
          <w:color w:val="auto"/>
        </w:rPr>
      </w:pPr>
    </w:p>
    <w:p>
      <w:pPr>
        <w:jc w:val="both"/>
        <w:spacing w:after="0" w:line="267" w:lineRule="auto"/>
        <w:rPr>
          <w:sz w:val="20"/>
          <w:szCs w:val="20"/>
          <w:color w:val="auto"/>
        </w:rPr>
      </w:pPr>
      <w:r>
        <w:rPr>
          <w:rFonts w:ascii="Arial" w:cs="Arial" w:eastAsia="Arial" w:hAnsi="Arial"/>
          <w:sz w:val="17"/>
          <w:szCs w:val="17"/>
          <w:color w:val="auto"/>
        </w:rPr>
        <w:t>I agree to maintain any shares of Common Stock I obtain at purchase in an account with the Designated Broker prior to sale. Notwithstanding any provision in the Subscription Agreement to the contrary, to facilitate compliance with exchange control laws in China, the Company may require me to sell shares of Common Stock (i) immediately at purchase, (ii) upon termination of my Continuous Employment, or (iii) within any other timeframe as the Company determines for legal or administrative reasons. If I do not sell the shares within the time required by the Company, I hereby authorize the Company to instruct the Designated Broker to sell the shares of Common Stock on my behalf, and I expressly authorize the Designated Broker to complete the sale of shares of Common Stock. I agree to sign any forms and/or consents required by the Designated Broker to effectuate the sale of shares. I acknowledge that the Designated Broker is under no obligation to arrange for the sale of shares at any particular price. Upon the sale of shares after termination of Continuous Employment, I understand that the Company agrees to pay me the cash proceeds from the sale of the shares, less any brokerage fees or commissions and subject to any obligation to satisfy withholding obligations for Tax-Related Items. I understand that the proceeds from the sale of shares of Common Stock may need to be repatriated to China pursuant to the paragraph above, and I agree to comply with all requirements the Company may impose in order to facilitate compliance with exchange control requirements in China prior to my receipt of the cash proceeds. I acknowledge that I am not aware of any material nonpublic information with respect to the Company or any securities of the Company as of the date of the Subscription Agreement.</w:t>
      </w:r>
    </w:p>
    <w:p>
      <w:pPr>
        <w:sectPr>
          <w:pgSz w:w="11900" w:h="16838" w:orient="portrait"/>
          <w:cols w:equalWidth="0" w:num="1">
            <w:col w:w="11240"/>
          </w:cols>
          <w:pgMar w:left="320" w:top="769" w:right="339" w:bottom="1440" w:gutter="0" w:footer="0" w:header="0"/>
        </w:sectPr>
      </w:pPr>
    </w:p>
    <w:bookmarkStart w:id="100" w:name="page101"/>
    <w:bookmarkEnd w:id="100"/>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7" w:lineRule="auto"/>
        <w:rPr>
          <w:sz w:val="20"/>
          <w:szCs w:val="20"/>
          <w:color w:val="auto"/>
        </w:rPr>
      </w:pPr>
      <w:r>
        <w:rPr>
          <w:rFonts w:ascii="Arial" w:cs="Arial" w:eastAsia="Arial" w:hAnsi="Arial"/>
          <w:sz w:val="17"/>
          <w:szCs w:val="17"/>
          <w:color w:val="auto"/>
        </w:rPr>
        <w:t>I may be required to report to SAFE all details of my foreign financial assets and liabilities, as well as details of any economic transactions conducted with non-PRC residents, either directly or through financial institutions. Shares of Common Stock acquired under the Stock Purchase Plan and Stock Purchase Plan-related transactions may be subject to reporting under these rules. I should consult with my personal legal advisor in this regard.</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Denmark</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Danish Stock Option Act</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By enrolling and participating in the Stock Purchase Plan, I acknowledge that I have received an Employer Statement translated into Danish, which is being provided to me to comply with the Danish Stock Option Act (the “</w:t>
      </w:r>
      <w:r>
        <w:rPr>
          <w:rFonts w:ascii="Arial" w:cs="Arial" w:eastAsia="Arial" w:hAnsi="Arial"/>
          <w:sz w:val="18"/>
          <w:szCs w:val="18"/>
          <w:b w:val="1"/>
          <w:bCs w:val="1"/>
          <w:i w:val="1"/>
          <w:iCs w:val="1"/>
          <w:color w:val="auto"/>
        </w:rPr>
        <w:t>Act</w:t>
      </w:r>
      <w:r>
        <w:rPr>
          <w:rFonts w:ascii="Arial" w:cs="Arial" w:eastAsia="Arial" w:hAnsi="Arial"/>
          <w:sz w:val="18"/>
          <w:szCs w:val="18"/>
          <w:color w:val="auto"/>
        </w:rPr>
        <w:t>”). The Act applies only to “employees” as that term is defined in Section 2 of the Act. If I am a member of the registered management of a Parent or Subsidiary in Denmark or otherwise do not satisfy the definition of employee, I am not subject to the Act and the Employer Statement will not apply to me.</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9"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Foreign bank and brokerage accounts and deposits and shares of Common Stock held in such accounts must be reported on my annual tax return under the section on foreign affairs and income.</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Finland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There are no country-specific provisions.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France</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Payroll Deduction Authorization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is a French translation of Sections 2 and 3 of the Subscription Agreement:</w:t>
      </w:r>
    </w:p>
    <w:p>
      <w:pPr>
        <w:spacing w:after="0" w:line="238" w:lineRule="exact"/>
        <w:rPr>
          <w:sz w:val="20"/>
          <w:szCs w:val="20"/>
          <w:color w:val="auto"/>
        </w:rPr>
      </w:pPr>
    </w:p>
    <w:p>
      <w:pPr>
        <w:jc w:val="both"/>
        <w:ind w:left="340" w:hanging="332"/>
        <w:spacing w:after="0" w:line="257" w:lineRule="auto"/>
        <w:tabs>
          <w:tab w:leader="none" w:pos="475" w:val="left"/>
        </w:tabs>
        <w:numPr>
          <w:ilvl w:val="0"/>
          <w:numId w:val="74"/>
        </w:numPr>
        <w:rPr>
          <w:rFonts w:ascii="Arial" w:cs="Arial" w:eastAsia="Arial" w:hAnsi="Arial"/>
          <w:sz w:val="18"/>
          <w:szCs w:val="18"/>
          <w:i w:val="1"/>
          <w:iCs w:val="1"/>
          <w:color w:val="auto"/>
        </w:rPr>
      </w:pPr>
      <w:r>
        <w:rPr>
          <w:rFonts w:ascii="Arial" w:cs="Arial" w:eastAsia="Arial" w:hAnsi="Arial"/>
          <w:sz w:val="18"/>
          <w:szCs w:val="18"/>
          <w:i w:val="1"/>
          <w:iCs w:val="1"/>
          <w:color w:val="auto"/>
        </w:rPr>
        <w:t>Par la présente, j’autorise les Prélèvements sur Salaire, sur chacun de mes salaires, d’un montant de _____% (15 % maximum, pourcentage en nombre entier uniquement) de mon Salaire lors de chaque jour de paie pendant la Période d’Offre conformément au Plan d’Achat d’Actions (« Stock Purchase Plan »). (Aucun pourcentage décimal n’est admis.) Les prélèvements mentionnés ci-dessus se poursuivront lors des Périodes d’Offres subséquentes jusqu’à ce que je donne une instruction écrite pour modifier ou arrêter ces prélèvements ou jusqu’à ce que ma participation au plan se termine conformément au Plan d’Achat d’Actions.</w:t>
      </w:r>
    </w:p>
    <w:p>
      <w:pPr>
        <w:spacing w:after="0" w:line="79" w:lineRule="exact"/>
        <w:rPr>
          <w:rFonts w:ascii="Arial" w:cs="Arial" w:eastAsia="Arial" w:hAnsi="Arial"/>
          <w:sz w:val="18"/>
          <w:szCs w:val="18"/>
          <w:i w:val="1"/>
          <w:iCs w:val="1"/>
          <w:color w:val="auto"/>
        </w:rPr>
      </w:pPr>
    </w:p>
    <w:p>
      <w:pPr>
        <w:jc w:val="both"/>
        <w:ind w:left="340" w:hanging="332"/>
        <w:spacing w:after="0" w:line="253" w:lineRule="auto"/>
        <w:tabs>
          <w:tab w:leader="none" w:pos="430" w:val="left"/>
        </w:tabs>
        <w:numPr>
          <w:ilvl w:val="0"/>
          <w:numId w:val="74"/>
        </w:numPr>
        <w:rPr>
          <w:rFonts w:ascii="Arial" w:cs="Arial" w:eastAsia="Arial" w:hAnsi="Arial"/>
          <w:sz w:val="18"/>
          <w:szCs w:val="18"/>
          <w:i w:val="1"/>
          <w:iCs w:val="1"/>
          <w:color w:val="auto"/>
        </w:rPr>
      </w:pPr>
      <w:r>
        <w:rPr>
          <w:rFonts w:ascii="Arial" w:cs="Arial" w:eastAsia="Arial" w:hAnsi="Arial"/>
          <w:sz w:val="18"/>
          <w:szCs w:val="18"/>
          <w:i w:val="1"/>
          <w:iCs w:val="1"/>
          <w:color w:val="auto"/>
        </w:rPr>
        <w:t>Je comprends que les Prélèvements sur Salaire mentionnés ci-dessus vont s’accumuler pour permettre l’acquisition des Actions Ordinaires au prix d’acquisition tel que déterminé conformément au Plan d’Achat d’Actions. Je comprends également que, à moins que le Plan d’Achat d’Actions n’en dispose autrement, les actions seront automatiquement acquises pour mon compte à chaque Date d’Acquisition de la Période d’Offre à moins que je ne me retire du Plan d’Achat d’Actions par notification écrite à la Société au moins 15 jours avant la Date d’Acquisition ou que ma participation au Plan d’Achat d’Actions ne se termine d’une autre façon. Je comprends que je peux me retirer du Plan d’Achat d’Actions et me faire rembourser les Prélèvements sur Salaire (sans intérêt) rapidement à tout moment pendant la Période d’Offre dès lors qu’une notification écrite de mon retrait est fournie à l’Administrateur, sous la forme requise, au moins 15 jours avant la Date d’Acquisition. Je comprends que la durée des Périodes d’Offre (en ce compris les premiers jours des Périodes d’Offre applicables) peuvent être modifiées par l’Administrateur conformément aux Sections 4 et 18 du Plan d’Achat d’Actions.</w:t>
      </w: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Language Consent</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By signing and returning or by otherwise accepting the Subscription Agreement, I confirm having read and understood the documents relating to this grant of the right to purchase shares of Common Stock (the Stock Purchase Plan, the Subscription Agreement, and this Addendum) which were provided to me in the English language. I accept the terms of those documents accordingly.</w:t>
      </w:r>
    </w:p>
    <w:p>
      <w:pPr>
        <w:sectPr>
          <w:pgSz w:w="11900" w:h="16838" w:orient="portrait"/>
          <w:cols w:equalWidth="0" w:num="1">
            <w:col w:w="11240"/>
          </w:cols>
          <w:pgMar w:left="320" w:top="773" w:right="33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i w:val="1"/>
          <w:iCs w:val="1"/>
          <w:u w:val="single" w:color="auto"/>
          <w:color w:val="auto"/>
        </w:rPr>
        <w:t>Consentement Relatif à la Langue Utilisée</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i w:val="1"/>
          <w:iCs w:val="1"/>
          <w:color w:val="auto"/>
        </w:rPr>
        <w:t>En signant et renvoyant, ou autrement acceptant, les termes et conditions du Contrat de Souscription, je confirme ainsi avoir lu et compris les documents relatifs à cette attribution du droit d’achat d’Actions Cotées en Bourse (le Plan, le Contrat de Souscription, et la présente Annexe) qui m’ont été fournis dans la langue anglaise. J’accepte les termes de ces documents en connaissance de cause.</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French residents must declare all foreign accounts, whether open, current, or closed, in their income tax returns. I should consult with a personal tax advisor to ensure compliance with applicable reporting obligations.</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Germany</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Cross-border payments in excess of €12,500 must be reported monthly. If I make or receive a payment in excess of this amount, I understand that I am responsible for electronically reporting to German Federal Bank (</w:t>
      </w:r>
      <w:r>
        <w:rPr>
          <w:rFonts w:ascii="Arial" w:cs="Arial" w:eastAsia="Arial" w:hAnsi="Arial"/>
          <w:sz w:val="18"/>
          <w:szCs w:val="18"/>
          <w:i w:val="1"/>
          <w:iCs w:val="1"/>
          <w:color w:val="auto"/>
        </w:rPr>
        <w:t>Bundesbank</w:t>
      </w:r>
      <w:r>
        <w:rPr>
          <w:rFonts w:ascii="Arial" w:cs="Arial" w:eastAsia="Arial" w:hAnsi="Arial"/>
          <w:sz w:val="18"/>
          <w:szCs w:val="18"/>
          <w:color w:val="auto"/>
        </w:rPr>
        <w:t>) by the fifth day of the month following the month in which the payment occurs. The form of report (“</w:t>
      </w:r>
      <w:r>
        <w:rPr>
          <w:rFonts w:ascii="Arial" w:cs="Arial" w:eastAsia="Arial" w:hAnsi="Arial"/>
          <w:sz w:val="18"/>
          <w:szCs w:val="18"/>
          <w:i w:val="1"/>
          <w:iCs w:val="1"/>
          <w:color w:val="auto"/>
        </w:rPr>
        <w:t>Allgemeine Meldeportal Statistik</w:t>
      </w:r>
      <w:r>
        <w:rPr>
          <w:rFonts w:ascii="Arial" w:cs="Arial" w:eastAsia="Arial" w:hAnsi="Arial"/>
          <w:sz w:val="18"/>
          <w:szCs w:val="18"/>
          <w:color w:val="auto"/>
        </w:rPr>
        <w:t>”) can be accessed via German Federal Bank’s website (</w:t>
      </w:r>
      <w:r>
        <w:rPr>
          <w:rFonts w:ascii="Arial" w:cs="Arial" w:eastAsia="Arial" w:hAnsi="Arial"/>
          <w:sz w:val="18"/>
          <w:szCs w:val="18"/>
          <w:u w:val="single" w:color="auto"/>
          <w:color w:val="auto"/>
        </w:rPr>
        <w:t>www.bundesbank.de</w:t>
      </w:r>
      <w:r>
        <w:rPr>
          <w:rFonts w:ascii="Arial" w:cs="Arial" w:eastAsia="Arial" w:hAnsi="Arial"/>
          <w:sz w:val="18"/>
          <w:szCs w:val="18"/>
          <w:color w:val="auto"/>
        </w:rPr>
        <w:t>) and is available in both German and English.</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Hong Kong</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I hereby expressly acknowledge that my authorization to the Employer to deduct a percentage of my Payroll was given voluntarily for purposes of my participation in the Stock Purchase Plan.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68" w:lineRule="auto"/>
        <w:rPr>
          <w:sz w:val="20"/>
          <w:szCs w:val="20"/>
          <w:color w:val="auto"/>
        </w:rPr>
      </w:pPr>
      <w:r>
        <w:rPr>
          <w:rFonts w:ascii="Arial" w:cs="Arial" w:eastAsia="Arial" w:hAnsi="Arial"/>
          <w:sz w:val="17"/>
          <w:szCs w:val="17"/>
          <w:i w:val="1"/>
          <w:iCs w:val="1"/>
          <w:color w:val="auto"/>
        </w:rPr>
        <w:t>WARNING: The contents of this document have not been reviewed by any regulatory authority in Hong Kong. I am advised to exercise caution in relation to the offer. If I am in any doubt about any of the contents of the Subscription Agreement, including this Addendum, the Stock Purchase Plan or the Stock Purchase Plan prospectus, I should obtain independent professional advice. Purchase Rights and any shares of Common Stock subject to the Purchase Rights do not constitute a public offering of securities under Hong Kong law and are available only to employees of the Company, a Parent or a Subsidiary. The Subscription Agreement, including this Addendum, the Stock Purchase Plan and other incidental communication materials have not been prepared in accordance with, and are not intended to constitute a “prospectus” for, a public offering of securities under the applicable securities legislation in Hong Kong. The Purchase Rights and any documentation related thereto are intended solely for the personal use of each employee of the Company, a Parent or a Subsidiary and may not be distributed to any other person.</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India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Exchange control laws and regulations in India require that any proceeds from the sale of shares of Common Stock acquired under the Stock Purchase Plan and any dividends paid on such shares of Common Stock be repatriated to India and converted into local currency within such period of time as prescribed under applicable India exchange control laws and regulations. I must obtain a foreign inward remittance certificate (“FIRC”) from the bank where I deposit the foreign currency. I should maintain the FIRC as evidence of the repatriation of funds in the event the Reserve Bank of India or the Employer requests proof of repatriation.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90" w:lineRule="auto"/>
        <w:rPr>
          <w:sz w:val="20"/>
          <w:szCs w:val="20"/>
          <w:color w:val="auto"/>
        </w:rPr>
      </w:pPr>
      <w:r>
        <w:rPr>
          <w:rFonts w:ascii="Arial" w:cs="Arial" w:eastAsia="Arial" w:hAnsi="Arial"/>
          <w:sz w:val="17"/>
          <w:szCs w:val="17"/>
          <w:color w:val="auto"/>
        </w:rPr>
        <w:t>Foreign bank accounts and any foreign financial assets (including shares of Common Stock held outside India) must be reported in my annual Indian personal tax return. I am solely responsible for complying with this reporting obligation and should confer with my personal tax advisor in this regard.</w:t>
      </w:r>
    </w:p>
    <w:p>
      <w:pPr>
        <w:sectPr>
          <w:pgSz w:w="11900" w:h="16838" w:orient="portrait"/>
          <w:cols w:equalWidth="0" w:num="1">
            <w:col w:w="11240"/>
          </w:cols>
          <w:pgMar w:left="320" w:top="773" w:right="339" w:bottom="1440" w:gutter="0" w:footer="0" w:header="0"/>
        </w:sectPr>
      </w:pPr>
    </w:p>
    <w:bookmarkStart w:id="102" w:name="page103"/>
    <w:bookmarkEnd w:id="102"/>
    <w:p>
      <w:pPr>
        <w:spacing w:after="0"/>
        <w:rPr>
          <w:sz w:val="20"/>
          <w:szCs w:val="20"/>
          <w:color w:val="auto"/>
        </w:rPr>
      </w:pPr>
      <w:r>
        <w:rPr>
          <w:rFonts w:ascii="Arial" w:cs="Arial" w:eastAsia="Arial" w:hAnsi="Arial"/>
          <w:sz w:val="18"/>
          <w:szCs w:val="18"/>
          <w:b w:val="1"/>
          <w:bCs w:val="1"/>
          <w:u w:val="single" w:color="auto"/>
          <w:color w:val="auto"/>
        </w:rPr>
        <w:t>Israel</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23" w:lineRule="exact"/>
        <w:rPr>
          <w:sz w:val="20"/>
          <w:szCs w:val="20"/>
          <w:color w:val="auto"/>
        </w:rPr>
      </w:pPr>
    </w:p>
    <w:p>
      <w:pPr>
        <w:jc w:val="both"/>
        <w:spacing w:after="0" w:line="252" w:lineRule="auto"/>
        <w:rPr>
          <w:sz w:val="20"/>
          <w:szCs w:val="20"/>
          <w:color w:val="auto"/>
        </w:rPr>
      </w:pPr>
      <w:r>
        <w:rPr>
          <w:rFonts w:ascii="Arial" w:cs="Arial" w:eastAsia="Arial" w:hAnsi="Arial"/>
          <w:sz w:val="18"/>
          <w:szCs w:val="18"/>
          <w:color w:val="auto"/>
        </w:rPr>
        <w:t>Notwithstanding Section 5 of the Subscription Agreement, I understand that, subject to the Israeli tax laws, as may be amended from time to time, it is the Employer’s statutory liability to withhold any Tax-Related Items resulting from my participation in the Stock Purchase Plan. I agree that in case the amount of the Tax-Related Items is not withheld from my pay check and/or the Company determines that it is not feasible to withhold from the proceeds from the sale of shares, I will transfer the Tax-Related Item amounts not withheld from my pay check (or otherwise recovered from me) to the Employer no later than five business days after the pay date following the taxable event. I further agree that the shares issued to me pursuant to the Stock Purchase Plan will be deposited with the Company’s designated broker account to assist with any sale of shares or transfer of shares on my behalf and pursuant to this authorization.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Japan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60" w:lineRule="auto"/>
        <w:rPr>
          <w:sz w:val="20"/>
          <w:szCs w:val="20"/>
          <w:color w:val="auto"/>
        </w:rPr>
      </w:pPr>
      <w:r>
        <w:rPr>
          <w:rFonts w:ascii="Arial" w:cs="Arial" w:eastAsia="Arial" w:hAnsi="Arial"/>
          <w:sz w:val="18"/>
          <w:szCs w:val="18"/>
          <w:color w:val="auto"/>
        </w:rPr>
        <w:t>If I acquire shares of Common Stock valued at more than ¥100,000,000 in a single transaction, I understand that I must file a Securities Acquisition Report with the Ministry of Finance through the Bank of Japan within 20 days of the acquisition.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Details of any assets held outside of Japan as of December 31, including shares of Common Stock must be reported to the Tax Office, to the extent such assets have a total net fair market value exceeding ¥50,000,000. The report is due by March 15 each year. I understand that I am responsible for complying with this reporting obligation and should confer with my personal tax advisor in this regard.</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Korea</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Power of Attorney</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understand that if requested by the Company or the Employer to effect the transfer of my Payroll deductions outside of Korea for the purchase of shares of Common Stock under the Stock Purchase Plan, I will need to print, sign, and return any Power of Attorney form provided to me by my local human resources representative or Stock Administration in order to participate in the Stock Purchase Plan.</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00" w:lineRule="exact"/>
        <w:rPr>
          <w:sz w:val="20"/>
          <w:szCs w:val="20"/>
          <w:color w:val="auto"/>
        </w:rPr>
      </w:pP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Korean residents must declare all foreign financial accounts (</w:t>
      </w:r>
      <w:r>
        <w:rPr>
          <w:rFonts w:ascii="Arial" w:cs="Arial" w:eastAsia="Arial" w:hAnsi="Arial"/>
          <w:sz w:val="18"/>
          <w:szCs w:val="18"/>
          <w:i w:val="1"/>
          <w:iCs w:val="1"/>
          <w:color w:val="auto"/>
        </w:rPr>
        <w:t>e.g.</w:t>
      </w:r>
      <w:r>
        <w:rPr>
          <w:rFonts w:ascii="Arial" w:cs="Arial" w:eastAsia="Arial" w:hAnsi="Arial"/>
          <w:sz w:val="18"/>
          <w:szCs w:val="18"/>
          <w:color w:val="auto"/>
        </w:rPr>
        <w:t>, brokerage accounts, bank accounts) to the Korean tax authority and file a report with respect to such accounts if the value of the assets in such accounts exceeds KRW 500 million (or the equivalent amount in a foreign currency) on any month-end date during the calendar year. I am responsible for complying with applicable reporting obligations and should speak to my personal legal advisor on this matter.</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Netherlands</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Nature of Grant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38" w:lineRule="exact"/>
        <w:rPr>
          <w:sz w:val="20"/>
          <w:szCs w:val="20"/>
          <w:color w:val="auto"/>
        </w:rPr>
      </w:pPr>
    </w:p>
    <w:p>
      <w:pPr>
        <w:jc w:val="both"/>
        <w:ind w:right="20"/>
        <w:spacing w:after="0" w:line="308" w:lineRule="auto"/>
        <w:rPr>
          <w:sz w:val="20"/>
          <w:szCs w:val="20"/>
          <w:color w:val="auto"/>
        </w:rPr>
      </w:pPr>
      <w:r>
        <w:rPr>
          <w:rFonts w:ascii="Arial" w:cs="Arial" w:eastAsia="Arial" w:hAnsi="Arial"/>
          <w:sz w:val="17"/>
          <w:szCs w:val="17"/>
          <w:color w:val="auto"/>
        </w:rPr>
        <w:t>By participating in the Stock Purchase Plan and authorizing Payroll deductions, I acknowledge that the Purchase Right granted under the Stock Purchase Plan is intended as an incentive for me to remain employed with the Employer and is not intended as remuneration for labor performed.</w:t>
      </w:r>
    </w:p>
    <w:p>
      <w:pPr>
        <w:sectPr>
          <w:pgSz w:w="11900" w:h="16838" w:orient="portrait"/>
          <w:cols w:equalWidth="0" w:num="1">
            <w:col w:w="11240"/>
          </w:cols>
          <w:pgMar w:left="320" w:top="769" w:right="339" w:bottom="1440" w:gutter="0" w:footer="0" w:header="0"/>
        </w:sectPr>
      </w:pPr>
    </w:p>
    <w:bookmarkStart w:id="103" w:name="page104"/>
    <w:bookmarkEnd w:id="103"/>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168910</wp:posOffset>
            </wp:positionV>
            <wp:extent cx="5854700" cy="42862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5854700"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POLAND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I understand that as a condition of my participation in the Stock Purchase Plan, I will be required to execute the attached Consent for Deduction form. I</w:t>
      </w:r>
    </w:p>
    <w:p>
      <w:pPr>
        <w:spacing w:after="0" w:line="32"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understand that I must print out the form, sign and date the form in the applicable places, and return a copy to [ ]. Further, I agree to execute other agreements or consents that may be required by the Company or the Employer with respect to payroll deductions under the Stock Purchase Plan. I understand that if I fail to execute the Consent for Deduction form or any other form of agreement or consent that is required with respect to payroll deductions under the Stock Purchase Plan, I may not be able to participate in the Stock Purchase Plan.</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3" w:lineRule="auto"/>
        <w:rPr>
          <w:sz w:val="20"/>
          <w:szCs w:val="20"/>
          <w:color w:val="auto"/>
        </w:rPr>
      </w:pPr>
      <w:r>
        <w:rPr>
          <w:rFonts w:ascii="Arial" w:cs="Arial" w:eastAsia="Arial" w:hAnsi="Arial"/>
          <w:sz w:val="17"/>
          <w:szCs w:val="17"/>
          <w:color w:val="auto"/>
        </w:rPr>
        <w:t>Polish residents holding cash and foreign securities (including Shares) in bank or brokerage accounts outside of Poland must report information to the National Bank of Poland on transactions and balances in such accounts if the value of such cash and securities exceeds PLN 7 million. If required, such reports must be filed on special forms available on the website of the National Bank of Poland. Participant should consult with a personal legal advisor to determine whether Participant will be required to submit reports to the National Bank of Poland.</w:t>
      </w:r>
    </w:p>
    <w:p>
      <w:pPr>
        <w:spacing w:after="0" w:line="203" w:lineRule="exact"/>
        <w:rPr>
          <w:sz w:val="20"/>
          <w:szCs w:val="20"/>
          <w:color w:val="auto"/>
        </w:rPr>
      </w:pPr>
    </w:p>
    <w:p>
      <w:pPr>
        <w:jc w:val="both"/>
        <w:spacing w:after="0" w:line="263" w:lineRule="auto"/>
        <w:rPr>
          <w:sz w:val="20"/>
          <w:szCs w:val="20"/>
          <w:color w:val="auto"/>
        </w:rPr>
      </w:pPr>
      <w:r>
        <w:rPr>
          <w:rFonts w:ascii="Arial" w:cs="Arial" w:eastAsia="Arial" w:hAnsi="Arial"/>
          <w:sz w:val="18"/>
          <w:szCs w:val="18"/>
          <w:color w:val="auto"/>
        </w:rPr>
        <w:t>Further, any transfer of funds in excess of €15,000 (or if such transfer of funds is connected with business activity of an entrepreneur, a lower threshold) into or out of Poland must be effected through a bank account in Poland. All documents connected with any foreign exchange transactions must be retained for a period of five years from the end of the year in which the transaction occurred.</w:t>
      </w:r>
    </w:p>
    <w:p>
      <w:pPr>
        <w:sectPr>
          <w:pgSz w:w="11900" w:h="16838" w:orient="portrait"/>
          <w:cols w:equalWidth="0" w:num="1">
            <w:col w:w="11240"/>
          </w:cols>
          <w:pgMar w:left="320" w:top="1016" w:right="339" w:bottom="1440" w:gutter="0" w:footer="0" w:header="0"/>
        </w:sectPr>
      </w:pPr>
    </w:p>
    <w:bookmarkStart w:id="104" w:name="page105"/>
    <w:bookmarkEnd w:id="104"/>
    <w:tbl>
      <w:tblPr>
        <w:tblLayout w:type="fixed"/>
        <w:tblInd w:w="660" w:type="dxa"/>
        <w:tblCellMar>
          <w:top w:w="0" w:type="dxa"/>
          <w:left w:w="0" w:type="dxa"/>
          <w:bottom w:w="0" w:type="dxa"/>
          <w:right w:w="0" w:type="dxa"/>
        </w:tblCellMar>
      </w:tblPr>
      <w:tr>
        <w:trPr>
          <w:trHeight w:val="234"/>
        </w:trPr>
        <w:tc>
          <w:tcPr>
            <w:tcW w:w="4260" w:type="dxa"/>
            <w:vAlign w:val="bottom"/>
          </w:tcPr>
          <w:p>
            <w:pPr>
              <w:jc w:val="center"/>
              <w:ind w:right="490"/>
              <w:spacing w:after="0"/>
              <w:rPr>
                <w:sz w:val="20"/>
                <w:szCs w:val="20"/>
                <w:color w:val="auto"/>
              </w:rPr>
            </w:pPr>
            <w:r>
              <w:rPr>
                <w:rFonts w:ascii="Arial" w:cs="Arial" w:eastAsia="Arial" w:hAnsi="Arial"/>
                <w:sz w:val="18"/>
                <w:szCs w:val="18"/>
                <w:b w:val="1"/>
                <w:bCs w:val="1"/>
                <w:color w:val="auto"/>
              </w:rPr>
              <w:t>MARVELL TECHNOLOGY GROUP LTD.</w:t>
            </w:r>
          </w:p>
        </w:tc>
        <w:tc>
          <w:tcPr>
            <w:tcW w:w="4680" w:type="dxa"/>
            <w:vAlign w:val="bottom"/>
          </w:tcPr>
          <w:p>
            <w:pPr>
              <w:jc w:val="center"/>
              <w:ind w:left="490"/>
              <w:spacing w:after="0"/>
              <w:rPr>
                <w:sz w:val="20"/>
                <w:szCs w:val="20"/>
                <w:color w:val="auto"/>
              </w:rPr>
            </w:pPr>
            <w:r>
              <w:rPr>
                <w:rFonts w:ascii="Arial" w:cs="Arial" w:eastAsia="Arial" w:hAnsi="Arial"/>
                <w:sz w:val="18"/>
                <w:szCs w:val="18"/>
                <w:b w:val="1"/>
                <w:bCs w:val="1"/>
                <w:color w:val="auto"/>
              </w:rPr>
              <w:t>MARVELL TECHNOLOGY GROUP LTD.</w:t>
            </w:r>
          </w:p>
        </w:tc>
      </w:tr>
      <w:tr>
        <w:trPr>
          <w:trHeight w:val="459"/>
        </w:trPr>
        <w:tc>
          <w:tcPr>
            <w:tcW w:w="4260" w:type="dxa"/>
            <w:vAlign w:val="bottom"/>
          </w:tcPr>
          <w:p>
            <w:pPr>
              <w:jc w:val="center"/>
              <w:ind w:right="490"/>
              <w:spacing w:after="0"/>
              <w:rPr>
                <w:sz w:val="20"/>
                <w:szCs w:val="20"/>
                <w:color w:val="auto"/>
              </w:rPr>
            </w:pPr>
            <w:r>
              <w:rPr>
                <w:rFonts w:ascii="Arial" w:cs="Arial" w:eastAsia="Arial" w:hAnsi="Arial"/>
                <w:sz w:val="18"/>
                <w:szCs w:val="18"/>
                <w:b w:val="1"/>
                <w:bCs w:val="1"/>
                <w:color w:val="auto"/>
                <w:w w:val="98"/>
              </w:rPr>
              <w:t>2000 EMPLOYEE STOCK PURCHASE PLAN</w:t>
            </w:r>
          </w:p>
        </w:tc>
        <w:tc>
          <w:tcPr>
            <w:tcW w:w="4680" w:type="dxa"/>
            <w:vAlign w:val="bottom"/>
          </w:tcPr>
          <w:p>
            <w:pPr>
              <w:jc w:val="center"/>
              <w:ind w:left="470"/>
              <w:spacing w:after="0"/>
              <w:rPr>
                <w:sz w:val="20"/>
                <w:szCs w:val="20"/>
                <w:color w:val="auto"/>
              </w:rPr>
            </w:pPr>
            <w:r>
              <w:rPr>
                <w:rFonts w:ascii="Arial" w:cs="Arial" w:eastAsia="Arial" w:hAnsi="Arial"/>
                <w:sz w:val="18"/>
                <w:szCs w:val="18"/>
                <w:b w:val="1"/>
                <w:bCs w:val="1"/>
                <w:color w:val="auto"/>
              </w:rPr>
              <w:t>2000 PRACOWNICZY PLAN NABYWANIA AKCJI</w:t>
            </w:r>
          </w:p>
        </w:tc>
      </w:tr>
      <w:tr>
        <w:trPr>
          <w:trHeight w:val="540"/>
        </w:trPr>
        <w:tc>
          <w:tcPr>
            <w:tcW w:w="4260" w:type="dxa"/>
            <w:vAlign w:val="bottom"/>
          </w:tcPr>
          <w:p>
            <w:pPr>
              <w:spacing w:after="0"/>
              <w:rPr>
                <w:sz w:val="24"/>
                <w:szCs w:val="24"/>
                <w:color w:val="auto"/>
              </w:rPr>
            </w:pPr>
          </w:p>
        </w:tc>
        <w:tc>
          <w:tcPr>
            <w:tcW w:w="4680" w:type="dxa"/>
            <w:vAlign w:val="bottom"/>
          </w:tcPr>
          <w:p>
            <w:pPr>
              <w:jc w:val="center"/>
              <w:ind w:left="490"/>
              <w:spacing w:after="0"/>
              <w:rPr>
                <w:sz w:val="20"/>
                <w:szCs w:val="20"/>
                <w:color w:val="auto"/>
              </w:rPr>
            </w:pPr>
            <w:r>
              <w:rPr>
                <w:rFonts w:ascii="Arial" w:cs="Arial" w:eastAsia="Arial" w:hAnsi="Arial"/>
                <w:sz w:val="18"/>
                <w:szCs w:val="18"/>
                <w:b w:val="1"/>
                <w:bCs w:val="1"/>
                <w:color w:val="auto"/>
                <w:w w:val="88"/>
              </w:rPr>
              <w:t>Dla Uczestników w Polsce</w:t>
            </w:r>
          </w:p>
        </w:tc>
      </w:tr>
      <w:tr>
        <w:trPr>
          <w:trHeight w:val="243"/>
        </w:trPr>
        <w:tc>
          <w:tcPr>
            <w:tcW w:w="4260" w:type="dxa"/>
            <w:vAlign w:val="bottom"/>
          </w:tcPr>
          <w:p>
            <w:pPr>
              <w:jc w:val="center"/>
              <w:ind w:right="490"/>
              <w:spacing w:after="0"/>
              <w:rPr>
                <w:sz w:val="20"/>
                <w:szCs w:val="20"/>
                <w:color w:val="auto"/>
              </w:rPr>
            </w:pPr>
            <w:r>
              <w:rPr>
                <w:rFonts w:ascii="Arial" w:cs="Arial" w:eastAsia="Arial" w:hAnsi="Arial"/>
                <w:sz w:val="18"/>
                <w:szCs w:val="18"/>
                <w:b w:val="1"/>
                <w:bCs w:val="1"/>
                <w:color w:val="auto"/>
                <w:w w:val="91"/>
              </w:rPr>
              <w:t>For Participants in Poland</w:t>
            </w:r>
          </w:p>
        </w:tc>
        <w:tc>
          <w:tcPr>
            <w:tcW w:w="4680" w:type="dxa"/>
            <w:vAlign w:val="bottom"/>
          </w:tcPr>
          <w:p>
            <w:pPr>
              <w:spacing w:after="0"/>
              <w:rPr>
                <w:sz w:val="21"/>
                <w:szCs w:val="2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1280"/>
        <w:spacing w:after="0"/>
        <w:tabs>
          <w:tab w:leader="none" w:pos="6420" w:val="left"/>
        </w:tabs>
        <w:rPr>
          <w:sz w:val="20"/>
          <w:szCs w:val="20"/>
          <w:color w:val="auto"/>
        </w:rPr>
      </w:pPr>
      <w:r>
        <w:rPr>
          <w:rFonts w:ascii="Arial" w:cs="Arial" w:eastAsia="Arial" w:hAnsi="Arial"/>
          <w:sz w:val="18"/>
          <w:szCs w:val="18"/>
          <w:b w:val="1"/>
          <w:bCs w:val="1"/>
          <w:u w:val="single" w:color="auto"/>
          <w:color w:val="auto"/>
        </w:rPr>
        <w:t>CONSENT FOR DEDUCTION</w:t>
      </w:r>
      <w:r>
        <w:rPr>
          <w:sz w:val="20"/>
          <w:szCs w:val="20"/>
          <w:color w:val="auto"/>
        </w:rPr>
        <w:tab/>
      </w:r>
      <w:r>
        <w:rPr>
          <w:rFonts w:ascii="Arial" w:cs="Arial" w:eastAsia="Arial" w:hAnsi="Arial"/>
          <w:sz w:val="18"/>
          <w:szCs w:val="18"/>
          <w:b w:val="1"/>
          <w:bCs w:val="1"/>
          <w:u w:val="single" w:color="auto"/>
          <w:color w:val="auto"/>
        </w:rPr>
        <w:t>ZGODA NA POTRĄCENIE</w:t>
      </w:r>
    </w:p>
    <w:p>
      <w:pPr>
        <w:sectPr>
          <w:pgSz w:w="11900" w:h="16838" w:orient="portrait"/>
          <w:cols w:equalWidth="0" w:num="1">
            <w:col w:w="10119"/>
          </w:cols>
          <w:pgMar w:left="340" w:top="82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I, the undersigned, in order to participate in the Marvell Technology Group Ltd. 2000 Employee Stock Purchase Plan (“Stock Purchase Plan”), authorize my employer to withhold payroll deductions in the amount of ___% of my Payroll, or such other percentage as subsequently selected by me under the Stock Purchase Plan. I understand that this amount must not be more than 15% of my Payroll for any Offering Period with the reservation that the deductions are made in accordance with the applicable provisions of the Polish labor law.</w:t>
      </w:r>
    </w:p>
    <w:p>
      <w:pPr>
        <w:spacing w:after="0" w:line="127" w:lineRule="exact"/>
        <w:rPr>
          <w:sz w:val="20"/>
          <w:szCs w:val="20"/>
          <w:color w:val="auto"/>
        </w:rPr>
      </w:pPr>
    </w:p>
    <w:p>
      <w:pPr>
        <w:jc w:val="both"/>
        <w:ind w:right="80"/>
        <w:spacing w:after="0" w:line="311" w:lineRule="auto"/>
        <w:rPr>
          <w:sz w:val="20"/>
          <w:szCs w:val="20"/>
          <w:color w:val="auto"/>
        </w:rPr>
      </w:pPr>
      <w:r>
        <w:rPr>
          <w:rFonts w:ascii="Arial" w:cs="Arial" w:eastAsia="Arial" w:hAnsi="Arial"/>
          <w:sz w:val="16"/>
          <w:szCs w:val="16"/>
          <w:color w:val="auto"/>
        </w:rPr>
        <w:t>I acknowledge and agree that any past payroll deductions from my Payroll with respect to my participation in the Stock Purchase Plan complied with Polish law and that I authorized all such deductions.</w:t>
      </w:r>
    </w:p>
    <w:p>
      <w:pPr>
        <w:spacing w:after="0" w:line="203" w:lineRule="exact"/>
        <w:rPr>
          <w:sz w:val="20"/>
          <w:szCs w:val="20"/>
          <w:color w:val="auto"/>
        </w:rPr>
      </w:pPr>
    </w:p>
    <w:p>
      <w:pPr>
        <w:jc w:val="both"/>
        <w:ind w:right="20"/>
        <w:spacing w:after="0" w:line="277" w:lineRule="auto"/>
        <w:rPr>
          <w:sz w:val="20"/>
          <w:szCs w:val="20"/>
          <w:color w:val="auto"/>
        </w:rPr>
      </w:pPr>
      <w:r>
        <w:rPr>
          <w:rFonts w:ascii="Arial" w:cs="Arial" w:eastAsia="Arial" w:hAnsi="Arial"/>
          <w:sz w:val="18"/>
          <w:szCs w:val="18"/>
          <w:color w:val="auto"/>
        </w:rPr>
        <w:t>All the terms written in capital letters shall have the meanings given to them in the Stock Purchase Plan.</w:t>
      </w:r>
    </w:p>
    <w:p>
      <w:pPr>
        <w:spacing w:after="0" w:line="359" w:lineRule="exact"/>
        <w:rPr>
          <w:sz w:val="20"/>
          <w:szCs w:val="20"/>
          <w:color w:val="auto"/>
        </w:rPr>
      </w:pPr>
    </w:p>
    <w:p>
      <w:pPr>
        <w:jc w:val="both"/>
        <w:ind w:right="20"/>
        <w:spacing w:after="0" w:line="263" w:lineRule="auto"/>
        <w:rPr>
          <w:sz w:val="20"/>
          <w:szCs w:val="20"/>
          <w:color w:val="auto"/>
        </w:rPr>
      </w:pPr>
      <w:r>
        <w:rPr>
          <w:rFonts w:ascii="Arial" w:cs="Arial" w:eastAsia="Arial" w:hAnsi="Arial"/>
          <w:sz w:val="18"/>
          <w:szCs w:val="18"/>
          <w:color w:val="auto"/>
        </w:rPr>
        <w:t>In case of any discrepancies between the Polish language version of this document and its English language version, the Polish language version shall prevail.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right="179"/>
        <w:spacing w:after="0" w:line="287" w:lineRule="auto"/>
        <w:rPr>
          <w:sz w:val="20"/>
          <w:szCs w:val="20"/>
          <w:color w:val="auto"/>
        </w:rPr>
      </w:pPr>
      <w:r>
        <w:rPr>
          <w:rFonts w:ascii="Arial" w:cs="Arial" w:eastAsia="Arial" w:hAnsi="Arial"/>
          <w:sz w:val="16"/>
          <w:szCs w:val="16"/>
          <w:color w:val="auto"/>
        </w:rPr>
        <w:t>Ja niżej podpisany, w celu uczestnictwa w Marvell Technology Group Ltd. 2000 Pracowniczym Planie Nabywania Akcji (“Plan”), upoważniam mojego pracodawcę do potrącenia kwoty w wysokości</w:t>
      </w:r>
    </w:p>
    <w:p>
      <w:pPr>
        <w:spacing w:after="0" w:line="2" w:lineRule="exact"/>
        <w:rPr>
          <w:sz w:val="20"/>
          <w:szCs w:val="20"/>
          <w:color w:val="auto"/>
        </w:rPr>
      </w:pPr>
    </w:p>
    <w:p>
      <w:pPr>
        <w:ind w:right="99"/>
        <w:spacing w:after="0" w:line="270" w:lineRule="auto"/>
        <w:rPr>
          <w:sz w:val="20"/>
          <w:szCs w:val="20"/>
          <w:color w:val="auto"/>
        </w:rPr>
      </w:pPr>
      <w:r>
        <w:rPr>
          <w:rFonts w:ascii="Arial" w:cs="Arial" w:eastAsia="Arial" w:hAnsi="Arial"/>
          <w:sz w:val="17"/>
          <w:szCs w:val="17"/>
          <w:color w:val="auto"/>
        </w:rPr>
        <w:t>___% z mojego Uprawnionego Wynagrodzenia lub inny procent później wskazany przeze mnie w ramach Planu. Przyjmuję do wiadomości, iż ta kwota nie może być mniejsza niż 1% i większa niż 15% mojego Uprawnionego Wynagrodzenia w każdym Okresie Oferty z zastrzeżeniem, że potrącenia będą dokonywane zgodnie z obowiązującymi przepisami polskiego prawa pracy.</w:t>
      </w:r>
    </w:p>
    <w:p>
      <w:pPr>
        <w:spacing w:after="0" w:line="70" w:lineRule="exact"/>
        <w:rPr>
          <w:sz w:val="20"/>
          <w:szCs w:val="20"/>
          <w:color w:val="auto"/>
        </w:rPr>
      </w:pPr>
    </w:p>
    <w:p>
      <w:pPr>
        <w:ind w:right="139"/>
        <w:spacing w:after="0" w:line="259" w:lineRule="auto"/>
        <w:rPr>
          <w:sz w:val="20"/>
          <w:szCs w:val="20"/>
          <w:color w:val="auto"/>
        </w:rPr>
      </w:pPr>
      <w:r>
        <w:rPr>
          <w:rFonts w:ascii="Arial" w:cs="Arial" w:eastAsia="Arial" w:hAnsi="Arial"/>
          <w:sz w:val="18"/>
          <w:szCs w:val="18"/>
          <w:color w:val="auto"/>
        </w:rPr>
        <w:t>Niniejszym potwierdzam i zgadzam się z tym, że jakiekolwiek przeszłe potrącenia z mojego Uprawnionego Wynagrodzenia dokonane w związku z moim uczestnictwem w Planie były zgodne z polskim prawem i że wyraziłem/am na nie zgodę.</w:t>
      </w:r>
    </w:p>
    <w:p>
      <w:pPr>
        <w:spacing w:after="0" w:line="25" w:lineRule="exact"/>
        <w:rPr>
          <w:sz w:val="20"/>
          <w:szCs w:val="20"/>
          <w:color w:val="auto"/>
        </w:rPr>
      </w:pPr>
    </w:p>
    <w:p>
      <w:pPr>
        <w:ind w:right="779"/>
        <w:spacing w:after="0" w:line="277" w:lineRule="auto"/>
        <w:rPr>
          <w:sz w:val="20"/>
          <w:szCs w:val="20"/>
          <w:color w:val="auto"/>
        </w:rPr>
      </w:pPr>
      <w:r>
        <w:rPr>
          <w:rFonts w:ascii="Arial" w:cs="Arial" w:eastAsia="Arial" w:hAnsi="Arial"/>
          <w:sz w:val="18"/>
          <w:szCs w:val="18"/>
          <w:color w:val="auto"/>
        </w:rPr>
        <w:t>Wszystkie terminy pisane wielkimi literami mają znaczenie przypisane im w ramach Planu.</w:t>
      </w:r>
    </w:p>
    <w:p>
      <w:pPr>
        <w:spacing w:after="0" w:line="200" w:lineRule="exact"/>
        <w:rPr>
          <w:sz w:val="20"/>
          <w:szCs w:val="20"/>
          <w:color w:val="auto"/>
        </w:rPr>
      </w:pPr>
    </w:p>
    <w:p>
      <w:pPr>
        <w:spacing w:after="0" w:line="213" w:lineRule="exact"/>
        <w:rPr>
          <w:sz w:val="20"/>
          <w:szCs w:val="20"/>
          <w:color w:val="auto"/>
        </w:rPr>
      </w:pPr>
    </w:p>
    <w:p>
      <w:pPr>
        <w:ind w:right="99"/>
        <w:spacing w:after="0" w:line="263" w:lineRule="auto"/>
        <w:rPr>
          <w:sz w:val="20"/>
          <w:szCs w:val="20"/>
          <w:color w:val="auto"/>
        </w:rPr>
      </w:pPr>
      <w:r>
        <w:rPr>
          <w:rFonts w:ascii="Arial" w:cs="Arial" w:eastAsia="Arial" w:hAnsi="Arial"/>
          <w:sz w:val="18"/>
          <w:szCs w:val="18"/>
          <w:color w:val="auto"/>
        </w:rPr>
        <w:t>W przypadku jakichkolwiek rozbieżności pomiędzy polską a angielską wersją językową niniejszego dokumentu, wersja polska ma charakter wiążący.</w:t>
      </w:r>
    </w:p>
    <w:p>
      <w:pPr>
        <w:spacing w:after="0" w:line="200" w:lineRule="exact"/>
        <w:rPr>
          <w:sz w:val="20"/>
          <w:szCs w:val="20"/>
          <w:color w:val="auto"/>
        </w:rPr>
      </w:pPr>
    </w:p>
    <w:p>
      <w:pPr>
        <w:sectPr>
          <w:pgSz w:w="11900" w:h="16838" w:orient="portrait"/>
          <w:cols w:equalWidth="0" w:num="2">
            <w:col w:w="4920" w:space="120"/>
            <w:col w:w="5079"/>
          </w:cols>
          <w:pgMar w:left="340" w:top="823" w:right="1440" w:bottom="1440" w:gutter="0" w:footer="0" w:header="0"/>
          <w:type w:val="continuous"/>
        </w:sectPr>
      </w:pPr>
    </w:p>
    <w:p>
      <w:pPr>
        <w:spacing w:after="0" w:line="254" w:lineRule="exact"/>
        <w:rPr>
          <w:sz w:val="20"/>
          <w:szCs w:val="20"/>
          <w:color w:val="auto"/>
        </w:rPr>
      </w:pPr>
    </w:p>
    <w:p>
      <w:pPr>
        <w:spacing w:after="0"/>
        <w:tabs>
          <w:tab w:leader="none" w:pos="3220" w:val="left"/>
        </w:tabs>
        <w:rPr>
          <w:sz w:val="20"/>
          <w:szCs w:val="20"/>
          <w:color w:val="auto"/>
        </w:rPr>
      </w:pPr>
      <w:r>
        <w:rPr>
          <w:rFonts w:ascii="Arial" w:cs="Arial" w:eastAsia="Arial" w:hAnsi="Arial"/>
          <w:sz w:val="16"/>
          <w:szCs w:val="16"/>
          <w:color w:val="auto"/>
        </w:rPr>
        <w:t>__________________________</w:t>
      </w:r>
      <w:r>
        <w:rPr>
          <w:sz w:val="20"/>
          <w:szCs w:val="20"/>
          <w:color w:val="auto"/>
        </w:rPr>
        <w:tab/>
      </w:r>
      <w:r>
        <w:rPr>
          <w:rFonts w:ascii="Arial" w:cs="Arial" w:eastAsia="Arial" w:hAnsi="Arial"/>
          <w:sz w:val="16"/>
          <w:szCs w:val="16"/>
          <w:color w:val="auto"/>
        </w:rPr>
        <w:t>_________________</w:t>
      </w:r>
    </w:p>
    <w:p>
      <w:pPr>
        <w:spacing w:after="0" w:line="46" w:lineRule="exact"/>
        <w:rPr>
          <w:sz w:val="20"/>
          <w:szCs w:val="20"/>
          <w:color w:val="auto"/>
        </w:rPr>
      </w:pPr>
    </w:p>
    <w:p>
      <w:pPr>
        <w:spacing w:after="0"/>
        <w:tabs>
          <w:tab w:leader="none" w:pos="2620" w:val="left"/>
        </w:tabs>
        <w:rPr>
          <w:sz w:val="20"/>
          <w:szCs w:val="20"/>
          <w:color w:val="auto"/>
        </w:rPr>
      </w:pPr>
      <w:r>
        <w:rPr>
          <w:rFonts w:ascii="Arial" w:cs="Arial" w:eastAsia="Arial" w:hAnsi="Arial"/>
          <w:sz w:val="18"/>
          <w:szCs w:val="18"/>
          <w:color w:val="auto"/>
        </w:rPr>
        <w:t>Employee/Pracownik</w:t>
      </w:r>
      <w:r>
        <w:rPr>
          <w:sz w:val="20"/>
          <w:szCs w:val="20"/>
          <w:color w:val="auto"/>
        </w:rPr>
        <w:tab/>
      </w:r>
      <w:r>
        <w:rPr>
          <w:rFonts w:ascii="Arial" w:cs="Arial" w:eastAsia="Arial" w:hAnsi="Arial"/>
          <w:sz w:val="18"/>
          <w:szCs w:val="18"/>
          <w:color w:val="auto"/>
        </w:rPr>
        <w:t>Date/Data</w:t>
      </w:r>
    </w:p>
    <w:p>
      <w:pPr>
        <w:sectPr>
          <w:pgSz w:w="11900" w:h="16838" w:orient="portrait"/>
          <w:cols w:equalWidth="0" w:num="1">
            <w:col w:w="10119"/>
          </w:cols>
          <w:pgMar w:left="340" w:top="823" w:right="1440" w:bottom="1440" w:gutter="0" w:footer="0" w:header="0"/>
          <w:type w:val="continuous"/>
        </w:sectPr>
      </w:pPr>
    </w:p>
    <w:bookmarkStart w:id="105" w:name="page106"/>
    <w:bookmarkEnd w:id="105"/>
    <w:p>
      <w:pPr>
        <w:spacing w:after="0"/>
        <w:rPr>
          <w:sz w:val="20"/>
          <w:szCs w:val="20"/>
          <w:color w:val="auto"/>
        </w:rPr>
      </w:pPr>
      <w:r>
        <w:rPr>
          <w:rFonts w:ascii="Arial" w:cs="Arial" w:eastAsia="Arial" w:hAnsi="Arial"/>
          <w:sz w:val="18"/>
          <w:szCs w:val="18"/>
          <w:b w:val="1"/>
          <w:bCs w:val="1"/>
          <w:u w:val="single" w:color="auto"/>
          <w:color w:val="auto"/>
        </w:rPr>
        <w:t>Russia</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agree to act in accordance with any procedures established by the Company to comply with the exchange control regulations in Russia and to provide a power of attorney (if I have not already done so) or any other agreements or consents that may be required by the Company or the Employer to facilitate my participation in the Stock Purchase Plan.</w:t>
      </w:r>
    </w:p>
    <w:p>
      <w:pPr>
        <w:spacing w:after="0" w:line="217" w:lineRule="exact"/>
        <w:rPr>
          <w:sz w:val="20"/>
          <w:szCs w:val="20"/>
          <w:color w:val="auto"/>
        </w:rPr>
      </w:pPr>
    </w:p>
    <w:p>
      <w:pPr>
        <w:jc w:val="both"/>
        <w:spacing w:after="0" w:line="291" w:lineRule="auto"/>
        <w:rPr>
          <w:sz w:val="20"/>
          <w:szCs w:val="20"/>
          <w:color w:val="auto"/>
        </w:rPr>
      </w:pPr>
      <w:r>
        <w:rPr>
          <w:rFonts w:ascii="Arial" w:cs="Arial" w:eastAsia="Arial" w:hAnsi="Arial"/>
          <w:sz w:val="16"/>
          <w:szCs w:val="16"/>
          <w:color w:val="auto"/>
        </w:rPr>
        <w:t>In this regard, I hereby authorize the Employer to take payroll deductions from each of my paychecks in that percentage of my Earnings (from 1% to 15%) that I have specified through the electronic enrollment process. I understand that, in addition to other procedures for enrolling in the Stock Purchase Plan, I</w:t>
      </w:r>
    </w:p>
    <w:p>
      <w:pPr>
        <w:jc w:val="both"/>
        <w:spacing w:after="0" w:line="253" w:lineRule="auto"/>
        <w:rPr>
          <w:sz w:val="20"/>
          <w:szCs w:val="20"/>
          <w:color w:val="auto"/>
        </w:rPr>
      </w:pPr>
      <w:r>
        <w:rPr>
          <w:rFonts w:ascii="Arial" w:cs="Arial" w:eastAsia="Arial" w:hAnsi="Arial"/>
          <w:sz w:val="18"/>
          <w:szCs w:val="18"/>
          <w:color w:val="auto"/>
        </w:rPr>
        <w:t>must print and sign the Application and Authorization for Payroll Deductions located on the following pages and submit it to [ ] in order to participate in the Stock Purchase Plan. Further, I agree to execute other agreements or consents that may be required by the Company or the Employer with respect to participation in the Stock Purchase Plan. I understand that if I fail comply with required procedures and to execute a power of attorney, the Application and Authorization for Payroll Deductions and/or any other agreement or consent that is required by the Company or the Employer under the Stock Purchase Plan, I may not be able to participate in the Stock Purchase Plan.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U.S. Transaction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understand that by enrolling in the Stock Purchase Plan (including through an online process managed by the Designated Broker or the Company or another third party designated by the Company) I am entering into an agreement between me and the Company completed in the United States and that the Subscription Agreement, including this Addendum, is governed by the laws of the State of California, without giving effect to the conflict of law principles thereof.</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Acknowledgement</w:t>
      </w:r>
    </w:p>
    <w:p>
      <w:pPr>
        <w:spacing w:after="0" w:line="23" w:lineRule="exact"/>
        <w:rPr>
          <w:sz w:val="20"/>
          <w:szCs w:val="20"/>
          <w:color w:val="auto"/>
        </w:rPr>
      </w:pPr>
    </w:p>
    <w:p>
      <w:pPr>
        <w:jc w:val="both"/>
        <w:spacing w:after="0" w:line="251" w:lineRule="auto"/>
        <w:rPr>
          <w:sz w:val="20"/>
          <w:szCs w:val="20"/>
          <w:color w:val="auto"/>
        </w:rPr>
      </w:pPr>
      <w:r>
        <w:rPr>
          <w:rFonts w:ascii="Arial" w:cs="Arial" w:eastAsia="Arial" w:hAnsi="Arial"/>
          <w:sz w:val="18"/>
          <w:szCs w:val="18"/>
          <w:color w:val="auto"/>
        </w:rPr>
        <w:t>I acknowledge that the Purchase Rights, the Subscription Agreement, including this Addendum, the Stock Purchase Plan and all other materials I may receive regarding participation in the Stock Purchase Plan do not constitute advertising or an offering of securities in Russia. The shares of Common Stock purchased under the Stock Purchase Plan have not and will not be registered in Russia nor admitted for listing on any Russian exchange for trading within Russia, and therefore, neither the Purchase Rights nor the shares of Common Stock may be used for offering or public or private circulation in Russia. I acknowledge that I may hold shares of Common Stock purchased under the Stock Purchase Plan in my account with the Designated Broker (or such other stock plan service provider as may be selected by the Company) account in the United States. However, in no event will shares of Common Stock purchased under the Stock Purchase Plan be delivered to me in Russia. Further, I am not permitted to sell or otherwise dispose of shares of Common Stock directly to other Russian individuals.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Data Privacy and Transfer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supplements Section 8 of the Subscription Agreement:</w:t>
      </w:r>
    </w:p>
    <w:p>
      <w:pPr>
        <w:spacing w:after="0" w:line="238"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I understand and agree that I must complete and return a Consent to Personal Data Processing (the “Consent”) form to the Company. Further, I understand and agree that if I do not complete and return a Consent to the Company, it will not be able to offer me participation in the Stock Purchase Plan or grant Purchase Rights to me or administer or maintain my participation in the Stock Purchase Plan. Therefore, I understand that refusing to complete a Consent or withdrawing my Consent may affect my ability to participate in the Stock Purchase Plan.</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ind w:right="160"/>
        <w:spacing w:after="0" w:line="251" w:lineRule="auto"/>
        <w:rPr>
          <w:sz w:val="20"/>
          <w:szCs w:val="20"/>
          <w:color w:val="auto"/>
        </w:rPr>
      </w:pPr>
      <w:r>
        <w:rPr>
          <w:rFonts w:ascii="Arial" w:cs="Arial" w:eastAsia="Arial" w:hAnsi="Arial"/>
          <w:sz w:val="18"/>
          <w:szCs w:val="18"/>
          <w:color w:val="auto"/>
        </w:rPr>
        <w:t xml:space="preserve">All restrictions on the payment of funds by nonresidents into a Russian resident’s declared foreign </w:t>
      </w:r>
      <w:r>
        <w:rPr>
          <w:rFonts w:ascii="Arial" w:cs="Arial" w:eastAsia="Arial" w:hAnsi="Arial"/>
          <w:sz w:val="18"/>
          <w:szCs w:val="18"/>
          <w:i w:val="1"/>
          <w:iCs w:val="1"/>
          <w:color w:val="auto"/>
        </w:rPr>
        <w:t>brokerage</w:t>
      </w:r>
      <w:r>
        <w:rPr>
          <w:rFonts w:ascii="Arial" w:cs="Arial" w:eastAsia="Arial" w:hAnsi="Arial"/>
          <w:sz w:val="18"/>
          <w:szCs w:val="18"/>
          <w:color w:val="auto"/>
        </w:rPr>
        <w:t xml:space="preserve"> account, including dividends and proceeds from the sale of shares of Common Stock, have been abolished. I can now receive, hold and remit dividends and proceeds from the sale of shares of Common Stock acquired under the Stock Purchase Plan into and out of my brokerage account without any requirement to first repatriate such funds to an authorized bank in Russia. I should be aware that the rules related to foreign </w:t>
      </w:r>
      <w:r>
        <w:rPr>
          <w:rFonts w:ascii="Arial" w:cs="Arial" w:eastAsia="Arial" w:hAnsi="Arial"/>
          <w:sz w:val="18"/>
          <w:szCs w:val="18"/>
          <w:i w:val="1"/>
          <w:iCs w:val="1"/>
          <w:color w:val="auto"/>
        </w:rPr>
        <w:t>bank</w:t>
      </w:r>
      <w:r>
        <w:rPr>
          <w:rFonts w:ascii="Arial" w:cs="Arial" w:eastAsia="Arial" w:hAnsi="Arial"/>
          <w:sz w:val="18"/>
          <w:szCs w:val="18"/>
          <w:color w:val="auto"/>
        </w:rPr>
        <w:t xml:space="preserve"> accounts are different and that certain restrictions with respect to payments by non-residents into a Russian currency resident’s foreign bank account will continue to apply where the foreign bank account is located in the U.S. I should contact my personal advisor to confirm the application of the exchange control restrictions prior to purchasing or selling shares of Common Stock, as significant penalties may apply in the case of non-compliance with the exchange control restrictions and because such exchange control restrictions are subject to change.</w:t>
      </w:r>
    </w:p>
    <w:p>
      <w:pPr>
        <w:sectPr>
          <w:pgSz w:w="11900" w:h="16838" w:orient="portrait"/>
          <w:cols w:equalWidth="0" w:num="1">
            <w:col w:w="11240"/>
          </w:cols>
          <w:pgMar w:left="320" w:top="769" w:right="339" w:bottom="1440" w:gutter="0" w:footer="0" w:header="0"/>
        </w:sectPr>
      </w:pPr>
    </w:p>
    <w:bookmarkStart w:id="106" w:name="page107"/>
    <w:bookmarkEnd w:id="106"/>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Russian residents are required to report the opening, closing or change in account details of any foreign bank account to the Russian tax authorities within one month of the opening, closing or change of such account. Russian residents also are required to report to the Russian tax authorities on or before June 1 of the following year (i) the beginning and ending balances in a foreign bank account each year and (ii) transactions related to such a foreign account during the year. Foreign brokerage accounts and foreign accounts with other financial institutions (financial market organizations) also must be reported. Certain specific exceptions from the reporting requirements may apply. I should consult with my personal legal advisor to determine how these reporting requirements apply to any account opened in connection with my participation in the Plan.</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Labor Law Information</w:t>
      </w:r>
    </w:p>
    <w:p>
      <w:pPr>
        <w:spacing w:after="0" w:line="23" w:lineRule="exact"/>
        <w:rPr>
          <w:sz w:val="20"/>
          <w:szCs w:val="20"/>
          <w:color w:val="auto"/>
        </w:rPr>
      </w:pPr>
    </w:p>
    <w:p>
      <w:pPr>
        <w:ind w:right="80"/>
        <w:spacing w:after="0" w:line="260" w:lineRule="auto"/>
        <w:rPr>
          <w:sz w:val="20"/>
          <w:szCs w:val="20"/>
          <w:color w:val="auto"/>
        </w:rPr>
      </w:pPr>
      <w:r>
        <w:rPr>
          <w:rFonts w:ascii="Arial" w:cs="Arial" w:eastAsia="Arial" w:hAnsi="Arial"/>
          <w:sz w:val="18"/>
          <w:szCs w:val="18"/>
          <w:color w:val="auto"/>
        </w:rPr>
        <w:t>If I continue to hold shares of Common Stock purchased under the Stock Purchase Plan after an involuntary termination of my Continuous Employment, I will not be eligible to receive unemployment benefits in Russia.</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Anti-Corruption Information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Anti-corruption laws prohibit certain public servants, their spouses and their dependent children from owning any foreign source financial instruments</w:t>
      </w:r>
    </w:p>
    <w:p>
      <w:pPr>
        <w:spacing w:after="0" w:line="21" w:lineRule="exact"/>
        <w:rPr>
          <w:sz w:val="20"/>
          <w:szCs w:val="20"/>
          <w:color w:val="auto"/>
        </w:rPr>
      </w:pPr>
    </w:p>
    <w:p>
      <w:pPr>
        <w:ind w:right="20"/>
        <w:spacing w:after="0" w:line="260"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e.g.</w:t>
      </w:r>
      <w:r>
        <w:rPr>
          <w:rFonts w:ascii="Arial" w:cs="Arial" w:eastAsia="Arial" w:hAnsi="Arial"/>
          <w:sz w:val="18"/>
          <w:szCs w:val="18"/>
          <w:color w:val="auto"/>
        </w:rPr>
        <w:t>, shares of foreign companies such as the Company). Accordingly, I should inform the Company if I am covered by these laws because I may not hold shares of Common Stock purchased under the Stock Purchase Plan.</w:t>
      </w:r>
    </w:p>
    <w:p>
      <w:pPr>
        <w:sectPr>
          <w:pgSz w:w="11900" w:h="16838" w:orient="portrait"/>
          <w:cols w:equalWidth="0" w:num="1">
            <w:col w:w="11200"/>
          </w:cols>
          <w:pgMar w:left="320" w:top="773" w:right="379" w:bottom="1440" w:gutter="0" w:footer="0" w:header="0"/>
        </w:sectPr>
      </w:pPr>
    </w:p>
    <w:bookmarkStart w:id="107" w:name="page108"/>
    <w:bookmarkEnd w:id="107"/>
    <w:p>
      <w:pPr>
        <w:spacing w:after="0"/>
        <w:rPr>
          <w:sz w:val="20"/>
          <w:szCs w:val="20"/>
          <w:color w:val="auto"/>
        </w:rPr>
      </w:pPr>
      <w:r>
        <w:rPr>
          <w:rFonts w:ascii="Arial" w:cs="Arial" w:eastAsia="Arial" w:hAnsi="Arial"/>
          <w:sz w:val="16"/>
          <w:szCs w:val="16"/>
          <w:color w:val="auto"/>
        </w:rPr>
        <w:t>ФИО работника</w:t>
      </w:r>
      <w:r>
        <w:rPr>
          <w:rFonts w:ascii="Arial" w:cs="Arial" w:eastAsia="Arial" w:hAnsi="Arial"/>
          <w:sz w:val="16"/>
          <w:szCs w:val="16"/>
          <w:color w:val="auto"/>
        </w:rPr>
        <w:t>: 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 Name: _____________________________</w:t>
      </w:r>
    </w:p>
    <w:p>
      <w:pPr>
        <w:spacing w:after="0" w:line="86" w:lineRule="exact"/>
        <w:rPr>
          <w:sz w:val="20"/>
          <w:szCs w:val="20"/>
          <w:color w:val="auto"/>
        </w:rPr>
      </w:pPr>
    </w:p>
    <w:p>
      <w:pPr>
        <w:sectPr>
          <w:pgSz w:w="11900" w:h="16838" w:orient="portrait"/>
          <w:cols w:equalWidth="0" w:num="2">
            <w:col w:w="4840" w:space="720"/>
            <w:col w:w="5500"/>
          </w:cols>
          <w:pgMar w:left="340" w:top="827" w:right="499" w:bottom="1440" w:gutter="0" w:footer="0" w:header="0"/>
        </w:sectPr>
      </w:pPr>
    </w:p>
    <w:p>
      <w:pPr>
        <w:spacing w:after="0" w:line="216"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Идентификационный номер </w:t>
      </w:r>
      <w:r>
        <w:rPr>
          <w:rFonts w:ascii="Arial" w:cs="Arial" w:eastAsia="Arial" w:hAnsi="Arial"/>
          <w:sz w:val="16"/>
          <w:szCs w:val="16"/>
          <w:color w:val="auto"/>
        </w:rPr>
        <w:t>/</w:t>
      </w:r>
      <w:r>
        <w:rPr>
          <w:rFonts w:ascii="Arial" w:cs="Arial" w:eastAsia="Arial" w:hAnsi="Arial"/>
          <w:sz w:val="16"/>
          <w:szCs w:val="16"/>
          <w:color w:val="auto"/>
        </w:rPr>
        <w:t>номер паспорта</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 ID/Passport Number:__________________</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Home Address:_______________________________</w:t>
      </w:r>
    </w:p>
    <w:p>
      <w:pPr>
        <w:spacing w:after="0" w:line="32" w:lineRule="exact"/>
        <w:rPr>
          <w:sz w:val="20"/>
          <w:szCs w:val="20"/>
          <w:color w:val="auto"/>
        </w:rPr>
      </w:pPr>
    </w:p>
    <w:p>
      <w:pPr>
        <w:sectPr>
          <w:pgSz w:w="11900" w:h="16838" w:orient="portrait"/>
          <w:cols w:equalWidth="0" w:num="2">
            <w:col w:w="4840" w:space="720"/>
            <w:col w:w="5500"/>
          </w:cols>
          <w:pgMar w:left="340" w:top="827" w:right="499" w:bottom="1440" w:gutter="0" w:footer="0" w:header="0"/>
          <w:type w:val="continuous"/>
        </w:sectPr>
      </w:pPr>
    </w:p>
    <w:p>
      <w:pPr>
        <w:spacing w:after="0"/>
        <w:rPr>
          <w:sz w:val="20"/>
          <w:szCs w:val="20"/>
          <w:color w:val="auto"/>
        </w:rPr>
      </w:pPr>
      <w:r>
        <w:rPr>
          <w:rFonts w:ascii="Arial" w:cs="Arial" w:eastAsia="Arial" w:hAnsi="Arial"/>
          <w:sz w:val="16"/>
          <w:szCs w:val="16"/>
          <w:color w:val="auto"/>
        </w:rPr>
        <w:t>работника</w:t>
      </w:r>
      <w:r>
        <w:rPr>
          <w:rFonts w:ascii="Arial" w:cs="Arial" w:eastAsia="Arial" w:hAnsi="Arial"/>
          <w:sz w:val="16"/>
          <w:szCs w:val="16"/>
          <w:color w:val="auto"/>
        </w:rPr>
        <w:t>: ________________________________</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Домашний адрес</w:t>
      </w:r>
      <w:r>
        <w:rPr>
          <w:rFonts w:ascii="Arial" w:cs="Arial" w:eastAsia="Arial" w:hAnsi="Arial"/>
          <w:sz w:val="16"/>
          <w:szCs w:val="16"/>
          <w:color w:val="auto"/>
        </w:rPr>
        <w:t>: ___________________________</w:t>
      </w:r>
    </w:p>
    <w:p>
      <w:pPr>
        <w:sectPr>
          <w:pgSz w:w="11900" w:h="16838" w:orient="portrait"/>
          <w:cols w:equalWidth="0" w:num="1">
            <w:col w:w="11060"/>
          </w:cols>
          <w:pgMar w:left="340" w:top="827" w:right="499" w:bottom="1440" w:gutter="0" w:footer="0" w:header="0"/>
          <w:type w:val="continuous"/>
        </w:sectPr>
      </w:pPr>
    </w:p>
    <w:p>
      <w:pPr>
        <w:spacing w:after="0" w:line="338"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Заявление и Разрешение на осуществление вычетов из заработной</w:t>
      </w:r>
    </w:p>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платы</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color w:val="auto"/>
        </w:rPr>
        <w:t>для работников в России</w:t>
      </w:r>
      <w:r>
        <w:rPr>
          <w:rFonts w:ascii="Arial" w:cs="Arial" w:eastAsia="Arial" w:hAnsi="Arial"/>
          <w:sz w:val="18"/>
          <w:szCs w:val="18"/>
          <w:b w:val="1"/>
          <w:bCs w:val="1"/>
          <w:color w:val="auto"/>
        </w:rPr>
        <w:t>)</w:t>
      </w:r>
    </w:p>
    <w:p>
      <w:pPr>
        <w:spacing w:after="0" w:line="20" w:lineRule="exact"/>
        <w:rPr>
          <w:sz w:val="20"/>
          <w:szCs w:val="20"/>
          <w:color w:val="auto"/>
        </w:rPr>
      </w:pPr>
      <w:r>
        <w:rPr>
          <w:sz w:val="20"/>
          <w:szCs w:val="20"/>
          <w:color w:val="auto"/>
        </w:rPr>
        <w:br w:type="column"/>
      </w:r>
    </w:p>
    <w:p>
      <w:pPr>
        <w:spacing w:after="0" w:line="318" w:lineRule="exact"/>
        <w:rPr>
          <w:sz w:val="20"/>
          <w:szCs w:val="20"/>
          <w:color w:val="auto"/>
        </w:rPr>
      </w:pPr>
    </w:p>
    <w:p>
      <w:pPr>
        <w:jc w:val="center"/>
        <w:ind w:right="680"/>
        <w:spacing w:after="0"/>
        <w:rPr>
          <w:sz w:val="20"/>
          <w:szCs w:val="20"/>
          <w:color w:val="auto"/>
        </w:rPr>
      </w:pPr>
      <w:r>
        <w:rPr>
          <w:rFonts w:ascii="Arial" w:cs="Arial" w:eastAsia="Arial" w:hAnsi="Arial"/>
          <w:sz w:val="16"/>
          <w:szCs w:val="16"/>
          <w:b w:val="1"/>
          <w:bCs w:val="1"/>
          <w:color w:val="auto"/>
        </w:rPr>
        <w:t>Application and Authorization for Payroll Deductions</w:t>
      </w:r>
    </w:p>
    <w:p>
      <w:pPr>
        <w:spacing w:after="0" w:line="50" w:lineRule="exact"/>
        <w:rPr>
          <w:sz w:val="20"/>
          <w:szCs w:val="20"/>
          <w:color w:val="auto"/>
        </w:rPr>
      </w:pPr>
    </w:p>
    <w:p>
      <w:pPr>
        <w:jc w:val="center"/>
        <w:ind w:right="680"/>
        <w:spacing w:after="0"/>
        <w:rPr>
          <w:sz w:val="20"/>
          <w:szCs w:val="20"/>
          <w:color w:val="auto"/>
        </w:rPr>
      </w:pPr>
      <w:r>
        <w:rPr>
          <w:rFonts w:ascii="Arial" w:cs="Arial" w:eastAsia="Arial" w:hAnsi="Arial"/>
          <w:sz w:val="18"/>
          <w:szCs w:val="18"/>
          <w:b w:val="1"/>
          <w:bCs w:val="1"/>
          <w:color w:val="auto"/>
        </w:rPr>
        <w:t>(For Employees in Russia)</w:t>
      </w:r>
    </w:p>
    <w:p>
      <w:pPr>
        <w:spacing w:after="0" w:line="415" w:lineRule="exact"/>
        <w:rPr>
          <w:sz w:val="20"/>
          <w:szCs w:val="20"/>
          <w:color w:val="auto"/>
        </w:rPr>
      </w:pPr>
    </w:p>
    <w:p>
      <w:pPr>
        <w:sectPr>
          <w:pgSz w:w="11900" w:h="16838" w:orient="portrait"/>
          <w:cols w:equalWidth="0" w:num="2">
            <w:col w:w="5520" w:space="720"/>
            <w:col w:w="4820"/>
          </w:cols>
          <w:pgMar w:left="340" w:top="827" w:right="499" w:bottom="1440" w:gutter="0" w:footer="0" w:header="0"/>
          <w:type w:val="continuous"/>
        </w:sectPr>
      </w:pPr>
    </w:p>
    <w:p>
      <w:pPr>
        <w:spacing w:after="0" w:line="119" w:lineRule="exact"/>
        <w:rPr>
          <w:sz w:val="20"/>
          <w:szCs w:val="20"/>
          <w:color w:val="auto"/>
        </w:rPr>
      </w:pPr>
    </w:p>
    <w:p>
      <w:pPr>
        <w:spacing w:after="0"/>
        <w:rPr>
          <w:sz w:val="20"/>
          <w:szCs w:val="20"/>
          <w:color w:val="auto"/>
        </w:rPr>
      </w:pPr>
      <w:r>
        <w:rPr>
          <w:rFonts w:ascii="Arial" w:cs="Arial" w:eastAsia="Arial" w:hAnsi="Arial"/>
          <w:sz w:val="17"/>
          <w:szCs w:val="17"/>
          <w:color w:val="auto"/>
        </w:rPr>
        <w:t>Я</w:t>
      </w:r>
      <w:r>
        <w:rPr>
          <w:rFonts w:ascii="Arial" w:cs="Arial" w:eastAsia="Arial" w:hAnsi="Arial"/>
          <w:sz w:val="17"/>
          <w:szCs w:val="17"/>
          <w:color w:val="auto"/>
        </w:rPr>
        <w:t>,  _____________________,</w:t>
      </w:r>
      <w:r>
        <w:rPr>
          <w:rFonts w:ascii="Arial" w:cs="Arial" w:eastAsia="Arial" w:hAnsi="Arial"/>
          <w:sz w:val="17"/>
          <w:szCs w:val="17"/>
          <w:color w:val="auto"/>
        </w:rPr>
        <w:t xml:space="preserve">  соглашаюсь  участвовать  в  Программе </w:t>
      </w:r>
      <w:r>
        <w:rPr>
          <w:rFonts w:ascii="Arial" w:cs="Arial" w:eastAsia="Arial" w:hAnsi="Arial"/>
          <w:sz w:val="17"/>
          <w:szCs w:val="17"/>
          <w:color w:val="auto"/>
        </w:rPr>
        <w:t>I, _____________________, have elected to participate in the Marvell</w:t>
      </w:r>
    </w:p>
    <w:p>
      <w:pPr>
        <w:sectPr>
          <w:pgSz w:w="11900" w:h="16838" w:orient="portrait"/>
          <w:cols w:equalWidth="0" w:num="1">
            <w:col w:w="11060"/>
          </w:cols>
          <w:pgMar w:left="340" w:top="827" w:right="499" w:bottom="1440" w:gutter="0" w:footer="0" w:header="0"/>
          <w:type w:val="continuous"/>
        </w:sectPr>
      </w:pPr>
    </w:p>
    <w:p>
      <w:pPr>
        <w:spacing w:after="0" w:line="35" w:lineRule="exact"/>
        <w:rPr>
          <w:sz w:val="20"/>
          <w:szCs w:val="20"/>
          <w:color w:val="auto"/>
        </w:rPr>
      </w:pPr>
    </w:p>
    <w:p>
      <w:pPr>
        <w:spacing w:after="0" w:line="250" w:lineRule="auto"/>
        <w:rPr>
          <w:sz w:val="20"/>
          <w:szCs w:val="20"/>
          <w:color w:val="auto"/>
        </w:rPr>
      </w:pPr>
      <w:r>
        <w:rPr>
          <w:rFonts w:ascii="Arial" w:cs="Arial" w:eastAsia="Arial" w:hAnsi="Arial"/>
          <w:sz w:val="18"/>
          <w:szCs w:val="18"/>
          <w:color w:val="auto"/>
        </w:rPr>
        <w:t xml:space="preserve">покупки акций для работников компании </w:t>
      </w:r>
      <w:r>
        <w:rPr>
          <w:rFonts w:ascii="Arial" w:cs="Arial" w:eastAsia="Arial" w:hAnsi="Arial"/>
          <w:sz w:val="18"/>
          <w:szCs w:val="18"/>
          <w:color w:val="auto"/>
        </w:rPr>
        <w:t>Marvell Technology Group Ltd. Technology Group Ltd. 2000 Employee Stock Purchase Plan (the “Plan”),</w:t>
      </w:r>
      <w:r>
        <w:rPr>
          <w:rFonts w:ascii="Arial" w:cs="Arial" w:eastAsia="Arial" w:hAnsi="Arial"/>
          <w:sz w:val="18"/>
          <w:szCs w:val="18"/>
          <w:color w:val="auto"/>
        </w:rPr>
        <w:t xml:space="preserve"> </w:t>
      </w:r>
      <w:r>
        <w:rPr>
          <w:rFonts w:ascii="Arial" w:cs="Arial" w:eastAsia="Arial" w:hAnsi="Arial"/>
          <w:sz w:val="18"/>
          <w:szCs w:val="18"/>
          <w:color w:val="auto"/>
        </w:rPr>
        <w:t xml:space="preserve">2000 </w:t>
      </w:r>
      <w:r>
        <w:rPr>
          <w:rFonts w:ascii="Arial" w:cs="Arial" w:eastAsia="Arial" w:hAnsi="Arial"/>
          <w:sz w:val="18"/>
          <w:szCs w:val="18"/>
          <w:color w:val="auto"/>
        </w:rPr>
        <w:t>года</w:t>
      </w:r>
      <w:r>
        <w:rPr>
          <w:rFonts w:ascii="Arial" w:cs="Arial" w:eastAsia="Arial" w:hAnsi="Arial"/>
          <w:sz w:val="18"/>
          <w:szCs w:val="18"/>
          <w:color w:val="auto"/>
        </w:rPr>
        <w:t xml:space="preserve"> (</w:t>
      </w:r>
      <w:r>
        <w:rPr>
          <w:rFonts w:ascii="Arial" w:cs="Arial" w:eastAsia="Arial" w:hAnsi="Arial"/>
          <w:sz w:val="18"/>
          <w:szCs w:val="18"/>
          <w:color w:val="auto"/>
        </w:rPr>
        <w:t>далее</w:t>
      </w:r>
      <w:r>
        <w:rPr>
          <w:rFonts w:ascii="Arial" w:cs="Arial" w:eastAsia="Arial" w:hAnsi="Arial"/>
          <w:sz w:val="18"/>
          <w:szCs w:val="18"/>
          <w:color w:val="auto"/>
        </w:rPr>
        <w:t xml:space="preserve"> — “</w:t>
      </w:r>
      <w:r>
        <w:rPr>
          <w:rFonts w:ascii="Arial" w:cs="Arial" w:eastAsia="Arial" w:hAnsi="Arial"/>
          <w:sz w:val="18"/>
          <w:szCs w:val="18"/>
          <w:color w:val="auto"/>
        </w:rPr>
        <w:t>Программа</w:t>
      </w:r>
      <w:r>
        <w:rPr>
          <w:rFonts w:ascii="Arial" w:cs="Arial" w:eastAsia="Arial" w:hAnsi="Arial"/>
          <w:sz w:val="18"/>
          <w:szCs w:val="18"/>
          <w:color w:val="auto"/>
        </w:rPr>
        <w:t xml:space="preserve">”), </w:t>
      </w:r>
      <w:r>
        <w:rPr>
          <w:rFonts w:ascii="Arial" w:cs="Arial" w:eastAsia="Arial" w:hAnsi="Arial"/>
          <w:sz w:val="18"/>
          <w:szCs w:val="18"/>
          <w:color w:val="auto"/>
        </w:rPr>
        <w:t>в соответствии с положениями и</w:t>
      </w:r>
      <w:r>
        <w:rPr>
          <w:rFonts w:ascii="Arial" w:cs="Arial" w:eastAsia="Arial" w:hAnsi="Arial"/>
          <w:sz w:val="18"/>
          <w:szCs w:val="18"/>
          <w:color w:val="auto"/>
        </w:rPr>
        <w:t xml:space="preserve"> pursuant to the terms and conditions of the Plan and the Subscription </w:t>
      </w:r>
      <w:r>
        <w:rPr>
          <w:rFonts w:ascii="Arial" w:cs="Arial" w:eastAsia="Arial" w:hAnsi="Arial"/>
          <w:sz w:val="18"/>
          <w:szCs w:val="18"/>
          <w:color w:val="auto"/>
        </w:rPr>
        <w:t>условиями указанной Программы</w:t>
      </w:r>
      <w:r>
        <w:rPr>
          <w:rFonts w:ascii="Arial" w:cs="Arial" w:eastAsia="Arial" w:hAnsi="Arial"/>
          <w:sz w:val="18"/>
          <w:szCs w:val="18"/>
          <w:color w:val="auto"/>
        </w:rPr>
        <w:t>,</w:t>
      </w:r>
      <w:r>
        <w:rPr>
          <w:rFonts w:ascii="Arial" w:cs="Arial" w:eastAsia="Arial" w:hAnsi="Arial"/>
          <w:sz w:val="18"/>
          <w:szCs w:val="18"/>
          <w:color w:val="auto"/>
        </w:rPr>
        <w:t xml:space="preserve"> а также Соглашением об участии</w:t>
      </w:r>
      <w:r>
        <w:rPr>
          <w:rFonts w:ascii="Arial" w:cs="Arial" w:eastAsia="Arial" w:hAnsi="Arial"/>
          <w:sz w:val="18"/>
          <w:szCs w:val="18"/>
          <w:color w:val="auto"/>
        </w:rPr>
        <w:t>, Agreement, including the Addendum attached thereto (the “Agreement”), in</w:t>
      </w:r>
      <w:r>
        <w:rPr>
          <w:rFonts w:ascii="Arial" w:cs="Arial" w:eastAsia="Arial" w:hAnsi="Arial"/>
          <w:sz w:val="18"/>
          <w:szCs w:val="18"/>
          <w:color w:val="auto"/>
        </w:rPr>
        <w:t xml:space="preserve"> включая приложенное к нему Дополнительное соглашение </w:t>
      </w:r>
      <w:r>
        <w:rPr>
          <w:rFonts w:ascii="Arial" w:cs="Arial" w:eastAsia="Arial" w:hAnsi="Arial"/>
          <w:sz w:val="18"/>
          <w:szCs w:val="18"/>
          <w:color w:val="auto"/>
        </w:rPr>
        <w:t>(</w:t>
      </w:r>
      <w:r>
        <w:rPr>
          <w:rFonts w:ascii="Arial" w:cs="Arial" w:eastAsia="Arial" w:hAnsi="Arial"/>
          <w:sz w:val="18"/>
          <w:szCs w:val="18"/>
          <w:color w:val="auto"/>
        </w:rPr>
        <w:t xml:space="preserve">далее </w:t>
      </w:r>
      <w:r>
        <w:rPr>
          <w:rFonts w:ascii="Arial" w:cs="Arial" w:eastAsia="Arial" w:hAnsi="Arial"/>
          <w:sz w:val="18"/>
          <w:szCs w:val="18"/>
          <w:color w:val="auto"/>
        </w:rPr>
        <w:t>— order to purchase common shares of Marvell Technology Group Ltd. (the</w:t>
      </w:r>
      <w:r>
        <w:rPr>
          <w:rFonts w:ascii="Arial" w:cs="Arial" w:eastAsia="Arial" w:hAnsi="Arial"/>
          <w:sz w:val="18"/>
          <w:szCs w:val="18"/>
          <w:color w:val="auto"/>
        </w:rPr>
        <w:t xml:space="preserve"> </w:t>
      </w:r>
      <w:r>
        <w:rPr>
          <w:rFonts w:ascii="Arial" w:cs="Arial" w:eastAsia="Arial" w:hAnsi="Arial"/>
          <w:sz w:val="18"/>
          <w:szCs w:val="18"/>
          <w:color w:val="auto"/>
        </w:rPr>
        <w:t>“</w:t>
      </w:r>
      <w:r>
        <w:rPr>
          <w:rFonts w:ascii="Arial" w:cs="Arial" w:eastAsia="Arial" w:hAnsi="Arial"/>
          <w:sz w:val="18"/>
          <w:szCs w:val="18"/>
          <w:color w:val="auto"/>
        </w:rPr>
        <w:t>Соглашение</w:t>
      </w:r>
      <w:r>
        <w:rPr>
          <w:rFonts w:ascii="Arial" w:cs="Arial" w:eastAsia="Arial" w:hAnsi="Arial"/>
          <w:sz w:val="18"/>
          <w:szCs w:val="18"/>
          <w:color w:val="auto"/>
        </w:rPr>
        <w:t xml:space="preserve">”), </w:t>
      </w:r>
      <w:r>
        <w:rPr>
          <w:rFonts w:ascii="Arial" w:cs="Arial" w:eastAsia="Arial" w:hAnsi="Arial"/>
          <w:sz w:val="18"/>
          <w:szCs w:val="18"/>
          <w:color w:val="auto"/>
        </w:rPr>
        <w:t>с целью покупки обыкновенных акций</w:t>
      </w:r>
      <w:r>
        <w:rPr>
          <w:rFonts w:ascii="Arial" w:cs="Arial" w:eastAsia="Arial" w:hAnsi="Arial"/>
          <w:sz w:val="18"/>
          <w:szCs w:val="18"/>
          <w:color w:val="auto"/>
        </w:rPr>
        <w:t xml:space="preserve"> (</w:t>
      </w:r>
      <w:r>
        <w:rPr>
          <w:rFonts w:ascii="Arial" w:cs="Arial" w:eastAsia="Arial" w:hAnsi="Arial"/>
          <w:sz w:val="18"/>
          <w:szCs w:val="18"/>
          <w:color w:val="auto"/>
        </w:rPr>
        <w:t>далее</w:t>
      </w:r>
      <w:r>
        <w:rPr>
          <w:rFonts w:ascii="Arial" w:cs="Arial" w:eastAsia="Arial" w:hAnsi="Arial"/>
          <w:sz w:val="18"/>
          <w:szCs w:val="18"/>
          <w:color w:val="auto"/>
        </w:rPr>
        <w:t xml:space="preserve"> — “Company”) in the United States (“U.S.”) under the Plan. “</w:t>
      </w:r>
      <w:r>
        <w:rPr>
          <w:rFonts w:ascii="Arial" w:cs="Arial" w:eastAsia="Arial" w:hAnsi="Arial"/>
          <w:sz w:val="18"/>
          <w:szCs w:val="18"/>
          <w:color w:val="auto"/>
        </w:rPr>
        <w:t>Акции</w:t>
      </w:r>
      <w:r>
        <w:rPr>
          <w:rFonts w:ascii="Arial" w:cs="Arial" w:eastAsia="Arial" w:hAnsi="Arial"/>
          <w:sz w:val="18"/>
          <w:szCs w:val="18"/>
          <w:color w:val="auto"/>
        </w:rPr>
        <w:t xml:space="preserve">”) </w:t>
      </w:r>
      <w:r>
        <w:rPr>
          <w:rFonts w:ascii="Arial" w:cs="Arial" w:eastAsia="Arial" w:hAnsi="Arial"/>
          <w:sz w:val="18"/>
          <w:szCs w:val="18"/>
          <w:color w:val="auto"/>
        </w:rPr>
        <w:t>компании</w:t>
      </w:r>
      <w:r>
        <w:rPr>
          <w:rFonts w:ascii="Arial" w:cs="Arial" w:eastAsia="Arial" w:hAnsi="Arial"/>
          <w:sz w:val="18"/>
          <w:szCs w:val="18"/>
          <w:color w:val="auto"/>
        </w:rPr>
        <w:t xml:space="preserve"> Marvell Technology Group Ltd. (</w:t>
      </w:r>
      <w:r>
        <w:rPr>
          <w:rFonts w:ascii="Arial" w:cs="Arial" w:eastAsia="Arial" w:hAnsi="Arial"/>
          <w:sz w:val="18"/>
          <w:szCs w:val="18"/>
          <w:color w:val="auto"/>
        </w:rPr>
        <w:t>далее</w:t>
      </w:r>
      <w:r>
        <w:rPr>
          <w:rFonts w:ascii="Arial" w:cs="Arial" w:eastAsia="Arial" w:hAnsi="Arial"/>
          <w:sz w:val="18"/>
          <w:szCs w:val="18"/>
          <w:color w:val="auto"/>
        </w:rPr>
        <w:t xml:space="preserve"> —</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auto"/>
        </w:rPr>
        <w:t>Компания</w:t>
      </w:r>
      <w:r>
        <w:rPr>
          <w:rFonts w:ascii="Arial" w:cs="Arial" w:eastAsia="Arial" w:hAnsi="Arial"/>
          <w:sz w:val="18"/>
          <w:szCs w:val="18"/>
          <w:color w:val="auto"/>
        </w:rPr>
        <w:t xml:space="preserve">”) </w:t>
      </w:r>
      <w:r>
        <w:rPr>
          <w:rFonts w:ascii="Arial" w:cs="Arial" w:eastAsia="Arial" w:hAnsi="Arial"/>
          <w:sz w:val="18"/>
          <w:szCs w:val="18"/>
          <w:color w:val="auto"/>
        </w:rPr>
        <w:t>в Соединенных Штатах Америки</w:t>
      </w:r>
      <w:r>
        <w:rPr>
          <w:rFonts w:ascii="Arial" w:cs="Arial" w:eastAsia="Arial" w:hAnsi="Arial"/>
          <w:sz w:val="18"/>
          <w:szCs w:val="18"/>
          <w:color w:val="auto"/>
        </w:rPr>
        <w:t xml:space="preserve"> (</w:t>
      </w:r>
      <w:r>
        <w:rPr>
          <w:rFonts w:ascii="Arial" w:cs="Arial" w:eastAsia="Arial" w:hAnsi="Arial"/>
          <w:sz w:val="18"/>
          <w:szCs w:val="18"/>
          <w:color w:val="auto"/>
        </w:rPr>
        <w:t>далее</w:t>
      </w:r>
      <w:r>
        <w:rPr>
          <w:rFonts w:ascii="Arial" w:cs="Arial" w:eastAsia="Arial" w:hAnsi="Arial"/>
          <w:sz w:val="18"/>
          <w:szCs w:val="18"/>
          <w:color w:val="auto"/>
        </w:rPr>
        <w:t xml:space="preserve"> — “</w:t>
      </w:r>
      <w:r>
        <w:rPr>
          <w:rFonts w:ascii="Arial" w:cs="Arial" w:eastAsia="Arial" w:hAnsi="Arial"/>
          <w:sz w:val="18"/>
          <w:szCs w:val="18"/>
          <w:color w:val="auto"/>
        </w:rPr>
        <w:t>США</w:t>
      </w:r>
      <w:r>
        <w:rPr>
          <w:rFonts w:ascii="Arial" w:cs="Arial" w:eastAsia="Arial" w:hAnsi="Arial"/>
          <w:sz w:val="18"/>
          <w:szCs w:val="18"/>
          <w:color w:val="auto"/>
        </w:rPr>
        <w:t xml:space="preserve">”), </w:t>
      </w:r>
      <w:r>
        <w:rPr>
          <w:rFonts w:ascii="Arial" w:cs="Arial" w:eastAsia="Arial" w:hAnsi="Arial"/>
          <w:sz w:val="18"/>
          <w:szCs w:val="18"/>
          <w:color w:val="auto"/>
        </w:rPr>
        <w:t>по</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данной Программе</w:t>
      </w:r>
      <w:r>
        <w:rPr>
          <w:rFonts w:ascii="Arial" w:cs="Arial" w:eastAsia="Arial" w:hAnsi="Arial"/>
          <w:sz w:val="18"/>
          <w:szCs w:val="18"/>
          <w:color w:val="auto"/>
        </w:rPr>
        <w:t>.</w:t>
      </w:r>
    </w:p>
    <w:p>
      <w:pPr>
        <w:spacing w:after="0" w:line="292"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Для облегчения процесса покупки Акций по указанной Программе</w:t>
      </w:r>
      <w:r>
        <w:rPr>
          <w:rFonts w:ascii="Arial" w:cs="Arial" w:eastAsia="Arial" w:hAnsi="Arial"/>
          <w:sz w:val="16"/>
          <w:szCs w:val="16"/>
          <w:color w:val="auto"/>
        </w:rPr>
        <w:t>, In order to facilitate the purchases of Shares under the Plan, I hereby request</w:t>
      </w:r>
      <w:r>
        <w:rPr>
          <w:rFonts w:ascii="Arial" w:cs="Arial" w:eastAsia="Arial" w:hAnsi="Arial"/>
          <w:sz w:val="16"/>
          <w:szCs w:val="16"/>
          <w:color w:val="auto"/>
        </w:rPr>
        <w:t xml:space="preserve"> настоящим прошу и уполномочиваю моего работодателя</w:t>
      </w:r>
      <w:r>
        <w:rPr>
          <w:rFonts w:ascii="Arial" w:cs="Arial" w:eastAsia="Arial" w:hAnsi="Arial"/>
          <w:sz w:val="16"/>
          <w:szCs w:val="16"/>
          <w:color w:val="auto"/>
        </w:rPr>
        <w:t>, [</w:t>
      </w:r>
      <w:r>
        <w:rPr>
          <w:rFonts w:ascii="Arial" w:cs="Arial" w:eastAsia="Arial" w:hAnsi="Arial"/>
          <w:sz w:val="16"/>
          <w:szCs w:val="16"/>
          <w:color w:val="auto"/>
        </w:rPr>
        <w:t xml:space="preserve">Обществу с </w:t>
      </w:r>
      <w:r>
        <w:rPr>
          <w:rFonts w:ascii="Arial" w:cs="Arial" w:eastAsia="Arial" w:hAnsi="Arial"/>
          <w:sz w:val="16"/>
          <w:szCs w:val="16"/>
          <w:color w:val="auto"/>
        </w:rPr>
        <w:t>and authorize my employer, [Aquantia Rus Limited Liability Company]</w:t>
      </w:r>
    </w:p>
    <w:p>
      <w:pPr>
        <w:jc w:val="both"/>
        <w:ind w:right="60"/>
        <w:spacing w:after="0" w:line="265" w:lineRule="auto"/>
        <w:rPr>
          <w:sz w:val="20"/>
          <w:szCs w:val="20"/>
          <w:color w:val="auto"/>
        </w:rPr>
      </w:pPr>
      <w:r>
        <w:rPr>
          <w:rFonts w:ascii="Arial" w:cs="Arial" w:eastAsia="Arial" w:hAnsi="Arial"/>
          <w:sz w:val="17"/>
          <w:szCs w:val="17"/>
          <w:color w:val="auto"/>
        </w:rPr>
        <w:t xml:space="preserve">ограниченной ответственностью </w:t>
      </w:r>
      <w:r>
        <w:rPr>
          <w:rFonts w:ascii="Arial" w:cs="Arial" w:eastAsia="Arial" w:hAnsi="Arial"/>
          <w:sz w:val="17"/>
          <w:szCs w:val="17"/>
          <w:color w:val="auto"/>
        </w:rPr>
        <w:t>“</w:t>
      </w:r>
      <w:r>
        <w:rPr>
          <w:rFonts w:ascii="Arial" w:cs="Arial" w:eastAsia="Arial" w:hAnsi="Arial"/>
          <w:sz w:val="17"/>
          <w:szCs w:val="17"/>
          <w:color w:val="auto"/>
        </w:rPr>
        <w:t>Аквантиа Рус</w:t>
      </w:r>
      <w:r>
        <w:rPr>
          <w:rFonts w:ascii="Arial" w:cs="Arial" w:eastAsia="Arial" w:hAnsi="Arial"/>
          <w:sz w:val="17"/>
          <w:szCs w:val="17"/>
          <w:color w:val="auto"/>
        </w:rPr>
        <w:t>”] (</w:t>
      </w:r>
      <w:r>
        <w:rPr>
          <w:rFonts w:ascii="Arial" w:cs="Arial" w:eastAsia="Arial" w:hAnsi="Arial"/>
          <w:sz w:val="17"/>
          <w:szCs w:val="17"/>
          <w:color w:val="auto"/>
        </w:rPr>
        <w:t xml:space="preserve">далее </w:t>
      </w:r>
      <w:r>
        <w:rPr>
          <w:rFonts w:ascii="Arial" w:cs="Arial" w:eastAsia="Arial" w:hAnsi="Arial"/>
          <w:sz w:val="17"/>
          <w:szCs w:val="17"/>
          <w:color w:val="auto"/>
        </w:rPr>
        <w:t>— (“Employer”), to withhold from my paycheck each pay period a percentage</w:t>
      </w:r>
      <w:r>
        <w:rPr>
          <w:rFonts w:ascii="Arial" w:cs="Arial" w:eastAsia="Arial" w:hAnsi="Arial"/>
          <w:sz w:val="17"/>
          <w:szCs w:val="17"/>
          <w:color w:val="auto"/>
        </w:rPr>
        <w:t xml:space="preserve"> </w:t>
      </w:r>
      <w:r>
        <w:rPr>
          <w:rFonts w:ascii="Arial" w:cs="Arial" w:eastAsia="Arial" w:hAnsi="Arial"/>
          <w:sz w:val="17"/>
          <w:szCs w:val="17"/>
          <w:color w:val="auto"/>
        </w:rPr>
        <w:t>“</w:t>
      </w:r>
      <w:r>
        <w:rPr>
          <w:rFonts w:ascii="Arial" w:cs="Arial" w:eastAsia="Arial" w:hAnsi="Arial"/>
          <w:sz w:val="17"/>
          <w:szCs w:val="17"/>
          <w:color w:val="auto"/>
        </w:rPr>
        <w:t>Работодатель</w:t>
      </w:r>
      <w:r>
        <w:rPr>
          <w:rFonts w:ascii="Arial" w:cs="Arial" w:eastAsia="Arial" w:hAnsi="Arial"/>
          <w:sz w:val="17"/>
          <w:szCs w:val="17"/>
          <w:color w:val="auto"/>
        </w:rPr>
        <w:t xml:space="preserve">”) </w:t>
      </w:r>
      <w:r>
        <w:rPr>
          <w:rFonts w:ascii="Arial" w:cs="Arial" w:eastAsia="Arial" w:hAnsi="Arial"/>
          <w:sz w:val="17"/>
          <w:szCs w:val="17"/>
          <w:color w:val="auto"/>
        </w:rPr>
        <w:t>ежемесячно удерживать из каждой выплаты мне</w:t>
      </w:r>
      <w:r>
        <w:rPr>
          <w:rFonts w:ascii="Arial" w:cs="Arial" w:eastAsia="Arial" w:hAnsi="Arial"/>
          <w:sz w:val="17"/>
          <w:szCs w:val="17"/>
          <w:color w:val="auto"/>
        </w:rPr>
        <w:t xml:space="preserve"> of my Earnings through payroll deductions for my participation in the Plan,</w:t>
      </w:r>
    </w:p>
    <w:p>
      <w:pPr>
        <w:ind w:right="120"/>
        <w:spacing w:after="0" w:line="280" w:lineRule="auto"/>
        <w:rPr>
          <w:sz w:val="20"/>
          <w:szCs w:val="20"/>
          <w:color w:val="auto"/>
        </w:rPr>
      </w:pPr>
      <w:r>
        <w:rPr>
          <w:rFonts w:ascii="Arial" w:cs="Arial" w:eastAsia="Arial" w:hAnsi="Arial"/>
          <w:sz w:val="16"/>
          <w:szCs w:val="16"/>
          <w:color w:val="auto"/>
        </w:rPr>
        <w:t xml:space="preserve">заработной платы определенный процент от суммы моей заработной </w:t>
      </w:r>
      <w:r>
        <w:rPr>
          <w:rFonts w:ascii="Arial" w:cs="Arial" w:eastAsia="Arial" w:hAnsi="Arial"/>
          <w:sz w:val="16"/>
          <w:szCs w:val="16"/>
          <w:color w:val="auto"/>
        </w:rPr>
        <w:t>as specified through my enrollment election. I shall have the right to</w:t>
      </w:r>
      <w:r>
        <w:rPr>
          <w:rFonts w:ascii="Arial" w:cs="Arial" w:eastAsia="Arial" w:hAnsi="Arial"/>
          <w:sz w:val="16"/>
          <w:szCs w:val="16"/>
          <w:color w:val="auto"/>
        </w:rPr>
        <w:t xml:space="preserve"> платы для моего участия в Программе</w:t>
      </w:r>
      <w:r>
        <w:rPr>
          <w:rFonts w:ascii="Arial" w:cs="Arial" w:eastAsia="Arial" w:hAnsi="Arial"/>
          <w:sz w:val="16"/>
          <w:szCs w:val="16"/>
          <w:color w:val="auto"/>
        </w:rPr>
        <w:t>,</w:t>
      </w:r>
      <w:r>
        <w:rPr>
          <w:rFonts w:ascii="Arial" w:cs="Arial" w:eastAsia="Arial" w:hAnsi="Arial"/>
          <w:sz w:val="16"/>
          <w:szCs w:val="16"/>
          <w:color w:val="auto"/>
        </w:rPr>
        <w:t xml:space="preserve"> как указано в выбранном мною </w:t>
      </w:r>
      <w:r>
        <w:rPr>
          <w:rFonts w:ascii="Arial" w:cs="Arial" w:eastAsia="Arial" w:hAnsi="Arial"/>
          <w:sz w:val="16"/>
          <w:szCs w:val="16"/>
          <w:color w:val="auto"/>
        </w:rPr>
        <w:t>decrease or increase such amount (subject to the limits set forth in the Plan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right="340"/>
        <w:spacing w:after="0" w:line="274" w:lineRule="auto"/>
        <w:rPr>
          <w:sz w:val="20"/>
          <w:szCs w:val="20"/>
          <w:color w:val="auto"/>
        </w:rPr>
      </w:pPr>
      <w:r>
        <w:rPr>
          <w:rFonts w:ascii="Arial" w:cs="Arial" w:eastAsia="Arial" w:hAnsi="Arial"/>
          <w:sz w:val="17"/>
          <w:szCs w:val="17"/>
          <w:color w:val="auto"/>
        </w:rPr>
        <w:t>варианте присоединения к Программе</w:t>
      </w:r>
      <w:r>
        <w:rPr>
          <w:rFonts w:ascii="Arial" w:cs="Arial" w:eastAsia="Arial" w:hAnsi="Arial"/>
          <w:sz w:val="17"/>
          <w:szCs w:val="17"/>
          <w:color w:val="auto"/>
        </w:rPr>
        <w:t>.</w:t>
      </w:r>
      <w:r>
        <w:rPr>
          <w:rFonts w:ascii="Arial" w:cs="Arial" w:eastAsia="Arial" w:hAnsi="Arial"/>
          <w:sz w:val="17"/>
          <w:szCs w:val="17"/>
          <w:color w:val="auto"/>
        </w:rPr>
        <w:t xml:space="preserve"> Я вправе уменьшать или </w:t>
      </w:r>
      <w:r>
        <w:rPr>
          <w:rFonts w:ascii="Arial" w:cs="Arial" w:eastAsia="Arial" w:hAnsi="Arial"/>
          <w:sz w:val="17"/>
          <w:szCs w:val="17"/>
          <w:color w:val="auto"/>
        </w:rPr>
        <w:t>and/or Agreement). I request and authorize this withholding to continue</w:t>
      </w:r>
      <w:r>
        <w:rPr>
          <w:rFonts w:ascii="Arial" w:cs="Arial" w:eastAsia="Arial" w:hAnsi="Arial"/>
          <w:sz w:val="17"/>
          <w:szCs w:val="17"/>
          <w:color w:val="auto"/>
        </w:rPr>
        <w:t xml:space="preserve"> увеличивать соответствующую сумму удержания </w:t>
      </w:r>
      <w:r>
        <w:rPr>
          <w:rFonts w:ascii="Arial" w:cs="Arial" w:eastAsia="Arial" w:hAnsi="Arial"/>
          <w:sz w:val="17"/>
          <w:szCs w:val="17"/>
          <w:color w:val="auto"/>
        </w:rPr>
        <w:t>(</w:t>
      </w:r>
      <w:r>
        <w:rPr>
          <w:rFonts w:ascii="Arial" w:cs="Arial" w:eastAsia="Arial" w:hAnsi="Arial"/>
          <w:sz w:val="17"/>
          <w:szCs w:val="17"/>
          <w:color w:val="auto"/>
        </w:rPr>
        <w:t xml:space="preserve">с учетом </w:t>
      </w:r>
      <w:r>
        <w:rPr>
          <w:rFonts w:ascii="Arial" w:cs="Arial" w:eastAsia="Arial" w:hAnsi="Arial"/>
          <w:sz w:val="17"/>
          <w:szCs w:val="17"/>
          <w:color w:val="auto"/>
        </w:rPr>
        <w:t>until I inform my Employer in writing to stop such payroll deductions.</w:t>
      </w:r>
    </w:p>
    <w:p>
      <w:pPr>
        <w:spacing w:after="0"/>
        <w:rPr>
          <w:sz w:val="20"/>
          <w:szCs w:val="20"/>
          <w:color w:val="auto"/>
        </w:rPr>
      </w:pPr>
      <w:r>
        <w:rPr>
          <w:rFonts w:ascii="Arial" w:cs="Arial" w:eastAsia="Arial" w:hAnsi="Arial"/>
          <w:sz w:val="18"/>
          <w:szCs w:val="18"/>
          <w:color w:val="auto"/>
        </w:rPr>
        <w:t>ограничений</w:t>
      </w:r>
      <w:r>
        <w:rPr>
          <w:rFonts w:ascii="Arial" w:cs="Arial" w:eastAsia="Arial" w:hAnsi="Arial"/>
          <w:sz w:val="18"/>
          <w:szCs w:val="18"/>
          <w:color w:val="auto"/>
        </w:rPr>
        <w:t>,</w:t>
      </w:r>
      <w:r>
        <w:rPr>
          <w:rFonts w:ascii="Arial" w:cs="Arial" w:eastAsia="Arial" w:hAnsi="Arial"/>
          <w:sz w:val="18"/>
          <w:szCs w:val="18"/>
          <w:color w:val="auto"/>
        </w:rPr>
        <w:t xml:space="preserve">  установленных  Программой  и</w:t>
      </w:r>
      <w:r>
        <w:rPr>
          <w:rFonts w:ascii="Arial" w:cs="Arial" w:eastAsia="Arial" w:hAnsi="Arial"/>
          <w:sz w:val="18"/>
          <w:szCs w:val="18"/>
          <w:color w:val="auto"/>
        </w:rPr>
        <w:t>/</w:t>
      </w:r>
      <w:r>
        <w:rPr>
          <w:rFonts w:ascii="Arial" w:cs="Arial" w:eastAsia="Arial" w:hAnsi="Arial"/>
          <w:sz w:val="18"/>
          <w:szCs w:val="18"/>
          <w:color w:val="auto"/>
        </w:rPr>
        <w:t>или  Соглашением</w:t>
      </w:r>
      <w:r>
        <w:rPr>
          <w:rFonts w:ascii="Arial" w:cs="Arial" w:eastAsia="Arial" w:hAnsi="Arial"/>
          <w:sz w:val="18"/>
          <w:szCs w:val="18"/>
          <w:color w:val="auto"/>
        </w:rPr>
        <w:t>).</w:t>
      </w:r>
      <w:r>
        <w:rPr>
          <w:rFonts w:ascii="Arial" w:cs="Arial" w:eastAsia="Arial" w:hAnsi="Arial"/>
          <w:sz w:val="18"/>
          <w:szCs w:val="18"/>
          <w:color w:val="auto"/>
        </w:rPr>
        <w:t xml:space="preserve">  Я</w:t>
      </w:r>
    </w:p>
    <w:p>
      <w:pPr>
        <w:spacing w:after="0" w:line="9" w:lineRule="exact"/>
        <w:rPr>
          <w:sz w:val="20"/>
          <w:szCs w:val="20"/>
          <w:color w:val="auto"/>
        </w:rPr>
      </w:pPr>
    </w:p>
    <w:p>
      <w:pPr>
        <w:spacing w:after="0"/>
        <w:tabs>
          <w:tab w:leader="none" w:pos="680" w:val="left"/>
          <w:tab w:leader="none" w:pos="960" w:val="left"/>
          <w:tab w:leader="none" w:pos="2380" w:val="left"/>
          <w:tab w:leader="none" w:pos="3600" w:val="left"/>
          <w:tab w:leader="none" w:pos="4680" w:val="left"/>
        </w:tabs>
        <w:rPr>
          <w:sz w:val="20"/>
          <w:szCs w:val="20"/>
          <w:color w:val="auto"/>
        </w:rPr>
      </w:pPr>
      <w:r>
        <w:rPr>
          <w:rFonts w:ascii="Arial" w:cs="Arial" w:eastAsia="Arial" w:hAnsi="Arial"/>
          <w:sz w:val="18"/>
          <w:szCs w:val="18"/>
          <w:color w:val="auto"/>
        </w:rPr>
        <w:t>прошу</w:t>
        <w:tab/>
        <w:t>и</w:t>
        <w:tab/>
        <w:t>уполномочиваю</w:t>
        <w:tab/>
        <w:t>Работодателя</w:t>
        <w:tab/>
        <w:t>продолжать</w:t>
      </w:r>
      <w:r>
        <w:rPr>
          <w:sz w:val="20"/>
          <w:szCs w:val="20"/>
          <w:color w:val="auto"/>
        </w:rPr>
        <w:tab/>
      </w:r>
      <w:r>
        <w:rPr>
          <w:rFonts w:ascii="Arial" w:cs="Arial" w:eastAsia="Arial" w:hAnsi="Arial"/>
          <w:sz w:val="16"/>
          <w:szCs w:val="16"/>
          <w:color w:val="auto"/>
        </w:rPr>
        <w:t>указанные</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удержания до тех пор</w:t>
      </w:r>
      <w:r>
        <w:rPr>
          <w:rFonts w:ascii="Arial" w:cs="Arial" w:eastAsia="Arial" w:hAnsi="Arial"/>
          <w:sz w:val="18"/>
          <w:szCs w:val="18"/>
          <w:color w:val="auto"/>
        </w:rPr>
        <w:t>,</w:t>
      </w:r>
      <w:r>
        <w:rPr>
          <w:rFonts w:ascii="Arial" w:cs="Arial" w:eastAsia="Arial" w:hAnsi="Arial"/>
          <w:sz w:val="18"/>
          <w:szCs w:val="18"/>
          <w:color w:val="auto"/>
        </w:rPr>
        <w:t xml:space="preserve"> пока я письменно не проинформирую его о том</w:t>
      </w: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что такие вычеты из моей заработной платы необходимо прекратить</w:t>
      </w:r>
      <w:r>
        <w:rPr>
          <w:rFonts w:ascii="Arial" w:cs="Arial" w:eastAsia="Arial" w:hAnsi="Arial"/>
          <w:sz w:val="18"/>
          <w:szCs w:val="18"/>
          <w:color w:val="auto"/>
        </w:rPr>
        <w:t>.</w:t>
      </w:r>
    </w:p>
    <w:p>
      <w:pPr>
        <w:spacing w:after="0" w:line="319" w:lineRule="exact"/>
        <w:rPr>
          <w:sz w:val="20"/>
          <w:szCs w:val="20"/>
          <w:color w:val="auto"/>
        </w:rPr>
      </w:pPr>
    </w:p>
    <w:p>
      <w:pPr>
        <w:jc w:val="both"/>
        <w:ind w:firstLine="6"/>
        <w:spacing w:after="0" w:line="285" w:lineRule="auto"/>
        <w:tabs>
          <w:tab w:leader="none" w:pos="253" w:val="left"/>
        </w:tabs>
        <w:numPr>
          <w:ilvl w:val="0"/>
          <w:numId w:val="75"/>
        </w:numPr>
        <w:rPr>
          <w:rFonts w:ascii="Arial" w:cs="Arial" w:eastAsia="Arial" w:hAnsi="Arial"/>
          <w:sz w:val="16"/>
          <w:szCs w:val="16"/>
          <w:color w:val="auto"/>
        </w:rPr>
      </w:pPr>
      <w:r>
        <w:rPr>
          <w:rFonts w:ascii="Arial" w:cs="Arial" w:eastAsia="Arial" w:hAnsi="Arial"/>
          <w:sz w:val="16"/>
          <w:szCs w:val="16"/>
          <w:color w:val="auto"/>
        </w:rPr>
        <w:t xml:space="preserve">прошу и уполномочиваю Работодателя накапливать указанные </w:t>
      </w:r>
      <w:r>
        <w:rPr>
          <w:rFonts w:ascii="Arial" w:cs="Arial" w:eastAsia="Arial" w:hAnsi="Arial"/>
          <w:sz w:val="16"/>
          <w:szCs w:val="16"/>
          <w:color w:val="auto"/>
        </w:rPr>
        <w:t>I request and authorize my Employer to accumulate these payroll</w:t>
      </w:r>
      <w:r>
        <w:rPr>
          <w:rFonts w:ascii="Arial" w:cs="Arial" w:eastAsia="Arial" w:hAnsi="Arial"/>
          <w:sz w:val="16"/>
          <w:szCs w:val="16"/>
          <w:color w:val="auto"/>
        </w:rPr>
        <w:t xml:space="preserve"> вычеты из моей заработной платы для меня в течение каждого </w:t>
      </w:r>
      <w:r>
        <w:rPr>
          <w:rFonts w:ascii="Arial" w:cs="Arial" w:eastAsia="Arial" w:hAnsi="Arial"/>
          <w:sz w:val="16"/>
          <w:szCs w:val="16"/>
          <w:color w:val="auto"/>
        </w:rPr>
        <w:t>deductions for me during each Offering while I am participating in the Plan,</w:t>
      </w:r>
      <w:r>
        <w:rPr>
          <w:rFonts w:ascii="Arial" w:cs="Arial" w:eastAsia="Arial" w:hAnsi="Arial"/>
          <w:sz w:val="16"/>
          <w:szCs w:val="16"/>
          <w:color w:val="auto"/>
        </w:rPr>
        <w:t xml:space="preserve"> Предложения в период моего участия в Программе и переводить </w:t>
      </w:r>
      <w:r>
        <w:rPr>
          <w:rFonts w:ascii="Arial" w:cs="Arial" w:eastAsia="Arial" w:hAnsi="Arial"/>
          <w:sz w:val="16"/>
          <w:szCs w:val="16"/>
          <w:color w:val="auto"/>
        </w:rPr>
        <w:t>and to transfer the funds to the Company. The Company will convert my</w:t>
      </w:r>
      <w:r>
        <w:rPr>
          <w:rFonts w:ascii="Arial" w:cs="Arial" w:eastAsia="Arial" w:hAnsi="Arial"/>
          <w:sz w:val="16"/>
          <w:szCs w:val="16"/>
          <w:color w:val="auto"/>
        </w:rPr>
        <w:t xml:space="preserve"> данные денежные средства в адрес Компании</w:t>
      </w:r>
      <w:r>
        <w:rPr>
          <w:rFonts w:ascii="Arial" w:cs="Arial" w:eastAsia="Arial" w:hAnsi="Arial"/>
          <w:sz w:val="16"/>
          <w:szCs w:val="16"/>
          <w:color w:val="auto"/>
        </w:rPr>
        <w:t>.</w:t>
      </w:r>
      <w:r>
        <w:rPr>
          <w:rFonts w:ascii="Arial" w:cs="Arial" w:eastAsia="Arial" w:hAnsi="Arial"/>
          <w:sz w:val="16"/>
          <w:szCs w:val="16"/>
          <w:color w:val="auto"/>
        </w:rPr>
        <w:t xml:space="preserve"> Компания конвертирует </w:t>
      </w:r>
      <w:r>
        <w:rPr>
          <w:rFonts w:ascii="Arial" w:cs="Arial" w:eastAsia="Arial" w:hAnsi="Arial"/>
          <w:sz w:val="16"/>
          <w:szCs w:val="16"/>
          <w:color w:val="auto"/>
        </w:rPr>
        <w:t>accumulated payroll deductions in U.S. Dollars for each Offering to</w:t>
      </w:r>
      <w:r>
        <w:rPr>
          <w:rFonts w:ascii="Arial" w:cs="Arial" w:eastAsia="Arial" w:hAnsi="Arial"/>
          <w:sz w:val="16"/>
          <w:szCs w:val="16"/>
          <w:color w:val="auto"/>
        </w:rPr>
        <w:t xml:space="preserve"> накопленные вычеты из моей заработной платы в доллары США в </w:t>
      </w:r>
      <w:r>
        <w:rPr>
          <w:rFonts w:ascii="Arial" w:cs="Arial" w:eastAsia="Arial" w:hAnsi="Arial"/>
          <w:sz w:val="16"/>
          <w:szCs w:val="16"/>
          <w:color w:val="auto"/>
        </w:rPr>
        <w:t>purchase Shares under the terms and conditions of the Plan. I agree to bear</w:t>
      </w:r>
    </w:p>
    <w:p>
      <w:pPr>
        <w:spacing w:after="0" w:line="2" w:lineRule="exact"/>
        <w:rPr>
          <w:sz w:val="20"/>
          <w:szCs w:val="20"/>
          <w:color w:val="auto"/>
        </w:rPr>
      </w:pPr>
    </w:p>
    <w:p>
      <w:pPr>
        <w:spacing w:after="0"/>
        <w:tabs>
          <w:tab w:leader="none" w:pos="740" w:val="left"/>
          <w:tab w:leader="none" w:pos="1980" w:val="left"/>
          <w:tab w:leader="none" w:pos="2440" w:val="left"/>
          <w:tab w:leader="none" w:pos="3260" w:val="left"/>
          <w:tab w:leader="none" w:pos="3940" w:val="left"/>
          <w:tab w:leader="none" w:pos="4200" w:val="left"/>
          <w:tab w:leader="none" w:pos="5400" w:val="left"/>
        </w:tabs>
        <w:rPr>
          <w:sz w:val="20"/>
          <w:szCs w:val="20"/>
          <w:color w:val="auto"/>
        </w:rPr>
      </w:pPr>
      <w:r>
        <w:rPr>
          <w:rFonts w:ascii="Arial" w:cs="Arial" w:eastAsia="Arial" w:hAnsi="Arial"/>
          <w:sz w:val="18"/>
          <w:szCs w:val="18"/>
          <w:color w:val="auto"/>
        </w:rPr>
        <w:t>каждом</w:t>
        <w:tab/>
        <w:t>Предложении</w:t>
        <w:tab/>
        <w:t>для</w:t>
        <w:tab/>
        <w:t>покупки</w:t>
        <w:tab/>
        <w:t>Акций</w:t>
        <w:tab/>
        <w:t>в</w:t>
        <w:tab/>
        <w:t>соответствии</w:t>
      </w:r>
      <w:r>
        <w:rPr>
          <w:sz w:val="20"/>
          <w:szCs w:val="20"/>
          <w:color w:val="auto"/>
        </w:rPr>
        <w:tab/>
      </w:r>
      <w:r>
        <w:rPr>
          <w:rFonts w:ascii="Arial" w:cs="Arial" w:eastAsia="Arial" w:hAnsi="Arial"/>
          <w:sz w:val="16"/>
          <w:szCs w:val="16"/>
          <w:color w:val="auto"/>
        </w:rPr>
        <w:t xml:space="preserve">с </w:t>
      </w:r>
      <w:r>
        <w:rPr>
          <w:rFonts w:ascii="Arial" w:cs="Arial" w:eastAsia="Arial" w:hAnsi="Arial"/>
          <w:sz w:val="16"/>
          <w:szCs w:val="16"/>
          <w:color w:val="auto"/>
        </w:rPr>
        <w:t>the risk of any fluctuation in the currency conversion rate between the date</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500" w:type="dxa"/>
            <w:vAlign w:val="bottom"/>
          </w:tcPr>
          <w:p>
            <w:pPr>
              <w:spacing w:after="0"/>
              <w:rPr>
                <w:sz w:val="20"/>
                <w:szCs w:val="20"/>
                <w:color w:val="auto"/>
              </w:rPr>
            </w:pPr>
            <w:r>
              <w:rPr>
                <w:rFonts w:ascii="Arial" w:cs="Arial" w:eastAsia="Arial" w:hAnsi="Arial"/>
                <w:sz w:val="18"/>
                <w:szCs w:val="18"/>
                <w:color w:val="auto"/>
                <w:w w:val="99"/>
              </w:rPr>
              <w:t>положениями и условиями Программы</w:t>
            </w:r>
            <w:r>
              <w:rPr>
                <w:rFonts w:ascii="Arial" w:cs="Arial" w:eastAsia="Arial" w:hAnsi="Arial"/>
                <w:sz w:val="18"/>
                <w:szCs w:val="18"/>
                <w:color w:val="auto"/>
                <w:w w:val="99"/>
              </w:rPr>
              <w:t>.</w:t>
            </w:r>
            <w:r>
              <w:rPr>
                <w:rFonts w:ascii="Arial" w:cs="Arial" w:eastAsia="Arial" w:hAnsi="Arial"/>
                <w:sz w:val="18"/>
                <w:szCs w:val="18"/>
                <w:color w:val="auto"/>
                <w:w w:val="99"/>
              </w:rPr>
              <w:t xml:space="preserve"> Я</w:t>
            </w:r>
          </w:p>
        </w:tc>
        <w:tc>
          <w:tcPr>
            <w:tcW w:w="7560" w:type="dxa"/>
            <w:vAlign w:val="bottom"/>
          </w:tcPr>
          <w:p>
            <w:pPr>
              <w:ind w:left="60"/>
              <w:spacing w:after="0"/>
              <w:rPr>
                <w:sz w:val="20"/>
                <w:szCs w:val="20"/>
                <w:color w:val="auto"/>
              </w:rPr>
            </w:pPr>
            <w:r>
              <w:rPr>
                <w:rFonts w:ascii="Arial" w:cs="Arial" w:eastAsia="Arial" w:hAnsi="Arial"/>
                <w:sz w:val="18"/>
                <w:szCs w:val="18"/>
                <w:color w:val="auto"/>
                <w:w w:val="93"/>
              </w:rPr>
              <w:t>соглашаюсь нести риск</w:t>
            </w:r>
            <w:r>
              <w:rPr>
                <w:rFonts w:ascii="Arial" w:cs="Arial" w:eastAsia="Arial" w:hAnsi="Arial"/>
                <w:sz w:val="18"/>
                <w:szCs w:val="18"/>
                <w:color w:val="auto"/>
                <w:w w:val="93"/>
              </w:rPr>
              <w:t>, deductions are made and the date Shares are purchased for me under the</w:t>
            </w:r>
          </w:p>
        </w:tc>
      </w:tr>
      <w:tr>
        <w:trPr>
          <w:trHeight w:val="216"/>
        </w:trPr>
        <w:tc>
          <w:tcPr>
            <w:tcW w:w="11060" w:type="dxa"/>
            <w:vAlign w:val="bottom"/>
            <w:gridSpan w:val="2"/>
          </w:tcPr>
          <w:p>
            <w:pPr>
              <w:spacing w:after="0"/>
              <w:rPr>
                <w:sz w:val="20"/>
                <w:szCs w:val="20"/>
                <w:color w:val="auto"/>
              </w:rPr>
            </w:pPr>
            <w:r>
              <w:rPr>
                <w:rFonts w:ascii="Arial" w:cs="Arial" w:eastAsia="Arial" w:hAnsi="Arial"/>
                <w:sz w:val="18"/>
                <w:szCs w:val="18"/>
                <w:color w:val="auto"/>
              </w:rPr>
              <w:t xml:space="preserve">связанный  с  любыми  колебаниями  курсов  обмена  валют  с  даты </w:t>
            </w:r>
            <w:r>
              <w:rPr>
                <w:rFonts w:ascii="Arial" w:cs="Arial" w:eastAsia="Arial" w:hAnsi="Arial"/>
                <w:sz w:val="18"/>
                <w:szCs w:val="18"/>
                <w:color w:val="auto"/>
              </w:rPr>
              <w:t>Plan.</w:t>
            </w:r>
          </w:p>
        </w:tc>
      </w:tr>
      <w:tr>
        <w:trPr>
          <w:trHeight w:val="230"/>
        </w:trPr>
        <w:tc>
          <w:tcPr>
            <w:tcW w:w="11060" w:type="dxa"/>
            <w:vAlign w:val="bottom"/>
            <w:gridSpan w:val="2"/>
          </w:tcPr>
          <w:p>
            <w:pPr>
              <w:spacing w:after="0"/>
              <w:rPr>
                <w:sz w:val="20"/>
                <w:szCs w:val="20"/>
                <w:color w:val="auto"/>
              </w:rPr>
            </w:pPr>
            <w:r>
              <w:rPr>
                <w:rFonts w:ascii="Arial" w:cs="Arial" w:eastAsia="Arial" w:hAnsi="Arial"/>
                <w:sz w:val="18"/>
                <w:szCs w:val="18"/>
                <w:color w:val="auto"/>
              </w:rPr>
              <w:t>производства вычетов до даты покупки Акций для меня по Программе</w:t>
            </w:r>
            <w:r>
              <w:rPr>
                <w:rFonts w:ascii="Arial" w:cs="Arial" w:eastAsia="Arial" w:hAnsi="Arial"/>
                <w:sz w:val="18"/>
                <w:szCs w:val="18"/>
                <w:color w:val="auto"/>
              </w:rPr>
              <w:t>.</w:t>
            </w:r>
          </w:p>
        </w:tc>
      </w:tr>
      <w:tr>
        <w:trPr>
          <w:trHeight w:val="688"/>
        </w:trPr>
        <w:tc>
          <w:tcPr>
            <w:tcW w:w="11060" w:type="dxa"/>
            <w:vAlign w:val="bottom"/>
            <w:gridSpan w:val="2"/>
          </w:tcPr>
          <w:p>
            <w:pPr>
              <w:spacing w:after="0"/>
              <w:rPr>
                <w:sz w:val="20"/>
                <w:szCs w:val="20"/>
                <w:color w:val="auto"/>
              </w:rPr>
            </w:pPr>
            <w:r>
              <w:rPr>
                <w:rFonts w:ascii="Arial" w:cs="Arial" w:eastAsia="Arial" w:hAnsi="Arial"/>
                <w:sz w:val="18"/>
                <w:szCs w:val="18"/>
                <w:color w:val="auto"/>
              </w:rPr>
              <w:t>Я  также  признаю  правильность  каждого  из  приведенных  ниже</w:t>
            </w:r>
          </w:p>
        </w:tc>
      </w:tr>
      <w:tr>
        <w:trPr>
          <w:trHeight w:val="284"/>
        </w:trPr>
        <w:tc>
          <w:tcPr>
            <w:tcW w:w="3500" w:type="dxa"/>
            <w:vAlign w:val="bottom"/>
          </w:tcPr>
          <w:p>
            <w:pPr>
              <w:spacing w:after="0"/>
              <w:rPr>
                <w:sz w:val="20"/>
                <w:szCs w:val="20"/>
                <w:color w:val="auto"/>
              </w:rPr>
            </w:pPr>
            <w:r>
              <w:rPr>
                <w:rFonts w:ascii="Arial" w:cs="Arial" w:eastAsia="Arial" w:hAnsi="Arial"/>
                <w:sz w:val="18"/>
                <w:szCs w:val="18"/>
                <w:color w:val="auto"/>
              </w:rPr>
              <w:t>положений и согласен с каждым из них</w:t>
            </w:r>
            <w:r>
              <w:rPr>
                <w:rFonts w:ascii="Arial" w:cs="Arial" w:eastAsia="Arial" w:hAnsi="Arial"/>
                <w:sz w:val="18"/>
                <w:szCs w:val="18"/>
                <w:color w:val="auto"/>
              </w:rPr>
              <w:t>:</w:t>
            </w:r>
          </w:p>
        </w:tc>
        <w:tc>
          <w:tcPr>
            <w:tcW w:w="7560" w:type="dxa"/>
            <w:vAlign w:val="bottom"/>
          </w:tcPr>
          <w:p>
            <w:pPr>
              <w:ind w:left="2060"/>
              <w:spacing w:after="0"/>
              <w:rPr>
                <w:sz w:val="20"/>
                <w:szCs w:val="20"/>
                <w:color w:val="auto"/>
              </w:rPr>
            </w:pPr>
            <w:r>
              <w:rPr>
                <w:rFonts w:ascii="Arial" w:cs="Arial" w:eastAsia="Arial" w:hAnsi="Arial"/>
                <w:sz w:val="18"/>
                <w:szCs w:val="18"/>
                <w:color w:val="auto"/>
              </w:rPr>
              <w:t>I further acknowledge and agree to each of the provisions below:</w:t>
            </w:r>
          </w:p>
        </w:tc>
      </w:tr>
    </w:tbl>
    <w:p>
      <w:pPr>
        <w:sectPr>
          <w:pgSz w:w="11900" w:h="16838" w:orient="portrait"/>
          <w:cols w:equalWidth="0" w:num="1">
            <w:col w:w="11060"/>
          </w:cols>
          <w:pgMar w:left="340" w:top="827" w:right="499" w:bottom="1440" w:gutter="0" w:footer="0" w:header="0"/>
          <w:type w:val="continuous"/>
        </w:sectPr>
      </w:pPr>
    </w:p>
    <w:bookmarkStart w:id="108" w:name="page109"/>
    <w:bookmarkEnd w:id="108"/>
    <w:p>
      <w:pPr>
        <w:spacing w:after="0" w:line="274" w:lineRule="auto"/>
        <w:rPr>
          <w:sz w:val="20"/>
          <w:szCs w:val="20"/>
          <w:color w:val="auto"/>
        </w:rPr>
      </w:pPr>
      <w:r>
        <w:rPr>
          <w:rFonts w:ascii="Arial" w:cs="Arial" w:eastAsia="Arial" w:hAnsi="Arial"/>
          <w:sz w:val="17"/>
          <w:szCs w:val="17"/>
          <w:color w:val="auto"/>
        </w:rPr>
        <w:t xml:space="preserve">1. </w:t>
      </w:r>
      <w:r>
        <w:rPr>
          <w:rFonts w:ascii="Arial" w:cs="Arial" w:eastAsia="Arial" w:hAnsi="Arial"/>
          <w:sz w:val="17"/>
          <w:szCs w:val="17"/>
          <w:color w:val="auto"/>
        </w:rPr>
        <w:t>Программа предлагается Компанией по ее исключительному</w:t>
      </w:r>
      <w:r>
        <w:rPr>
          <w:rFonts w:ascii="Arial" w:cs="Arial" w:eastAsia="Arial" w:hAnsi="Arial"/>
          <w:sz w:val="17"/>
          <w:szCs w:val="17"/>
          <w:color w:val="auto"/>
        </w:rPr>
        <w:t xml:space="preserve"> 1. The Plan is offered by and in the sole discretion of the Company and is </w:t>
      </w:r>
      <w:r>
        <w:rPr>
          <w:rFonts w:ascii="Arial" w:cs="Arial" w:eastAsia="Arial" w:hAnsi="Arial"/>
          <w:sz w:val="17"/>
          <w:szCs w:val="17"/>
          <w:color w:val="auto"/>
        </w:rPr>
        <w:t>усмотрению</w:t>
      </w:r>
      <w:r>
        <w:rPr>
          <w:rFonts w:ascii="Arial" w:cs="Arial" w:eastAsia="Arial" w:hAnsi="Arial"/>
          <w:sz w:val="17"/>
          <w:szCs w:val="17"/>
          <w:color w:val="auto"/>
        </w:rPr>
        <w:t>.</w:t>
      </w:r>
      <w:r>
        <w:rPr>
          <w:rFonts w:ascii="Arial" w:cs="Arial" w:eastAsia="Arial" w:hAnsi="Arial"/>
          <w:sz w:val="17"/>
          <w:szCs w:val="17"/>
          <w:color w:val="auto"/>
        </w:rPr>
        <w:t xml:space="preserve"> Программа не предлагается и не администрируется моим </w:t>
      </w:r>
      <w:r>
        <w:rPr>
          <w:rFonts w:ascii="Arial" w:cs="Arial" w:eastAsia="Arial" w:hAnsi="Arial"/>
          <w:sz w:val="17"/>
          <w:szCs w:val="17"/>
          <w:color w:val="auto"/>
        </w:rPr>
        <w:t>not offered or administered by my Employer. The sole purpose of this</w:t>
      </w:r>
    </w:p>
    <w:tbl>
      <w:tblPr>
        <w:tblLayout w:type="fixed"/>
        <w:tblInd w:w="0" w:type="dxa"/>
        <w:tblCellMar>
          <w:top w:w="0" w:type="dxa"/>
          <w:left w:w="0" w:type="dxa"/>
          <w:bottom w:w="0" w:type="dxa"/>
          <w:right w:w="0" w:type="dxa"/>
        </w:tblCellMar>
      </w:tblPr>
      <w:tr>
        <w:trPr>
          <w:trHeight w:val="202"/>
        </w:trPr>
        <w:tc>
          <w:tcPr>
            <w:tcW w:w="1180" w:type="dxa"/>
            <w:vAlign w:val="bottom"/>
          </w:tcPr>
          <w:p>
            <w:pPr>
              <w:spacing w:after="0" w:line="201" w:lineRule="exact"/>
              <w:rPr>
                <w:sz w:val="20"/>
                <w:szCs w:val="20"/>
                <w:color w:val="auto"/>
              </w:rPr>
            </w:pPr>
            <w:r>
              <w:rPr>
                <w:rFonts w:ascii="Arial" w:cs="Arial" w:eastAsia="Arial" w:hAnsi="Arial"/>
                <w:sz w:val="18"/>
                <w:szCs w:val="18"/>
                <w:color w:val="auto"/>
                <w:w w:val="84"/>
              </w:rPr>
              <w:t>Работодателем</w:t>
            </w:r>
            <w:r>
              <w:rPr>
                <w:rFonts w:ascii="Arial" w:cs="Arial" w:eastAsia="Arial" w:hAnsi="Arial"/>
                <w:sz w:val="18"/>
                <w:szCs w:val="18"/>
                <w:color w:val="auto"/>
                <w:w w:val="84"/>
              </w:rPr>
              <w:t>.</w:t>
            </w:r>
          </w:p>
        </w:tc>
        <w:tc>
          <w:tcPr>
            <w:tcW w:w="1300" w:type="dxa"/>
            <w:vAlign w:val="bottom"/>
          </w:tcPr>
          <w:p>
            <w:pPr>
              <w:ind w:left="200"/>
              <w:spacing w:after="0" w:line="201" w:lineRule="exact"/>
              <w:rPr>
                <w:sz w:val="20"/>
                <w:szCs w:val="20"/>
                <w:color w:val="auto"/>
              </w:rPr>
            </w:pPr>
            <w:r>
              <w:rPr>
                <w:rFonts w:ascii="Arial" w:cs="Arial" w:eastAsia="Arial" w:hAnsi="Arial"/>
                <w:sz w:val="18"/>
                <w:szCs w:val="18"/>
                <w:color w:val="auto"/>
                <w:w w:val="90"/>
              </w:rPr>
              <w:t>Единственной</w:t>
            </w:r>
          </w:p>
        </w:tc>
        <w:tc>
          <w:tcPr>
            <w:tcW w:w="680" w:type="dxa"/>
            <w:vAlign w:val="bottom"/>
          </w:tcPr>
          <w:p>
            <w:pPr>
              <w:ind w:left="180"/>
              <w:spacing w:after="0" w:line="201" w:lineRule="exact"/>
              <w:rPr>
                <w:sz w:val="20"/>
                <w:szCs w:val="20"/>
                <w:color w:val="auto"/>
              </w:rPr>
            </w:pPr>
            <w:r>
              <w:rPr>
                <w:rFonts w:ascii="Arial" w:cs="Arial" w:eastAsia="Arial" w:hAnsi="Arial"/>
                <w:sz w:val="18"/>
                <w:szCs w:val="18"/>
                <w:color w:val="auto"/>
                <w:w w:val="89"/>
              </w:rPr>
              <w:t>целью</w:t>
            </w:r>
          </w:p>
        </w:tc>
        <w:tc>
          <w:tcPr>
            <w:tcW w:w="1220" w:type="dxa"/>
            <w:vAlign w:val="bottom"/>
          </w:tcPr>
          <w:p>
            <w:pPr>
              <w:ind w:left="200"/>
              <w:spacing w:after="0" w:line="201" w:lineRule="exact"/>
              <w:rPr>
                <w:sz w:val="20"/>
                <w:szCs w:val="20"/>
                <w:color w:val="auto"/>
              </w:rPr>
            </w:pPr>
            <w:r>
              <w:rPr>
                <w:rFonts w:ascii="Arial" w:cs="Arial" w:eastAsia="Arial" w:hAnsi="Arial"/>
                <w:sz w:val="18"/>
                <w:szCs w:val="18"/>
                <w:color w:val="auto"/>
              </w:rPr>
              <w:t>настоящего</w:t>
            </w:r>
          </w:p>
        </w:tc>
        <w:tc>
          <w:tcPr>
            <w:tcW w:w="980" w:type="dxa"/>
            <w:vAlign w:val="bottom"/>
          </w:tcPr>
          <w:p>
            <w:pPr>
              <w:ind w:left="60"/>
              <w:spacing w:after="0" w:line="201" w:lineRule="exact"/>
              <w:rPr>
                <w:sz w:val="20"/>
                <w:szCs w:val="20"/>
                <w:color w:val="auto"/>
              </w:rPr>
            </w:pPr>
            <w:r>
              <w:rPr>
                <w:rFonts w:ascii="Arial" w:cs="Arial" w:eastAsia="Arial" w:hAnsi="Arial"/>
                <w:sz w:val="18"/>
                <w:szCs w:val="18"/>
                <w:color w:val="auto"/>
                <w:w w:val="99"/>
              </w:rPr>
              <w:t>Заявления</w:t>
            </w:r>
          </w:p>
        </w:tc>
        <w:tc>
          <w:tcPr>
            <w:tcW w:w="5700" w:type="dxa"/>
            <w:vAlign w:val="bottom"/>
          </w:tcPr>
          <w:p>
            <w:pPr>
              <w:jc w:val="right"/>
              <w:spacing w:after="0" w:line="201" w:lineRule="exact"/>
              <w:rPr>
                <w:sz w:val="20"/>
                <w:szCs w:val="20"/>
                <w:color w:val="auto"/>
              </w:rPr>
            </w:pPr>
            <w:r>
              <w:rPr>
                <w:rFonts w:ascii="Arial" w:cs="Arial" w:eastAsia="Arial" w:hAnsi="Arial"/>
                <w:sz w:val="18"/>
                <w:szCs w:val="18"/>
                <w:color w:val="auto"/>
              </w:rPr>
              <w:t xml:space="preserve">и </w:t>
            </w:r>
            <w:r>
              <w:rPr>
                <w:rFonts w:ascii="Arial" w:cs="Arial" w:eastAsia="Arial" w:hAnsi="Arial"/>
                <w:sz w:val="18"/>
                <w:szCs w:val="18"/>
                <w:color w:val="auto"/>
              </w:rPr>
              <w:t>Application and Authorization for Payroll Deductions is to facilitate my</w:t>
            </w:r>
          </w:p>
        </w:tc>
      </w:tr>
      <w:tr>
        <w:trPr>
          <w:trHeight w:val="216"/>
        </w:trPr>
        <w:tc>
          <w:tcPr>
            <w:tcW w:w="2480" w:type="dxa"/>
            <w:vAlign w:val="bottom"/>
            <w:gridSpan w:val="2"/>
          </w:tcPr>
          <w:p>
            <w:pPr>
              <w:spacing w:after="0"/>
              <w:rPr>
                <w:sz w:val="20"/>
                <w:szCs w:val="20"/>
                <w:color w:val="auto"/>
              </w:rPr>
            </w:pPr>
            <w:r>
              <w:rPr>
                <w:rFonts w:ascii="Arial" w:cs="Arial" w:eastAsia="Arial" w:hAnsi="Arial"/>
                <w:sz w:val="18"/>
                <w:szCs w:val="18"/>
                <w:color w:val="auto"/>
                <w:w w:val="92"/>
              </w:rPr>
              <w:t>Разрешения на осуществление</w:t>
            </w:r>
          </w:p>
        </w:tc>
        <w:tc>
          <w:tcPr>
            <w:tcW w:w="8580" w:type="dxa"/>
            <w:vAlign w:val="bottom"/>
            <w:gridSpan w:val="4"/>
          </w:tcPr>
          <w:p>
            <w:pPr>
              <w:jc w:val="right"/>
              <w:spacing w:after="0"/>
              <w:rPr>
                <w:sz w:val="20"/>
                <w:szCs w:val="20"/>
                <w:color w:val="auto"/>
              </w:rPr>
            </w:pPr>
            <w:r>
              <w:rPr>
                <w:rFonts w:ascii="Arial" w:cs="Arial" w:eastAsia="Arial" w:hAnsi="Arial"/>
                <w:sz w:val="18"/>
                <w:szCs w:val="18"/>
                <w:color w:val="auto"/>
                <w:w w:val="93"/>
              </w:rPr>
              <w:t xml:space="preserve">вычетов из моей заработной платы </w:t>
            </w:r>
            <w:r>
              <w:rPr>
                <w:rFonts w:ascii="Arial" w:cs="Arial" w:eastAsia="Arial" w:hAnsi="Arial"/>
                <w:sz w:val="18"/>
                <w:szCs w:val="18"/>
                <w:color w:val="auto"/>
                <w:w w:val="93"/>
              </w:rPr>
              <w:t>participation in the Plan. I understand that the Plan and any Shares acquired</w:t>
            </w:r>
          </w:p>
        </w:tc>
      </w:tr>
      <w:tr>
        <w:trPr>
          <w:trHeight w:val="216"/>
        </w:trPr>
        <w:tc>
          <w:tcPr>
            <w:tcW w:w="3160" w:type="dxa"/>
            <w:vAlign w:val="bottom"/>
            <w:gridSpan w:val="3"/>
          </w:tcPr>
          <w:p>
            <w:pPr>
              <w:spacing w:after="0"/>
              <w:rPr>
                <w:sz w:val="20"/>
                <w:szCs w:val="20"/>
                <w:color w:val="auto"/>
              </w:rPr>
            </w:pPr>
            <w:r>
              <w:rPr>
                <w:rFonts w:ascii="Arial" w:cs="Arial" w:eastAsia="Arial" w:hAnsi="Arial"/>
                <w:sz w:val="18"/>
                <w:szCs w:val="18"/>
                <w:color w:val="auto"/>
                <w:w w:val="98"/>
              </w:rPr>
              <w:t>является облегчение моего участия в</w:t>
            </w:r>
          </w:p>
        </w:tc>
        <w:tc>
          <w:tcPr>
            <w:tcW w:w="1220" w:type="dxa"/>
            <w:vAlign w:val="bottom"/>
          </w:tcPr>
          <w:p>
            <w:pPr>
              <w:ind w:left="40"/>
              <w:spacing w:after="0"/>
              <w:rPr>
                <w:sz w:val="20"/>
                <w:szCs w:val="20"/>
                <w:color w:val="auto"/>
              </w:rPr>
            </w:pPr>
            <w:r>
              <w:rPr>
                <w:rFonts w:ascii="Arial" w:cs="Arial" w:eastAsia="Arial" w:hAnsi="Arial"/>
                <w:sz w:val="18"/>
                <w:szCs w:val="18"/>
                <w:color w:val="auto"/>
                <w:w w:val="98"/>
              </w:rPr>
              <w:t>Программе</w:t>
            </w:r>
            <w:r>
              <w:rPr>
                <w:rFonts w:ascii="Arial" w:cs="Arial" w:eastAsia="Arial" w:hAnsi="Arial"/>
                <w:sz w:val="18"/>
                <w:szCs w:val="18"/>
                <w:color w:val="auto"/>
                <w:w w:val="98"/>
              </w:rPr>
              <w:t>.</w:t>
            </w:r>
            <w:r>
              <w:rPr>
                <w:rFonts w:ascii="Arial" w:cs="Arial" w:eastAsia="Arial" w:hAnsi="Arial"/>
                <w:sz w:val="18"/>
                <w:szCs w:val="18"/>
                <w:color w:val="auto"/>
                <w:w w:val="98"/>
              </w:rPr>
              <w:t xml:space="preserve"> Я</w:t>
            </w:r>
          </w:p>
        </w:tc>
        <w:tc>
          <w:tcPr>
            <w:tcW w:w="6680" w:type="dxa"/>
            <w:vAlign w:val="bottom"/>
            <w:gridSpan w:val="2"/>
          </w:tcPr>
          <w:p>
            <w:pPr>
              <w:jc w:val="right"/>
              <w:spacing w:after="0"/>
              <w:rPr>
                <w:sz w:val="20"/>
                <w:szCs w:val="20"/>
                <w:color w:val="auto"/>
              </w:rPr>
            </w:pPr>
            <w:r>
              <w:rPr>
                <w:rFonts w:ascii="Arial" w:cs="Arial" w:eastAsia="Arial" w:hAnsi="Arial"/>
                <w:sz w:val="18"/>
                <w:szCs w:val="18"/>
                <w:color w:val="auto"/>
                <w:w w:val="97"/>
              </w:rPr>
              <w:t>признаю</w:t>
            </w:r>
            <w:r>
              <w:rPr>
                <w:rFonts w:ascii="Arial" w:cs="Arial" w:eastAsia="Arial" w:hAnsi="Arial"/>
                <w:sz w:val="18"/>
                <w:szCs w:val="18"/>
                <w:color w:val="auto"/>
                <w:w w:val="97"/>
              </w:rPr>
              <w:t>,</w:t>
            </w:r>
            <w:r>
              <w:rPr>
                <w:rFonts w:ascii="Arial" w:cs="Arial" w:eastAsia="Arial" w:hAnsi="Arial"/>
                <w:sz w:val="18"/>
                <w:szCs w:val="18"/>
                <w:color w:val="auto"/>
                <w:w w:val="97"/>
              </w:rPr>
              <w:t xml:space="preserve"> что </w:t>
            </w:r>
            <w:r>
              <w:rPr>
                <w:rFonts w:ascii="Arial" w:cs="Arial" w:eastAsia="Arial" w:hAnsi="Arial"/>
                <w:sz w:val="18"/>
                <w:szCs w:val="18"/>
                <w:color w:val="auto"/>
                <w:w w:val="97"/>
              </w:rPr>
              <w:t>thereunder are wholly outside the scope of my employment relationship</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Программа и</w:t>
            </w:r>
          </w:p>
        </w:tc>
        <w:tc>
          <w:tcPr>
            <w:tcW w:w="1300" w:type="dxa"/>
            <w:vAlign w:val="bottom"/>
          </w:tcPr>
          <w:p>
            <w:pPr>
              <w:spacing w:after="0"/>
              <w:rPr>
                <w:sz w:val="20"/>
                <w:szCs w:val="20"/>
                <w:color w:val="auto"/>
              </w:rPr>
            </w:pPr>
            <w:r>
              <w:rPr>
                <w:rFonts w:ascii="Arial" w:cs="Arial" w:eastAsia="Arial" w:hAnsi="Arial"/>
                <w:sz w:val="18"/>
                <w:szCs w:val="18"/>
                <w:color w:val="auto"/>
                <w:w w:val="97"/>
              </w:rPr>
              <w:t>приобретенные</w:t>
            </w:r>
          </w:p>
        </w:tc>
        <w:tc>
          <w:tcPr>
            <w:tcW w:w="680" w:type="dxa"/>
            <w:vAlign w:val="bottom"/>
          </w:tcPr>
          <w:p>
            <w:pPr>
              <w:spacing w:after="0"/>
              <w:rPr>
                <w:sz w:val="20"/>
                <w:szCs w:val="20"/>
                <w:color w:val="auto"/>
              </w:rPr>
            </w:pPr>
            <w:r>
              <w:rPr>
                <w:rFonts w:ascii="Arial" w:cs="Arial" w:eastAsia="Arial" w:hAnsi="Arial"/>
                <w:sz w:val="18"/>
                <w:szCs w:val="18"/>
                <w:color w:val="auto"/>
              </w:rPr>
              <w:t>по ней</w:t>
            </w:r>
          </w:p>
        </w:tc>
        <w:tc>
          <w:tcPr>
            <w:tcW w:w="2200" w:type="dxa"/>
            <w:vAlign w:val="bottom"/>
            <w:gridSpan w:val="2"/>
          </w:tcPr>
          <w:p>
            <w:pPr>
              <w:spacing w:after="0"/>
              <w:rPr>
                <w:sz w:val="20"/>
                <w:szCs w:val="20"/>
                <w:color w:val="auto"/>
              </w:rPr>
            </w:pPr>
            <w:r>
              <w:rPr>
                <w:rFonts w:ascii="Arial" w:cs="Arial" w:eastAsia="Arial" w:hAnsi="Arial"/>
                <w:sz w:val="18"/>
                <w:szCs w:val="18"/>
                <w:color w:val="auto"/>
              </w:rPr>
              <w:t>Акции находятся целиком</w:t>
            </w:r>
          </w:p>
        </w:tc>
        <w:tc>
          <w:tcPr>
            <w:tcW w:w="5700" w:type="dxa"/>
            <w:vAlign w:val="bottom"/>
          </w:tcPr>
          <w:p>
            <w:pPr>
              <w:jc w:val="right"/>
              <w:spacing w:after="0"/>
              <w:rPr>
                <w:sz w:val="20"/>
                <w:szCs w:val="20"/>
                <w:color w:val="auto"/>
              </w:rPr>
            </w:pPr>
            <w:r>
              <w:rPr>
                <w:rFonts w:ascii="Arial" w:cs="Arial" w:eastAsia="Arial" w:hAnsi="Arial"/>
                <w:sz w:val="18"/>
                <w:szCs w:val="18"/>
                <w:color w:val="auto"/>
                <w:w w:val="97"/>
              </w:rPr>
              <w:t xml:space="preserve">и </w:t>
            </w:r>
            <w:r>
              <w:rPr>
                <w:rFonts w:ascii="Arial" w:cs="Arial" w:eastAsia="Arial" w:hAnsi="Arial"/>
                <w:sz w:val="18"/>
                <w:szCs w:val="18"/>
                <w:color w:val="auto"/>
                <w:w w:val="97"/>
              </w:rPr>
              <w:t>with my Employer and are not part of my employment compensation for</w:t>
            </w:r>
          </w:p>
        </w:tc>
      </w:tr>
    </w:tbl>
    <w:p>
      <w:pPr>
        <w:ind w:right="4580"/>
        <w:spacing w:after="0" w:line="260" w:lineRule="auto"/>
        <w:rPr>
          <w:sz w:val="20"/>
          <w:szCs w:val="20"/>
          <w:color w:val="auto"/>
        </w:rPr>
      </w:pPr>
      <w:r>
        <w:rPr>
          <w:rFonts w:ascii="Arial" w:cs="Arial" w:eastAsia="Arial" w:hAnsi="Arial"/>
          <w:sz w:val="18"/>
          <w:szCs w:val="18"/>
          <w:color w:val="auto"/>
        </w:rPr>
        <w:t xml:space="preserve">полностью вне сферы моих трудовых отношений с Работодателем и не </w:t>
      </w:r>
      <w:r>
        <w:rPr>
          <w:rFonts w:ascii="Arial" w:cs="Arial" w:eastAsia="Arial" w:hAnsi="Arial"/>
          <w:sz w:val="18"/>
          <w:szCs w:val="18"/>
          <w:color w:val="auto"/>
        </w:rPr>
        <w:t>any purpose;</w:t>
      </w:r>
      <w:r>
        <w:rPr>
          <w:rFonts w:ascii="Arial" w:cs="Arial" w:eastAsia="Arial" w:hAnsi="Arial"/>
          <w:sz w:val="18"/>
          <w:szCs w:val="18"/>
          <w:color w:val="auto"/>
        </w:rPr>
        <w:t xml:space="preserve"> являются ни для каких целей частью моей заработной платы</w:t>
      </w:r>
      <w:r>
        <w:rPr>
          <w:rFonts w:ascii="Arial" w:cs="Arial" w:eastAsia="Arial" w:hAnsi="Arial"/>
          <w:sz w:val="18"/>
          <w:szCs w:val="18"/>
          <w:color w:val="auto"/>
        </w:rPr>
        <w:t>;</w:t>
      </w:r>
    </w:p>
    <w:p>
      <w:pPr>
        <w:spacing w:after="0" w:line="212" w:lineRule="exact"/>
        <w:rPr>
          <w:sz w:val="20"/>
          <w:szCs w:val="20"/>
          <w:color w:val="auto"/>
        </w:rPr>
      </w:pPr>
    </w:p>
    <w:p>
      <w:pPr>
        <w:jc w:val="both"/>
        <w:ind w:right="5540" w:firstLine="6"/>
        <w:spacing w:after="0" w:line="291" w:lineRule="auto"/>
        <w:tabs>
          <w:tab w:leader="none" w:pos="222" w:val="left"/>
        </w:tabs>
        <w:numPr>
          <w:ilvl w:val="0"/>
          <w:numId w:val="76"/>
        </w:numPr>
        <w:rPr>
          <w:rFonts w:ascii="Arial" w:cs="Arial" w:eastAsia="Arial" w:hAnsi="Arial"/>
          <w:sz w:val="16"/>
          <w:szCs w:val="16"/>
          <w:color w:val="auto"/>
        </w:rPr>
      </w:pPr>
      <w:r>
        <w:rPr>
          <w:rFonts w:ascii="Arial" w:cs="Arial" w:eastAsia="Arial" w:hAnsi="Arial"/>
          <w:sz w:val="16"/>
          <w:szCs w:val="16"/>
          <w:color w:val="auto"/>
        </w:rPr>
        <w:t>Участие Работодателя в Программе сводится к посредничеству в переводе в адрес Компании сумм</w:t>
      </w:r>
      <w:r>
        <w:rPr>
          <w:rFonts w:ascii="Arial" w:cs="Arial" w:eastAsia="Arial" w:hAnsi="Arial"/>
          <w:sz w:val="16"/>
          <w:szCs w:val="16"/>
          <w:color w:val="auto"/>
        </w:rPr>
        <w:t>,</w:t>
      </w:r>
      <w:r>
        <w:rPr>
          <w:rFonts w:ascii="Arial" w:cs="Arial" w:eastAsia="Arial" w:hAnsi="Arial"/>
          <w:sz w:val="16"/>
          <w:szCs w:val="16"/>
          <w:color w:val="auto"/>
        </w:rPr>
        <w:t xml:space="preserve"> удерживаемых из моей заработной</w:t>
      </w:r>
    </w:p>
    <w:tbl>
      <w:tblPr>
        <w:tblLayout w:type="fixed"/>
        <w:tblInd w:w="0" w:type="dxa"/>
        <w:tblCellMar>
          <w:top w:w="0" w:type="dxa"/>
          <w:left w:w="0" w:type="dxa"/>
          <w:bottom w:w="0" w:type="dxa"/>
          <w:right w:w="0" w:type="dxa"/>
        </w:tblCellMar>
      </w:tblPr>
      <w:tr>
        <w:trPr>
          <w:trHeight w:val="243"/>
        </w:trPr>
        <w:tc>
          <w:tcPr>
            <w:tcW w:w="5540" w:type="dxa"/>
            <w:vAlign w:val="bottom"/>
            <w:gridSpan w:val="4"/>
          </w:tcPr>
          <w:p>
            <w:pPr>
              <w:spacing w:after="0"/>
              <w:rPr>
                <w:sz w:val="20"/>
                <w:szCs w:val="20"/>
                <w:color w:val="auto"/>
              </w:rPr>
            </w:pPr>
            <w:r>
              <w:rPr>
                <w:rFonts w:ascii="Arial" w:cs="Arial" w:eastAsia="Arial" w:hAnsi="Arial"/>
                <w:sz w:val="18"/>
                <w:szCs w:val="18"/>
                <w:color w:val="auto"/>
                <w:w w:val="89"/>
              </w:rPr>
              <w:t>платы в каждом платежном периоде</w:t>
            </w:r>
            <w:r>
              <w:rPr>
                <w:rFonts w:ascii="Arial" w:cs="Arial" w:eastAsia="Arial" w:hAnsi="Arial"/>
                <w:sz w:val="18"/>
                <w:szCs w:val="18"/>
                <w:color w:val="auto"/>
                <w:w w:val="89"/>
              </w:rPr>
              <w:t>.</w:t>
            </w:r>
            <w:r>
              <w:rPr>
                <w:rFonts w:ascii="Arial" w:cs="Arial" w:eastAsia="Arial" w:hAnsi="Arial"/>
                <w:sz w:val="18"/>
                <w:szCs w:val="18"/>
                <w:color w:val="auto"/>
                <w:w w:val="89"/>
              </w:rPr>
              <w:t xml:space="preserve"> Работодатель не выплачивает мне</w:t>
            </w:r>
          </w:p>
        </w:tc>
        <w:tc>
          <w:tcPr>
            <w:tcW w:w="5520" w:type="dxa"/>
            <w:vAlign w:val="bottom"/>
          </w:tcPr>
          <w:p>
            <w:pPr>
              <w:ind w:left="20"/>
              <w:spacing w:after="0"/>
              <w:rPr>
                <w:sz w:val="20"/>
                <w:szCs w:val="20"/>
                <w:color w:val="auto"/>
              </w:rPr>
            </w:pPr>
            <w:r>
              <w:rPr>
                <w:rFonts w:ascii="Arial" w:cs="Arial" w:eastAsia="Arial" w:hAnsi="Arial"/>
                <w:sz w:val="18"/>
                <w:szCs w:val="18"/>
                <w:color w:val="auto"/>
                <w:w w:val="96"/>
              </w:rPr>
              <w:t>2. The participation of my Employer in the Plan is limited to acting as an</w:t>
            </w:r>
          </w:p>
        </w:tc>
        <w:tc>
          <w:tcPr>
            <w:tcW w:w="0" w:type="dxa"/>
            <w:vAlign w:val="bottom"/>
          </w:tcPr>
          <w:p>
            <w:pPr>
              <w:spacing w:after="0"/>
              <w:rPr>
                <w:sz w:val="1"/>
                <w:szCs w:val="1"/>
                <w:color w:val="auto"/>
              </w:rPr>
            </w:pPr>
          </w:p>
        </w:tc>
      </w:tr>
      <w:tr>
        <w:trPr>
          <w:trHeight w:val="216"/>
        </w:trPr>
        <w:tc>
          <w:tcPr>
            <w:tcW w:w="1340" w:type="dxa"/>
            <w:vAlign w:val="bottom"/>
          </w:tcPr>
          <w:p>
            <w:pPr>
              <w:spacing w:after="0"/>
              <w:rPr>
                <w:sz w:val="20"/>
                <w:szCs w:val="20"/>
                <w:color w:val="auto"/>
              </w:rPr>
            </w:pPr>
            <w:r>
              <w:rPr>
                <w:rFonts w:ascii="Arial" w:cs="Arial" w:eastAsia="Arial" w:hAnsi="Arial"/>
                <w:sz w:val="18"/>
                <w:szCs w:val="18"/>
                <w:color w:val="auto"/>
                <w:w w:val="93"/>
              </w:rPr>
              <w:t>дополнительную</w:t>
            </w:r>
          </w:p>
        </w:tc>
        <w:tc>
          <w:tcPr>
            <w:tcW w:w="2020" w:type="dxa"/>
            <w:vAlign w:val="bottom"/>
          </w:tcPr>
          <w:p>
            <w:pPr>
              <w:ind w:left="240"/>
              <w:spacing w:after="0"/>
              <w:rPr>
                <w:sz w:val="20"/>
                <w:szCs w:val="20"/>
                <w:color w:val="auto"/>
              </w:rPr>
            </w:pPr>
            <w:r>
              <w:rPr>
                <w:rFonts w:ascii="Arial" w:cs="Arial" w:eastAsia="Arial" w:hAnsi="Arial"/>
                <w:sz w:val="18"/>
                <w:szCs w:val="18"/>
                <w:color w:val="auto"/>
              </w:rPr>
              <w:t>заработную   плату</w:t>
            </w:r>
          </w:p>
        </w:tc>
        <w:tc>
          <w:tcPr>
            <w:tcW w:w="620" w:type="dxa"/>
            <w:vAlign w:val="bottom"/>
          </w:tcPr>
          <w:p>
            <w:pPr>
              <w:jc w:val="right"/>
              <w:ind w:right="176"/>
              <w:spacing w:after="0"/>
              <w:rPr>
                <w:sz w:val="20"/>
                <w:szCs w:val="20"/>
                <w:color w:val="auto"/>
              </w:rPr>
            </w:pPr>
            <w:r>
              <w:rPr>
                <w:rFonts w:ascii="Arial" w:cs="Arial" w:eastAsia="Arial" w:hAnsi="Arial"/>
                <w:sz w:val="18"/>
                <w:szCs w:val="18"/>
                <w:color w:val="auto"/>
              </w:rPr>
              <w:t>или</w:t>
            </w:r>
          </w:p>
        </w:tc>
        <w:tc>
          <w:tcPr>
            <w:tcW w:w="7080" w:type="dxa"/>
            <w:vAlign w:val="bottom"/>
            <w:gridSpan w:val="2"/>
          </w:tcPr>
          <w:p>
            <w:pPr>
              <w:jc w:val="right"/>
              <w:spacing w:after="0" w:line="216" w:lineRule="exact"/>
              <w:rPr>
                <w:sz w:val="20"/>
                <w:szCs w:val="20"/>
                <w:color w:val="auto"/>
              </w:rPr>
            </w:pPr>
            <w:r>
              <w:rPr>
                <w:rFonts w:ascii="Arial" w:cs="Arial" w:eastAsia="Arial" w:hAnsi="Arial"/>
                <w:sz w:val="25"/>
                <w:szCs w:val="25"/>
                <w:color w:val="auto"/>
                <w:vertAlign w:val="superscript"/>
              </w:rPr>
              <w:t>какие</w:t>
            </w:r>
            <w:r>
              <w:rPr>
                <w:rFonts w:ascii="Arial" w:cs="Arial" w:eastAsia="Arial" w:hAnsi="Arial"/>
                <w:sz w:val="25"/>
                <w:szCs w:val="25"/>
                <w:color w:val="auto"/>
                <w:vertAlign w:val="superscript"/>
              </w:rPr>
              <w:t>-</w:t>
            </w:r>
            <w:r>
              <w:rPr>
                <w:rFonts w:ascii="Arial" w:cs="Arial" w:eastAsia="Arial" w:hAnsi="Arial"/>
                <w:sz w:val="25"/>
                <w:szCs w:val="25"/>
                <w:color w:val="auto"/>
                <w:vertAlign w:val="superscript"/>
              </w:rPr>
              <w:t>либо   иные</w:t>
            </w:r>
            <w:r>
              <w:rPr>
                <w:rFonts w:ascii="Arial" w:cs="Arial" w:eastAsia="Arial" w:hAnsi="Arial"/>
                <w:sz w:val="14"/>
                <w:szCs w:val="14"/>
                <w:color w:val="auto"/>
              </w:rPr>
              <w:t xml:space="preserve"> intermediary in delivering to the Company the amounts withheld from my</w:t>
            </w:r>
          </w:p>
        </w:tc>
        <w:tc>
          <w:tcPr>
            <w:tcW w:w="0" w:type="dxa"/>
            <w:vAlign w:val="bottom"/>
          </w:tcPr>
          <w:p>
            <w:pPr>
              <w:spacing w:after="0"/>
              <w:rPr>
                <w:sz w:val="1"/>
                <w:szCs w:val="1"/>
                <w:color w:val="auto"/>
              </w:rPr>
            </w:pPr>
          </w:p>
        </w:tc>
      </w:tr>
      <w:tr>
        <w:trPr>
          <w:trHeight w:val="216"/>
        </w:trPr>
        <w:tc>
          <w:tcPr>
            <w:tcW w:w="1340" w:type="dxa"/>
            <w:vAlign w:val="bottom"/>
          </w:tcPr>
          <w:p>
            <w:pPr>
              <w:spacing w:after="0"/>
              <w:rPr>
                <w:sz w:val="20"/>
                <w:szCs w:val="20"/>
                <w:color w:val="auto"/>
              </w:rPr>
            </w:pPr>
            <w:r>
              <w:rPr>
                <w:rFonts w:ascii="Arial" w:cs="Arial" w:eastAsia="Arial" w:hAnsi="Arial"/>
                <w:sz w:val="18"/>
                <w:szCs w:val="18"/>
                <w:color w:val="auto"/>
                <w:w w:val="96"/>
              </w:rPr>
              <w:t>вознаграждения</w:t>
            </w:r>
          </w:p>
        </w:tc>
        <w:tc>
          <w:tcPr>
            <w:tcW w:w="2640" w:type="dxa"/>
            <w:vAlign w:val="bottom"/>
            <w:gridSpan w:val="2"/>
          </w:tcPr>
          <w:p>
            <w:pPr>
              <w:ind w:left="40"/>
              <w:spacing w:after="0"/>
              <w:rPr>
                <w:sz w:val="20"/>
                <w:szCs w:val="20"/>
                <w:color w:val="auto"/>
              </w:rPr>
            </w:pPr>
            <w:r>
              <w:rPr>
                <w:rFonts w:ascii="Arial" w:cs="Arial" w:eastAsia="Arial" w:hAnsi="Arial"/>
                <w:sz w:val="18"/>
                <w:szCs w:val="18"/>
                <w:color w:val="auto"/>
                <w:w w:val="94"/>
              </w:rPr>
              <w:t>или  компенсации  в  результате</w:t>
            </w:r>
          </w:p>
        </w:tc>
        <w:tc>
          <w:tcPr>
            <w:tcW w:w="7080" w:type="dxa"/>
            <w:vAlign w:val="bottom"/>
            <w:gridSpan w:val="2"/>
          </w:tcPr>
          <w:p>
            <w:pPr>
              <w:jc w:val="right"/>
              <w:spacing w:after="0" w:line="216" w:lineRule="exact"/>
              <w:rPr>
                <w:sz w:val="20"/>
                <w:szCs w:val="20"/>
                <w:color w:val="auto"/>
              </w:rPr>
            </w:pPr>
            <w:r>
              <w:rPr>
                <w:rFonts w:ascii="Arial" w:cs="Arial" w:eastAsia="Arial" w:hAnsi="Arial"/>
                <w:sz w:val="25"/>
                <w:szCs w:val="25"/>
                <w:color w:val="auto"/>
                <w:vertAlign w:val="superscript"/>
              </w:rPr>
              <w:t>моего  участия  в</w:t>
            </w:r>
            <w:r>
              <w:rPr>
                <w:rFonts w:ascii="Arial" w:cs="Arial" w:eastAsia="Arial" w:hAnsi="Arial"/>
                <w:sz w:val="14"/>
                <w:szCs w:val="14"/>
                <w:color w:val="auto"/>
              </w:rPr>
              <w:t xml:space="preserve"> paycheck each pay period. My Employer will make no additional salary</w:t>
            </w:r>
          </w:p>
        </w:tc>
        <w:tc>
          <w:tcPr>
            <w:tcW w:w="0" w:type="dxa"/>
            <w:vAlign w:val="bottom"/>
          </w:tcPr>
          <w:p>
            <w:pPr>
              <w:spacing w:after="0"/>
              <w:rPr>
                <w:sz w:val="1"/>
                <w:szCs w:val="1"/>
                <w:color w:val="auto"/>
              </w:rPr>
            </w:pPr>
          </w:p>
        </w:tc>
      </w:tr>
      <w:tr>
        <w:trPr>
          <w:trHeight w:val="216"/>
        </w:trPr>
        <w:tc>
          <w:tcPr>
            <w:tcW w:w="1340" w:type="dxa"/>
            <w:vAlign w:val="bottom"/>
          </w:tcPr>
          <w:p>
            <w:pPr>
              <w:spacing w:after="0"/>
              <w:rPr>
                <w:sz w:val="20"/>
                <w:szCs w:val="20"/>
                <w:color w:val="auto"/>
              </w:rPr>
            </w:pPr>
            <w:r>
              <w:rPr>
                <w:rFonts w:ascii="Arial" w:cs="Arial" w:eastAsia="Arial" w:hAnsi="Arial"/>
                <w:sz w:val="18"/>
                <w:szCs w:val="18"/>
                <w:color w:val="auto"/>
              </w:rPr>
              <w:t>Программе</w:t>
            </w:r>
            <w:r>
              <w:rPr>
                <w:rFonts w:ascii="Arial" w:cs="Arial" w:eastAsia="Arial" w:hAnsi="Arial"/>
                <w:sz w:val="18"/>
                <w:szCs w:val="18"/>
                <w:color w:val="auto"/>
              </w:rPr>
              <w:t>;</w:t>
            </w:r>
          </w:p>
        </w:tc>
        <w:tc>
          <w:tcPr>
            <w:tcW w:w="2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5520" w:type="dxa"/>
            <w:vAlign w:val="bottom"/>
            <w:vMerge w:val="restart"/>
          </w:tcPr>
          <w:p>
            <w:pPr>
              <w:ind w:left="20"/>
              <w:spacing w:after="0"/>
              <w:rPr>
                <w:sz w:val="20"/>
                <w:szCs w:val="20"/>
                <w:color w:val="auto"/>
              </w:rPr>
            </w:pPr>
            <w:r>
              <w:rPr>
                <w:rFonts w:ascii="Arial" w:cs="Arial" w:eastAsia="Arial" w:hAnsi="Arial"/>
                <w:sz w:val="18"/>
                <w:szCs w:val="18"/>
                <w:color w:val="auto"/>
                <w:w w:val="92"/>
              </w:rPr>
              <w:t>payment or other compensation to me as a result of my participation in the</w:t>
            </w:r>
          </w:p>
        </w:tc>
        <w:tc>
          <w:tcPr>
            <w:tcW w:w="0" w:type="dxa"/>
            <w:vAlign w:val="bottom"/>
          </w:tcPr>
          <w:p>
            <w:pPr>
              <w:spacing w:after="0"/>
              <w:rPr>
                <w:sz w:val="1"/>
                <w:szCs w:val="1"/>
                <w:color w:val="auto"/>
              </w:rPr>
            </w:pPr>
          </w:p>
        </w:tc>
      </w:tr>
      <w:tr>
        <w:trPr>
          <w:trHeight w:val="40"/>
        </w:trPr>
        <w:tc>
          <w:tcPr>
            <w:tcW w:w="1340" w:type="dxa"/>
            <w:vAlign w:val="bottom"/>
          </w:tcPr>
          <w:p>
            <w:pPr>
              <w:spacing w:after="0"/>
              <w:rPr>
                <w:sz w:val="3"/>
                <w:szCs w:val="3"/>
                <w:color w:val="auto"/>
              </w:rPr>
            </w:pPr>
          </w:p>
        </w:tc>
        <w:tc>
          <w:tcPr>
            <w:tcW w:w="2020" w:type="dxa"/>
            <w:vAlign w:val="bottom"/>
          </w:tcPr>
          <w:p>
            <w:pPr>
              <w:spacing w:after="0"/>
              <w:rPr>
                <w:sz w:val="3"/>
                <w:szCs w:val="3"/>
                <w:color w:val="auto"/>
              </w:rPr>
            </w:pPr>
          </w:p>
        </w:tc>
        <w:tc>
          <w:tcPr>
            <w:tcW w:w="620" w:type="dxa"/>
            <w:vAlign w:val="bottom"/>
          </w:tcPr>
          <w:p>
            <w:pPr>
              <w:spacing w:after="0"/>
              <w:rPr>
                <w:sz w:val="3"/>
                <w:szCs w:val="3"/>
                <w:color w:val="auto"/>
              </w:rPr>
            </w:pPr>
          </w:p>
        </w:tc>
        <w:tc>
          <w:tcPr>
            <w:tcW w:w="1560" w:type="dxa"/>
            <w:vAlign w:val="bottom"/>
          </w:tcPr>
          <w:p>
            <w:pPr>
              <w:spacing w:after="0"/>
              <w:rPr>
                <w:sz w:val="3"/>
                <w:szCs w:val="3"/>
                <w:color w:val="auto"/>
              </w:rPr>
            </w:pPr>
          </w:p>
        </w:tc>
        <w:tc>
          <w:tcPr>
            <w:tcW w:w="55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30"/>
        </w:trPr>
        <w:tc>
          <w:tcPr>
            <w:tcW w:w="5540" w:type="dxa"/>
            <w:vAlign w:val="bottom"/>
            <w:gridSpan w:val="4"/>
            <w:vMerge w:val="restart"/>
          </w:tcPr>
          <w:p>
            <w:pPr>
              <w:spacing w:after="0"/>
              <w:rPr>
                <w:sz w:val="20"/>
                <w:szCs w:val="20"/>
                <w:color w:val="auto"/>
              </w:rPr>
            </w:pPr>
            <w:r>
              <w:rPr>
                <w:rFonts w:ascii="Arial" w:cs="Arial" w:eastAsia="Arial" w:hAnsi="Arial"/>
                <w:sz w:val="18"/>
                <w:szCs w:val="18"/>
                <w:color w:val="auto"/>
                <w:w w:val="92"/>
              </w:rPr>
              <w:t xml:space="preserve">3. </w:t>
            </w:r>
            <w:r>
              <w:rPr>
                <w:rFonts w:ascii="Arial" w:cs="Arial" w:eastAsia="Arial" w:hAnsi="Arial"/>
                <w:sz w:val="18"/>
                <w:szCs w:val="18"/>
                <w:color w:val="auto"/>
                <w:w w:val="92"/>
              </w:rPr>
              <w:t>Удержания процента из моей заработной платы</w:t>
            </w:r>
            <w:r>
              <w:rPr>
                <w:rFonts w:ascii="Arial" w:cs="Arial" w:eastAsia="Arial" w:hAnsi="Arial"/>
                <w:sz w:val="18"/>
                <w:szCs w:val="18"/>
                <w:color w:val="auto"/>
                <w:w w:val="92"/>
              </w:rPr>
              <w:t xml:space="preserve">, </w:t>
            </w:r>
            <w:r>
              <w:rPr>
                <w:rFonts w:ascii="Arial" w:cs="Arial" w:eastAsia="Arial" w:hAnsi="Arial"/>
                <w:sz w:val="18"/>
                <w:szCs w:val="18"/>
                <w:color w:val="auto"/>
                <w:w w:val="92"/>
              </w:rPr>
              <w:t>о которых я прошу</w:t>
            </w:r>
            <w:r>
              <w:rPr>
                <w:rFonts w:ascii="Arial" w:cs="Arial" w:eastAsia="Arial" w:hAnsi="Arial"/>
                <w:sz w:val="18"/>
                <w:szCs w:val="18"/>
                <w:color w:val="auto"/>
                <w:w w:val="92"/>
              </w:rPr>
              <w:t>,</w:t>
            </w:r>
          </w:p>
        </w:tc>
        <w:tc>
          <w:tcPr>
            <w:tcW w:w="5520" w:type="dxa"/>
            <w:vAlign w:val="bottom"/>
          </w:tcPr>
          <w:p>
            <w:pPr>
              <w:ind w:left="20"/>
              <w:spacing w:after="0"/>
              <w:rPr>
                <w:sz w:val="20"/>
                <w:szCs w:val="20"/>
                <w:color w:val="auto"/>
              </w:rPr>
            </w:pPr>
            <w:r>
              <w:rPr>
                <w:rFonts w:ascii="Arial" w:cs="Arial" w:eastAsia="Arial" w:hAnsi="Arial"/>
                <w:sz w:val="18"/>
                <w:szCs w:val="18"/>
                <w:color w:val="auto"/>
              </w:rPr>
              <w:t>Plan;</w:t>
            </w:r>
          </w:p>
        </w:tc>
        <w:tc>
          <w:tcPr>
            <w:tcW w:w="0" w:type="dxa"/>
            <w:vAlign w:val="bottom"/>
          </w:tcPr>
          <w:p>
            <w:pPr>
              <w:spacing w:after="0"/>
              <w:rPr>
                <w:sz w:val="1"/>
                <w:szCs w:val="1"/>
                <w:color w:val="auto"/>
              </w:rPr>
            </w:pPr>
          </w:p>
        </w:tc>
      </w:tr>
      <w:tr>
        <w:trPr>
          <w:trHeight w:val="148"/>
        </w:trPr>
        <w:tc>
          <w:tcPr>
            <w:tcW w:w="5540" w:type="dxa"/>
            <w:vAlign w:val="bottom"/>
            <w:gridSpan w:val="4"/>
            <w:vMerge w:val="continue"/>
          </w:tcPr>
          <w:p>
            <w:pPr>
              <w:spacing w:after="0"/>
              <w:rPr>
                <w:sz w:val="12"/>
                <w:szCs w:val="12"/>
                <w:color w:val="auto"/>
              </w:rPr>
            </w:pPr>
          </w:p>
        </w:tc>
        <w:tc>
          <w:tcPr>
            <w:tcW w:w="55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40" w:type="dxa"/>
            <w:vAlign w:val="bottom"/>
            <w:gridSpan w:val="4"/>
          </w:tcPr>
          <w:p>
            <w:pPr>
              <w:spacing w:after="0"/>
              <w:rPr>
                <w:sz w:val="20"/>
                <w:szCs w:val="20"/>
                <w:color w:val="auto"/>
              </w:rPr>
            </w:pPr>
            <w:r>
              <w:rPr>
                <w:rFonts w:ascii="Arial" w:cs="Arial" w:eastAsia="Arial" w:hAnsi="Arial"/>
                <w:sz w:val="18"/>
                <w:szCs w:val="18"/>
                <w:color w:val="auto"/>
                <w:w w:val="94"/>
              </w:rPr>
              <w:t>не являются сокращением или снижением размера моей заработной</w:t>
            </w:r>
          </w:p>
        </w:tc>
        <w:tc>
          <w:tcPr>
            <w:tcW w:w="5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5540" w:type="dxa"/>
            <w:vAlign w:val="bottom"/>
            <w:gridSpan w:val="4"/>
          </w:tcPr>
          <w:p>
            <w:pPr>
              <w:spacing w:after="0"/>
              <w:rPr>
                <w:sz w:val="20"/>
                <w:szCs w:val="20"/>
                <w:color w:val="auto"/>
              </w:rPr>
            </w:pPr>
            <w:r>
              <w:rPr>
                <w:rFonts w:ascii="Arial" w:cs="Arial" w:eastAsia="Arial" w:hAnsi="Arial"/>
                <w:sz w:val="18"/>
                <w:szCs w:val="18"/>
                <w:color w:val="auto"/>
                <w:w w:val="95"/>
              </w:rPr>
              <w:t>платы</w:t>
            </w:r>
            <w:r>
              <w:rPr>
                <w:rFonts w:ascii="Arial" w:cs="Arial" w:eastAsia="Arial" w:hAnsi="Arial"/>
                <w:sz w:val="18"/>
                <w:szCs w:val="18"/>
                <w:color w:val="auto"/>
                <w:w w:val="95"/>
              </w:rPr>
              <w:t>,</w:t>
            </w:r>
            <w:r>
              <w:rPr>
                <w:rFonts w:ascii="Arial" w:cs="Arial" w:eastAsia="Arial" w:hAnsi="Arial"/>
                <w:sz w:val="18"/>
                <w:szCs w:val="18"/>
                <w:color w:val="auto"/>
                <w:w w:val="95"/>
              </w:rPr>
              <w:t xml:space="preserve">  поэтому  я  также  признаю  получение  всей  полной  суммы</w:t>
            </w:r>
          </w:p>
        </w:tc>
        <w:tc>
          <w:tcPr>
            <w:tcW w:w="5520" w:type="dxa"/>
            <w:vAlign w:val="bottom"/>
          </w:tcPr>
          <w:p>
            <w:pPr>
              <w:ind w:left="20"/>
              <w:spacing w:after="0"/>
              <w:rPr>
                <w:sz w:val="20"/>
                <w:szCs w:val="20"/>
                <w:color w:val="auto"/>
              </w:rPr>
            </w:pPr>
            <w:r>
              <w:rPr>
                <w:rFonts w:ascii="Arial" w:cs="Arial" w:eastAsia="Arial" w:hAnsi="Arial"/>
                <w:sz w:val="18"/>
                <w:szCs w:val="18"/>
                <w:color w:val="auto"/>
                <w:w w:val="91"/>
              </w:rPr>
              <w:t>3. The withholding percentage I have requested is not a salary deduction or</w:t>
            </w:r>
          </w:p>
        </w:tc>
        <w:tc>
          <w:tcPr>
            <w:tcW w:w="0" w:type="dxa"/>
            <w:vAlign w:val="bottom"/>
          </w:tcPr>
          <w:p>
            <w:pPr>
              <w:spacing w:after="0"/>
              <w:rPr>
                <w:sz w:val="1"/>
                <w:szCs w:val="1"/>
                <w:color w:val="auto"/>
              </w:rPr>
            </w:pPr>
          </w:p>
        </w:tc>
      </w:tr>
      <w:tr>
        <w:trPr>
          <w:trHeight w:val="216"/>
        </w:trPr>
        <w:tc>
          <w:tcPr>
            <w:tcW w:w="11060" w:type="dxa"/>
            <w:vAlign w:val="bottom"/>
            <w:gridSpan w:val="5"/>
          </w:tcPr>
          <w:p>
            <w:pPr>
              <w:jc w:val="right"/>
              <w:spacing w:after="0" w:line="216" w:lineRule="exact"/>
              <w:rPr>
                <w:sz w:val="20"/>
                <w:szCs w:val="20"/>
                <w:color w:val="auto"/>
              </w:rPr>
            </w:pPr>
            <w:r>
              <w:rPr>
                <w:rFonts w:ascii="Arial" w:cs="Arial" w:eastAsia="Arial" w:hAnsi="Arial"/>
                <w:sz w:val="25"/>
                <w:szCs w:val="25"/>
                <w:color w:val="auto"/>
                <w:vertAlign w:val="superscript"/>
              </w:rPr>
              <w:t>причитающейся мне заработной платы в каждом платежном периоде во</w:t>
            </w:r>
            <w:r>
              <w:rPr>
                <w:rFonts w:ascii="Arial" w:cs="Arial" w:eastAsia="Arial" w:hAnsi="Arial"/>
                <w:sz w:val="14"/>
                <w:szCs w:val="14"/>
                <w:color w:val="auto"/>
              </w:rPr>
              <w:t xml:space="preserve"> reduction; therefore, I further acknowledge receipt in full for each pay</w:t>
            </w:r>
          </w:p>
        </w:tc>
        <w:tc>
          <w:tcPr>
            <w:tcW w:w="0" w:type="dxa"/>
            <w:vAlign w:val="bottom"/>
          </w:tcPr>
          <w:p>
            <w:pPr>
              <w:spacing w:after="0"/>
              <w:rPr>
                <w:sz w:val="1"/>
                <w:szCs w:val="1"/>
                <w:color w:val="auto"/>
              </w:rPr>
            </w:pP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время моего участия в Программе</w:t>
            </w: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5520" w:type="dxa"/>
            <w:vAlign w:val="bottom"/>
            <w:vMerge w:val="restart"/>
          </w:tcPr>
          <w:p>
            <w:pPr>
              <w:ind w:left="20"/>
              <w:spacing w:after="0"/>
              <w:rPr>
                <w:sz w:val="20"/>
                <w:szCs w:val="20"/>
                <w:color w:val="auto"/>
              </w:rPr>
            </w:pPr>
            <w:r>
              <w:rPr>
                <w:rFonts w:ascii="Arial" w:cs="Arial" w:eastAsia="Arial" w:hAnsi="Arial"/>
                <w:sz w:val="18"/>
                <w:szCs w:val="18"/>
                <w:color w:val="auto"/>
              </w:rPr>
              <w:t>period of my entire Earnings during my participation in the Plan;</w:t>
            </w:r>
          </w:p>
        </w:tc>
        <w:tc>
          <w:tcPr>
            <w:tcW w:w="0" w:type="dxa"/>
            <w:vAlign w:val="bottom"/>
          </w:tcPr>
          <w:p>
            <w:pPr>
              <w:spacing w:after="0"/>
              <w:rPr>
                <w:sz w:val="1"/>
                <w:szCs w:val="1"/>
                <w:color w:val="auto"/>
              </w:rPr>
            </w:pPr>
          </w:p>
        </w:tc>
      </w:tr>
      <w:tr>
        <w:trPr>
          <w:trHeight w:val="54"/>
        </w:trPr>
        <w:tc>
          <w:tcPr>
            <w:tcW w:w="1340" w:type="dxa"/>
            <w:vAlign w:val="bottom"/>
          </w:tcPr>
          <w:p>
            <w:pPr>
              <w:spacing w:after="0"/>
              <w:rPr>
                <w:sz w:val="4"/>
                <w:szCs w:val="4"/>
                <w:color w:val="auto"/>
              </w:rPr>
            </w:pPr>
          </w:p>
        </w:tc>
        <w:tc>
          <w:tcPr>
            <w:tcW w:w="2020" w:type="dxa"/>
            <w:vAlign w:val="bottom"/>
          </w:tcPr>
          <w:p>
            <w:pPr>
              <w:spacing w:after="0"/>
              <w:rPr>
                <w:sz w:val="4"/>
                <w:szCs w:val="4"/>
                <w:color w:val="auto"/>
              </w:rPr>
            </w:pPr>
          </w:p>
        </w:tc>
        <w:tc>
          <w:tcPr>
            <w:tcW w:w="620" w:type="dxa"/>
            <w:vAlign w:val="bottom"/>
          </w:tcPr>
          <w:p>
            <w:pPr>
              <w:spacing w:after="0"/>
              <w:rPr>
                <w:sz w:val="4"/>
                <w:szCs w:val="4"/>
                <w:color w:val="auto"/>
              </w:rPr>
            </w:pPr>
          </w:p>
        </w:tc>
        <w:tc>
          <w:tcPr>
            <w:tcW w:w="1560" w:type="dxa"/>
            <w:vAlign w:val="bottom"/>
          </w:tcPr>
          <w:p>
            <w:pPr>
              <w:spacing w:after="0"/>
              <w:rPr>
                <w:sz w:val="4"/>
                <w:szCs w:val="4"/>
                <w:color w:val="auto"/>
              </w:rPr>
            </w:pPr>
          </w:p>
        </w:tc>
        <w:tc>
          <w:tcPr>
            <w:tcW w:w="5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37"/>
        </w:trPr>
        <w:tc>
          <w:tcPr>
            <w:tcW w:w="5540" w:type="dxa"/>
            <w:vAlign w:val="bottom"/>
            <w:gridSpan w:val="4"/>
          </w:tcPr>
          <w:p>
            <w:pPr>
              <w:spacing w:after="0"/>
              <w:rPr>
                <w:sz w:val="20"/>
                <w:szCs w:val="20"/>
                <w:color w:val="auto"/>
              </w:rPr>
            </w:pPr>
            <w:r>
              <w:rPr>
                <w:rFonts w:ascii="Arial" w:cs="Arial" w:eastAsia="Arial" w:hAnsi="Arial"/>
                <w:sz w:val="18"/>
                <w:szCs w:val="18"/>
                <w:color w:val="auto"/>
                <w:w w:val="95"/>
              </w:rPr>
              <w:t xml:space="preserve">4.  </w:t>
            </w:r>
            <w:r>
              <w:rPr>
                <w:rFonts w:ascii="Arial" w:cs="Arial" w:eastAsia="Arial" w:hAnsi="Arial"/>
                <w:sz w:val="18"/>
                <w:szCs w:val="18"/>
                <w:color w:val="auto"/>
                <w:w w:val="95"/>
              </w:rPr>
              <w:t>Трудовые  отношения  связывают  меня  исключительно  с  моим</w:t>
            </w:r>
          </w:p>
        </w:tc>
        <w:tc>
          <w:tcPr>
            <w:tcW w:w="5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5540" w:type="dxa"/>
            <w:vAlign w:val="bottom"/>
            <w:gridSpan w:val="4"/>
          </w:tcPr>
          <w:p>
            <w:pPr>
              <w:spacing w:after="0"/>
              <w:rPr>
                <w:sz w:val="20"/>
                <w:szCs w:val="20"/>
                <w:color w:val="auto"/>
              </w:rPr>
            </w:pPr>
            <w:r>
              <w:rPr>
                <w:rFonts w:ascii="Arial" w:cs="Arial" w:eastAsia="Arial" w:hAnsi="Arial"/>
                <w:sz w:val="18"/>
                <w:szCs w:val="18"/>
                <w:color w:val="auto"/>
                <w:w w:val="97"/>
              </w:rPr>
              <w:t>Работодателем</w:t>
            </w:r>
            <w:r>
              <w:rPr>
                <w:rFonts w:ascii="Arial" w:cs="Arial" w:eastAsia="Arial" w:hAnsi="Arial"/>
                <w:sz w:val="18"/>
                <w:szCs w:val="18"/>
                <w:color w:val="auto"/>
                <w:w w:val="97"/>
              </w:rPr>
              <w:t>,</w:t>
            </w:r>
            <w:r>
              <w:rPr>
                <w:rFonts w:ascii="Arial" w:cs="Arial" w:eastAsia="Arial" w:hAnsi="Arial"/>
                <w:sz w:val="18"/>
                <w:szCs w:val="18"/>
                <w:color w:val="auto"/>
                <w:w w:val="97"/>
              </w:rPr>
              <w:t xml:space="preserve"> трудовых отношений между мною и Компанией не</w:t>
            </w:r>
          </w:p>
        </w:tc>
        <w:tc>
          <w:tcPr>
            <w:tcW w:w="5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gridSpan w:val="4"/>
          </w:tcPr>
          <w:p>
            <w:pPr>
              <w:spacing w:after="0"/>
              <w:rPr>
                <w:sz w:val="20"/>
                <w:szCs w:val="20"/>
                <w:color w:val="auto"/>
              </w:rPr>
            </w:pPr>
            <w:r>
              <w:rPr>
                <w:rFonts w:ascii="Arial" w:cs="Arial" w:eastAsia="Arial" w:hAnsi="Arial"/>
                <w:sz w:val="18"/>
                <w:szCs w:val="18"/>
                <w:color w:val="auto"/>
              </w:rPr>
              <w:t>существует</w:t>
            </w:r>
            <w:r>
              <w:rPr>
                <w:rFonts w:ascii="Arial" w:cs="Arial" w:eastAsia="Arial" w:hAnsi="Arial"/>
                <w:sz w:val="18"/>
                <w:szCs w:val="18"/>
                <w:color w:val="auto"/>
              </w:rPr>
              <w:t>.</w:t>
            </w:r>
            <w:r>
              <w:rPr>
                <w:rFonts w:ascii="Arial" w:cs="Arial" w:eastAsia="Arial" w:hAnsi="Arial"/>
                <w:sz w:val="18"/>
                <w:szCs w:val="18"/>
                <w:color w:val="auto"/>
              </w:rPr>
              <w:t xml:space="preserve">  Таким  образом</w:t>
            </w:r>
            <w:r>
              <w:rPr>
                <w:rFonts w:ascii="Arial" w:cs="Arial" w:eastAsia="Arial" w:hAnsi="Arial"/>
                <w:sz w:val="18"/>
                <w:szCs w:val="18"/>
                <w:color w:val="auto"/>
              </w:rPr>
              <w:t>,</w:t>
            </w:r>
            <w:r>
              <w:rPr>
                <w:rFonts w:ascii="Arial" w:cs="Arial" w:eastAsia="Arial" w:hAnsi="Arial"/>
                <w:sz w:val="18"/>
                <w:szCs w:val="18"/>
                <w:color w:val="auto"/>
              </w:rPr>
              <w:t xml:space="preserve">  Программу  не  следует  считать</w:t>
            </w:r>
          </w:p>
        </w:tc>
        <w:tc>
          <w:tcPr>
            <w:tcW w:w="5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gridSpan w:val="4"/>
          </w:tcPr>
          <w:p>
            <w:pPr>
              <w:spacing w:after="0"/>
              <w:rPr>
                <w:sz w:val="20"/>
                <w:szCs w:val="20"/>
                <w:color w:val="auto"/>
              </w:rPr>
            </w:pPr>
            <w:r>
              <w:rPr>
                <w:rFonts w:ascii="Arial" w:cs="Arial" w:eastAsia="Arial" w:hAnsi="Arial"/>
                <w:sz w:val="18"/>
                <w:szCs w:val="18"/>
                <w:color w:val="auto"/>
                <w:w w:val="91"/>
              </w:rPr>
              <w:t>предоставленной мне трудовой льготой</w:t>
            </w:r>
            <w:r>
              <w:rPr>
                <w:rFonts w:ascii="Arial" w:cs="Arial" w:eastAsia="Arial" w:hAnsi="Arial"/>
                <w:sz w:val="18"/>
                <w:szCs w:val="18"/>
                <w:color w:val="auto"/>
                <w:w w:val="91"/>
              </w:rPr>
              <w:t>,</w:t>
            </w:r>
            <w:r>
              <w:rPr>
                <w:rFonts w:ascii="Arial" w:cs="Arial" w:eastAsia="Arial" w:hAnsi="Arial"/>
                <w:sz w:val="18"/>
                <w:szCs w:val="18"/>
                <w:color w:val="auto"/>
                <w:w w:val="91"/>
              </w:rPr>
              <w:t xml:space="preserve"> а мое участие в Программе не</w:t>
            </w:r>
          </w:p>
        </w:tc>
        <w:tc>
          <w:tcPr>
            <w:tcW w:w="5520" w:type="dxa"/>
            <w:vAlign w:val="bottom"/>
            <w:vMerge w:val="restart"/>
          </w:tcPr>
          <w:p>
            <w:pPr>
              <w:ind w:left="20"/>
              <w:spacing w:after="0"/>
              <w:rPr>
                <w:sz w:val="20"/>
                <w:szCs w:val="20"/>
                <w:color w:val="auto"/>
              </w:rPr>
            </w:pPr>
            <w:r>
              <w:rPr>
                <w:rFonts w:ascii="Arial" w:cs="Arial" w:eastAsia="Arial" w:hAnsi="Arial"/>
                <w:sz w:val="18"/>
                <w:szCs w:val="18"/>
                <w:color w:val="auto"/>
                <w:w w:val="96"/>
              </w:rPr>
              <w:t>4. My work relationship is exclusively with my Employer and there is no</w:t>
            </w:r>
          </w:p>
        </w:tc>
        <w:tc>
          <w:tcPr>
            <w:tcW w:w="0" w:type="dxa"/>
            <w:vAlign w:val="bottom"/>
          </w:tcPr>
          <w:p>
            <w:pPr>
              <w:spacing w:after="0"/>
              <w:rPr>
                <w:sz w:val="1"/>
                <w:szCs w:val="1"/>
                <w:color w:val="auto"/>
              </w:rPr>
            </w:pPr>
          </w:p>
        </w:tc>
      </w:tr>
      <w:tr>
        <w:trPr>
          <w:trHeight w:val="176"/>
        </w:trPr>
        <w:tc>
          <w:tcPr>
            <w:tcW w:w="5540" w:type="dxa"/>
            <w:vAlign w:val="bottom"/>
            <w:gridSpan w:val="4"/>
          </w:tcPr>
          <w:p>
            <w:pPr>
              <w:spacing w:after="0" w:line="176" w:lineRule="exact"/>
              <w:rPr>
                <w:sz w:val="20"/>
                <w:szCs w:val="20"/>
                <w:color w:val="auto"/>
              </w:rPr>
            </w:pPr>
            <w:r>
              <w:rPr>
                <w:rFonts w:ascii="Arial" w:cs="Arial" w:eastAsia="Arial" w:hAnsi="Arial"/>
                <w:sz w:val="18"/>
                <w:szCs w:val="18"/>
                <w:color w:val="auto"/>
                <w:w w:val="92"/>
              </w:rPr>
              <w:t>создает никаких трудовых обязательств или прав в отношениях между</w:t>
            </w:r>
          </w:p>
        </w:tc>
        <w:tc>
          <w:tcPr>
            <w:tcW w:w="55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мною и Компанией</w:t>
            </w: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w w:val="95"/>
              </w:rPr>
              <w:t>work relationship between myself and the Company. Therefore, the Plan</w:t>
            </w:r>
          </w:p>
        </w:tc>
        <w:tc>
          <w:tcPr>
            <w:tcW w:w="0" w:type="dxa"/>
            <w:vAlign w:val="bottom"/>
          </w:tcPr>
          <w:p>
            <w:pPr>
              <w:spacing w:after="0"/>
              <w:rPr>
                <w:sz w:val="1"/>
                <w:szCs w:val="1"/>
                <w:color w:val="auto"/>
              </w:rPr>
            </w:pPr>
          </w:p>
        </w:tc>
      </w:tr>
      <w:tr>
        <w:trPr>
          <w:trHeight w:val="202"/>
        </w:trPr>
        <w:tc>
          <w:tcPr>
            <w:tcW w:w="134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560" w:type="dxa"/>
            <w:vAlign w:val="bottom"/>
          </w:tcPr>
          <w:p>
            <w:pPr>
              <w:spacing w:after="0"/>
              <w:rPr>
                <w:sz w:val="17"/>
                <w:szCs w:val="17"/>
                <w:color w:val="auto"/>
              </w:rPr>
            </w:pPr>
          </w:p>
        </w:tc>
        <w:tc>
          <w:tcPr>
            <w:tcW w:w="5520" w:type="dxa"/>
            <w:vAlign w:val="bottom"/>
          </w:tcPr>
          <w:p>
            <w:pPr>
              <w:ind w:left="20"/>
              <w:spacing w:after="0" w:line="201" w:lineRule="exact"/>
              <w:rPr>
                <w:sz w:val="20"/>
                <w:szCs w:val="20"/>
                <w:color w:val="auto"/>
              </w:rPr>
            </w:pPr>
            <w:r>
              <w:rPr>
                <w:rFonts w:ascii="Arial" w:cs="Arial" w:eastAsia="Arial" w:hAnsi="Arial"/>
                <w:sz w:val="18"/>
                <w:szCs w:val="18"/>
                <w:color w:val="auto"/>
                <w:w w:val="93"/>
              </w:rPr>
              <w:t>shall not be considered a labor benefit in my favor, and my participation in</w:t>
            </w:r>
          </w:p>
        </w:tc>
        <w:tc>
          <w:tcPr>
            <w:tcW w:w="0" w:type="dxa"/>
            <w:vAlign w:val="bottom"/>
          </w:tcPr>
          <w:p>
            <w:pPr>
              <w:spacing w:after="0"/>
              <w:rPr>
                <w:sz w:val="1"/>
                <w:szCs w:val="1"/>
                <w:color w:val="auto"/>
              </w:rPr>
            </w:pPr>
          </w:p>
        </w:tc>
      </w:tr>
      <w:tr>
        <w:trPr>
          <w:trHeight w:val="257"/>
        </w:trPr>
        <w:tc>
          <w:tcPr>
            <w:tcW w:w="1340" w:type="dxa"/>
            <w:vAlign w:val="bottom"/>
          </w:tcPr>
          <w:p>
            <w:pPr>
              <w:spacing w:after="0"/>
              <w:rPr>
                <w:sz w:val="20"/>
                <w:szCs w:val="20"/>
                <w:color w:val="auto"/>
              </w:rPr>
            </w:pPr>
            <w:r>
              <w:rPr>
                <w:rFonts w:ascii="Arial" w:cs="Arial" w:eastAsia="Arial" w:hAnsi="Arial"/>
                <w:sz w:val="18"/>
                <w:szCs w:val="18"/>
                <w:b w:val="1"/>
                <w:bCs w:val="1"/>
                <w:color w:val="auto"/>
                <w:w w:val="97"/>
              </w:rPr>
              <w:t>Оригинальный</w:t>
            </w:r>
          </w:p>
        </w:tc>
        <w:tc>
          <w:tcPr>
            <w:tcW w:w="2020" w:type="dxa"/>
            <w:vAlign w:val="bottom"/>
          </w:tcPr>
          <w:p>
            <w:pPr>
              <w:ind w:left="60"/>
              <w:spacing w:after="0"/>
              <w:rPr>
                <w:sz w:val="20"/>
                <w:szCs w:val="20"/>
                <w:color w:val="auto"/>
              </w:rPr>
            </w:pPr>
            <w:r>
              <w:rPr>
                <w:rFonts w:ascii="Arial" w:cs="Arial" w:eastAsia="Arial" w:hAnsi="Arial"/>
                <w:sz w:val="18"/>
                <w:szCs w:val="18"/>
                <w:b w:val="1"/>
                <w:bCs w:val="1"/>
                <w:color w:val="auto"/>
                <w:w w:val="94"/>
              </w:rPr>
              <w:t>экземпляр настоящего</w:t>
            </w:r>
          </w:p>
        </w:tc>
        <w:tc>
          <w:tcPr>
            <w:tcW w:w="7700" w:type="dxa"/>
            <w:vAlign w:val="bottom"/>
            <w:gridSpan w:val="3"/>
          </w:tcPr>
          <w:p>
            <w:pPr>
              <w:jc w:val="right"/>
              <w:spacing w:after="0" w:line="258" w:lineRule="exact"/>
              <w:rPr>
                <w:sz w:val="20"/>
                <w:szCs w:val="20"/>
                <w:color w:val="auto"/>
              </w:rPr>
            </w:pPr>
            <w:r>
              <w:rPr>
                <w:rFonts w:ascii="Arial" w:cs="Arial" w:eastAsia="Arial" w:hAnsi="Arial"/>
                <w:sz w:val="29"/>
                <w:szCs w:val="29"/>
                <w:b w:val="1"/>
                <w:bCs w:val="1"/>
                <w:color w:val="auto"/>
                <w:vertAlign w:val="subscript"/>
              </w:rPr>
              <w:t>подписанного документа</w:t>
            </w:r>
            <w:r>
              <w:rPr>
                <w:rFonts w:ascii="Arial" w:cs="Arial" w:eastAsia="Arial" w:hAnsi="Arial"/>
                <w:sz w:val="16"/>
                <w:szCs w:val="16"/>
                <w:color w:val="auto"/>
              </w:rPr>
              <w:t xml:space="preserve"> the Plan creates no labor obligations or rights between myself and the</w:t>
            </w:r>
          </w:p>
        </w:tc>
        <w:tc>
          <w:tcPr>
            <w:tcW w:w="0" w:type="dxa"/>
            <w:vAlign w:val="bottom"/>
          </w:tcPr>
          <w:p>
            <w:pPr>
              <w:spacing w:after="0"/>
              <w:rPr>
                <w:sz w:val="1"/>
                <w:szCs w:val="1"/>
                <w:color w:val="auto"/>
              </w:rPr>
            </w:pPr>
          </w:p>
        </w:tc>
      </w:tr>
      <w:tr>
        <w:trPr>
          <w:trHeight w:val="216"/>
        </w:trPr>
        <w:tc>
          <w:tcPr>
            <w:tcW w:w="5540" w:type="dxa"/>
            <w:vAlign w:val="bottom"/>
            <w:gridSpan w:val="4"/>
            <w:vMerge w:val="restart"/>
          </w:tcPr>
          <w:p>
            <w:pPr>
              <w:spacing w:after="0"/>
              <w:rPr>
                <w:sz w:val="20"/>
                <w:szCs w:val="20"/>
                <w:color w:val="auto"/>
              </w:rPr>
            </w:pPr>
            <w:r>
              <w:rPr>
                <w:rFonts w:ascii="Arial" w:cs="Arial" w:eastAsia="Arial" w:hAnsi="Arial"/>
                <w:sz w:val="18"/>
                <w:szCs w:val="18"/>
                <w:b w:val="1"/>
                <w:bCs w:val="1"/>
                <w:color w:val="auto"/>
              </w:rPr>
              <w:t xml:space="preserve">должен быть передан </w:t>
            </w:r>
            <w:r>
              <w:rPr>
                <w:rFonts w:ascii="Arial" w:cs="Arial" w:eastAsia="Arial" w:hAnsi="Arial"/>
                <w:sz w:val="18"/>
                <w:szCs w:val="18"/>
                <w:b w:val="1"/>
                <w:bCs w:val="1"/>
                <w:color w:val="auto"/>
              </w:rPr>
              <w:t>[</w:t>
            </w:r>
            <w:r>
              <w:rPr>
                <w:rFonts w:ascii="Arial" w:cs="Arial" w:eastAsia="Arial" w:hAnsi="Arial"/>
                <w:sz w:val="18"/>
                <w:szCs w:val="18"/>
                <w:b w:val="1"/>
                <w:bCs w:val="1"/>
                <w:color w:val="auto"/>
              </w:rPr>
              <w:t>Указать ФИО и Должность</w:t>
            </w:r>
            <w:r>
              <w:rPr>
                <w:rFonts w:ascii="Arial" w:cs="Arial" w:eastAsia="Arial" w:hAnsi="Arial"/>
                <w:sz w:val="18"/>
                <w:szCs w:val="18"/>
                <w:b w:val="1"/>
                <w:bCs w:val="1"/>
                <w:color w:val="auto"/>
              </w:rPr>
              <w:t>]</w:t>
            </w:r>
          </w:p>
        </w:tc>
        <w:tc>
          <w:tcPr>
            <w:tcW w:w="5520" w:type="dxa"/>
            <w:vAlign w:val="bottom"/>
          </w:tcPr>
          <w:p>
            <w:pPr>
              <w:ind w:left="20"/>
              <w:spacing w:after="0"/>
              <w:rPr>
                <w:sz w:val="20"/>
                <w:szCs w:val="20"/>
                <w:color w:val="auto"/>
              </w:rPr>
            </w:pPr>
            <w:r>
              <w:rPr>
                <w:rFonts w:ascii="Arial" w:cs="Arial" w:eastAsia="Arial" w:hAnsi="Arial"/>
                <w:sz w:val="18"/>
                <w:szCs w:val="18"/>
                <w:color w:val="auto"/>
              </w:rPr>
              <w:t>Company.</w:t>
            </w:r>
          </w:p>
        </w:tc>
        <w:tc>
          <w:tcPr>
            <w:tcW w:w="0" w:type="dxa"/>
            <w:vAlign w:val="bottom"/>
          </w:tcPr>
          <w:p>
            <w:pPr>
              <w:spacing w:after="0"/>
              <w:rPr>
                <w:sz w:val="1"/>
                <w:szCs w:val="1"/>
                <w:color w:val="auto"/>
              </w:rPr>
            </w:pPr>
          </w:p>
        </w:tc>
      </w:tr>
      <w:tr>
        <w:trPr>
          <w:trHeight w:val="54"/>
        </w:trPr>
        <w:tc>
          <w:tcPr>
            <w:tcW w:w="5540" w:type="dxa"/>
            <w:vAlign w:val="bottom"/>
            <w:gridSpan w:val="4"/>
            <w:vMerge w:val="continue"/>
          </w:tcPr>
          <w:p>
            <w:pPr>
              <w:spacing w:after="0"/>
              <w:rPr>
                <w:sz w:val="4"/>
                <w:szCs w:val="4"/>
                <w:color w:val="auto"/>
              </w:rPr>
            </w:pPr>
          </w:p>
        </w:tc>
        <w:tc>
          <w:tcPr>
            <w:tcW w:w="55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88"/>
        </w:trPr>
        <w:tc>
          <w:tcPr>
            <w:tcW w:w="3360" w:type="dxa"/>
            <w:vAlign w:val="bottom"/>
            <w:gridSpan w:val="2"/>
          </w:tcPr>
          <w:p>
            <w:pPr>
              <w:spacing w:after="0"/>
              <w:rPr>
                <w:sz w:val="20"/>
                <w:szCs w:val="20"/>
                <w:color w:val="auto"/>
              </w:rPr>
            </w:pPr>
            <w:r>
              <w:rPr>
                <w:rFonts w:ascii="Arial" w:cs="Arial" w:eastAsia="Arial" w:hAnsi="Arial"/>
                <w:sz w:val="18"/>
                <w:szCs w:val="18"/>
                <w:color w:val="auto"/>
              </w:rPr>
              <w:t>_________________________________</w:t>
            </w:r>
          </w:p>
        </w:tc>
        <w:tc>
          <w:tcPr>
            <w:tcW w:w="6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5520" w:type="dxa"/>
            <w:vAlign w:val="bottom"/>
            <w:vMerge w:val="restart"/>
          </w:tcPr>
          <w:p>
            <w:pPr>
              <w:ind w:left="20"/>
              <w:spacing w:after="0"/>
              <w:rPr>
                <w:sz w:val="20"/>
                <w:szCs w:val="20"/>
                <w:color w:val="auto"/>
              </w:rPr>
            </w:pPr>
            <w:r>
              <w:rPr>
                <w:rFonts w:ascii="Arial" w:cs="Arial" w:eastAsia="Arial" w:hAnsi="Arial"/>
                <w:sz w:val="18"/>
                <w:szCs w:val="18"/>
                <w:b w:val="1"/>
                <w:bCs w:val="1"/>
                <w:color w:val="auto"/>
                <w:w w:val="93"/>
              </w:rPr>
              <w:t>A hard copy of this signed form should be given to [insert name and</w:t>
            </w:r>
          </w:p>
        </w:tc>
        <w:tc>
          <w:tcPr>
            <w:tcW w:w="0" w:type="dxa"/>
            <w:vAlign w:val="bottom"/>
          </w:tcPr>
          <w:p>
            <w:pPr>
              <w:spacing w:after="0"/>
              <w:rPr>
                <w:sz w:val="1"/>
                <w:szCs w:val="1"/>
                <w:color w:val="auto"/>
              </w:rPr>
            </w:pPr>
          </w:p>
        </w:tc>
      </w:tr>
      <w:tr>
        <w:trPr>
          <w:trHeight w:val="176"/>
        </w:trPr>
        <w:tc>
          <w:tcPr>
            <w:tcW w:w="1340" w:type="dxa"/>
            <w:vAlign w:val="bottom"/>
          </w:tcPr>
          <w:p>
            <w:pPr>
              <w:spacing w:after="0" w:line="176" w:lineRule="exact"/>
              <w:rPr>
                <w:sz w:val="20"/>
                <w:szCs w:val="20"/>
                <w:color w:val="auto"/>
              </w:rPr>
            </w:pPr>
            <w:r>
              <w:rPr>
                <w:rFonts w:ascii="Arial" w:cs="Arial" w:eastAsia="Arial" w:hAnsi="Arial"/>
                <w:sz w:val="18"/>
                <w:szCs w:val="18"/>
                <w:color w:val="auto"/>
              </w:rPr>
              <w:t>Дата</w:t>
            </w:r>
            <w:r>
              <w:rPr>
                <w:rFonts w:ascii="Arial" w:cs="Arial" w:eastAsia="Arial" w:hAnsi="Arial"/>
                <w:sz w:val="18"/>
                <w:szCs w:val="18"/>
                <w:color w:val="auto"/>
              </w:rPr>
              <w:t>,</w:t>
            </w:r>
            <w:r>
              <w:rPr>
                <w:rFonts w:ascii="Arial" w:cs="Arial" w:eastAsia="Arial" w:hAnsi="Arial"/>
                <w:sz w:val="18"/>
                <w:szCs w:val="18"/>
                <w:color w:val="auto"/>
              </w:rPr>
              <w:t xml:space="preserve"> место</w:t>
            </w:r>
          </w:p>
        </w:tc>
        <w:tc>
          <w:tcPr>
            <w:tcW w:w="20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560" w:type="dxa"/>
            <w:vAlign w:val="bottom"/>
          </w:tcPr>
          <w:p>
            <w:pPr>
              <w:spacing w:after="0"/>
              <w:rPr>
                <w:sz w:val="15"/>
                <w:szCs w:val="15"/>
                <w:color w:val="auto"/>
              </w:rPr>
            </w:pPr>
          </w:p>
        </w:tc>
        <w:tc>
          <w:tcPr>
            <w:tcW w:w="55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34"/>
        </w:trPr>
        <w:tc>
          <w:tcPr>
            <w:tcW w:w="13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5520" w:type="dxa"/>
            <w:vAlign w:val="bottom"/>
          </w:tcPr>
          <w:p>
            <w:pPr>
              <w:ind w:left="20"/>
              <w:spacing w:after="0"/>
              <w:rPr>
                <w:sz w:val="20"/>
                <w:szCs w:val="20"/>
                <w:color w:val="auto"/>
              </w:rPr>
            </w:pPr>
            <w:r>
              <w:rPr>
                <w:rFonts w:ascii="Arial" w:cs="Arial" w:eastAsia="Arial" w:hAnsi="Arial"/>
                <w:sz w:val="18"/>
                <w:szCs w:val="18"/>
                <w:b w:val="1"/>
                <w:bCs w:val="1"/>
                <w:color w:val="auto"/>
              </w:rPr>
              <w:t>position/title].</w:t>
            </w:r>
          </w:p>
        </w:tc>
        <w:tc>
          <w:tcPr>
            <w:tcW w:w="0" w:type="dxa"/>
            <w:vAlign w:val="bottom"/>
          </w:tcPr>
          <w:p>
            <w:pPr>
              <w:spacing w:after="0"/>
              <w:rPr>
                <w:sz w:val="1"/>
                <w:szCs w:val="1"/>
                <w:color w:val="auto"/>
              </w:rPr>
            </w:pPr>
          </w:p>
        </w:tc>
      </w:tr>
      <w:tr>
        <w:trPr>
          <w:trHeight w:val="264"/>
        </w:trPr>
        <w:tc>
          <w:tcPr>
            <w:tcW w:w="3360" w:type="dxa"/>
            <w:vAlign w:val="bottom"/>
            <w:gridSpan w:val="2"/>
          </w:tcPr>
          <w:p>
            <w:pPr>
              <w:ind w:left="60"/>
              <w:spacing w:after="0"/>
              <w:rPr>
                <w:sz w:val="20"/>
                <w:szCs w:val="20"/>
                <w:color w:val="auto"/>
              </w:rPr>
            </w:pPr>
            <w:r>
              <w:rPr>
                <w:rFonts w:ascii="Arial" w:cs="Arial" w:eastAsia="Arial" w:hAnsi="Arial"/>
                <w:sz w:val="18"/>
                <w:szCs w:val="18"/>
                <w:color w:val="auto"/>
                <w:w w:val="99"/>
              </w:rPr>
              <w:t>_________________________________</w:t>
            </w:r>
          </w:p>
        </w:tc>
        <w:tc>
          <w:tcPr>
            <w:tcW w:w="620" w:type="dxa"/>
            <w:vAlign w:val="bottom"/>
          </w:tcPr>
          <w:p>
            <w:pPr>
              <w:spacing w:after="0"/>
              <w:rPr>
                <w:sz w:val="22"/>
                <w:szCs w:val="22"/>
                <w:color w:val="auto"/>
              </w:rPr>
            </w:pPr>
          </w:p>
        </w:tc>
        <w:tc>
          <w:tcPr>
            <w:tcW w:w="1560" w:type="dxa"/>
            <w:vAlign w:val="bottom"/>
          </w:tcPr>
          <w:p>
            <w:pPr>
              <w:spacing w:after="0"/>
              <w:rPr>
                <w:sz w:val="22"/>
                <w:szCs w:val="22"/>
                <w:color w:val="auto"/>
              </w:rPr>
            </w:pPr>
          </w:p>
        </w:tc>
        <w:tc>
          <w:tcPr>
            <w:tcW w:w="55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1340" w:type="dxa"/>
            <w:vAlign w:val="bottom"/>
          </w:tcPr>
          <w:p>
            <w:pPr>
              <w:spacing w:after="0"/>
              <w:rPr>
                <w:sz w:val="20"/>
                <w:szCs w:val="20"/>
                <w:color w:val="auto"/>
              </w:rPr>
            </w:pPr>
            <w:r>
              <w:rPr>
                <w:rFonts w:ascii="Arial" w:cs="Arial" w:eastAsia="Arial" w:hAnsi="Arial"/>
                <w:sz w:val="18"/>
                <w:szCs w:val="18"/>
                <w:color w:val="auto"/>
              </w:rPr>
              <w:t>Подпись</w:t>
            </w:r>
          </w:p>
        </w:tc>
        <w:tc>
          <w:tcPr>
            <w:tcW w:w="2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5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13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_____________________________________</w:t>
            </w:r>
          </w:p>
        </w:tc>
        <w:tc>
          <w:tcPr>
            <w:tcW w:w="0" w:type="dxa"/>
            <w:vAlign w:val="bottom"/>
          </w:tcPr>
          <w:p>
            <w:pPr>
              <w:spacing w:after="0"/>
              <w:rPr>
                <w:sz w:val="1"/>
                <w:szCs w:val="1"/>
                <w:color w:val="auto"/>
              </w:rPr>
            </w:pPr>
          </w:p>
        </w:tc>
      </w:tr>
      <w:tr>
        <w:trPr>
          <w:trHeight w:val="230"/>
        </w:trPr>
        <w:tc>
          <w:tcPr>
            <w:tcW w:w="13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Date and Place</w:t>
            </w:r>
          </w:p>
        </w:tc>
        <w:tc>
          <w:tcPr>
            <w:tcW w:w="0" w:type="dxa"/>
            <w:vAlign w:val="bottom"/>
          </w:tcPr>
          <w:p>
            <w:pPr>
              <w:spacing w:after="0"/>
              <w:rPr>
                <w:sz w:val="1"/>
                <w:szCs w:val="1"/>
                <w:color w:val="auto"/>
              </w:rPr>
            </w:pPr>
          </w:p>
        </w:tc>
      </w:tr>
      <w:tr>
        <w:trPr>
          <w:trHeight w:val="445"/>
        </w:trPr>
        <w:tc>
          <w:tcPr>
            <w:tcW w:w="13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_____________________________________</w:t>
            </w:r>
          </w:p>
        </w:tc>
        <w:tc>
          <w:tcPr>
            <w:tcW w:w="0" w:type="dxa"/>
            <w:vAlign w:val="bottom"/>
          </w:tcPr>
          <w:p>
            <w:pPr>
              <w:spacing w:after="0"/>
              <w:rPr>
                <w:sz w:val="1"/>
                <w:szCs w:val="1"/>
                <w:color w:val="auto"/>
              </w:rPr>
            </w:pPr>
          </w:p>
        </w:tc>
      </w:tr>
      <w:tr>
        <w:trPr>
          <w:trHeight w:val="230"/>
        </w:trPr>
        <w:tc>
          <w:tcPr>
            <w:tcW w:w="13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Signature</w:t>
            </w:r>
          </w:p>
        </w:tc>
        <w:tc>
          <w:tcPr>
            <w:tcW w:w="0" w:type="dxa"/>
            <w:vAlign w:val="bottom"/>
          </w:tcPr>
          <w:p>
            <w:pPr>
              <w:spacing w:after="0"/>
              <w:rPr>
                <w:sz w:val="1"/>
                <w:szCs w:val="1"/>
                <w:color w:val="auto"/>
              </w:rPr>
            </w:pPr>
          </w:p>
        </w:tc>
      </w:tr>
      <w:tr>
        <w:trPr>
          <w:trHeight w:val="769"/>
        </w:trPr>
        <w:tc>
          <w:tcPr>
            <w:tcW w:w="3980" w:type="dxa"/>
            <w:vAlign w:val="bottom"/>
            <w:gridSpan w:val="3"/>
          </w:tcPr>
          <w:p>
            <w:pPr>
              <w:spacing w:after="0"/>
              <w:rPr>
                <w:sz w:val="20"/>
                <w:szCs w:val="20"/>
                <w:color w:val="auto"/>
              </w:rPr>
            </w:pPr>
            <w:r>
              <w:rPr>
                <w:rFonts w:ascii="Arial" w:cs="Arial" w:eastAsia="Arial" w:hAnsi="Arial"/>
                <w:sz w:val="18"/>
                <w:szCs w:val="18"/>
                <w:color w:val="auto"/>
              </w:rPr>
              <w:t xml:space="preserve">Заявление принято </w:t>
            </w:r>
            <w:r>
              <w:rPr>
                <w:rFonts w:ascii="Arial" w:cs="Arial" w:eastAsia="Arial" w:hAnsi="Arial"/>
                <w:sz w:val="18"/>
                <w:szCs w:val="18"/>
                <w:color w:val="auto"/>
              </w:rPr>
              <w:t>______________________</w:t>
            </w:r>
          </w:p>
        </w:tc>
        <w:tc>
          <w:tcPr>
            <w:tcW w:w="1560" w:type="dxa"/>
            <w:vAlign w:val="bottom"/>
          </w:tcPr>
          <w:p>
            <w:pPr>
              <w:spacing w:after="0"/>
              <w:rPr>
                <w:sz w:val="24"/>
                <w:szCs w:val="24"/>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Application accepted by ______________________</w:t>
            </w:r>
          </w:p>
        </w:tc>
        <w:tc>
          <w:tcPr>
            <w:tcW w:w="0" w:type="dxa"/>
            <w:vAlign w:val="bottom"/>
          </w:tcPr>
          <w:p>
            <w:pPr>
              <w:spacing w:after="0"/>
              <w:rPr>
                <w:sz w:val="1"/>
                <w:szCs w:val="1"/>
                <w:color w:val="auto"/>
              </w:rPr>
            </w:pPr>
          </w:p>
        </w:tc>
      </w:tr>
      <w:tr>
        <w:trPr>
          <w:trHeight w:val="230"/>
        </w:trPr>
        <w:tc>
          <w:tcPr>
            <w:tcW w:w="1340" w:type="dxa"/>
            <w:vAlign w:val="bottom"/>
          </w:tcPr>
          <w:p>
            <w:pPr>
              <w:spacing w:after="0"/>
              <w:rPr>
                <w:sz w:val="20"/>
                <w:szCs w:val="20"/>
                <w:color w:val="auto"/>
              </w:rPr>
            </w:pPr>
          </w:p>
        </w:tc>
        <w:tc>
          <w:tcPr>
            <w:tcW w:w="2640" w:type="dxa"/>
            <w:vAlign w:val="bottom"/>
            <w:gridSpan w:val="2"/>
          </w:tcPr>
          <w:p>
            <w:pPr>
              <w:jc w:val="right"/>
              <w:ind w:right="196"/>
              <w:spacing w:after="0"/>
              <w:rPr>
                <w:sz w:val="20"/>
                <w:szCs w:val="20"/>
                <w:color w:val="auto"/>
              </w:rPr>
            </w:pPr>
            <w:r>
              <w:rPr>
                <w:rFonts w:ascii="Arial" w:cs="Arial" w:eastAsia="Arial" w:hAnsi="Arial"/>
                <w:sz w:val="18"/>
                <w:szCs w:val="18"/>
                <w:color w:val="auto"/>
              </w:rPr>
              <w:t>ФИО ответственного лица</w:t>
            </w:r>
          </w:p>
        </w:tc>
        <w:tc>
          <w:tcPr>
            <w:tcW w:w="1560" w:type="dxa"/>
            <w:vAlign w:val="bottom"/>
          </w:tcPr>
          <w:p>
            <w:pPr>
              <w:spacing w:after="0"/>
              <w:rPr>
                <w:sz w:val="20"/>
                <w:szCs w:val="20"/>
                <w:color w:val="auto"/>
              </w:rPr>
            </w:pPr>
          </w:p>
        </w:tc>
        <w:tc>
          <w:tcPr>
            <w:tcW w:w="5520" w:type="dxa"/>
            <w:vAlign w:val="bottom"/>
          </w:tcPr>
          <w:p>
            <w:pPr>
              <w:ind w:left="1680"/>
              <w:spacing w:after="0"/>
              <w:rPr>
                <w:sz w:val="20"/>
                <w:szCs w:val="20"/>
                <w:color w:val="auto"/>
              </w:rPr>
            </w:pPr>
            <w:r>
              <w:rPr>
                <w:rFonts w:ascii="Arial" w:cs="Arial" w:eastAsia="Arial" w:hAnsi="Arial"/>
                <w:sz w:val="18"/>
                <w:szCs w:val="18"/>
                <w:color w:val="auto"/>
              </w:rPr>
              <w:t>Name of Authorized Officer</w:t>
            </w:r>
          </w:p>
        </w:tc>
        <w:tc>
          <w:tcPr>
            <w:tcW w:w="0" w:type="dxa"/>
            <w:vAlign w:val="bottom"/>
          </w:tcPr>
          <w:p>
            <w:pPr>
              <w:spacing w:after="0"/>
              <w:rPr>
                <w:sz w:val="1"/>
                <w:szCs w:val="1"/>
                <w:color w:val="auto"/>
              </w:rPr>
            </w:pPr>
          </w:p>
        </w:tc>
      </w:tr>
      <w:tr>
        <w:trPr>
          <w:trHeight w:val="526"/>
        </w:trPr>
        <w:tc>
          <w:tcPr>
            <w:tcW w:w="3360" w:type="dxa"/>
            <w:vAlign w:val="bottom"/>
            <w:gridSpan w:val="2"/>
          </w:tcPr>
          <w:p>
            <w:pPr>
              <w:spacing w:after="0"/>
              <w:rPr>
                <w:sz w:val="20"/>
                <w:szCs w:val="20"/>
                <w:color w:val="auto"/>
              </w:rPr>
            </w:pPr>
            <w:r>
              <w:rPr>
                <w:rFonts w:ascii="Arial" w:cs="Arial" w:eastAsia="Arial" w:hAnsi="Arial"/>
                <w:sz w:val="18"/>
                <w:szCs w:val="18"/>
                <w:color w:val="auto"/>
              </w:rPr>
              <w:t>____________________________</w:t>
            </w:r>
          </w:p>
        </w:tc>
        <w:tc>
          <w:tcPr>
            <w:tcW w:w="6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____________________________</w:t>
            </w:r>
          </w:p>
        </w:tc>
        <w:tc>
          <w:tcPr>
            <w:tcW w:w="0" w:type="dxa"/>
            <w:vAlign w:val="bottom"/>
          </w:tcPr>
          <w:p>
            <w:pPr>
              <w:spacing w:after="0"/>
              <w:rPr>
                <w:sz w:val="1"/>
                <w:szCs w:val="1"/>
                <w:color w:val="auto"/>
              </w:rPr>
            </w:pPr>
          </w:p>
        </w:tc>
      </w:tr>
      <w:tr>
        <w:trPr>
          <w:trHeight w:val="230"/>
        </w:trPr>
        <w:tc>
          <w:tcPr>
            <w:tcW w:w="1340" w:type="dxa"/>
            <w:vAlign w:val="bottom"/>
          </w:tcPr>
          <w:p>
            <w:pPr>
              <w:spacing w:after="0"/>
              <w:rPr>
                <w:sz w:val="20"/>
                <w:szCs w:val="20"/>
                <w:color w:val="auto"/>
              </w:rPr>
            </w:pPr>
            <w:r>
              <w:rPr>
                <w:rFonts w:ascii="Arial" w:cs="Arial" w:eastAsia="Arial" w:hAnsi="Arial"/>
                <w:sz w:val="18"/>
                <w:szCs w:val="18"/>
                <w:color w:val="auto"/>
              </w:rPr>
              <w:t>Дата</w:t>
            </w:r>
          </w:p>
        </w:tc>
        <w:tc>
          <w:tcPr>
            <w:tcW w:w="2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560" w:type="dxa"/>
            <w:vAlign w:val="bottom"/>
          </w:tcPr>
          <w:p>
            <w:pPr>
              <w:spacing w:after="0"/>
              <w:rPr>
                <w:sz w:val="20"/>
                <w:szCs w:val="20"/>
                <w:color w:val="auto"/>
              </w:rPr>
            </w:pPr>
          </w:p>
        </w:tc>
        <w:tc>
          <w:tcPr>
            <w:tcW w:w="5520" w:type="dxa"/>
            <w:vAlign w:val="bottom"/>
          </w:tcPr>
          <w:p>
            <w:pPr>
              <w:ind w:left="20"/>
              <w:spacing w:after="0"/>
              <w:rPr>
                <w:sz w:val="20"/>
                <w:szCs w:val="20"/>
                <w:color w:val="auto"/>
              </w:rPr>
            </w:pPr>
            <w:r>
              <w:rPr>
                <w:rFonts w:ascii="Arial" w:cs="Arial" w:eastAsia="Arial" w:hAnsi="Arial"/>
                <w:sz w:val="18"/>
                <w:szCs w:val="18"/>
                <w:color w:val="auto"/>
              </w:rPr>
              <w:t>Date</w:t>
            </w:r>
          </w:p>
        </w:tc>
        <w:tc>
          <w:tcPr>
            <w:tcW w:w="0" w:type="dxa"/>
            <w:vAlign w:val="bottom"/>
          </w:tcPr>
          <w:p>
            <w:pPr>
              <w:spacing w:after="0"/>
              <w:rPr>
                <w:sz w:val="1"/>
                <w:szCs w:val="1"/>
                <w:color w:val="auto"/>
              </w:rPr>
            </w:pPr>
          </w:p>
        </w:tc>
      </w:tr>
    </w:tbl>
    <w:p>
      <w:pPr>
        <w:sectPr>
          <w:pgSz w:w="11900" w:h="16838" w:orient="portrait"/>
          <w:cols w:equalWidth="0" w:num="1">
            <w:col w:w="11060"/>
          </w:cols>
          <w:pgMar w:left="340" w:top="1070" w:right="499" w:bottom="1440" w:gutter="0" w:footer="0" w:header="0"/>
        </w:sectPr>
      </w:pPr>
    </w:p>
    <w:bookmarkStart w:id="109" w:name="page110"/>
    <w:bookmarkEnd w:id="109"/>
    <w:p>
      <w:pPr>
        <w:spacing w:after="0"/>
        <w:rPr>
          <w:sz w:val="20"/>
          <w:szCs w:val="20"/>
          <w:color w:val="auto"/>
        </w:rPr>
      </w:pPr>
      <w:r>
        <w:rPr>
          <w:rFonts w:ascii="Arial" w:cs="Arial" w:eastAsia="Arial" w:hAnsi="Arial"/>
          <w:sz w:val="18"/>
          <w:szCs w:val="18"/>
          <w:b w:val="1"/>
          <w:bCs w:val="1"/>
          <w:u w:val="single" w:color="auto"/>
          <w:color w:val="auto"/>
        </w:rPr>
        <w:t>Singapore</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The grant of the Purchase Right is being made in reliance on Section 273(1)(f) of the Securities and Futures Act (Cap. 289) (“SFA”), the “Qualifying Persons” exemption under the SFA. The Stock Purchase Plan has not been lodged or registered as a prospectus with the Monetary Authority of Singapore and the offerings under the Stock Purchase Plan are not made with a view to the Purchase Rights or shares being subsequently offered for sale to another party. I should not sell, or offer to sell, any shares of Common Stock in Singapore unless such sale or offer is made (i) after six months from the date the Purchase Rights were granted, (ii) pursuant to the exemptions under Part XIII Division 1 Subdivision (4) (other than section 280) of the SFA, or (iii) pursuant to, and in accordance with the conditions of, any other applicable provisions of the SFA.</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Director Notification Obligation</w:t>
      </w:r>
    </w:p>
    <w:p>
      <w:pPr>
        <w:spacing w:after="0" w:line="23"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Directors (including alternate, substitute, associate and shadow directors) of the Company or a Singapore Parent or Subsidiary are subject to certain notification requirements under the Singapore Companies Act. I acknowledge that I must notify the Company or the Singapore Parent or Subsidiary in writing within two business days of any of the following events: (i) the acquisition or disposal of an interest (</w:t>
      </w:r>
      <w:r>
        <w:rPr>
          <w:rFonts w:ascii="Arial" w:cs="Arial" w:eastAsia="Arial" w:hAnsi="Arial"/>
          <w:sz w:val="17"/>
          <w:szCs w:val="17"/>
          <w:i w:val="1"/>
          <w:iCs w:val="1"/>
          <w:color w:val="auto"/>
        </w:rPr>
        <w:t>e.g.</w:t>
      </w:r>
      <w:r>
        <w:rPr>
          <w:rFonts w:ascii="Arial" w:cs="Arial" w:eastAsia="Arial" w:hAnsi="Arial"/>
          <w:sz w:val="17"/>
          <w:szCs w:val="17"/>
          <w:color w:val="auto"/>
        </w:rPr>
        <w:t>, a Purchase Right or shares of Common Stock) in the Company or any related companies; (ii) any change in previously disclosed interests (e.g., sale of shares of Common Stock), or (iii) becoming a director, an associate director or a shadow director of a Parent or Subsidiary in Singapore, if the individual holds such an interest at that time. These notification requirements apply regardless of whether the director is a resident of or employed in Singapore.</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Spain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Nature of Grant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38"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By enrolling in the Stock Purchase Plan, I consent to participation in the Stock Purchase Plan and acknowledge that I have received a copy of the Stock Purchase Plan.</w:t>
      </w:r>
    </w:p>
    <w:p>
      <w:pPr>
        <w:spacing w:after="0" w:line="197"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I understand that the Company has unilaterally, gratuitously, and discretionally decided to offer participation in the Stock Purchase Plan to individuals who may be employees of the Company, a Parent or a Subsidiary throughout the world. The decision is a limited decision that is entered into upon the express assumption and condition that any grant will not economically or otherwise bind the Company or any Parent or Subsidiary on an ongoing basis. Consequently, I understand that the offer of participation in the Stock Purchase Plan is grant on the assumption and condition that the Purchase Rights or the shares of Common Stock I purchase shall not become a part of any employment or service contract (either with the Company or with any Parent or Subsidiary) and shall not be considered a mandatory benefit, salary for any purposes (including severance compensation), or any other right whatsoever. In addition, I understand that the offer of participation in the Stock Purchase Plan would not be made to me but for the assumptions and conditions referred to above; thus, I acknowledge and freely accept that should any or all of the assumptions be mistaken or should any of the conditions not be met for any reason, then any offer of participation in the Stock Purchase Plan shall be null and void.</w:t>
      </w:r>
    </w:p>
    <w:p>
      <w:pPr>
        <w:spacing w:after="0" w:line="208" w:lineRule="exact"/>
        <w:rPr>
          <w:sz w:val="20"/>
          <w:szCs w:val="20"/>
          <w:color w:val="auto"/>
        </w:rPr>
      </w:pPr>
    </w:p>
    <w:p>
      <w:pPr>
        <w:jc w:val="both"/>
        <w:spacing w:after="0" w:line="293" w:lineRule="auto"/>
        <w:rPr>
          <w:sz w:val="20"/>
          <w:szCs w:val="20"/>
          <w:color w:val="auto"/>
        </w:rPr>
      </w:pPr>
      <w:r>
        <w:rPr>
          <w:rFonts w:ascii="Arial" w:cs="Arial" w:eastAsia="Arial" w:hAnsi="Arial"/>
          <w:sz w:val="16"/>
          <w:szCs w:val="16"/>
          <w:color w:val="auto"/>
        </w:rPr>
        <w:t>Further, my participation in the Stock Purchase Plan is expressly conditioned on my continued and active rendering of service, such that if my Continuous Employment terminates for any reason whatsoever, my participation in the Stock Purchase Plan shall cease immediately effective on the date of my termination of Continuous Employment. This will be the case, for example, even if (1) I am considered to be unfairly dismissed without good cause (</w:t>
      </w:r>
      <w:r>
        <w:rPr>
          <w:rFonts w:ascii="Arial" w:cs="Arial" w:eastAsia="Arial" w:hAnsi="Arial"/>
          <w:sz w:val="16"/>
          <w:szCs w:val="16"/>
          <w:i w:val="1"/>
          <w:iCs w:val="1"/>
          <w:color w:val="auto"/>
        </w:rPr>
        <w:t>i.e.</w:t>
      </w:r>
      <w:r>
        <w:rPr>
          <w:rFonts w:ascii="Arial" w:cs="Arial" w:eastAsia="Arial" w:hAnsi="Arial"/>
          <w:sz w:val="16"/>
          <w:szCs w:val="16"/>
          <w:color w:val="auto"/>
        </w:rPr>
        <w:t>, subject to a “</w:t>
      </w:r>
      <w:r>
        <w:rPr>
          <w:rFonts w:ascii="Arial" w:cs="Arial" w:eastAsia="Arial" w:hAnsi="Arial"/>
          <w:sz w:val="16"/>
          <w:szCs w:val="16"/>
          <w:i w:val="1"/>
          <w:iCs w:val="1"/>
          <w:color w:val="auto"/>
        </w:rPr>
        <w:t>despido improcedente</w:t>
      </w:r>
      <w:r>
        <w:rPr>
          <w:rFonts w:ascii="Arial" w:cs="Arial" w:eastAsia="Arial" w:hAnsi="Arial"/>
          <w:sz w:val="16"/>
          <w:szCs w:val="16"/>
          <w:color w:val="auto"/>
        </w:rPr>
        <w:t>”); (2) I am dismissed for disciplinary or objective reasons or due to a collective dismissal; (3) I terminate Continuous Employment due to a change of work location, duties or any other employment or contractual condition; (4) I terminate Continuous Employment due to a unilateral breach of contract by the Company or any Parent or Subsidiary; or (5) my Continuous Employment terminates for any other reason whatsoever.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73" w:lineRule="auto"/>
        <w:rPr>
          <w:sz w:val="20"/>
          <w:szCs w:val="20"/>
          <w:color w:val="auto"/>
        </w:rPr>
      </w:pPr>
      <w:r>
        <w:rPr>
          <w:rFonts w:ascii="Arial" w:cs="Arial" w:eastAsia="Arial" w:hAnsi="Arial"/>
          <w:sz w:val="17"/>
          <w:szCs w:val="17"/>
          <w:color w:val="auto"/>
        </w:rPr>
        <w:t xml:space="preserve">The Purchase Rights and shares of Common Stock described in the Stock Purchase Plan and the Subscription Agreement do not qualify under Spanish regulations as a security. No “offer of securities to the public,” as defined under Spanish law, has taken place or will take place in the Spanish territory. The Stock Purchase Plan and the Subscription Agreement, including the Addendum, have not been nor will they be registered with the </w:t>
      </w:r>
      <w:r>
        <w:rPr>
          <w:rFonts w:ascii="Arial" w:cs="Arial" w:eastAsia="Arial" w:hAnsi="Arial"/>
          <w:sz w:val="17"/>
          <w:szCs w:val="17"/>
          <w:i w:val="1"/>
          <w:iCs w:val="1"/>
          <w:color w:val="auto"/>
        </w:rPr>
        <w:t>Comisión Nacional del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Mercado de Valores </w:t>
      </w:r>
      <w:r>
        <w:rPr>
          <w:rFonts w:ascii="Arial" w:cs="Arial" w:eastAsia="Arial" w:hAnsi="Arial"/>
          <w:sz w:val="17"/>
          <w:szCs w:val="17"/>
          <w:color w:val="auto"/>
        </w:rPr>
        <w:t>(Spanish Securities Exchange Commission), and they do not constitute a public offering prospectus.</w:t>
      </w:r>
    </w:p>
    <w:p>
      <w:pPr>
        <w:sectPr>
          <w:pgSz w:w="11900" w:h="16838" w:orient="portrait"/>
          <w:cols w:equalWidth="0" w:num="1">
            <w:col w:w="11240"/>
          </w:cols>
          <w:pgMar w:left="320" w:top="769" w:right="339" w:bottom="1440" w:gutter="0" w:footer="0" w:header="0"/>
        </w:sectPr>
      </w:pPr>
    </w:p>
    <w:bookmarkStart w:id="110" w:name="page111"/>
    <w:bookmarkEnd w:id="110"/>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understand that it is my responsibility to comply with exchange control regulations in Spain. I am required to electronically declare to the Bank of Spain any security accounts (including brokerage accounts held abroad), as well as the securities (including shares of Common Stock acquired under the Stock Purchase Plan) held in such accounts if the value of the transactions for all such accounts during the prior year or the balances of such accounts as of December 31 of the prior year exceeds €1,000,000.</w:t>
      </w:r>
    </w:p>
    <w:p>
      <w:pPr>
        <w:spacing w:after="0" w:line="220" w:lineRule="exact"/>
        <w:rPr>
          <w:sz w:val="20"/>
          <w:szCs w:val="20"/>
          <w:color w:val="auto"/>
        </w:rPr>
      </w:pPr>
    </w:p>
    <w:p>
      <w:pPr>
        <w:jc w:val="both"/>
        <w:spacing w:after="0" w:line="257" w:lineRule="auto"/>
        <w:rPr>
          <w:sz w:val="20"/>
          <w:szCs w:val="20"/>
          <w:color w:val="auto"/>
        </w:rPr>
      </w:pPr>
      <w:r>
        <w:rPr>
          <w:rFonts w:ascii="Arial" w:cs="Arial" w:eastAsia="Arial" w:hAnsi="Arial"/>
          <w:sz w:val="18"/>
          <w:szCs w:val="18"/>
          <w:color w:val="auto"/>
        </w:rPr>
        <w:t>Different thresholds and deadlines to file this declaration apply. However, if neither such transactions during the immediately preceding year nor the balances/positions as of December 31 exceed €1,000,000, no such declaration must be filed unless expressly required by the Bank of Spain. I understand that if any of such thresholds were exceeded during the current year, may be required to file the relevant declaration corresponding to the prior year, however, a summarized form of declaration may be available. I should consult with a personal tax or legal advisor for further information regarding exchange control reporting obligations.</w:t>
      </w:r>
    </w:p>
    <w:p>
      <w:pPr>
        <w:spacing w:after="0" w:line="215"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 xml:space="preserve">Further, I understand that I am required to declare the acquisition of shares of Common Stock for statistical purposes to the Spanish </w:t>
      </w:r>
      <w:r>
        <w:rPr>
          <w:rFonts w:ascii="Arial" w:cs="Arial" w:eastAsia="Arial" w:hAnsi="Arial"/>
          <w:sz w:val="17"/>
          <w:szCs w:val="17"/>
          <w:i w:val="1"/>
          <w:iCs w:val="1"/>
          <w:color w:val="auto"/>
        </w:rPr>
        <w:t>Direccion General de</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Comercio e Inversiones </w:t>
      </w:r>
      <w:r>
        <w:rPr>
          <w:rFonts w:ascii="Arial" w:cs="Arial" w:eastAsia="Arial" w:hAnsi="Arial"/>
          <w:sz w:val="17"/>
          <w:szCs w:val="17"/>
          <w:color w:val="auto"/>
        </w:rPr>
        <w:t>(the “DGCI”) of the Ministry of Economy and Competitiveness. Generally, the declaration must be filed on form D-6 in January</w:t>
      </w:r>
      <w:r>
        <w:rPr>
          <w:rFonts w:ascii="Arial" w:cs="Arial" w:eastAsia="Arial" w:hAnsi="Arial"/>
          <w:sz w:val="17"/>
          <w:szCs w:val="17"/>
          <w:i w:val="1"/>
          <w:iCs w:val="1"/>
          <w:color w:val="auto"/>
        </w:rPr>
        <w:t xml:space="preserve"> </w:t>
      </w:r>
      <w:r>
        <w:rPr>
          <w:rFonts w:ascii="Arial" w:cs="Arial" w:eastAsia="Arial" w:hAnsi="Arial"/>
          <w:sz w:val="17"/>
          <w:szCs w:val="17"/>
          <w:color w:val="auto"/>
        </w:rPr>
        <w:t>for shares of Common Stock owned as of December 31 of each year; however, if the value of the shares of Common Stock or the sale proceeds exceed €1,502,530, a declaration must be filed within one month of the acquisition or sale, as applicable.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I understand that to the extent I hold shares of Common Stock or have bank accounts outside of Spain with a value in excess of €50,000 (for each type of asset) as of December 31, I must report information on such assets on my tax return Form 720 for such year with severe penalties in the event of non-compliance. After such shares of Common Stock or accounts are initially reported, the reporting obligation will apply for subsequent years only if the value of any previously reported shares of Common Stock or accounts increases by more than €20,000 as of each subsequent December 31, or if I sell shares of Common Stock or cancel bank accounts that were previously reported.</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Sweden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Responsibility for Taxes</w:t>
      </w:r>
      <w:r>
        <w:rPr>
          <w:rFonts w:ascii="Arial" w:cs="Arial" w:eastAsia="Arial" w:hAnsi="Arial"/>
          <w:sz w:val="18"/>
          <w:szCs w:val="18"/>
          <w:color w:val="auto"/>
        </w:rPr>
        <w:t>. The following provision supplements Section 6 of the Subscription Agreement:</w:t>
      </w:r>
    </w:p>
    <w:p>
      <w:pPr>
        <w:spacing w:after="0" w:line="256" w:lineRule="exact"/>
        <w:rPr>
          <w:sz w:val="20"/>
          <w:szCs w:val="20"/>
          <w:color w:val="auto"/>
        </w:rPr>
      </w:pPr>
    </w:p>
    <w:p>
      <w:pPr>
        <w:jc w:val="both"/>
        <w:spacing w:after="0" w:line="301" w:lineRule="auto"/>
        <w:rPr>
          <w:sz w:val="20"/>
          <w:szCs w:val="20"/>
          <w:color w:val="auto"/>
        </w:rPr>
      </w:pPr>
      <w:r>
        <w:rPr>
          <w:rFonts w:ascii="Arial" w:cs="Arial" w:eastAsia="Arial" w:hAnsi="Arial"/>
          <w:sz w:val="16"/>
          <w:szCs w:val="16"/>
          <w:color w:val="auto"/>
        </w:rPr>
        <w:t>Without limiting the Company and the Employer’s authority to satisfy their withholding obligations for Tax-Related Items as set forth in Section 6 of the Subscription Agreement, by participating in the Stock Purchase Plan, I authorize the Company and/or the Employer to withhold shares of Common Stock or to sell shares of Common Stock otherwise deliverable to me upon the purchase of shares of Common Stock under the Stock Purchase Plan in order to satisfy Tax-Related Items, regardless of whether the Company and/or the Employer has an obligation to withhold such Tax-Related Items.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Switzerland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3" w:lineRule="auto"/>
        <w:rPr>
          <w:sz w:val="20"/>
          <w:szCs w:val="20"/>
          <w:color w:val="auto"/>
        </w:rPr>
      </w:pPr>
      <w:r>
        <w:rPr>
          <w:rFonts w:ascii="Arial" w:cs="Arial" w:eastAsia="Arial" w:hAnsi="Arial"/>
          <w:sz w:val="18"/>
          <w:szCs w:val="18"/>
          <w:color w:val="auto"/>
        </w:rPr>
        <w:t>Neither this document nor any other materials relating to the shares of Common Stock (i) constitutes a prospectus according to articles 35 et seq. of the Swiss Federal Act on Financial Services (“FinSA”) (ii) may be publicly distributed or otherwise made available in Switzerland to any person other than an employee of the Company or (iii) has been filed with, approved or supervised by any Swiss reviewing body according to article 51 FinSA or any Swiss regulatory authority, including the Swiss Financial Market Supervisory Authority FINMA.</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Taiwan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23" w:lineRule="exact"/>
        <w:rPr>
          <w:sz w:val="20"/>
          <w:szCs w:val="20"/>
          <w:color w:val="auto"/>
        </w:rPr>
      </w:pPr>
    </w:p>
    <w:p>
      <w:pPr>
        <w:jc w:val="both"/>
        <w:spacing w:after="0" w:line="255" w:lineRule="auto"/>
        <w:rPr>
          <w:sz w:val="20"/>
          <w:szCs w:val="20"/>
          <w:color w:val="auto"/>
        </w:rPr>
      </w:pPr>
      <w:r>
        <w:rPr>
          <w:rFonts w:ascii="Arial" w:cs="Arial" w:eastAsia="Arial" w:hAnsi="Arial"/>
          <w:sz w:val="18"/>
          <w:szCs w:val="18"/>
          <w:color w:val="auto"/>
        </w:rPr>
        <w:t>I understand that the offer of the Stock Purchase Right and the shares of Common Stock to be issued pursuant to the Stock Purchase Plan are available only for employees of the Company and a Parent or Subsidiary. The offer is not a public offer of securities by a Taiwanese company; therefore, it is exempt from registration in Taiwan.</w:t>
      </w:r>
    </w:p>
    <w:p>
      <w:pPr>
        <w:sectPr>
          <w:pgSz w:w="11900" w:h="16838" w:orient="portrait"/>
          <w:cols w:equalWidth="0" w:num="1">
            <w:col w:w="11240"/>
          </w:cols>
          <w:pgMar w:left="320" w:top="1016" w:right="339" w:bottom="1440" w:gutter="0" w:footer="0" w:header="0"/>
        </w:sectPr>
      </w:pPr>
    </w:p>
    <w:bookmarkStart w:id="111" w:name="page112"/>
    <w:bookmarkEnd w:id="111"/>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spacing w:after="0" w:line="277" w:lineRule="auto"/>
        <w:rPr>
          <w:sz w:val="20"/>
          <w:szCs w:val="20"/>
          <w:color w:val="auto"/>
        </w:rPr>
      </w:pPr>
      <w:r>
        <w:rPr>
          <w:rFonts w:ascii="Arial" w:cs="Arial" w:eastAsia="Arial" w:hAnsi="Arial"/>
          <w:sz w:val="17"/>
          <w:szCs w:val="17"/>
          <w:color w:val="auto"/>
        </w:rPr>
        <w:t>Taiwanese residents may acquire foreign currency and remit the same (including proceeds from the sale of shares of Common Stock or the receipt of dividends) out of Taiwan, up to US$5 million per year without justification. If the transaction amount is TWD$500,000 or more in a single transaction, a Foreign Exchange Transaction Form must be submitted, along with supporting documentation to the satisfaction of the remitting bank.</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United Kingdom</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11"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Without limitation to any provision of the Subscription Agreement, I agree that I am liable for all Tax-Related Items, as and when required by the Company or the Employer, as applicable, or by Her Majesty’s Revenue and Customs (“HMRC”) (or any other tax authority or other relevant authority). I also agree to indemnify and keep indemnified the Company and the Employer, as applicable, against any Tax-Related Items that they are required to pay or withhold or have paid or will pay on my behalf to HMRC (or any other tax authority or other relevant authority).</w:t>
      </w:r>
    </w:p>
    <w:p>
      <w:pPr>
        <w:spacing w:after="0" w:line="198" w:lineRule="exact"/>
        <w:rPr>
          <w:sz w:val="20"/>
          <w:szCs w:val="20"/>
          <w:color w:val="auto"/>
        </w:rPr>
      </w:pPr>
    </w:p>
    <w:p>
      <w:pPr>
        <w:jc w:val="both"/>
        <w:spacing w:after="0" w:line="291" w:lineRule="auto"/>
        <w:rPr>
          <w:sz w:val="20"/>
          <w:szCs w:val="20"/>
          <w:color w:val="auto"/>
        </w:rPr>
      </w:pPr>
      <w:r>
        <w:rPr>
          <w:rFonts w:ascii="Arial" w:cs="Arial" w:eastAsia="Arial" w:hAnsi="Arial"/>
          <w:sz w:val="16"/>
          <w:szCs w:val="16"/>
          <w:color w:val="auto"/>
        </w:rPr>
        <w:t>Notwithstanding the foregoing, if I am a director or executive officer of the Company (within the meaning of Section 13(k) of the U.S. Securities and Exchange Act of 1934, as amended), I understand that I may not be able to indemnify the Company for the amount of any Tax-Related Items not collected from or paid by me, in case the indemnification could be considered to be a loan. In this case, any income tax not collected within 90 days of the end of the U.K. tax year in which an event giving rise to the Tax-Related Items occurs may constitute a benefit to me on which additional income tax and employee National Insurance contributions (“NICs”) may be due. I will be responsible for reporting and paying any income tax due on this additional benefit directly to HMRC under the self-assessment regime and for reimbursing the Company or Employer, as applicable, for the amount of any employee NICs due on this additional benefit, which may be recovered from me by any of the means referred to in Section 5 of the Subscription Agreement.</w:t>
      </w:r>
    </w:p>
    <w:p>
      <w:pPr>
        <w:sectPr>
          <w:pgSz w:w="11900" w:h="16838" w:orient="portrait"/>
          <w:cols w:equalWidth="0" w:num="1">
            <w:col w:w="11240"/>
          </w:cols>
          <w:pgMar w:left="320" w:top="773" w:right="339" w:bottom="1440" w:gutter="0" w:footer="0" w:header="0"/>
        </w:sectPr>
      </w:pPr>
    </w:p>
    <w:bookmarkStart w:id="112" w:name="page113"/>
    <w:bookmarkEnd w:id="112"/>
    <w:p>
      <w:pPr>
        <w:spacing w:after="0" w:line="198"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Exhibit 10.6</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w:t>
      </w:r>
    </w:p>
    <w:p>
      <w:pPr>
        <w:spacing w:after="0" w:line="19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SEVERANCE AGREEMENT</w:t>
      </w:r>
    </w:p>
    <w:p>
      <w:pPr>
        <w:spacing w:after="0" w:line="226" w:lineRule="exact"/>
        <w:rPr>
          <w:sz w:val="20"/>
          <w:szCs w:val="20"/>
          <w:color w:val="auto"/>
        </w:rPr>
      </w:pPr>
    </w:p>
    <w:p>
      <w:pPr>
        <w:ind w:left="1500"/>
        <w:spacing w:after="0"/>
        <w:rPr>
          <w:sz w:val="20"/>
          <w:szCs w:val="20"/>
          <w:color w:val="auto"/>
        </w:rPr>
      </w:pPr>
      <w:r>
        <w:rPr>
          <w:rFonts w:ascii="Arial" w:cs="Arial" w:eastAsia="Arial" w:hAnsi="Arial"/>
          <w:sz w:val="22"/>
          <w:szCs w:val="22"/>
          <w:color w:val="auto"/>
        </w:rPr>
        <w:t>As amended December 1 2020</w:t>
      </w:r>
    </w:p>
    <w:p>
      <w:pPr>
        <w:spacing w:after="0" w:line="220" w:lineRule="exact"/>
        <w:rPr>
          <w:sz w:val="20"/>
          <w:szCs w:val="20"/>
          <w:color w:val="auto"/>
        </w:rPr>
      </w:pPr>
    </w:p>
    <w:p>
      <w:pPr>
        <w:ind w:right="1040" w:firstLine="648"/>
        <w:spacing w:after="0" w:line="343" w:lineRule="auto"/>
        <w:rPr>
          <w:sz w:val="20"/>
          <w:szCs w:val="20"/>
          <w:color w:val="auto"/>
        </w:rPr>
      </w:pPr>
      <w:r>
        <w:rPr>
          <w:rFonts w:ascii="Arial" w:cs="Arial" w:eastAsia="Arial" w:hAnsi="Arial"/>
          <w:sz w:val="19"/>
          <w:szCs w:val="19"/>
          <w:color w:val="auto"/>
        </w:rPr>
        <w:t>This Severance Agreement (the “Agreement”) is made and entered into by and between Matthew Murphy (the “Employee”) and Marvell Semiconductor, Inc. (the “Company”), effective on the last date signed below.</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RECITALS</w:t>
      </w:r>
    </w:p>
    <w:p>
      <w:pPr>
        <w:spacing w:after="0" w:line="226" w:lineRule="exact"/>
        <w:rPr>
          <w:sz w:val="20"/>
          <w:szCs w:val="20"/>
          <w:color w:val="auto"/>
        </w:rPr>
      </w:pPr>
    </w:p>
    <w:p>
      <w:pPr>
        <w:ind w:right="640" w:firstLine="648"/>
        <w:spacing w:after="0" w:line="253" w:lineRule="auto"/>
        <w:rPr>
          <w:sz w:val="20"/>
          <w:szCs w:val="20"/>
          <w:color w:val="auto"/>
        </w:rPr>
      </w:pPr>
      <w:r>
        <w:rPr>
          <w:rFonts w:ascii="Arial" w:cs="Arial" w:eastAsia="Arial" w:hAnsi="Arial"/>
          <w:sz w:val="22"/>
          <w:szCs w:val="22"/>
          <w:color w:val="auto"/>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spacing w:after="0" w:line="185" w:lineRule="exact"/>
        <w:rPr>
          <w:sz w:val="20"/>
          <w:szCs w:val="20"/>
          <w:color w:val="auto"/>
        </w:rPr>
      </w:pPr>
    </w:p>
    <w:p>
      <w:pPr>
        <w:jc w:val="center"/>
        <w:ind w:right="4140"/>
        <w:spacing w:after="0"/>
        <w:rPr>
          <w:sz w:val="20"/>
          <w:szCs w:val="20"/>
          <w:color w:val="auto"/>
        </w:rPr>
      </w:pPr>
      <w:r>
        <w:rPr>
          <w:rFonts w:ascii="Arial" w:cs="Arial" w:eastAsia="Arial" w:hAnsi="Arial"/>
          <w:sz w:val="22"/>
          <w:szCs w:val="22"/>
          <w:color w:val="auto"/>
        </w:rPr>
        <w:t>Certain capitalized terms used in the Agreement are defined below.</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AGREEMENT</w:t>
      </w:r>
    </w:p>
    <w:p>
      <w:pPr>
        <w:spacing w:after="0" w:line="226" w:lineRule="exact"/>
        <w:rPr>
          <w:sz w:val="20"/>
          <w:szCs w:val="20"/>
          <w:color w:val="auto"/>
        </w:rPr>
      </w:pPr>
    </w:p>
    <w:p>
      <w:pPr>
        <w:jc w:val="center"/>
        <w:ind w:right="-139"/>
        <w:spacing w:after="0"/>
        <w:rPr>
          <w:sz w:val="20"/>
          <w:szCs w:val="20"/>
          <w:color w:val="auto"/>
        </w:rPr>
      </w:pPr>
      <w:r>
        <w:rPr>
          <w:rFonts w:ascii="Arial" w:cs="Arial" w:eastAsia="Arial" w:hAnsi="Arial"/>
          <w:sz w:val="21"/>
          <w:szCs w:val="21"/>
          <w:color w:val="auto"/>
        </w:rPr>
        <w:t>NOW, THEREFORE, in consideration of the mutual covenants contained herein, the parties hereto agree as follows:</w:t>
      </w:r>
    </w:p>
    <w:p>
      <w:pPr>
        <w:spacing w:after="0" w:line="231" w:lineRule="exact"/>
        <w:rPr>
          <w:sz w:val="20"/>
          <w:szCs w:val="20"/>
          <w:color w:val="auto"/>
        </w:rPr>
      </w:pPr>
    </w:p>
    <w:p>
      <w:pPr>
        <w:ind w:right="100" w:firstLine="980"/>
        <w:spacing w:after="0" w:line="253" w:lineRule="auto"/>
        <w:tabs>
          <w:tab w:leader="none" w:pos="1566" w:val="left"/>
        </w:tabs>
        <w:numPr>
          <w:ilvl w:val="0"/>
          <w:numId w:val="77"/>
        </w:numPr>
        <w:rPr>
          <w:rFonts w:ascii="Arial" w:cs="Arial" w:eastAsia="Arial" w:hAnsi="Arial"/>
          <w:sz w:val="22"/>
          <w:szCs w:val="22"/>
          <w:color w:val="auto"/>
        </w:rPr>
      </w:pPr>
      <w:r>
        <w:rPr>
          <w:rFonts w:ascii="Arial" w:cs="Arial" w:eastAsia="Arial" w:hAnsi="Arial"/>
          <w:sz w:val="22"/>
          <w:szCs w:val="22"/>
          <w:u w:val="single" w:color="auto"/>
          <w:color w:val="auto"/>
        </w:rPr>
        <w:t>Term of Agreement</w:t>
      </w:r>
      <w:r>
        <w:rPr>
          <w:rFonts w:ascii="Arial" w:cs="Arial" w:eastAsia="Arial" w:hAnsi="Arial"/>
          <w:sz w:val="22"/>
          <w:szCs w:val="22"/>
          <w:color w:val="auto"/>
        </w:rPr>
        <w:t>. This Agreement shall terminate upon the later of (i) January 1, 2023 or (ii) if Employee is terminated involuntarily by Company without Cause prior to January 1, 2023, the date that all of the obligations of the parties hereto with respect to this Agreement have been satisfied.</w:t>
      </w:r>
    </w:p>
    <w:p>
      <w:pPr>
        <w:spacing w:after="0" w:line="185" w:lineRule="exact"/>
        <w:rPr>
          <w:rFonts w:ascii="Arial" w:cs="Arial" w:eastAsia="Arial" w:hAnsi="Arial"/>
          <w:sz w:val="22"/>
          <w:szCs w:val="22"/>
          <w:color w:val="auto"/>
        </w:rPr>
      </w:pPr>
    </w:p>
    <w:p>
      <w:pPr>
        <w:jc w:val="both"/>
        <w:ind w:right="160" w:firstLine="980"/>
        <w:spacing w:after="0" w:line="302" w:lineRule="auto"/>
        <w:tabs>
          <w:tab w:leader="none" w:pos="1620" w:val="left"/>
        </w:tabs>
        <w:numPr>
          <w:ilvl w:val="0"/>
          <w:numId w:val="77"/>
        </w:numPr>
        <w:rPr>
          <w:rFonts w:ascii="Arial" w:cs="Arial" w:eastAsia="Arial" w:hAnsi="Arial"/>
          <w:sz w:val="19"/>
          <w:szCs w:val="19"/>
          <w:color w:val="auto"/>
        </w:rPr>
      </w:pPr>
      <w:r>
        <w:rPr>
          <w:rFonts w:ascii="Arial" w:cs="Arial" w:eastAsia="Arial" w:hAnsi="Arial"/>
          <w:sz w:val="19"/>
          <w:szCs w:val="19"/>
          <w:u w:val="single" w:color="auto"/>
          <w:color w:val="auto"/>
        </w:rPr>
        <w:t>At-Will Employment</w:t>
      </w:r>
      <w:r>
        <w:rPr>
          <w:rFonts w:ascii="Arial" w:cs="Arial" w:eastAsia="Arial" w:hAnsi="Arial"/>
          <w:sz w:val="19"/>
          <w:szCs w:val="19"/>
          <w:color w:val="auto"/>
        </w:rPr>
        <w:t>.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w:t>
      </w:r>
    </w:p>
    <w:p>
      <w:pPr>
        <w:sectPr>
          <w:pgSz w:w="11900" w:h="16838" w:orient="portrait"/>
          <w:cols w:equalWidth="0" w:num="1">
            <w:col w:w="11240"/>
          </w:cols>
          <w:pgMar w:left="320" w:top="1440" w:right="339" w:bottom="1440" w:gutter="0" w:footer="0" w:header="0"/>
        </w:sectPr>
      </w:pPr>
    </w:p>
    <w:bookmarkStart w:id="113" w:name="page114"/>
    <w:bookmarkEnd w:id="113"/>
    <w:p>
      <w:pPr>
        <w:spacing w:after="0" w:line="204" w:lineRule="exact"/>
        <w:rPr>
          <w:sz w:val="20"/>
          <w:szCs w:val="20"/>
          <w:color w:val="auto"/>
        </w:rPr>
      </w:pPr>
    </w:p>
    <w:p>
      <w:pPr>
        <w:ind w:left="1580" w:hanging="600"/>
        <w:spacing w:after="0"/>
        <w:tabs>
          <w:tab w:leader="none" w:pos="1580" w:val="left"/>
        </w:tabs>
        <w:numPr>
          <w:ilvl w:val="1"/>
          <w:numId w:val="78"/>
        </w:numPr>
        <w:rPr>
          <w:rFonts w:ascii="Arial" w:cs="Arial" w:eastAsia="Arial" w:hAnsi="Arial"/>
          <w:sz w:val="22"/>
          <w:szCs w:val="22"/>
          <w:color w:val="auto"/>
        </w:rPr>
      </w:pPr>
      <w:r>
        <w:rPr>
          <w:rFonts w:ascii="Arial" w:cs="Arial" w:eastAsia="Arial" w:hAnsi="Arial"/>
          <w:sz w:val="22"/>
          <w:szCs w:val="22"/>
          <w:u w:val="single" w:color="auto"/>
          <w:color w:val="auto"/>
        </w:rPr>
        <w:t>Severance Benefits</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firstLine="1628"/>
        <w:spacing w:after="0" w:line="282" w:lineRule="auto"/>
        <w:tabs>
          <w:tab w:leader="none" w:pos="2076" w:val="left"/>
        </w:tabs>
        <w:numPr>
          <w:ilvl w:val="2"/>
          <w:numId w:val="78"/>
        </w:numPr>
        <w:rPr>
          <w:rFonts w:ascii="Arial" w:cs="Arial" w:eastAsia="Arial" w:hAnsi="Arial"/>
          <w:sz w:val="19"/>
          <w:szCs w:val="19"/>
          <w:color w:val="auto"/>
        </w:rPr>
      </w:pPr>
      <w:r>
        <w:rPr>
          <w:rFonts w:ascii="Arial" w:cs="Arial" w:eastAsia="Arial" w:hAnsi="Arial"/>
          <w:sz w:val="19"/>
          <w:szCs w:val="19"/>
          <w:color w:val="auto"/>
        </w:rPr>
        <w:t>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 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your cooperation; or (G) willful failure to substantially perform your duties with Company or Marvell (other than as a result of incapacity due to physical or mental illness); provided that the action or conduct described in this clause (G) will constitute “Cause” only if such failure continues after the Company’s Board of Directors or Chairman of the Board has provided you with a written demand for substantial performance setting forth in detail the specific respects in which the Company believes you have willfully failed to substantially perform your duties thereof and you have been provided a reasonable opportunity (to be not less than 20 days) to cure the same. “Good Reason” is defined as the occurrence of any of the following conditions without the Employee’s consent: (X) a change in the Employee’s position within the Company (or a parent or subsidiary employing the Employee) that materially reduces the Employee’s level of duties, authority or responsibilities; provided, however, that if there is a change in the Employee’s role after which the Employee does not have the role as chief executive officer with respect to a parent entity whose stock is publicly-traded, then such a change shall affirmatively constitute Good Reason; (Y) a reduction of 10% or greater in the Employee’s level of annual base salary or incentive compensation eligibility; or (Z) the Company requires</w:t>
      </w:r>
    </w:p>
    <w:p>
      <w:pPr>
        <w:spacing w:after="0" w:line="13" w:lineRule="exact"/>
        <w:rPr>
          <w:rFonts w:ascii="Arial" w:cs="Arial" w:eastAsia="Arial" w:hAnsi="Arial"/>
          <w:sz w:val="19"/>
          <w:szCs w:val="19"/>
          <w:color w:val="auto"/>
        </w:rPr>
      </w:pPr>
    </w:p>
    <w:p>
      <w:pPr>
        <w:ind w:right="280" w:firstLine="8"/>
        <w:spacing w:after="0" w:line="323" w:lineRule="auto"/>
        <w:tabs>
          <w:tab w:leader="none" w:pos="258" w:val="left"/>
        </w:tabs>
        <w:numPr>
          <w:ilvl w:val="0"/>
          <w:numId w:val="79"/>
        </w:numPr>
        <w:rPr>
          <w:rFonts w:ascii="Arial" w:cs="Arial" w:eastAsia="Arial" w:hAnsi="Arial"/>
          <w:sz w:val="19"/>
          <w:szCs w:val="19"/>
          <w:color w:val="auto"/>
        </w:rPr>
      </w:pPr>
      <w:r>
        <w:rPr>
          <w:rFonts w:ascii="Arial" w:cs="Arial" w:eastAsia="Arial" w:hAnsi="Arial"/>
          <w:sz w:val="19"/>
          <w:szCs w:val="19"/>
          <w:color w:val="auto"/>
        </w:rPr>
        <w:t>the Employee to relocate the principal place of performance of the Employee’s duties to a location more than 30 miles from the Employee’s principal place of performance and (ii) the relocation results in a greater commute by the Employee.</w:t>
      </w:r>
    </w:p>
    <w:p>
      <w:pPr>
        <w:spacing w:after="0" w:line="123" w:lineRule="exact"/>
        <w:rPr>
          <w:sz w:val="20"/>
          <w:szCs w:val="20"/>
          <w:color w:val="auto"/>
        </w:rPr>
      </w:pPr>
    </w:p>
    <w:p>
      <w:pPr>
        <w:ind w:right="120" w:firstLine="648"/>
        <w:spacing w:after="0" w:line="265" w:lineRule="auto"/>
        <w:rPr>
          <w:sz w:val="20"/>
          <w:szCs w:val="20"/>
          <w:color w:val="auto"/>
        </w:rPr>
      </w:pPr>
      <w:r>
        <w:rPr>
          <w:rFonts w:ascii="Arial" w:cs="Arial" w:eastAsia="Arial" w:hAnsi="Arial"/>
          <w:sz w:val="21"/>
          <w:szCs w:val="21"/>
          <w:color w:val="auto"/>
        </w:rPr>
        <w:t>The Employee’s resignation will not constitute a resignation for “Good Reason” unless the Employee first provides the Company (or a parent or subsidiary employing the Employee) with written notice of the acts or omissions constituting the grounds for “Good Reason” within 90 days of the initial existence of the grounds for “Good Reason” and provides the Company with 30 days following the date of such notice to cure the condition constituting “Good Reason.”</w:t>
      </w:r>
    </w:p>
    <w:p>
      <w:pPr>
        <w:spacing w:after="0" w:line="175" w:lineRule="exact"/>
        <w:rPr>
          <w:sz w:val="20"/>
          <w:szCs w:val="20"/>
          <w:color w:val="auto"/>
        </w:rPr>
      </w:pPr>
    </w:p>
    <w:p>
      <w:pPr>
        <w:ind w:right="360" w:firstLine="980"/>
        <w:spacing w:after="0" w:line="263" w:lineRule="auto"/>
        <w:tabs>
          <w:tab w:leader="none" w:pos="1656" w:val="left"/>
        </w:tabs>
        <w:numPr>
          <w:ilvl w:val="0"/>
          <w:numId w:val="80"/>
        </w:numPr>
        <w:rPr>
          <w:rFonts w:ascii="Arial" w:cs="Arial" w:eastAsia="Arial" w:hAnsi="Arial"/>
          <w:sz w:val="22"/>
          <w:szCs w:val="22"/>
          <w:color w:val="auto"/>
        </w:rPr>
      </w:pPr>
      <w:r>
        <w:rPr>
          <w:rFonts w:ascii="Arial" w:cs="Arial" w:eastAsia="Arial" w:hAnsi="Arial"/>
          <w:sz w:val="22"/>
          <w:szCs w:val="22"/>
          <w:u w:val="single" w:color="auto"/>
          <w:color w:val="auto"/>
        </w:rPr>
        <w:t>Benefits Provided</w:t>
      </w:r>
      <w:r>
        <w:rPr>
          <w:rFonts w:ascii="Arial" w:cs="Arial" w:eastAsia="Arial" w:hAnsi="Arial"/>
          <w:sz w:val="22"/>
          <w:szCs w:val="22"/>
          <w:color w:val="auto"/>
        </w:rPr>
        <w:t>. The Company shall provide the following payments and benefits to the Employee upon termination of employment in accordance with Section 3(a):</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-2-</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1240"/>
          </w:cols>
          <w:pgMar w:left="320" w:top="1440" w:right="339" w:bottom="1440" w:gutter="0" w:footer="0" w:header="0"/>
        </w:sectPr>
      </w:pPr>
    </w:p>
    <w:bookmarkStart w:id="114" w:name="page115"/>
    <w:bookmarkEnd w:id="114"/>
    <w:p>
      <w:pPr>
        <w:spacing w:after="0" w:line="204" w:lineRule="exact"/>
        <w:rPr>
          <w:sz w:val="20"/>
          <w:szCs w:val="20"/>
          <w:color w:val="auto"/>
        </w:rPr>
      </w:pPr>
    </w:p>
    <w:p>
      <w:pPr>
        <w:ind w:right="120" w:firstLine="2276"/>
        <w:spacing w:after="0" w:line="263" w:lineRule="auto"/>
        <w:tabs>
          <w:tab w:leader="none" w:pos="2676" w:val="left"/>
        </w:tabs>
        <w:numPr>
          <w:ilvl w:val="1"/>
          <w:numId w:val="81"/>
        </w:numPr>
        <w:rPr>
          <w:rFonts w:ascii="Arial" w:cs="Arial" w:eastAsia="Arial" w:hAnsi="Arial"/>
          <w:sz w:val="22"/>
          <w:szCs w:val="22"/>
          <w:color w:val="auto"/>
        </w:rPr>
      </w:pPr>
      <w:r>
        <w:rPr>
          <w:rFonts w:ascii="Arial" w:cs="Arial" w:eastAsia="Arial" w:hAnsi="Arial"/>
          <w:sz w:val="22"/>
          <w:szCs w:val="22"/>
          <w:color w:val="auto"/>
        </w:rPr>
        <w:t>A cash payment in a lump sum (less any withholding taxes) equal to 24 months of base salary (as in effect immediately prior to the termination); and</w:t>
      </w:r>
    </w:p>
    <w:p>
      <w:pPr>
        <w:spacing w:after="0" w:line="174" w:lineRule="exact"/>
        <w:rPr>
          <w:rFonts w:ascii="Arial" w:cs="Arial" w:eastAsia="Arial" w:hAnsi="Arial"/>
          <w:sz w:val="22"/>
          <w:szCs w:val="22"/>
          <w:color w:val="auto"/>
        </w:rPr>
      </w:pPr>
    </w:p>
    <w:p>
      <w:pPr>
        <w:ind w:firstLine="2276"/>
        <w:spacing w:after="0" w:line="343" w:lineRule="auto"/>
        <w:tabs>
          <w:tab w:leader="none" w:pos="2736" w:val="left"/>
        </w:tabs>
        <w:numPr>
          <w:ilvl w:val="1"/>
          <w:numId w:val="81"/>
        </w:numPr>
        <w:rPr>
          <w:rFonts w:ascii="Arial" w:cs="Arial" w:eastAsia="Arial" w:hAnsi="Arial"/>
          <w:sz w:val="19"/>
          <w:szCs w:val="19"/>
          <w:color w:val="auto"/>
        </w:rPr>
      </w:pPr>
      <w:r>
        <w:rPr>
          <w:rFonts w:ascii="Arial" w:cs="Arial" w:eastAsia="Arial" w:hAnsi="Arial"/>
          <w:sz w:val="19"/>
          <w:szCs w:val="19"/>
          <w:color w:val="auto"/>
        </w:rPr>
        <w:t>A cash payment in a lump sum (less any withholding taxes) equal to the Employee’s annual target incentive bonus (as in effect immediately prior to the termination) which is currently 150% of 12 months of base salary; and</w:t>
      </w:r>
    </w:p>
    <w:p>
      <w:pPr>
        <w:spacing w:after="0" w:line="104" w:lineRule="exact"/>
        <w:rPr>
          <w:rFonts w:ascii="Arial" w:cs="Arial" w:eastAsia="Arial" w:hAnsi="Arial"/>
          <w:sz w:val="19"/>
          <w:szCs w:val="19"/>
          <w:color w:val="auto"/>
        </w:rPr>
      </w:pPr>
    </w:p>
    <w:p>
      <w:pPr>
        <w:ind w:right="80" w:firstLine="2276"/>
        <w:spacing w:after="0" w:line="287" w:lineRule="auto"/>
        <w:tabs>
          <w:tab w:leader="none" w:pos="2808" w:val="left"/>
        </w:tabs>
        <w:numPr>
          <w:ilvl w:val="1"/>
          <w:numId w:val="81"/>
        </w:numPr>
        <w:rPr>
          <w:rFonts w:ascii="Arial" w:cs="Arial" w:eastAsia="Arial" w:hAnsi="Arial"/>
          <w:sz w:val="19"/>
          <w:szCs w:val="19"/>
          <w:color w:val="auto"/>
        </w:rPr>
      </w:pPr>
      <w:r>
        <w:rPr>
          <w:rFonts w:ascii="Arial" w:cs="Arial" w:eastAsia="Arial" w:hAnsi="Arial"/>
          <w:sz w:val="19"/>
          <w:szCs w:val="19"/>
          <w:color w:val="auto"/>
        </w:rPr>
        <w:t>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 the Employee validly elects and is eligible to continue coverage under COBRA for the Employee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 be based on the premium for the first month of COBRA coverage) for such twelve-month period, which payments will be made regardless of whether the Employee elects COBRA continuation coverage; and</w:t>
      </w:r>
    </w:p>
    <w:p>
      <w:pPr>
        <w:spacing w:after="0" w:line="200" w:lineRule="exact"/>
        <w:rPr>
          <w:rFonts w:ascii="Arial" w:cs="Arial" w:eastAsia="Arial" w:hAnsi="Arial"/>
          <w:sz w:val="19"/>
          <w:szCs w:val="19"/>
          <w:color w:val="auto"/>
        </w:rPr>
      </w:pPr>
    </w:p>
    <w:p>
      <w:pPr>
        <w:spacing w:after="0" w:line="215" w:lineRule="exact"/>
        <w:rPr>
          <w:rFonts w:ascii="Arial" w:cs="Arial" w:eastAsia="Arial" w:hAnsi="Arial"/>
          <w:sz w:val="19"/>
          <w:szCs w:val="19"/>
          <w:color w:val="auto"/>
        </w:rPr>
      </w:pPr>
    </w:p>
    <w:p>
      <w:pPr>
        <w:ind w:right="20" w:firstLine="2276"/>
        <w:spacing w:after="0" w:line="289" w:lineRule="auto"/>
        <w:tabs>
          <w:tab w:leader="none" w:pos="2796" w:val="left"/>
        </w:tabs>
        <w:numPr>
          <w:ilvl w:val="1"/>
          <w:numId w:val="81"/>
        </w:numPr>
        <w:rPr>
          <w:rFonts w:ascii="Arial" w:cs="Arial" w:eastAsia="Arial" w:hAnsi="Arial"/>
          <w:sz w:val="19"/>
          <w:szCs w:val="19"/>
          <w:color w:val="auto"/>
        </w:rPr>
      </w:pPr>
      <w:r>
        <w:rPr>
          <w:rFonts w:ascii="Arial" w:cs="Arial" w:eastAsia="Arial" w:hAnsi="Arial"/>
          <w:sz w:val="19"/>
          <w:szCs w:val="19"/>
          <w:color w:val="auto"/>
        </w:rPr>
        <w:t>Notwithstanding anything to the contrary in any plan, agreement, or arrangement governing an Equity Award, (a) for each Equity Award subject only to time-based vesting, the vesting will be accelerated as if Employee had remained employed through the date 18 months following the termination of employment date and (b) for each Equity Award subject to performance-based vesting to the extent performance measurement has been completed and shares based on that performance will vest thereafter solely based on time, the vesting will be accelerated as if Employee had remained employed through the date 18 months following the termination of employment date. There shall be no acceleration with respect to that portion of any Equity Awards based on performance where the performance measurement has not been achieved. For purposes of this Agreement “Equity Award” means any equity awards covering shares of the Company’s common stock, including stock options, restricted stock, restricted stock units, stock appreciation rights, performance units, performance shares and/or any other equity-based awards.</w:t>
      </w:r>
    </w:p>
    <w:p>
      <w:pPr>
        <w:spacing w:after="0" w:line="200" w:lineRule="exact"/>
        <w:rPr>
          <w:rFonts w:ascii="Arial" w:cs="Arial" w:eastAsia="Arial" w:hAnsi="Arial"/>
          <w:sz w:val="19"/>
          <w:szCs w:val="19"/>
          <w:color w:val="auto"/>
        </w:rPr>
      </w:pPr>
    </w:p>
    <w:p>
      <w:pPr>
        <w:spacing w:after="0" w:line="213" w:lineRule="exact"/>
        <w:rPr>
          <w:rFonts w:ascii="Arial" w:cs="Arial" w:eastAsia="Arial" w:hAnsi="Arial"/>
          <w:sz w:val="19"/>
          <w:szCs w:val="19"/>
          <w:color w:val="auto"/>
        </w:rPr>
      </w:pPr>
    </w:p>
    <w:p>
      <w:pPr>
        <w:jc w:val="both"/>
        <w:ind w:right="500" w:firstLine="980"/>
        <w:spacing w:after="0" w:line="253" w:lineRule="auto"/>
        <w:tabs>
          <w:tab w:leader="none" w:pos="1644" w:val="left"/>
        </w:tabs>
        <w:numPr>
          <w:ilvl w:val="0"/>
          <w:numId w:val="82"/>
        </w:numPr>
        <w:rPr>
          <w:rFonts w:ascii="Arial" w:cs="Arial" w:eastAsia="Arial" w:hAnsi="Arial"/>
          <w:sz w:val="22"/>
          <w:szCs w:val="22"/>
          <w:color w:val="auto"/>
        </w:rPr>
      </w:pPr>
      <w:r>
        <w:rPr>
          <w:rFonts w:ascii="Arial" w:cs="Arial" w:eastAsia="Arial" w:hAnsi="Arial"/>
          <w:sz w:val="22"/>
          <w:szCs w:val="22"/>
          <w:u w:val="single" w:color="auto"/>
          <w:color w:val="auto"/>
        </w:rPr>
        <w:t>Release Effectiveness</w:t>
      </w:r>
      <w:r>
        <w:rPr>
          <w:rFonts w:ascii="Arial" w:cs="Arial" w:eastAsia="Arial" w:hAnsi="Arial"/>
          <w:sz w:val="22"/>
          <w:szCs w:val="22"/>
          <w:i w:val="1"/>
          <w:iCs w:val="1"/>
          <w:color w:val="auto"/>
        </w:rPr>
        <w:t>.</w:t>
      </w:r>
      <w:r>
        <w:rPr>
          <w:rFonts w:ascii="Arial" w:cs="Arial" w:eastAsia="Arial" w:hAnsi="Arial"/>
          <w:sz w:val="22"/>
          <w:szCs w:val="22"/>
          <w:color w:val="auto"/>
        </w:rPr>
        <w:t xml:space="preserve"> 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-3-</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1220"/>
          </w:cols>
          <w:pgMar w:left="320" w:top="1440" w:right="359" w:bottom="1440" w:gutter="0" w:footer="0" w:header="0"/>
        </w:sectPr>
      </w:pPr>
    </w:p>
    <w:bookmarkStart w:id="115" w:name="page116"/>
    <w:bookmarkEnd w:id="115"/>
    <w:p>
      <w:pPr>
        <w:spacing w:after="0" w:line="204" w:lineRule="exact"/>
        <w:rPr>
          <w:sz w:val="20"/>
          <w:szCs w:val="20"/>
          <w:color w:val="auto"/>
        </w:rPr>
      </w:pPr>
    </w:p>
    <w:p>
      <w:pPr>
        <w:jc w:val="both"/>
        <w:ind w:right="240" w:firstLine="980"/>
        <w:spacing w:after="0" w:line="253" w:lineRule="auto"/>
        <w:tabs>
          <w:tab w:leader="none" w:pos="2304" w:val="left"/>
        </w:tabs>
        <w:numPr>
          <w:ilvl w:val="1"/>
          <w:numId w:val="83"/>
        </w:numPr>
        <w:rPr>
          <w:rFonts w:ascii="Arial" w:cs="Arial" w:eastAsia="Arial" w:hAnsi="Arial"/>
          <w:sz w:val="22"/>
          <w:szCs w:val="22"/>
          <w:color w:val="auto"/>
        </w:rPr>
      </w:pPr>
      <w:r>
        <w:rPr>
          <w:rFonts w:ascii="Arial" w:cs="Arial" w:eastAsia="Arial" w:hAnsi="Arial"/>
          <w:sz w:val="22"/>
          <w:szCs w:val="22"/>
          <w:u w:val="single" w:color="auto"/>
          <w:color w:val="auto"/>
        </w:rPr>
        <w:t>Timing of Severance Payments</w:t>
      </w:r>
      <w:r>
        <w:rPr>
          <w:rFonts w:ascii="Arial" w:cs="Arial" w:eastAsia="Arial" w:hAnsi="Arial"/>
          <w:sz w:val="22"/>
          <w:szCs w:val="22"/>
          <w:color w:val="auto"/>
        </w:rPr>
        <w:t>. Any cash severance payment to which Employee is entitled shall be paid by the Company to Employee in a single lump sum in cash on the first Company payroll after the Release Deadline Date, subject to any delay required by Section 3(f).</w:t>
      </w:r>
    </w:p>
    <w:p>
      <w:pPr>
        <w:spacing w:after="0" w:line="185" w:lineRule="exact"/>
        <w:rPr>
          <w:rFonts w:ascii="Arial" w:cs="Arial" w:eastAsia="Arial" w:hAnsi="Arial"/>
          <w:sz w:val="22"/>
          <w:szCs w:val="22"/>
          <w:color w:val="auto"/>
        </w:rPr>
      </w:pPr>
    </w:p>
    <w:p>
      <w:pPr>
        <w:jc w:val="both"/>
        <w:ind w:right="100" w:firstLine="980"/>
        <w:spacing w:after="0" w:line="271" w:lineRule="auto"/>
        <w:tabs>
          <w:tab w:leader="none" w:pos="2292" w:val="left"/>
        </w:tabs>
        <w:numPr>
          <w:ilvl w:val="1"/>
          <w:numId w:val="83"/>
        </w:numPr>
        <w:rPr>
          <w:rFonts w:ascii="Arial" w:cs="Arial" w:eastAsia="Arial" w:hAnsi="Arial"/>
          <w:sz w:val="21"/>
          <w:szCs w:val="21"/>
          <w:color w:val="auto"/>
        </w:rPr>
      </w:pPr>
      <w:r>
        <w:rPr>
          <w:rFonts w:ascii="Arial" w:cs="Arial" w:eastAsia="Arial" w:hAnsi="Arial"/>
          <w:sz w:val="21"/>
          <w:szCs w:val="21"/>
          <w:u w:val="single" w:color="auto"/>
          <w:color w:val="auto"/>
        </w:rPr>
        <w:t>Change of Control Benefits</w:t>
      </w:r>
      <w:r>
        <w:rPr>
          <w:rFonts w:ascii="Arial" w:cs="Arial" w:eastAsia="Arial" w:hAnsi="Arial"/>
          <w:sz w:val="21"/>
          <w:szCs w:val="21"/>
          <w:color w:val="auto"/>
        </w:rPr>
        <w:t>. In the event the Employee receives severance and other benefits pursuant to a change in control agreement that are greater than or equal to the amounts payable hereunder, then the Employee shall not be entitled to receive severance or any other benefits under this Agreement.</w:t>
      </w:r>
    </w:p>
    <w:p>
      <w:pPr>
        <w:spacing w:after="0" w:line="167" w:lineRule="exact"/>
        <w:rPr>
          <w:rFonts w:ascii="Arial" w:cs="Arial" w:eastAsia="Arial" w:hAnsi="Arial"/>
          <w:sz w:val="21"/>
          <w:szCs w:val="21"/>
          <w:color w:val="auto"/>
        </w:rPr>
      </w:pPr>
    </w:p>
    <w:p>
      <w:pPr>
        <w:ind w:left="1620" w:hanging="640"/>
        <w:spacing w:after="0"/>
        <w:tabs>
          <w:tab w:leader="none" w:pos="1620" w:val="left"/>
        </w:tabs>
        <w:numPr>
          <w:ilvl w:val="1"/>
          <w:numId w:val="83"/>
        </w:numPr>
        <w:rPr>
          <w:rFonts w:ascii="Arial" w:cs="Arial" w:eastAsia="Arial" w:hAnsi="Arial"/>
          <w:sz w:val="22"/>
          <w:szCs w:val="22"/>
          <w:color w:val="auto"/>
        </w:rPr>
      </w:pPr>
      <w:r>
        <w:rPr>
          <w:rFonts w:ascii="Arial" w:cs="Arial" w:eastAsia="Arial" w:hAnsi="Arial"/>
          <w:sz w:val="22"/>
          <w:szCs w:val="22"/>
          <w:u w:val="single" w:color="auto"/>
          <w:color w:val="auto"/>
        </w:rPr>
        <w:t>Section 409A</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ind w:firstLine="1628"/>
        <w:spacing w:after="0" w:line="284" w:lineRule="auto"/>
        <w:tabs>
          <w:tab w:leader="none" w:pos="2472" w:val="left"/>
        </w:tabs>
        <w:numPr>
          <w:ilvl w:val="2"/>
          <w:numId w:val="83"/>
        </w:numPr>
        <w:rPr>
          <w:rFonts w:ascii="Arial" w:cs="Arial" w:eastAsia="Arial" w:hAnsi="Arial"/>
          <w:sz w:val="19"/>
          <w:szCs w:val="19"/>
          <w:color w:val="auto"/>
        </w:rPr>
      </w:pPr>
      <w:r>
        <w:rPr>
          <w:rFonts w:ascii="Arial" w:cs="Arial" w:eastAsia="Arial" w:hAnsi="Arial"/>
          <w:sz w:val="19"/>
          <w:szCs w:val="19"/>
          <w:color w:val="auto"/>
        </w:rPr>
        <w:t>Notwithstanding anything to the contrary in this Agreement, if Employee is a “specified employee” within the meaning of Section 409A of the Internal Revenue Code of 1986, as amended (the “Code”) and the final regulations and any guidance promulgated thereunder (“Section 409A”) at the time of Employee’s termination (other than due to death) or resignation, then the severance payable to Employee, if any, pursuant to this Agreement, when considered together with any other severance payments or separation benefits that are considered deferred compensation under Section 409A (together, the “Deferred Compensation Separation Benefits”) that are payable within the first six (6) months following Employee’s termination of employment, will become payable on or within ten days following the first payroll date that occurs on or after the date six</w:t>
      </w:r>
    </w:p>
    <w:p>
      <w:pPr>
        <w:spacing w:after="0" w:line="3" w:lineRule="exact"/>
        <w:rPr>
          <w:rFonts w:ascii="Arial" w:cs="Arial" w:eastAsia="Arial" w:hAnsi="Arial"/>
          <w:sz w:val="19"/>
          <w:szCs w:val="19"/>
          <w:color w:val="auto"/>
        </w:rPr>
      </w:pPr>
    </w:p>
    <w:p>
      <w:pPr>
        <w:ind w:firstLine="8"/>
        <w:spacing w:after="0" w:line="243" w:lineRule="auto"/>
        <w:tabs>
          <w:tab w:leader="none" w:pos="306" w:val="left"/>
        </w:tabs>
        <w:numPr>
          <w:ilvl w:val="0"/>
          <w:numId w:val="84"/>
        </w:numPr>
        <w:rPr>
          <w:rFonts w:ascii="Arial" w:cs="Arial" w:eastAsia="Arial" w:hAnsi="Arial"/>
          <w:sz w:val="22"/>
          <w:szCs w:val="22"/>
          <w:color w:val="auto"/>
        </w:rPr>
      </w:pPr>
      <w:r>
        <w:rPr>
          <w:rFonts w:ascii="Arial" w:cs="Arial" w:eastAsia="Arial" w:hAnsi="Arial"/>
          <w:sz w:val="22"/>
          <w:szCs w:val="22"/>
          <w:color w:val="auto"/>
        </w:rPr>
        <w:t>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 (6) 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 benefit. Each payment and benefit payable under this Agreement is intended to constitute separate payments for purposes of Section 1.409A-2(b)(2) of the Treasury Regulations.</w:t>
      </w:r>
    </w:p>
    <w:p>
      <w:pPr>
        <w:spacing w:after="0" w:line="201" w:lineRule="exact"/>
        <w:rPr>
          <w:rFonts w:ascii="Arial" w:cs="Arial" w:eastAsia="Arial" w:hAnsi="Arial"/>
          <w:sz w:val="22"/>
          <w:szCs w:val="22"/>
          <w:color w:val="auto"/>
        </w:rPr>
      </w:pPr>
    </w:p>
    <w:p>
      <w:pPr>
        <w:ind w:right="220" w:firstLine="1628"/>
        <w:spacing w:after="0" w:line="253" w:lineRule="auto"/>
        <w:tabs>
          <w:tab w:leader="none" w:pos="2520" w:val="left"/>
        </w:tabs>
        <w:numPr>
          <w:ilvl w:val="2"/>
          <w:numId w:val="84"/>
        </w:numPr>
        <w:rPr>
          <w:rFonts w:ascii="Arial" w:cs="Arial" w:eastAsia="Arial" w:hAnsi="Arial"/>
          <w:sz w:val="22"/>
          <w:szCs w:val="22"/>
          <w:color w:val="auto"/>
        </w:rPr>
      </w:pPr>
      <w:r>
        <w:rPr>
          <w:rFonts w:ascii="Arial" w:cs="Arial" w:eastAsia="Arial" w:hAnsi="Arial"/>
          <w:sz w:val="22"/>
          <w:szCs w:val="22"/>
          <w:color w:val="auto"/>
        </w:rPr>
        <w:t>Any amount paid under this Agreement that satisfies the requirements of the “short-term deferral” rule set forth in Section 1.409A-1(b)(4) of the Treasury Regulations shall not constitute Deferred Compensation Separation Benefits for purposes of clause (i) above.</w:t>
      </w:r>
    </w:p>
    <w:p>
      <w:pPr>
        <w:spacing w:after="0" w:line="185" w:lineRule="exact"/>
        <w:rPr>
          <w:rFonts w:ascii="Arial" w:cs="Arial" w:eastAsia="Arial" w:hAnsi="Arial"/>
          <w:sz w:val="22"/>
          <w:szCs w:val="22"/>
          <w:color w:val="auto"/>
        </w:rPr>
      </w:pPr>
    </w:p>
    <w:p>
      <w:pPr>
        <w:ind w:right="300" w:firstLine="1628"/>
        <w:spacing w:after="0" w:line="285" w:lineRule="auto"/>
        <w:tabs>
          <w:tab w:leader="none" w:pos="2580" w:val="left"/>
        </w:tabs>
        <w:numPr>
          <w:ilvl w:val="2"/>
          <w:numId w:val="84"/>
        </w:numPr>
        <w:rPr>
          <w:rFonts w:ascii="Arial" w:cs="Arial" w:eastAsia="Arial" w:hAnsi="Arial"/>
          <w:sz w:val="19"/>
          <w:szCs w:val="19"/>
          <w:color w:val="auto"/>
        </w:rPr>
      </w:pPr>
      <w:r>
        <w:rPr>
          <w:rFonts w:ascii="Arial" w:cs="Arial" w:eastAsia="Arial" w:hAnsi="Arial"/>
          <w:sz w:val="19"/>
          <w:szCs w:val="19"/>
          <w:color w:val="auto"/>
        </w:rPr>
        <w:t>Any amount paid under this Agreement that qualifies as a payment made as a result of an involuntary separation from service pursuant to Section 1.409A-1(b)(9)(iii)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w:t>
      </w:r>
    </w:p>
    <w:p>
      <w:pPr>
        <w:ind w:right="260" w:firstLine="8"/>
        <w:spacing w:after="0" w:line="245" w:lineRule="auto"/>
        <w:tabs>
          <w:tab w:leader="none" w:pos="306" w:val="left"/>
        </w:tabs>
        <w:numPr>
          <w:ilvl w:val="0"/>
          <w:numId w:val="85"/>
        </w:numPr>
        <w:rPr>
          <w:rFonts w:ascii="Arial" w:cs="Arial" w:eastAsia="Arial" w:hAnsi="Arial"/>
          <w:sz w:val="22"/>
          <w:szCs w:val="22"/>
          <w:color w:val="auto"/>
        </w:rPr>
      </w:pPr>
      <w:r>
        <w:rPr>
          <w:rFonts w:ascii="Arial" w:cs="Arial" w:eastAsia="Arial" w:hAnsi="Arial"/>
          <w:sz w:val="22"/>
          <w:szCs w:val="22"/>
          <w:color w:val="auto"/>
        </w:rPr>
        <w:t>and any Internal Revenue Service guidance issued with respect thereto; or (ii) the maximum amount that may be taken into account under a qualified plan pursuant to Section 401(a)(17) of the Code for the year in which Employee’s employment is terminated.</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-4-</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1220"/>
          </w:cols>
          <w:pgMar w:left="320" w:top="1440" w:right="359" w:bottom="1440" w:gutter="0" w:footer="0" w:header="0"/>
        </w:sectPr>
      </w:pPr>
    </w:p>
    <w:bookmarkStart w:id="116" w:name="page117"/>
    <w:bookmarkEnd w:id="116"/>
    <w:p>
      <w:pPr>
        <w:spacing w:after="0" w:line="204" w:lineRule="exact"/>
        <w:rPr>
          <w:sz w:val="20"/>
          <w:szCs w:val="20"/>
          <w:color w:val="auto"/>
        </w:rPr>
      </w:pPr>
    </w:p>
    <w:p>
      <w:pPr>
        <w:ind w:firstLine="1628"/>
        <w:spacing w:after="0" w:line="297" w:lineRule="auto"/>
        <w:tabs>
          <w:tab w:leader="none" w:pos="2576" w:val="left"/>
        </w:tabs>
        <w:numPr>
          <w:ilvl w:val="1"/>
          <w:numId w:val="86"/>
        </w:numPr>
        <w:rPr>
          <w:rFonts w:ascii="Arial" w:cs="Arial" w:eastAsia="Arial" w:hAnsi="Arial"/>
          <w:sz w:val="19"/>
          <w:szCs w:val="19"/>
          <w:color w:val="auto"/>
        </w:rPr>
      </w:pPr>
      <w:r>
        <w:rPr>
          <w:rFonts w:ascii="Arial" w:cs="Arial" w:eastAsia="Arial" w:hAnsi="Arial"/>
          <w:sz w:val="19"/>
          <w:szCs w:val="19"/>
          <w:color w:val="auto"/>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spacing w:after="0" w:line="146" w:lineRule="exact"/>
        <w:rPr>
          <w:rFonts w:ascii="Arial" w:cs="Arial" w:eastAsia="Arial" w:hAnsi="Arial"/>
          <w:sz w:val="19"/>
          <w:szCs w:val="19"/>
          <w:color w:val="auto"/>
        </w:rPr>
      </w:pPr>
    </w:p>
    <w:p>
      <w:pPr>
        <w:ind w:left="1580" w:hanging="600"/>
        <w:spacing w:after="0"/>
        <w:tabs>
          <w:tab w:leader="none" w:pos="1580" w:val="left"/>
        </w:tabs>
        <w:numPr>
          <w:ilvl w:val="0"/>
          <w:numId w:val="87"/>
        </w:numPr>
        <w:rPr>
          <w:rFonts w:ascii="Arial" w:cs="Arial" w:eastAsia="Arial" w:hAnsi="Arial"/>
          <w:sz w:val="22"/>
          <w:szCs w:val="22"/>
          <w:color w:val="auto"/>
        </w:rPr>
      </w:pPr>
      <w:r>
        <w:rPr>
          <w:rFonts w:ascii="Arial" w:cs="Arial" w:eastAsia="Arial" w:hAnsi="Arial"/>
          <w:sz w:val="22"/>
          <w:szCs w:val="22"/>
          <w:u w:val="single" w:color="auto"/>
          <w:color w:val="auto"/>
        </w:rPr>
        <w:t>Successors</w:t>
      </w:r>
      <w:r>
        <w:rPr>
          <w:rFonts w:ascii="Arial" w:cs="Arial" w:eastAsia="Arial" w:hAnsi="Arial"/>
          <w:sz w:val="22"/>
          <w:szCs w:val="22"/>
          <w:color w:val="auto"/>
        </w:rPr>
        <w:t>.</w:t>
      </w:r>
    </w:p>
    <w:p>
      <w:pPr>
        <w:spacing w:after="0" w:line="220" w:lineRule="exact"/>
        <w:rPr>
          <w:sz w:val="20"/>
          <w:szCs w:val="20"/>
          <w:color w:val="auto"/>
        </w:rPr>
      </w:pPr>
    </w:p>
    <w:p>
      <w:pPr>
        <w:ind w:right="20" w:firstLine="1628"/>
        <w:spacing w:after="0" w:line="290" w:lineRule="auto"/>
        <w:tabs>
          <w:tab w:leader="none" w:pos="2292" w:val="left"/>
        </w:tabs>
        <w:numPr>
          <w:ilvl w:val="0"/>
          <w:numId w:val="88"/>
        </w:numPr>
        <w:rPr>
          <w:rFonts w:ascii="Arial" w:cs="Arial" w:eastAsia="Arial" w:hAnsi="Arial"/>
          <w:sz w:val="19"/>
          <w:szCs w:val="19"/>
          <w:color w:val="auto"/>
        </w:rPr>
      </w:pPr>
      <w:r>
        <w:rPr>
          <w:rFonts w:ascii="Arial" w:cs="Arial" w:eastAsia="Arial" w:hAnsi="Arial"/>
          <w:sz w:val="19"/>
          <w:szCs w:val="19"/>
          <w:u w:val="single" w:color="auto"/>
          <w:color w:val="auto"/>
        </w:rPr>
        <w:t>The Company’s Successors</w:t>
      </w:r>
      <w:r>
        <w:rPr>
          <w:rFonts w:ascii="Arial" w:cs="Arial" w:eastAsia="Arial" w:hAnsi="Arial"/>
          <w:sz w:val="19"/>
          <w:szCs w:val="19"/>
          <w:color w:val="auto"/>
        </w:rPr>
        <w:t>. Any successor to the Company (whether direct or indirect and whether by purchase, merger, consolidation, liquidation or otherwise) to all or substantially all of the Company’s business and/or assets shall assume the obligations under 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 or Marvell.</w:t>
      </w:r>
    </w:p>
    <w:p>
      <w:pPr>
        <w:spacing w:after="0" w:line="155" w:lineRule="exact"/>
        <w:rPr>
          <w:rFonts w:ascii="Arial" w:cs="Arial" w:eastAsia="Arial" w:hAnsi="Arial"/>
          <w:sz w:val="19"/>
          <w:szCs w:val="19"/>
          <w:color w:val="auto"/>
        </w:rPr>
      </w:pPr>
    </w:p>
    <w:p>
      <w:pPr>
        <w:ind w:left="2740" w:hanging="1112"/>
        <w:spacing w:after="0"/>
        <w:tabs>
          <w:tab w:leader="none" w:pos="2740" w:val="left"/>
        </w:tabs>
        <w:numPr>
          <w:ilvl w:val="0"/>
          <w:numId w:val="88"/>
        </w:numPr>
        <w:rPr>
          <w:rFonts w:ascii="Arial" w:cs="Arial" w:eastAsia="Arial" w:hAnsi="Arial"/>
          <w:sz w:val="22"/>
          <w:szCs w:val="22"/>
          <w:color w:val="auto"/>
        </w:rPr>
      </w:pPr>
      <w:r>
        <w:rPr>
          <w:rFonts w:ascii="Arial" w:cs="Arial" w:eastAsia="Arial" w:hAnsi="Arial"/>
          <w:sz w:val="22"/>
          <w:szCs w:val="22"/>
          <w:u w:val="single" w:color="auto"/>
          <w:color w:val="auto"/>
        </w:rPr>
        <w:t>The Employee’s Successors</w:t>
      </w:r>
      <w:r>
        <w:rPr>
          <w:rFonts w:ascii="Arial" w:cs="Arial" w:eastAsia="Arial" w:hAnsi="Arial"/>
          <w:sz w:val="22"/>
          <w:szCs w:val="22"/>
          <w:color w:val="auto"/>
        </w:rPr>
        <w:t>. The terms of this Agreement and all rights</w:t>
      </w:r>
    </w:p>
    <w:p>
      <w:pPr>
        <w:spacing w:after="0" w:line="21" w:lineRule="exact"/>
        <w:rPr>
          <w:sz w:val="20"/>
          <w:szCs w:val="20"/>
          <w:color w:val="auto"/>
        </w:rPr>
      </w:pPr>
    </w:p>
    <w:p>
      <w:pPr>
        <w:ind w:right="140"/>
        <w:spacing w:after="0" w:line="246" w:lineRule="auto"/>
        <w:rPr>
          <w:sz w:val="20"/>
          <w:szCs w:val="20"/>
          <w:color w:val="auto"/>
        </w:rPr>
      </w:pPr>
      <w:r>
        <w:rPr>
          <w:rFonts w:ascii="Arial" w:cs="Arial" w:eastAsia="Arial" w:hAnsi="Arial"/>
          <w:sz w:val="22"/>
          <w:szCs w:val="22"/>
          <w:color w:val="auto"/>
        </w:rPr>
        <w:t>of the Employee hereunder shall inure to the benefit of, and be enforceable by, the Employee’s personal or legal representatives, executors, administrators, successors, heirs, distributees, devisees and legatees.</w:t>
      </w:r>
    </w:p>
    <w:p>
      <w:pPr>
        <w:spacing w:after="0" w:line="192" w:lineRule="exact"/>
        <w:rPr>
          <w:sz w:val="20"/>
          <w:szCs w:val="20"/>
          <w:color w:val="auto"/>
        </w:rPr>
      </w:pPr>
    </w:p>
    <w:p>
      <w:pPr>
        <w:ind w:right="60" w:firstLine="980"/>
        <w:spacing w:after="0" w:line="245" w:lineRule="auto"/>
        <w:tabs>
          <w:tab w:leader="none" w:pos="1566" w:val="left"/>
        </w:tabs>
        <w:numPr>
          <w:ilvl w:val="0"/>
          <w:numId w:val="89"/>
        </w:numPr>
        <w:rPr>
          <w:rFonts w:ascii="Arial" w:cs="Arial" w:eastAsia="Arial" w:hAnsi="Arial"/>
          <w:sz w:val="22"/>
          <w:szCs w:val="22"/>
          <w:color w:val="auto"/>
        </w:rPr>
      </w:pPr>
      <w:r>
        <w:rPr>
          <w:rFonts w:ascii="Arial" w:cs="Arial" w:eastAsia="Arial" w:hAnsi="Arial"/>
          <w:sz w:val="22"/>
          <w:szCs w:val="22"/>
          <w:u w:val="single" w:color="auto"/>
          <w:color w:val="auto"/>
        </w:rPr>
        <w:t>Notice</w:t>
      </w:r>
      <w:r>
        <w:rPr>
          <w:rFonts w:ascii="Arial" w:cs="Arial" w:eastAsia="Arial" w:hAnsi="Arial"/>
          <w:sz w:val="22"/>
          <w:szCs w:val="22"/>
          <w:color w:val="auto"/>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 delivered by hand, (c) one (1) business day after the business day of deposit with Federal Express or similar overnight courier, freight prepaid or (d) one (1) business day after the business day of facsimile transmission, if delivered by facsimile transmission with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 (10) days’ advance written notice to the other party pursuant to the provisions above.</w:t>
      </w:r>
    </w:p>
    <w:p>
      <w:pPr>
        <w:spacing w:after="0" w:line="200" w:lineRule="exact"/>
        <w:rPr>
          <w:rFonts w:ascii="Arial" w:cs="Arial" w:eastAsia="Arial" w:hAnsi="Arial"/>
          <w:sz w:val="22"/>
          <w:szCs w:val="22"/>
          <w:color w:val="auto"/>
        </w:rPr>
      </w:pPr>
    </w:p>
    <w:p>
      <w:pPr>
        <w:ind w:left="1580" w:hanging="600"/>
        <w:spacing w:after="0"/>
        <w:tabs>
          <w:tab w:leader="none" w:pos="1580" w:val="left"/>
        </w:tabs>
        <w:numPr>
          <w:ilvl w:val="0"/>
          <w:numId w:val="89"/>
        </w:numPr>
        <w:rPr>
          <w:rFonts w:ascii="Arial" w:cs="Arial" w:eastAsia="Arial" w:hAnsi="Arial"/>
          <w:sz w:val="22"/>
          <w:szCs w:val="22"/>
          <w:color w:val="auto"/>
        </w:rPr>
      </w:pPr>
      <w:r>
        <w:rPr>
          <w:rFonts w:ascii="Arial" w:cs="Arial" w:eastAsia="Arial" w:hAnsi="Arial"/>
          <w:sz w:val="22"/>
          <w:szCs w:val="22"/>
          <w:u w:val="single" w:color="auto"/>
          <w:color w:val="auto"/>
        </w:rPr>
        <w:t>Miscellaneous Provisions</w:t>
      </w:r>
      <w:r>
        <w:rPr>
          <w:rFonts w:ascii="Arial" w:cs="Arial" w:eastAsia="Arial" w:hAnsi="Arial"/>
          <w:sz w:val="22"/>
          <w:szCs w:val="22"/>
          <w:color w:val="auto"/>
        </w:rPr>
        <w:t>.</w:t>
      </w:r>
    </w:p>
    <w:p>
      <w:pPr>
        <w:spacing w:after="0" w:line="219" w:lineRule="exact"/>
        <w:rPr>
          <w:rFonts w:ascii="Arial" w:cs="Arial" w:eastAsia="Arial" w:hAnsi="Arial"/>
          <w:sz w:val="22"/>
          <w:szCs w:val="22"/>
          <w:color w:val="auto"/>
        </w:rPr>
      </w:pPr>
    </w:p>
    <w:p>
      <w:pPr>
        <w:jc w:val="both"/>
        <w:ind w:right="300" w:firstLine="1628"/>
        <w:spacing w:after="0" w:line="253" w:lineRule="auto"/>
        <w:tabs>
          <w:tab w:leader="none" w:pos="2508" w:val="left"/>
        </w:tabs>
        <w:numPr>
          <w:ilvl w:val="1"/>
          <w:numId w:val="89"/>
        </w:numPr>
        <w:rPr>
          <w:rFonts w:ascii="Arial" w:cs="Arial" w:eastAsia="Arial" w:hAnsi="Arial"/>
          <w:sz w:val="22"/>
          <w:szCs w:val="22"/>
          <w:color w:val="auto"/>
        </w:rPr>
      </w:pPr>
      <w:r>
        <w:rPr>
          <w:rFonts w:ascii="Arial" w:cs="Arial" w:eastAsia="Arial" w:hAnsi="Arial"/>
          <w:sz w:val="22"/>
          <w:szCs w:val="22"/>
          <w:u w:val="single" w:color="auto"/>
          <w:color w:val="auto"/>
        </w:rPr>
        <w:t>No Duty to Mitigate</w:t>
      </w:r>
      <w:r>
        <w:rPr>
          <w:rFonts w:ascii="Arial" w:cs="Arial" w:eastAsia="Arial" w:hAnsi="Arial"/>
          <w:sz w:val="22"/>
          <w:szCs w:val="22"/>
          <w:color w:val="auto"/>
        </w:rPr>
        <w:t>. The Employee shall not be required to mitigate the amount of any payment contemplated by this Agreement, nor shall any such payment be reduced by any earnings that the Employee may receive from any other source.</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-5-</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1220"/>
          </w:cols>
          <w:pgMar w:left="320" w:top="1440" w:right="359" w:bottom="1440" w:gutter="0" w:footer="0" w:header="0"/>
        </w:sectPr>
      </w:pPr>
    </w:p>
    <w:bookmarkStart w:id="117" w:name="page118"/>
    <w:bookmarkEnd w:id="117"/>
    <w:p>
      <w:pPr>
        <w:spacing w:after="0" w:line="204" w:lineRule="exact"/>
        <w:rPr>
          <w:sz w:val="20"/>
          <w:szCs w:val="20"/>
          <w:color w:val="auto"/>
        </w:rPr>
      </w:pPr>
    </w:p>
    <w:p>
      <w:pPr>
        <w:ind w:right="360" w:firstLine="1628"/>
        <w:spacing w:after="0" w:line="248" w:lineRule="auto"/>
        <w:tabs>
          <w:tab w:leader="none" w:pos="2520" w:val="left"/>
        </w:tabs>
        <w:numPr>
          <w:ilvl w:val="0"/>
          <w:numId w:val="90"/>
        </w:numPr>
        <w:rPr>
          <w:rFonts w:ascii="Arial" w:cs="Arial" w:eastAsia="Arial" w:hAnsi="Arial"/>
          <w:sz w:val="22"/>
          <w:szCs w:val="22"/>
          <w:color w:val="auto"/>
        </w:rPr>
      </w:pPr>
      <w:r>
        <w:rPr>
          <w:rFonts w:ascii="Arial" w:cs="Arial" w:eastAsia="Arial" w:hAnsi="Arial"/>
          <w:sz w:val="22"/>
          <w:szCs w:val="22"/>
          <w:u w:val="single" w:color="auto"/>
          <w:color w:val="auto"/>
        </w:rPr>
        <w:t>Waiver</w:t>
      </w:r>
      <w:r>
        <w:rPr>
          <w:rFonts w:ascii="Arial" w:cs="Arial" w:eastAsia="Arial" w:hAnsi="Arial"/>
          <w:sz w:val="22"/>
          <w:szCs w:val="22"/>
          <w:color w:val="auto"/>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spacing w:after="0" w:line="191" w:lineRule="exact"/>
        <w:rPr>
          <w:rFonts w:ascii="Arial" w:cs="Arial" w:eastAsia="Arial" w:hAnsi="Arial"/>
          <w:sz w:val="22"/>
          <w:szCs w:val="22"/>
          <w:color w:val="auto"/>
        </w:rPr>
      </w:pPr>
    </w:p>
    <w:p>
      <w:pPr>
        <w:ind w:right="360" w:firstLine="1628"/>
        <w:spacing w:after="0" w:line="263" w:lineRule="auto"/>
        <w:tabs>
          <w:tab w:leader="none" w:pos="2508" w:val="left"/>
        </w:tabs>
        <w:numPr>
          <w:ilvl w:val="0"/>
          <w:numId w:val="90"/>
        </w:numPr>
        <w:rPr>
          <w:rFonts w:ascii="Arial" w:cs="Arial" w:eastAsia="Arial" w:hAnsi="Arial"/>
          <w:sz w:val="22"/>
          <w:szCs w:val="22"/>
          <w:color w:val="auto"/>
        </w:rPr>
      </w:pPr>
      <w:r>
        <w:rPr>
          <w:rFonts w:ascii="Arial" w:cs="Arial" w:eastAsia="Arial" w:hAnsi="Arial"/>
          <w:sz w:val="22"/>
          <w:szCs w:val="22"/>
          <w:u w:val="single" w:color="auto"/>
          <w:color w:val="auto"/>
        </w:rPr>
        <w:t>Headings</w:t>
      </w:r>
      <w:r>
        <w:rPr>
          <w:rFonts w:ascii="Arial" w:cs="Arial" w:eastAsia="Arial" w:hAnsi="Arial"/>
          <w:sz w:val="22"/>
          <w:szCs w:val="22"/>
          <w:color w:val="auto"/>
        </w:rPr>
        <w:t>. All captions and section headings used in this Agreement are for convenient reference only and do not form a part of this Agreement.</w:t>
      </w:r>
    </w:p>
    <w:p>
      <w:pPr>
        <w:spacing w:after="0" w:line="174" w:lineRule="exact"/>
        <w:rPr>
          <w:rFonts w:ascii="Arial" w:cs="Arial" w:eastAsia="Arial" w:hAnsi="Arial"/>
          <w:sz w:val="22"/>
          <w:szCs w:val="22"/>
          <w:color w:val="auto"/>
        </w:rPr>
      </w:pPr>
    </w:p>
    <w:p>
      <w:pPr>
        <w:ind w:right="360" w:firstLine="1628"/>
        <w:spacing w:after="0" w:line="302" w:lineRule="auto"/>
        <w:tabs>
          <w:tab w:leader="none" w:pos="2520" w:val="left"/>
        </w:tabs>
        <w:numPr>
          <w:ilvl w:val="0"/>
          <w:numId w:val="90"/>
        </w:numPr>
        <w:rPr>
          <w:rFonts w:ascii="Arial" w:cs="Arial" w:eastAsia="Arial" w:hAnsi="Arial"/>
          <w:sz w:val="19"/>
          <w:szCs w:val="19"/>
          <w:color w:val="auto"/>
        </w:rPr>
      </w:pPr>
      <w:r>
        <w:rPr>
          <w:rFonts w:ascii="Arial" w:cs="Arial" w:eastAsia="Arial" w:hAnsi="Arial"/>
          <w:sz w:val="19"/>
          <w:szCs w:val="19"/>
          <w:u w:val="single" w:color="auto"/>
          <w:color w:val="auto"/>
        </w:rPr>
        <w:t>Entire Agreement</w:t>
      </w:r>
      <w:r>
        <w:rPr>
          <w:rFonts w:ascii="Arial" w:cs="Arial" w:eastAsia="Arial" w:hAnsi="Arial"/>
          <w:sz w:val="19"/>
          <w:szCs w:val="19"/>
          <w:color w:val="auto"/>
        </w:rPr>
        <w:t>. This Agreement constitutes the entire agreement of the parties hereto and supersedes in their entirety all prior representations, understandings, undertakings or agreements (whether oral or written and whether expressed or implied) of the parties with respect to the subject matter hereof; provided, however, that any accelerated vesting related to termination of employment described in the Employment Agreement will continue to apply.</w:t>
      </w:r>
    </w:p>
    <w:p>
      <w:pPr>
        <w:spacing w:after="0" w:line="142" w:lineRule="exact"/>
        <w:rPr>
          <w:rFonts w:ascii="Arial" w:cs="Arial" w:eastAsia="Arial" w:hAnsi="Arial"/>
          <w:sz w:val="19"/>
          <w:szCs w:val="19"/>
          <w:color w:val="auto"/>
        </w:rPr>
      </w:pPr>
    </w:p>
    <w:p>
      <w:pPr>
        <w:jc w:val="both"/>
        <w:ind w:firstLine="1628"/>
        <w:spacing w:after="0" w:line="250" w:lineRule="auto"/>
        <w:tabs>
          <w:tab w:leader="none" w:pos="2508" w:val="left"/>
        </w:tabs>
        <w:numPr>
          <w:ilvl w:val="0"/>
          <w:numId w:val="90"/>
        </w:numPr>
        <w:rPr>
          <w:rFonts w:ascii="Arial" w:cs="Arial" w:eastAsia="Arial" w:hAnsi="Arial"/>
          <w:sz w:val="22"/>
          <w:szCs w:val="22"/>
          <w:color w:val="auto"/>
        </w:rPr>
      </w:pPr>
      <w:r>
        <w:rPr>
          <w:rFonts w:ascii="Arial" w:cs="Arial" w:eastAsia="Arial" w:hAnsi="Arial"/>
          <w:sz w:val="22"/>
          <w:szCs w:val="22"/>
          <w:u w:val="single" w:color="auto"/>
          <w:color w:val="auto"/>
        </w:rPr>
        <w:t>Choice of Law</w:t>
      </w:r>
      <w:r>
        <w:rPr>
          <w:rFonts w:ascii="Arial" w:cs="Arial" w:eastAsia="Arial" w:hAnsi="Arial"/>
          <w:sz w:val="22"/>
          <w:szCs w:val="22"/>
          <w:color w:val="auto"/>
        </w:rPr>
        <w:t>. The validity, interpretation, construction and performance of this Agreement shall be governed by the laws of the State of California. The Superior Court of Santa Clara County and/or the United States District Court for the Northern District of California shall have exclusive jurisdiction and venue over all controversies in connection with this Agreement.</w:t>
      </w:r>
    </w:p>
    <w:p>
      <w:pPr>
        <w:spacing w:after="0" w:line="187" w:lineRule="exact"/>
        <w:rPr>
          <w:rFonts w:ascii="Arial" w:cs="Arial" w:eastAsia="Arial" w:hAnsi="Arial"/>
          <w:sz w:val="22"/>
          <w:szCs w:val="22"/>
          <w:color w:val="auto"/>
        </w:rPr>
      </w:pPr>
    </w:p>
    <w:p>
      <w:pPr>
        <w:ind w:right="400" w:firstLine="1628"/>
        <w:spacing w:after="0" w:line="343" w:lineRule="auto"/>
        <w:tabs>
          <w:tab w:leader="none" w:pos="2484" w:val="left"/>
        </w:tabs>
        <w:numPr>
          <w:ilvl w:val="0"/>
          <w:numId w:val="90"/>
        </w:numPr>
        <w:rPr>
          <w:rFonts w:ascii="Arial" w:cs="Arial" w:eastAsia="Arial" w:hAnsi="Arial"/>
          <w:sz w:val="19"/>
          <w:szCs w:val="19"/>
          <w:color w:val="auto"/>
        </w:rPr>
      </w:pPr>
      <w:r>
        <w:rPr>
          <w:rFonts w:ascii="Arial" w:cs="Arial" w:eastAsia="Arial" w:hAnsi="Arial"/>
          <w:sz w:val="19"/>
          <w:szCs w:val="19"/>
          <w:u w:val="single" w:color="auto"/>
          <w:color w:val="auto"/>
        </w:rPr>
        <w:t>Severability</w:t>
      </w:r>
      <w:r>
        <w:rPr>
          <w:rFonts w:ascii="Arial" w:cs="Arial" w:eastAsia="Arial" w:hAnsi="Arial"/>
          <w:sz w:val="19"/>
          <w:szCs w:val="19"/>
          <w:color w:val="auto"/>
        </w:rPr>
        <w:t>. The invalidity or unenforceability of any provision or provisions of this Agreement shall not affect the validity or enforceability of any other provision hereof, which shall remain in full force and effect.</w:t>
      </w:r>
    </w:p>
    <w:p>
      <w:pPr>
        <w:spacing w:after="0" w:line="104" w:lineRule="exact"/>
        <w:rPr>
          <w:rFonts w:ascii="Arial" w:cs="Arial" w:eastAsia="Arial" w:hAnsi="Arial"/>
          <w:sz w:val="19"/>
          <w:szCs w:val="19"/>
          <w:color w:val="auto"/>
        </w:rPr>
      </w:pPr>
    </w:p>
    <w:p>
      <w:pPr>
        <w:ind w:right="580" w:firstLine="1628"/>
        <w:spacing w:after="0" w:line="263" w:lineRule="auto"/>
        <w:tabs>
          <w:tab w:leader="none" w:pos="2520" w:val="left"/>
        </w:tabs>
        <w:numPr>
          <w:ilvl w:val="0"/>
          <w:numId w:val="90"/>
        </w:numPr>
        <w:rPr>
          <w:rFonts w:ascii="Arial" w:cs="Arial" w:eastAsia="Arial" w:hAnsi="Arial"/>
          <w:sz w:val="22"/>
          <w:szCs w:val="22"/>
          <w:color w:val="auto"/>
        </w:rPr>
      </w:pPr>
      <w:r>
        <w:rPr>
          <w:rFonts w:ascii="Arial" w:cs="Arial" w:eastAsia="Arial" w:hAnsi="Arial"/>
          <w:sz w:val="22"/>
          <w:szCs w:val="22"/>
          <w:u w:val="single" w:color="auto"/>
          <w:color w:val="auto"/>
        </w:rPr>
        <w:t>Withholding</w:t>
      </w:r>
      <w:r>
        <w:rPr>
          <w:rFonts w:ascii="Arial" w:cs="Arial" w:eastAsia="Arial" w:hAnsi="Arial"/>
          <w:sz w:val="22"/>
          <w:szCs w:val="22"/>
          <w:color w:val="auto"/>
        </w:rPr>
        <w:t>. All payments made pursuant to this Agreement will be subject to withholding of applicable income and employment taxes.</w:t>
      </w:r>
    </w:p>
    <w:p>
      <w:pPr>
        <w:spacing w:after="0" w:line="174" w:lineRule="exact"/>
        <w:rPr>
          <w:rFonts w:ascii="Arial" w:cs="Arial" w:eastAsia="Arial" w:hAnsi="Arial"/>
          <w:sz w:val="22"/>
          <w:szCs w:val="22"/>
          <w:color w:val="auto"/>
        </w:rPr>
      </w:pPr>
    </w:p>
    <w:p>
      <w:pPr>
        <w:ind w:right="220" w:firstLine="1628"/>
        <w:spacing w:after="0" w:line="263" w:lineRule="auto"/>
        <w:tabs>
          <w:tab w:leader="none" w:pos="2520" w:val="left"/>
        </w:tabs>
        <w:numPr>
          <w:ilvl w:val="0"/>
          <w:numId w:val="90"/>
        </w:numPr>
        <w:rPr>
          <w:rFonts w:ascii="Arial" w:cs="Arial" w:eastAsia="Arial" w:hAnsi="Arial"/>
          <w:sz w:val="22"/>
          <w:szCs w:val="22"/>
          <w:color w:val="auto"/>
        </w:rPr>
      </w:pPr>
      <w:r>
        <w:rPr>
          <w:rFonts w:ascii="Arial" w:cs="Arial" w:eastAsia="Arial" w:hAnsi="Arial"/>
          <w:sz w:val="22"/>
          <w:szCs w:val="22"/>
          <w:u w:val="single" w:color="auto"/>
          <w:color w:val="auto"/>
        </w:rPr>
        <w:t>Counterparts</w:t>
      </w:r>
      <w:r>
        <w:rPr>
          <w:rFonts w:ascii="Arial" w:cs="Arial" w:eastAsia="Arial" w:hAnsi="Arial"/>
          <w:sz w:val="22"/>
          <w:szCs w:val="22"/>
          <w:color w:val="auto"/>
        </w:rPr>
        <w:t>. This Agreement may be executed in counterparts, each of which shall be deemed an original, but all of which together will constitute one and the same instrument.</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-6-</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1240"/>
          </w:cols>
          <w:pgMar w:left="320" w:top="1440" w:right="339" w:bottom="1440" w:gutter="0" w:footer="0" w:header="0"/>
        </w:sectPr>
      </w:pPr>
    </w:p>
    <w:bookmarkStart w:id="118" w:name="page119"/>
    <w:bookmarkEnd w:id="118"/>
    <w:p>
      <w:pPr>
        <w:spacing w:after="0" w:line="204" w:lineRule="exact"/>
        <w:rPr>
          <w:sz w:val="20"/>
          <w:szCs w:val="20"/>
          <w:color w:val="auto"/>
        </w:rPr>
      </w:pPr>
    </w:p>
    <w:p>
      <w:pPr>
        <w:ind w:firstLine="648"/>
        <w:spacing w:after="0" w:line="263" w:lineRule="auto"/>
        <w:rPr>
          <w:sz w:val="20"/>
          <w:szCs w:val="20"/>
          <w:color w:val="auto"/>
        </w:rPr>
      </w:pPr>
      <w:r>
        <w:rPr>
          <w:rFonts w:ascii="Arial" w:cs="Arial" w:eastAsia="Arial" w:hAnsi="Arial"/>
          <w:sz w:val="22"/>
          <w:szCs w:val="22"/>
          <w:color w:val="auto"/>
        </w:rPr>
        <w:t>IN WITNESS WHEREOF, each of the parties has executed this Agreement, in the case of the Company by its duly authorized officer, as of the day and year set forth below.</w:t>
      </w: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tabs>
          <w:tab w:leader="none" w:pos="1260" w:val="left"/>
        </w:tabs>
        <w:rPr>
          <w:sz w:val="20"/>
          <w:szCs w:val="20"/>
          <w:color w:val="auto"/>
        </w:rPr>
      </w:pPr>
      <w:r>
        <w:rPr>
          <w:rFonts w:ascii="Arial" w:cs="Arial" w:eastAsia="Arial" w:hAnsi="Arial"/>
          <w:sz w:val="22"/>
          <w:szCs w:val="22"/>
          <w:color w:val="auto"/>
        </w:rPr>
        <w:t>COMPANY</w:t>
      </w:r>
      <w:r>
        <w:rPr>
          <w:sz w:val="20"/>
          <w:szCs w:val="20"/>
          <w:color w:val="auto"/>
        </w:rPr>
        <w:tab/>
      </w:r>
      <w:r>
        <w:rPr>
          <w:rFonts w:ascii="Arial" w:cs="Arial" w:eastAsia="Arial" w:hAnsi="Arial"/>
          <w:sz w:val="21"/>
          <w:szCs w:val="21"/>
          <w:color w:val="auto"/>
        </w:rPr>
        <w:t>MARVELL SEMICONDUCTOR, INC.</w:t>
      </w:r>
    </w:p>
    <w:p>
      <w:pPr>
        <w:spacing w:after="0" w:line="200" w:lineRule="exact"/>
        <w:rPr>
          <w:sz w:val="20"/>
          <w:szCs w:val="20"/>
          <w:color w:val="auto"/>
        </w:rPr>
      </w:pPr>
    </w:p>
    <w:p>
      <w:pPr>
        <w:spacing w:after="0" w:line="263" w:lineRule="exact"/>
        <w:rPr>
          <w:sz w:val="20"/>
          <w:szCs w:val="20"/>
          <w:color w:val="auto"/>
        </w:rPr>
      </w:pPr>
    </w:p>
    <w:p>
      <w:pPr>
        <w:ind w:left="3900"/>
        <w:spacing w:after="0"/>
        <w:tabs>
          <w:tab w:leader="none" w:pos="4400" w:val="left"/>
        </w:tabs>
        <w:rPr>
          <w:sz w:val="20"/>
          <w:szCs w:val="20"/>
          <w:color w:val="auto"/>
        </w:rPr>
      </w:pPr>
      <w:r>
        <w:rPr>
          <w:rFonts w:ascii="Arial" w:cs="Arial" w:eastAsia="Arial" w:hAnsi="Arial"/>
          <w:sz w:val="22"/>
          <w:szCs w:val="22"/>
          <w:u w:val="single" w:color="auto"/>
          <w:color w:val="auto"/>
        </w:rPr>
        <w:t>By:</w:t>
      </w:r>
      <w:r>
        <w:rPr>
          <w:sz w:val="20"/>
          <w:szCs w:val="20"/>
          <w:color w:val="auto"/>
        </w:rPr>
        <w:tab/>
      </w:r>
      <w:r>
        <w:rPr>
          <w:rFonts w:ascii="Arial" w:cs="Arial" w:eastAsia="Arial" w:hAnsi="Arial"/>
          <w:sz w:val="19"/>
          <w:szCs w:val="19"/>
          <w:u w:val="single" w:color="auto"/>
          <w:color w:val="auto"/>
        </w:rPr>
        <w:t>/s/ Mitch Gaynor</w:t>
      </w:r>
    </w:p>
    <w:p>
      <w:pPr>
        <w:spacing w:after="0" w:line="21"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Name: Mitch Gaynor</w:t>
      </w:r>
    </w:p>
    <w:p>
      <w:pPr>
        <w:spacing w:after="0" w:line="202" w:lineRule="exact"/>
        <w:rPr>
          <w:sz w:val="20"/>
          <w:szCs w:val="20"/>
          <w:color w:val="auto"/>
        </w:rPr>
      </w:pPr>
    </w:p>
    <w:p>
      <w:pPr>
        <w:ind w:left="3900"/>
        <w:spacing w:after="0"/>
        <w:tabs>
          <w:tab w:leader="none" w:pos="4560" w:val="left"/>
        </w:tabs>
        <w:rPr>
          <w:sz w:val="20"/>
          <w:szCs w:val="20"/>
          <w:color w:val="auto"/>
        </w:rPr>
      </w:pPr>
      <w:r>
        <w:rPr>
          <w:rFonts w:ascii="Arial" w:cs="Arial" w:eastAsia="Arial" w:hAnsi="Arial"/>
          <w:sz w:val="22"/>
          <w:szCs w:val="22"/>
          <w:color w:val="auto"/>
        </w:rPr>
        <w:t>Title:</w:t>
      </w:r>
      <w:r>
        <w:rPr>
          <w:sz w:val="20"/>
          <w:szCs w:val="20"/>
          <w:color w:val="auto"/>
        </w:rPr>
        <w:tab/>
      </w:r>
      <w:r>
        <w:rPr>
          <w:rFonts w:ascii="Arial" w:cs="Arial" w:eastAsia="Arial" w:hAnsi="Arial"/>
          <w:sz w:val="19"/>
          <w:szCs w:val="19"/>
          <w:color w:val="auto"/>
        </w:rPr>
        <w:t>Chief Administration and Legal Officer</w:t>
      </w:r>
    </w:p>
    <w:p>
      <w:pPr>
        <w:spacing w:after="0" w:line="220"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Date: December 1, 2020</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spacing w:after="0"/>
        <w:tabs>
          <w:tab w:leader="none" w:pos="1360" w:val="left"/>
        </w:tabs>
        <w:rPr>
          <w:sz w:val="20"/>
          <w:szCs w:val="20"/>
          <w:color w:val="auto"/>
        </w:rPr>
      </w:pPr>
      <w:r>
        <w:rPr>
          <w:rFonts w:ascii="Arial" w:cs="Arial" w:eastAsia="Arial" w:hAnsi="Arial"/>
          <w:sz w:val="22"/>
          <w:szCs w:val="22"/>
          <w:color w:val="auto"/>
        </w:rPr>
        <w:t>EMPLOYEE</w:t>
      </w:r>
      <w:r>
        <w:rPr>
          <w:sz w:val="20"/>
          <w:szCs w:val="20"/>
          <w:color w:val="auto"/>
        </w:rPr>
        <w:tab/>
      </w:r>
      <w:r>
        <w:rPr>
          <w:rFonts w:ascii="Arial" w:cs="Arial" w:eastAsia="Arial" w:hAnsi="Arial"/>
          <w:sz w:val="19"/>
          <w:szCs w:val="19"/>
          <w:u w:val="single" w:color="auto"/>
          <w:color w:val="auto"/>
        </w:rPr>
        <w:t>/s/ Matthew Murphy</w:t>
      </w:r>
    </w:p>
    <w:p>
      <w:pPr>
        <w:spacing w:after="0" w:line="21" w:lineRule="exact"/>
        <w:rPr>
          <w:sz w:val="20"/>
          <w:szCs w:val="20"/>
          <w:color w:val="auto"/>
        </w:rPr>
      </w:pPr>
    </w:p>
    <w:p>
      <w:pPr>
        <w:ind w:left="3900"/>
        <w:spacing w:after="0"/>
        <w:tabs>
          <w:tab w:leader="none" w:pos="4720" w:val="left"/>
        </w:tabs>
        <w:rPr>
          <w:sz w:val="20"/>
          <w:szCs w:val="20"/>
          <w:color w:val="auto"/>
        </w:rPr>
      </w:pPr>
      <w:r>
        <w:rPr>
          <w:rFonts w:ascii="Arial" w:cs="Arial" w:eastAsia="Arial" w:hAnsi="Arial"/>
          <w:sz w:val="22"/>
          <w:szCs w:val="22"/>
          <w:color w:val="auto"/>
        </w:rPr>
        <w:t>Name:</w:t>
        <w:tab/>
        <w:t>Matthew Murphy</w:t>
      </w:r>
    </w:p>
    <w:p>
      <w:pPr>
        <w:spacing w:after="0" w:line="202"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Date: December 1, 2020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Arial" w:cs="Arial" w:eastAsia="Arial" w:hAnsi="Arial"/>
          <w:sz w:val="14"/>
          <w:szCs w:val="14"/>
          <w:color w:val="auto"/>
        </w:rPr>
        <w:t>317146021.3</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5500"/>
        <w:spacing w:after="0"/>
        <w:rPr>
          <w:sz w:val="20"/>
          <w:szCs w:val="20"/>
          <w:color w:val="auto"/>
        </w:rPr>
      </w:pPr>
      <w:r>
        <w:rPr>
          <w:rFonts w:ascii="Arial" w:cs="Arial" w:eastAsia="Arial" w:hAnsi="Arial"/>
          <w:sz w:val="22"/>
          <w:szCs w:val="22"/>
          <w:color w:val="auto"/>
        </w:rPr>
        <w:t>-7-</w:t>
      </w:r>
    </w:p>
    <w:p>
      <w:pPr>
        <w:spacing w:after="0" w:line="7" w:lineRule="exact"/>
        <w:rPr>
          <w:sz w:val="20"/>
          <w:szCs w:val="20"/>
          <w:color w:val="auto"/>
        </w:rPr>
      </w:pPr>
    </w:p>
    <w:p>
      <w:pPr>
        <w:spacing w:after="0"/>
        <w:rPr>
          <w:sz w:val="20"/>
          <w:szCs w:val="20"/>
          <w:color w:val="auto"/>
        </w:rPr>
      </w:pPr>
      <w:r>
        <w:rPr>
          <w:rFonts w:ascii="Arial" w:cs="Arial" w:eastAsia="Arial" w:hAnsi="Arial"/>
          <w:sz w:val="13"/>
          <w:szCs w:val="13"/>
          <w:color w:val="auto"/>
        </w:rPr>
        <w:t>Marvell Severance Agmt 5.31.16.docx</w:t>
      </w:r>
    </w:p>
    <w:p>
      <w:pPr>
        <w:sectPr>
          <w:pgSz w:w="11900" w:h="16838" w:orient="portrait"/>
          <w:cols w:equalWidth="0" w:num="1">
            <w:col w:w="10620"/>
          </w:cols>
          <w:pgMar w:left="320" w:top="1440" w:right="95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31.1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9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9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9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9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9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9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9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9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9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94"/>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20"/>
        <w:spacing w:after="0"/>
        <w:tabs>
          <w:tab w:leader="none" w:pos="4720" w:val="left"/>
          <w:tab w:leader="none" w:pos="5300" w:val="left"/>
        </w:tabs>
        <w:rPr>
          <w:sz w:val="20"/>
          <w:szCs w:val="20"/>
          <w:color w:val="auto"/>
        </w:rPr>
      </w:pPr>
      <w:r>
        <w:rPr>
          <w:rFonts w:ascii="Arial" w:cs="Arial" w:eastAsia="Arial" w:hAnsi="Arial"/>
          <w:sz w:val="18"/>
          <w:szCs w:val="18"/>
          <w:color w:val="auto"/>
        </w:rPr>
        <w:t>Date: December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3365500</wp:posOffset>
            </wp:positionH>
            <wp:positionV relativeFrom="paragraph">
              <wp:posOffset>31750</wp:posOffset>
            </wp:positionV>
            <wp:extent cx="3068955"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3068955" cy="8890"/>
                    </a:xfrm>
                    <a:prstGeom prst="rect">
                      <a:avLst/>
                    </a:prstGeom>
                    <a:noFill/>
                  </pic:spPr>
                </pic:pic>
              </a:graphicData>
            </a:graphic>
          </wp:anchor>
        </w:drawing>
      </w:r>
    </w:p>
    <w:p>
      <w:pPr>
        <w:spacing w:after="0" w:line="80"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91" w:right="339" w:bottom="1440" w:gutter="0" w:footer="0" w:header="0"/>
        </w:sectPr>
      </w:pPr>
    </w:p>
    <w:bookmarkStart w:id="120" w:name="page121"/>
    <w:bookmarkEnd w:id="120"/>
    <w:p>
      <w:pPr>
        <w:jc w:val="right"/>
        <w:spacing w:after="0"/>
        <w:rPr>
          <w:sz w:val="20"/>
          <w:szCs w:val="20"/>
          <w:color w:val="auto"/>
        </w:rPr>
      </w:pPr>
      <w:r>
        <w:rPr>
          <w:rFonts w:ascii="Arial" w:cs="Arial" w:eastAsia="Arial" w:hAnsi="Arial"/>
          <w:sz w:val="18"/>
          <w:szCs w:val="18"/>
          <w:b w:val="1"/>
          <w:bCs w:val="1"/>
          <w:color w:val="auto"/>
        </w:rPr>
        <w:t>Exhibit 31.2</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9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95"/>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9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9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9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9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98"/>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9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20"/>
        <w:spacing w:after="0"/>
        <w:tabs>
          <w:tab w:leader="none" w:pos="4720" w:val="left"/>
          <w:tab w:leader="none" w:pos="5300" w:val="left"/>
        </w:tabs>
        <w:rPr>
          <w:sz w:val="20"/>
          <w:szCs w:val="20"/>
          <w:color w:val="auto"/>
        </w:rPr>
      </w:pPr>
      <w:r>
        <w:rPr>
          <w:rFonts w:ascii="Arial" w:cs="Arial" w:eastAsia="Arial" w:hAnsi="Arial"/>
          <w:sz w:val="18"/>
          <w:szCs w:val="18"/>
          <w:color w:val="auto"/>
        </w:rPr>
        <w:t>Date: December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3365500</wp:posOffset>
            </wp:positionH>
            <wp:positionV relativeFrom="paragraph">
              <wp:posOffset>31750</wp:posOffset>
            </wp:positionV>
            <wp:extent cx="306895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068955" cy="8890"/>
                    </a:xfrm>
                    <a:prstGeom prst="rect">
                      <a:avLst/>
                    </a:prstGeom>
                    <a:noFill/>
                  </pic:spPr>
                </pic:pic>
              </a:graphicData>
            </a:graphic>
          </wp:anchor>
        </w:drawing>
      </w:r>
    </w:p>
    <w:p>
      <w:pPr>
        <w:spacing w:after="0" w:line="80"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32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91" w:right="339" w:bottom="1440" w:gutter="0" w:footer="0" w:header="0"/>
        </w:sectPr>
      </w:pPr>
    </w:p>
    <w:bookmarkStart w:id="121" w:name="page122"/>
    <w:bookmarkEnd w:id="121"/>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76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760" w:hanging="327"/>
        <w:spacing w:after="0" w:line="308" w:lineRule="auto"/>
        <w:tabs>
          <w:tab w:leader="none" w:pos="554"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9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740" w:val="left"/>
          <w:tab w:leader="none" w:pos="5280" w:val="left"/>
        </w:tabs>
        <w:rPr>
          <w:sz w:val="20"/>
          <w:szCs w:val="20"/>
          <w:color w:val="auto"/>
        </w:rPr>
      </w:pPr>
      <w:r>
        <w:rPr>
          <w:rFonts w:ascii="Arial" w:cs="Arial" w:eastAsia="Arial" w:hAnsi="Arial"/>
          <w:sz w:val="18"/>
          <w:szCs w:val="18"/>
          <w:color w:val="auto"/>
        </w:rPr>
        <w:t>Date: December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3348355</wp:posOffset>
            </wp:positionH>
            <wp:positionV relativeFrom="paragraph">
              <wp:posOffset>31750</wp:posOffset>
            </wp:positionV>
            <wp:extent cx="3068955"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3"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122" w:name="page123"/>
    <w:bookmarkEnd w:id="122"/>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400"/>
        <w:spacing w:after="0" w:line="308"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760" w:hanging="327"/>
        <w:spacing w:after="0" w:line="308" w:lineRule="auto"/>
        <w:tabs>
          <w:tab w:leader="none" w:pos="554" w:val="left"/>
        </w:tabs>
        <w:numPr>
          <w:ilvl w:val="0"/>
          <w:numId w:val="100"/>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31, 2020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10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20"/>
        <w:spacing w:after="0"/>
        <w:tabs>
          <w:tab w:leader="none" w:pos="4740" w:val="left"/>
          <w:tab w:leader="none" w:pos="5280" w:val="left"/>
        </w:tabs>
        <w:rPr>
          <w:sz w:val="20"/>
          <w:szCs w:val="20"/>
          <w:color w:val="auto"/>
        </w:rPr>
      </w:pPr>
      <w:r>
        <w:rPr>
          <w:rFonts w:ascii="Arial" w:cs="Arial" w:eastAsia="Arial" w:hAnsi="Arial"/>
          <w:sz w:val="18"/>
          <w:szCs w:val="18"/>
          <w:color w:val="auto"/>
        </w:rPr>
        <w:t>Date: December 4,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3348355</wp:posOffset>
            </wp:positionH>
            <wp:positionV relativeFrom="paragraph">
              <wp:posOffset>31750</wp:posOffset>
            </wp:positionV>
            <wp:extent cx="306895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3"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30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C240FB"/>
    <w:multiLevelType w:val="hybridMultilevel"/>
    <w:lvl w:ilvl="0">
      <w:lvlJc w:val="left"/>
      <w:lvlText w:val="☒"/>
      <w:numFmt w:val="bullet"/>
      <w:start w:val="1"/>
    </w:lvl>
  </w:abstractNum>
  <w:abstractNum w:abstractNumId="1">
    <w:nsid w:val="1BA026FA"/>
    <w:multiLevelType w:val="hybridMultilevel"/>
    <w:lvl w:ilvl="0">
      <w:lvlJc w:val="left"/>
      <w:lvlText w:val="☐"/>
      <w:numFmt w:val="bullet"/>
      <w:start w:val="1"/>
    </w:lvl>
  </w:abstractNum>
  <w:abstractNum w:abstractNumId="2">
    <w:nsid w:val="79A1DEAA"/>
    <w:multiLevelType w:val="hybridMultilevel"/>
    <w:lvl w:ilvl="0">
      <w:lvlJc w:val="left"/>
      <w:lvlText w:val="(%1)"/>
      <w:numFmt w:val="decimal"/>
      <w:start w:val="1"/>
    </w:lvl>
  </w:abstractNum>
  <w:abstractNum w:abstractNumId="3">
    <w:nsid w:val="75C6C33A"/>
    <w:multiLevelType w:val="hybridMultilevel"/>
    <w:lvl w:ilvl="0">
      <w:lvlJc w:val="left"/>
      <w:lvlText w:val="(%1)"/>
      <w:numFmt w:val="decimal"/>
      <w:start w:val="1"/>
    </w:lvl>
  </w:abstractNum>
  <w:abstractNum w:abstractNumId="4">
    <w:nsid w:val="12E685FB"/>
    <w:multiLevelType w:val="hybridMultilevel"/>
    <w:lvl w:ilvl="0">
      <w:lvlJc w:val="left"/>
      <w:lvlText w:val="*"/>
      <w:numFmt w:val="bullet"/>
      <w:start w:val="1"/>
    </w:lvl>
  </w:abstractNum>
  <w:abstractNum w:abstractNumId="5">
    <w:nsid w:val="70C6A529"/>
    <w:multiLevelType w:val="hybridMultilevel"/>
    <w:lvl w:ilvl="0">
      <w:lvlJc w:val="left"/>
      <w:lvlText w:val="$"/>
      <w:numFmt w:val="bullet"/>
      <w:start w:val="1"/>
    </w:lvl>
  </w:abstractNum>
  <w:abstractNum w:abstractNumId="6">
    <w:nsid w:val="520EEDD1"/>
    <w:multiLevelType w:val="hybridMultilevel"/>
    <w:lvl w:ilvl="0">
      <w:lvlJc w:val="left"/>
      <w:lvlText w:val="$"/>
      <w:numFmt w:val="bullet"/>
      <w:start w:val="1"/>
    </w:lvl>
  </w:abstractNum>
  <w:abstractNum w:abstractNumId="7">
    <w:nsid w:val="374A3FE6"/>
    <w:multiLevelType w:val="hybridMultilevel"/>
    <w:lvl w:ilvl="0">
      <w:lvlJc w:val="left"/>
      <w:lvlText w:val="(%1)"/>
      <w:numFmt w:val="decimal"/>
      <w:start w:val="1"/>
    </w:lvl>
  </w:abstractNum>
  <w:abstractNum w:abstractNumId="8">
    <w:nsid w:val="4F4EF005"/>
    <w:multiLevelType w:val="hybridMultilevel"/>
    <w:lvl w:ilvl="0">
      <w:lvlJc w:val="left"/>
      <w:lvlText w:val="•"/>
      <w:numFmt w:val="bullet"/>
      <w:start w:val="1"/>
    </w:lvl>
  </w:abstractNum>
  <w:abstractNum w:abstractNumId="9">
    <w:nsid w:val="23F9C13C"/>
    <w:multiLevelType w:val="hybridMultilevel"/>
    <w:lvl w:ilvl="0">
      <w:lvlJc w:val="left"/>
      <w:lvlText w:val="•"/>
      <w:numFmt w:val="bullet"/>
      <w:start w:val="1"/>
    </w:lvl>
  </w:abstractNum>
  <w:abstractNum w:abstractNumId="10">
    <w:nsid w:val="649BB77C"/>
    <w:multiLevelType w:val="hybridMultilevel"/>
    <w:lvl w:ilvl="0">
      <w:lvlJc w:val="left"/>
      <w:lvlText w:val="*"/>
      <w:numFmt w:val="bullet"/>
      <w:start w:val="1"/>
    </w:lvl>
  </w:abstractNum>
  <w:abstractNum w:abstractNumId="11">
    <w:nsid w:val="275AC794"/>
    <w:multiLevelType w:val="hybridMultilevel"/>
    <w:lvl w:ilvl="0">
      <w:lvlJc w:val="left"/>
      <w:lvlText w:val="•"/>
      <w:numFmt w:val="bullet"/>
      <w:start w:val="1"/>
    </w:lvl>
  </w:abstractNum>
  <w:abstractNum w:abstractNumId="12">
    <w:nsid w:val="39386575"/>
    <w:multiLevelType w:val="hybridMultilevel"/>
    <w:lvl w:ilvl="0">
      <w:lvlJc w:val="left"/>
      <w:lvlText w:val="•"/>
      <w:numFmt w:val="bullet"/>
      <w:start w:val="1"/>
    </w:lvl>
  </w:abstractNum>
  <w:abstractNum w:abstractNumId="13">
    <w:nsid w:val="1CF10FD8"/>
    <w:multiLevelType w:val="hybridMultilevel"/>
    <w:lvl w:ilvl="0">
      <w:lvlJc w:val="left"/>
      <w:lvlText w:val="•"/>
      <w:numFmt w:val="bullet"/>
      <w:start w:val="1"/>
    </w:lvl>
  </w:abstractNum>
  <w:abstractNum w:abstractNumId="14">
    <w:nsid w:val="180115BE"/>
    <w:multiLevelType w:val="hybridMultilevel"/>
    <w:lvl w:ilvl="0">
      <w:lvlJc w:val="left"/>
      <w:lvlText w:val="•"/>
      <w:numFmt w:val="bullet"/>
      <w:start w:val="1"/>
    </w:lvl>
  </w:abstractNum>
  <w:abstractNum w:abstractNumId="15">
    <w:nsid w:val="235BA861"/>
    <w:multiLevelType w:val="hybridMultilevel"/>
    <w:lvl w:ilvl="0">
      <w:lvlJc w:val="left"/>
      <w:lvlText w:val="•"/>
      <w:numFmt w:val="bullet"/>
      <w:start w:val="1"/>
    </w:lvl>
  </w:abstractNum>
  <w:abstractNum w:abstractNumId="16">
    <w:nsid w:val="47398C89"/>
    <w:multiLevelType w:val="hybridMultilevel"/>
    <w:lvl w:ilvl="0">
      <w:lvlJc w:val="left"/>
      <w:lvlText w:val="•"/>
      <w:numFmt w:val="bullet"/>
      <w:start w:val="1"/>
    </w:lvl>
  </w:abstractNum>
  <w:abstractNum w:abstractNumId="17">
    <w:nsid w:val="354FE9F9"/>
    <w:multiLevelType w:val="hybridMultilevel"/>
    <w:lvl w:ilvl="0">
      <w:lvlJc w:val="left"/>
      <w:lvlText w:val="•"/>
      <w:numFmt w:val="bullet"/>
      <w:start w:val="1"/>
    </w:lvl>
  </w:abstractNum>
  <w:abstractNum w:abstractNumId="18">
    <w:nsid w:val="15B5AF5C"/>
    <w:multiLevelType w:val="hybridMultilevel"/>
    <w:lvl w:ilvl="0">
      <w:lvlJc w:val="left"/>
      <w:lvlText w:val="•"/>
      <w:numFmt w:val="bullet"/>
      <w:start w:val="1"/>
    </w:lvl>
  </w:abstractNum>
  <w:abstractNum w:abstractNumId="19">
    <w:nsid w:val="741226BB"/>
    <w:multiLevelType w:val="hybridMultilevel"/>
    <w:lvl w:ilvl="0">
      <w:lvlJc w:val="left"/>
      <w:lvlText w:val="•"/>
      <w:numFmt w:val="bullet"/>
      <w:start w:val="1"/>
    </w:lvl>
  </w:abstractNum>
  <w:abstractNum w:abstractNumId="20">
    <w:nsid w:val="D34B6A8"/>
    <w:multiLevelType w:val="hybridMultilevel"/>
    <w:lvl w:ilvl="0">
      <w:lvlJc w:val="left"/>
      <w:lvlText w:val="•"/>
      <w:numFmt w:val="bullet"/>
      <w:start w:val="1"/>
    </w:lvl>
  </w:abstractNum>
  <w:abstractNum w:abstractNumId="21">
    <w:nsid w:val="10233C99"/>
    <w:multiLevelType w:val="hybridMultilevel"/>
    <w:lvl w:ilvl="0">
      <w:lvlJc w:val="left"/>
      <w:lvlText w:val="•"/>
      <w:numFmt w:val="bullet"/>
      <w:start w:val="1"/>
    </w:lvl>
  </w:abstractNum>
  <w:abstractNum w:abstractNumId="22">
    <w:nsid w:val="3F6AB60F"/>
    <w:multiLevelType w:val="hybridMultilevel"/>
    <w:lvl w:ilvl="0">
      <w:lvlJc w:val="left"/>
      <w:lvlText w:val="•"/>
      <w:numFmt w:val="bullet"/>
      <w:start w:val="1"/>
    </w:lvl>
  </w:abstractNum>
  <w:abstractNum w:abstractNumId="23">
    <w:nsid w:val="61574095"/>
    <w:multiLevelType w:val="hybridMultilevel"/>
    <w:lvl w:ilvl="0">
      <w:lvlJc w:val="left"/>
      <w:lvlText w:val="#"/>
      <w:numFmt w:val="bullet"/>
      <w:start w:val="1"/>
    </w:lvl>
  </w:abstractNum>
  <w:abstractNum w:abstractNumId="24">
    <w:nsid w:val="7E0C57B1"/>
    <w:multiLevelType w:val="hybridMultilevel"/>
    <w:lvl w:ilvl="0">
      <w:lvlJc w:val="left"/>
      <w:lvlText w:val="*"/>
      <w:numFmt w:val="bullet"/>
      <w:start w:val="1"/>
    </w:lvl>
  </w:abstractNum>
  <w:abstractNum w:abstractNumId="25">
    <w:nsid w:val="77AE35E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26">
    <w:nsid w:val="579BE4F1"/>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27">
    <w:nsid w:val="310C50B3"/>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28">
    <w:nsid w:val="5FF87E05"/>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lvl w:ilvl="3">
      <w:lvlJc w:val="left"/>
      <w:lvlText w:val="(%4)"/>
      <w:numFmt w:val="upperLetter"/>
      <w:start w:val="1"/>
    </w:lvl>
  </w:abstractNum>
  <w:abstractNum w:abstractNumId="29">
    <w:nsid w:val="2F305DEF"/>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30">
    <w:nsid w:val="25A70BF7"/>
    <w:multiLevelType w:val="hybridMultilevel"/>
    <w:lvl w:ilvl="0">
      <w:lvlJc w:val="left"/>
      <w:lvlText w:val="%1"/>
      <w:numFmt w:val="decimal"/>
      <w:start w:val="1"/>
    </w:lvl>
    <w:lvl w:ilvl="1">
      <w:lvlJc w:val="left"/>
      <w:lvlText w:val="(%2)"/>
      <w:numFmt w:val="lowerLetter"/>
      <w:start w:val="2"/>
    </w:lvl>
  </w:abstractNum>
  <w:abstractNum w:abstractNumId="31">
    <w:nsid w:val="1DBABF00"/>
    <w:multiLevelType w:val="hybridMultilevel"/>
    <w:lvl w:ilvl="0">
      <w:lvlJc w:val="left"/>
      <w:lvlText w:val="%1."/>
      <w:numFmt w:val="decimal"/>
      <w:start w:val="9"/>
    </w:lvl>
    <w:lvl w:ilvl="1">
      <w:lvlJc w:val="left"/>
      <w:lvlText w:val="(%2)"/>
      <w:numFmt w:val="lowerLetter"/>
      <w:start w:val="1"/>
    </w:lvl>
  </w:abstractNum>
  <w:abstractNum w:abstractNumId="32">
    <w:nsid w:val="4AD084E9"/>
    <w:multiLevelType w:val="hybridMultilevel"/>
    <w:lvl w:ilvl="0">
      <w:lvlJc w:val="left"/>
      <w:lvlText w:val="(%1)"/>
      <w:numFmt w:val="lowerLetter"/>
      <w:start w:val="6"/>
    </w:lvl>
  </w:abstractNum>
  <w:abstractNum w:abstractNumId="33">
    <w:nsid w:val="1F48EAA1"/>
    <w:multiLevelType w:val="hybridMultilevel"/>
    <w:lvl w:ilvl="0">
      <w:lvlJc w:val="left"/>
      <w:lvlText w:val="%1."/>
      <w:numFmt w:val="decimal"/>
      <w:start w:val="10"/>
    </w:lvl>
  </w:abstractNum>
  <w:abstractNum w:abstractNumId="34">
    <w:nsid w:val="1381823A"/>
    <w:multiLevelType w:val="hybridMultilevel"/>
    <w:lvl w:ilvl="0">
      <w:lvlJc w:val="left"/>
      <w:lvlText w:val="%1."/>
      <w:numFmt w:val="decimal"/>
      <w:start w:val="11"/>
    </w:lvl>
  </w:abstractNum>
  <w:abstractNum w:abstractNumId="35">
    <w:nsid w:val="5DB70AE5"/>
    <w:multiLevelType w:val="hybridMultilevel"/>
    <w:lvl w:ilvl="0">
      <w:lvlJc w:val="left"/>
      <w:lvlText w:val="(%1)"/>
      <w:numFmt w:val="lowerLetter"/>
      <w:start w:val="1"/>
    </w:lvl>
  </w:abstractNum>
  <w:abstractNum w:abstractNumId="36">
    <w:nsid w:val="100F8FCA"/>
    <w:multiLevelType w:val="hybridMultilevel"/>
    <w:lvl w:ilvl="0">
      <w:lvlJc w:val="left"/>
      <w:lvlText w:val="(%1)"/>
      <w:numFmt w:val="lowerLetter"/>
      <w:start w:val="5"/>
    </w:lvl>
  </w:abstractNum>
  <w:abstractNum w:abstractNumId="37">
    <w:nsid w:val="6590700B"/>
    <w:multiLevelType w:val="hybridMultilevel"/>
    <w:lvl w:ilvl="0">
      <w:lvlJc w:val="left"/>
      <w:lvlText w:val="%1."/>
      <w:numFmt w:val="decimal"/>
      <w:start w:val="14"/>
    </w:lvl>
    <w:lvl w:ilvl="1">
      <w:lvlJc w:val="left"/>
      <w:lvlText w:val="(%2)"/>
      <w:numFmt w:val="lowerLetter"/>
      <w:start w:val="1"/>
    </w:lvl>
  </w:abstractNum>
  <w:abstractNum w:abstractNumId="38">
    <w:nsid w:val="15014ACB"/>
    <w:multiLevelType w:val="hybridMultilevel"/>
    <w:lvl w:ilvl="0">
      <w:lvlJc w:val="left"/>
      <w:lvlText w:val="(%1)"/>
      <w:numFmt w:val="lowerLetter"/>
      <w:start w:val="2"/>
    </w:lvl>
    <w:lvl w:ilvl="1">
      <w:lvlJc w:val="left"/>
      <w:lvlText w:val="(%2)"/>
      <w:numFmt w:val="lowerRoman"/>
      <w:start w:val="1"/>
    </w:lvl>
  </w:abstractNum>
  <w:abstractNum w:abstractNumId="39">
    <w:nsid w:val="5F5E7FD0"/>
    <w:multiLevelType w:val="hybridMultilevel"/>
    <w:lvl w:ilvl="0">
      <w:lvlJc w:val="left"/>
      <w:lvlText w:val="%1."/>
      <w:numFmt w:val="decimal"/>
      <w:start w:val="15"/>
    </w:lvl>
    <w:lvl w:ilvl="1">
      <w:lvlJc w:val="left"/>
      <w:lvlText w:val="(%2)"/>
      <w:numFmt w:val="lowerLetter"/>
      <w:start w:val="1"/>
    </w:lvl>
  </w:abstractNum>
  <w:abstractNum w:abstractNumId="40">
    <w:nsid w:val="98A3148"/>
    <w:multiLevelType w:val="hybridMultilevel"/>
    <w:lvl w:ilvl="0">
      <w:lvlJc w:val="left"/>
      <w:lvlText w:val="%1."/>
      <w:numFmt w:val="decimal"/>
      <w:start w:val="17"/>
    </w:lvl>
    <w:lvl w:ilvl="1">
      <w:lvlJc w:val="left"/>
      <w:lvlText w:val="(%2)"/>
      <w:numFmt w:val="lowerLetter"/>
      <w:start w:val="1"/>
    </w:lvl>
    <w:lvl w:ilvl="2">
      <w:lvlJc w:val="left"/>
      <w:lvlText w:val="(%3)"/>
      <w:numFmt w:val="lowerRoman"/>
      <w:start w:val="1"/>
    </w:lvl>
  </w:abstractNum>
  <w:abstractNum w:abstractNumId="41">
    <w:nsid w:val="799D0247"/>
    <w:multiLevelType w:val="hybridMultilevel"/>
    <w:lvl w:ilvl="0">
      <w:lvlJc w:val="left"/>
      <w:lvlText w:val="%1"/>
      <w:numFmt w:val="lowerLetter"/>
      <w:start w:val="1"/>
    </w:lvl>
    <w:lvl w:ilvl="1">
      <w:lvlJc w:val="left"/>
      <w:lvlText w:val="(%2)"/>
      <w:numFmt w:val="lowerLetter"/>
      <w:start w:val="22"/>
    </w:lvl>
  </w:abstractNum>
  <w:abstractNum w:abstractNumId="42">
    <w:nsid w:val="6B94764"/>
    <w:multiLevelType w:val="hybridMultilevel"/>
    <w:lvl w:ilvl="0">
      <w:lvlJc w:val="left"/>
      <w:lvlText w:val="(%1)"/>
      <w:numFmt w:val="lowerLetter"/>
      <w:start w:val="5"/>
    </w:lvl>
    <w:lvl w:ilvl="1">
      <w:lvlJc w:val="left"/>
      <w:lvlText w:val="(%2)"/>
      <w:numFmt w:val="lowerLetter"/>
      <w:start w:val="9"/>
    </w:lvl>
  </w:abstractNum>
  <w:abstractNum w:abstractNumId="43">
    <w:nsid w:val="42C296BD"/>
    <w:multiLevelType w:val="hybridMultilevel"/>
    <w:lvl w:ilvl="0">
      <w:lvlJc w:val="left"/>
      <w:lvlText w:val="%1"/>
      <w:numFmt w:val="lowerLetter"/>
      <w:start w:val="1"/>
    </w:lvl>
    <w:lvl w:ilvl="1">
      <w:lvlJc w:val="left"/>
      <w:lvlText w:val="(%2)"/>
      <w:numFmt w:val="lowerRoman"/>
      <w:start w:val="2"/>
    </w:lvl>
  </w:abstractNum>
  <w:abstractNum w:abstractNumId="44">
    <w:nsid w:val="168E121F"/>
    <w:multiLevelType w:val="hybridMultilevel"/>
    <w:lvl w:ilvl="0">
      <w:lvlJc w:val="left"/>
      <w:lvlText w:val="(%1)"/>
      <w:numFmt w:val="lowerLetter"/>
      <w:start w:val="15"/>
    </w:lvl>
    <w:lvl w:ilvl="1">
      <w:lvlJc w:val="left"/>
      <w:lvlText w:val="%2"/>
      <w:numFmt w:val="lowerRoman"/>
      <w:start w:val="1"/>
    </w:lvl>
  </w:abstractNum>
  <w:abstractNum w:abstractNumId="45">
    <w:nsid w:val="1EBA5D23"/>
    <w:multiLevelType w:val="hybridMultilevel"/>
    <w:lvl w:ilvl="0">
      <w:lvlJc w:val="left"/>
      <w:lvlText w:val="%1."/>
      <w:numFmt w:val="decimal"/>
      <w:start w:val="1"/>
    </w:lvl>
  </w:abstractNum>
  <w:abstractNum w:abstractNumId="46">
    <w:nsid w:val="661E3F1E"/>
    <w:multiLevelType w:val="hybridMultilevel"/>
    <w:lvl w:ilvl="0">
      <w:lvlJc w:val="left"/>
      <w:lvlText w:val="%1."/>
      <w:numFmt w:val="decimal"/>
      <w:start w:val="2"/>
    </w:lvl>
    <w:lvl w:ilvl="1">
      <w:lvlJc w:val="left"/>
      <w:lvlText w:val="(%2)"/>
      <w:numFmt w:val="lowerLetter"/>
      <w:start w:val="1"/>
    </w:lvl>
  </w:abstractNum>
  <w:abstractNum w:abstractNumId="47">
    <w:nsid w:val="5DC79EA8"/>
    <w:multiLevelType w:val="hybridMultilevel"/>
    <w:lvl w:ilvl="0">
      <w:lvlJc w:val="left"/>
      <w:lvlText w:val="%1"/>
      <w:numFmt w:val="decimal"/>
      <w:start w:val="1"/>
    </w:lvl>
    <w:lvl w:ilvl="1">
      <w:lvlJc w:val="left"/>
      <w:lvlText w:val="(%2)"/>
      <w:numFmt w:val="lowerLetter"/>
      <w:start w:val="3"/>
    </w:lvl>
  </w:abstractNum>
  <w:abstractNum w:abstractNumId="48">
    <w:nsid w:val="540A471C"/>
    <w:multiLevelType w:val="hybridMultilevel"/>
    <w:lvl w:ilvl="0">
      <w:lvlJc w:val="left"/>
      <w:lvlText w:val="%1."/>
      <w:numFmt w:val="decimal"/>
      <w:start w:val="3"/>
    </w:lvl>
    <w:lvl w:ilvl="1">
      <w:lvlJc w:val="left"/>
      <w:lvlText w:val="(%2)"/>
      <w:numFmt w:val="lowerLetter"/>
      <w:start w:val="1"/>
    </w:lvl>
  </w:abstractNum>
  <w:abstractNum w:abstractNumId="49">
    <w:nsid w:val="7BD3EE7B"/>
    <w:multiLevelType w:val="hybridMultilevel"/>
    <w:lvl w:ilvl="0">
      <w:lvlJc w:val="left"/>
      <w:lvlText w:val="%1."/>
      <w:numFmt w:val="decimal"/>
      <w:start w:val="5"/>
    </w:lvl>
    <w:lvl w:ilvl="1">
      <w:lvlJc w:val="left"/>
      <w:lvlText w:val="(%2)"/>
      <w:numFmt w:val="lowerLetter"/>
      <w:start w:val="1"/>
    </w:lvl>
  </w:abstractNum>
  <w:abstractNum w:abstractNumId="50">
    <w:nsid w:val="51D9C564"/>
    <w:multiLevelType w:val="hybridMultilevel"/>
    <w:lvl w:ilvl="0">
      <w:lvlJc w:val="left"/>
      <w:lvlText w:val="%1"/>
      <w:numFmt w:val="decimal"/>
      <w:start w:val="1"/>
    </w:lvl>
    <w:lvl w:ilvl="1">
      <w:lvlJc w:val="left"/>
      <w:lvlText w:val="(%2)"/>
      <w:numFmt w:val="lowerLetter"/>
      <w:start w:val="2"/>
    </w:lvl>
  </w:abstractNum>
  <w:abstractNum w:abstractNumId="51">
    <w:nsid w:val="613EFDC5"/>
    <w:multiLevelType w:val="hybridMultilevel"/>
    <w:lvl w:ilvl="0">
      <w:lvlJc w:val="left"/>
      <w:lvlText w:val="%1."/>
      <w:numFmt w:val="decimal"/>
      <w:start w:val="7"/>
    </w:lvl>
    <w:lvl w:ilvl="1">
      <w:lvlJc w:val="left"/>
      <w:lvlText w:val="(%2)"/>
      <w:numFmt w:val="lowerLetter"/>
      <w:start w:val="1"/>
    </w:lvl>
  </w:abstractNum>
  <w:abstractNum w:abstractNumId="52">
    <w:nsid w:val="BF72B14"/>
    <w:multiLevelType w:val="hybridMultilevel"/>
    <w:lvl w:ilvl="0">
      <w:lvlJc w:val="left"/>
      <w:lvlText w:val="(%1)"/>
      <w:numFmt w:val="lowerLetter"/>
      <w:start w:val="3"/>
    </w:lvl>
  </w:abstractNum>
  <w:abstractNum w:abstractNumId="53">
    <w:nsid w:val="11447B73"/>
    <w:multiLevelType w:val="hybridMultilevel"/>
    <w:lvl w:ilvl="0">
      <w:lvlJc w:val="left"/>
      <w:lvlText w:val="%1."/>
      <w:numFmt w:val="decimal"/>
      <w:start w:val="1"/>
    </w:lvl>
  </w:abstractNum>
  <w:abstractNum w:abstractNumId="54">
    <w:nsid w:val="42963E5A"/>
    <w:multiLevelType w:val="hybridMultilevel"/>
    <w:lvl w:ilvl="0">
      <w:lvlJc w:val="left"/>
      <w:lvlText w:val="%1."/>
      <w:numFmt w:val="decimal"/>
      <w:start w:val="5"/>
    </w:lvl>
  </w:abstractNum>
  <w:abstractNum w:abstractNumId="55">
    <w:nsid w:val="A0382C5"/>
    <w:multiLevelType w:val="hybridMultilevel"/>
    <w:lvl w:ilvl="0">
      <w:lvlJc w:val="left"/>
      <w:lvlText w:val="%1."/>
      <w:numFmt w:val="decimal"/>
      <w:start w:val="7"/>
    </w:lvl>
  </w:abstractNum>
  <w:abstractNum w:abstractNumId="56">
    <w:nsid w:val="8F2B15E"/>
    <w:multiLevelType w:val="hybridMultilevel"/>
    <w:lvl w:ilvl="0">
      <w:lvlJc w:val="left"/>
      <w:lvlText w:val="(%1)"/>
      <w:numFmt w:val="lowerRoman"/>
      <w:start w:val="1"/>
    </w:lvl>
  </w:abstractNum>
  <w:abstractNum w:abstractNumId="57">
    <w:nsid w:val="1A32234B"/>
    <w:multiLevelType w:val="hybridMultilevel"/>
    <w:lvl w:ilvl="0">
      <w:lvlJc w:val="left"/>
      <w:lvlText w:val="(%1)"/>
      <w:numFmt w:val="lowerRoman"/>
      <w:start w:val="5"/>
    </w:lvl>
  </w:abstractNum>
  <w:abstractNum w:abstractNumId="58">
    <w:nsid w:val="3B0FD379"/>
    <w:multiLevelType w:val="hybridMultilevel"/>
    <w:lvl w:ilvl="0">
      <w:lvlJc w:val="left"/>
      <w:lvlText w:val="%1."/>
      <w:numFmt w:val="decimal"/>
      <w:start w:val="8"/>
    </w:lvl>
    <w:lvl w:ilvl="1">
      <w:lvlJc w:val="left"/>
      <w:lvlText w:val="(%2)"/>
      <w:numFmt w:val="lowerLetter"/>
      <w:start w:val="1"/>
    </w:lvl>
  </w:abstractNum>
  <w:abstractNum w:abstractNumId="59">
    <w:nsid w:val="68EB2F63"/>
    <w:multiLevelType w:val="hybridMultilevel"/>
    <w:lvl w:ilvl="0">
      <w:lvlJc w:val="left"/>
      <w:lvlText w:val="%1"/>
      <w:numFmt w:val="lowerLetter"/>
      <w:start w:val="1"/>
    </w:lvl>
    <w:lvl w:ilvl="1">
      <w:lvlJc w:val="left"/>
      <w:lvlText w:val="(%2)"/>
      <w:numFmt w:val="lowerLetter"/>
      <w:start w:val="4"/>
    </w:lvl>
  </w:abstractNum>
  <w:abstractNum w:abstractNumId="60">
    <w:nsid w:val="4962813B"/>
    <w:multiLevelType w:val="hybridMultilevel"/>
    <w:lvl w:ilvl="0">
      <w:lvlJc w:val="left"/>
      <w:lvlText w:val="(%1)"/>
      <w:numFmt w:val="lowerLetter"/>
      <w:start w:val="35"/>
    </w:lvl>
    <w:lvl w:ilvl="1">
      <w:lvlJc w:val="left"/>
      <w:lvlText w:val="(%2)"/>
      <w:numFmt w:val="lowerLetter"/>
      <w:start w:val="11"/>
    </w:lvl>
  </w:abstractNum>
  <w:abstractNum w:abstractNumId="61">
    <w:nsid w:val="60B6DF70"/>
    <w:multiLevelType w:val="hybridMultilevel"/>
    <w:lvl w:ilvl="0">
      <w:lvlJc w:val="left"/>
      <w:lvlText w:val="%1."/>
      <w:numFmt w:val="decimal"/>
      <w:start w:val="10"/>
    </w:lvl>
    <w:lvl w:ilvl="1">
      <w:lvlJc w:val="left"/>
      <w:lvlText w:val="(%2)"/>
      <w:numFmt w:val="lowerLetter"/>
      <w:start w:val="1"/>
    </w:lvl>
  </w:abstractNum>
  <w:abstractNum w:abstractNumId="62">
    <w:nsid w:val="6A5EE64"/>
    <w:multiLevelType w:val="hybridMultilevel"/>
    <w:lvl w:ilvl="0">
      <w:lvlJc w:val="left"/>
      <w:lvlText w:val="(%1)"/>
      <w:numFmt w:val="lowerLetter"/>
      <w:start w:val="5"/>
    </w:lvl>
  </w:abstractNum>
  <w:abstractNum w:abstractNumId="63">
    <w:nsid w:val="14330624"/>
    <w:multiLevelType w:val="hybridMultilevel"/>
    <w:lvl w:ilvl="0">
      <w:lvlJc w:val="left"/>
      <w:lvlText w:val="%1."/>
      <w:numFmt w:val="decimal"/>
      <w:start w:val="11"/>
    </w:lvl>
  </w:abstractNum>
  <w:abstractNum w:abstractNumId="64">
    <w:nsid w:val="7FFFCA11"/>
    <w:multiLevelType w:val="hybridMultilevel"/>
    <w:lvl w:ilvl="0">
      <w:lvlJc w:val="left"/>
      <w:lvlText w:val="%1."/>
      <w:numFmt w:val="decimal"/>
      <w:start w:val="12"/>
    </w:lvl>
  </w:abstractNum>
  <w:abstractNum w:abstractNumId="65">
    <w:nsid w:val="1A27709E"/>
    <w:multiLevelType w:val="hybridMultilevel"/>
    <w:lvl w:ilvl="0">
      <w:lvlJc w:val="left"/>
      <w:lvlText w:val="%1."/>
      <w:numFmt w:val="decimal"/>
      <w:start w:val="17"/>
    </w:lvl>
  </w:abstractNum>
  <w:abstractNum w:abstractNumId="66">
    <w:nsid w:val="71EA1109"/>
    <w:multiLevelType w:val="hybridMultilevel"/>
    <w:lvl w:ilvl="0">
      <w:lvlJc w:val="left"/>
      <w:lvlText w:val="%1."/>
      <w:numFmt w:val="decimal"/>
      <w:start w:val="23"/>
    </w:lvl>
  </w:abstractNum>
  <w:abstractNum w:abstractNumId="67">
    <w:nsid w:val="100F59DC"/>
    <w:multiLevelType w:val="hybridMultilevel"/>
    <w:lvl w:ilvl="0">
      <w:lvlJc w:val="left"/>
      <w:lvlText w:val="%1."/>
      <w:numFmt w:val="decimal"/>
      <w:start w:val="26"/>
    </w:lvl>
  </w:abstractNum>
  <w:abstractNum w:abstractNumId="68">
    <w:nsid w:val="7FB7E0AA"/>
    <w:multiLevelType w:val="hybridMultilevel"/>
    <w:lvl w:ilvl="0">
      <w:lvlJc w:val="left"/>
      <w:lvlText w:val="%1."/>
      <w:numFmt w:val="decimal"/>
      <w:start w:val="1"/>
    </w:lvl>
  </w:abstractNum>
  <w:abstractNum w:abstractNumId="69">
    <w:nsid w:val="6EB5BD4"/>
    <w:multiLevelType w:val="hybridMultilevel"/>
    <w:lvl w:ilvl="0">
      <w:lvlJc w:val="left"/>
      <w:lvlText w:val="%1."/>
      <w:numFmt w:val="decimal"/>
      <w:start w:val="7"/>
    </w:lvl>
  </w:abstractNum>
  <w:abstractNum w:abstractNumId="70">
    <w:nsid w:val="6F6DD9AC"/>
    <w:multiLevelType w:val="hybridMultilevel"/>
    <w:lvl w:ilvl="0">
      <w:lvlJc w:val="left"/>
      <w:lvlText w:val="(%1)"/>
      <w:numFmt w:val="lowerRoman"/>
      <w:start w:val="3"/>
    </w:lvl>
  </w:abstractNum>
  <w:abstractNum w:abstractNumId="71">
    <w:nsid w:val="94211F2"/>
    <w:multiLevelType w:val="hybridMultilevel"/>
    <w:lvl w:ilvl="0">
      <w:lvlJc w:val="left"/>
      <w:lvlText w:val="%1."/>
      <w:numFmt w:val="decimal"/>
      <w:start w:val="10"/>
    </w:lvl>
  </w:abstractNum>
  <w:abstractNum w:abstractNumId="72">
    <w:nsid w:val="885E1B"/>
    <w:multiLevelType w:val="hybridMultilevel"/>
    <w:lvl w:ilvl="0">
      <w:lvlJc w:val="left"/>
      <w:lvlText w:val="%1."/>
      <w:numFmt w:val="decimal"/>
      <w:start w:val="14"/>
    </w:lvl>
  </w:abstractNum>
  <w:abstractNum w:abstractNumId="73">
    <w:nsid w:val="76272110"/>
    <w:multiLevelType w:val="hybridMultilevel"/>
    <w:lvl w:ilvl="0">
      <w:lvlJc w:val="left"/>
      <w:lvlText w:val="%1."/>
      <w:numFmt w:val="decimal"/>
      <w:start w:val="2"/>
    </w:lvl>
  </w:abstractNum>
  <w:abstractNum w:abstractNumId="74">
    <w:nsid w:val="4C04A8AF"/>
    <w:multiLevelType w:val="hybridMultilevel"/>
    <w:lvl w:ilvl="0">
      <w:lvlJc w:val="left"/>
      <w:lvlText w:val="Я"/>
      <w:numFmt w:val="bullet"/>
      <w:start w:val="1"/>
    </w:lvl>
  </w:abstractNum>
  <w:abstractNum w:abstractNumId="75">
    <w:nsid w:val="1716703B"/>
    <w:multiLevelType w:val="hybridMultilevel"/>
    <w:lvl w:ilvl="0">
      <w:lvlJc w:val="left"/>
      <w:lvlText w:val="%1."/>
      <w:numFmt w:val="decimal"/>
      <w:start w:val="2"/>
    </w:lvl>
  </w:abstractNum>
  <w:abstractNum w:abstractNumId="76">
    <w:nsid w:val="14E17E33"/>
    <w:multiLevelType w:val="hybridMultilevel"/>
    <w:lvl w:ilvl="0">
      <w:lvlJc w:val="left"/>
      <w:lvlText w:val="%1."/>
      <w:numFmt w:val="decimal"/>
      <w:start w:val="1"/>
    </w:lvl>
  </w:abstractNum>
  <w:abstractNum w:abstractNumId="77">
    <w:nsid w:val="3222E7CD"/>
    <w:multiLevelType w:val="hybridMultilevel"/>
    <w:lvl w:ilvl="0">
      <w:lvlJc w:val="left"/>
      <w:lvlText w:val="%1"/>
      <w:numFmt w:val="lowerLetter"/>
      <w:start w:val="1"/>
    </w:lvl>
    <w:lvl w:ilvl="1">
      <w:lvlJc w:val="left"/>
      <w:lvlText w:val="%2."/>
      <w:numFmt w:val="decimal"/>
      <w:start w:val="3"/>
    </w:lvl>
    <w:lvl w:ilvl="2">
      <w:lvlJc w:val="left"/>
      <w:lvlText w:val="(%3)"/>
      <w:numFmt w:val="lowerLetter"/>
      <w:start w:val="1"/>
    </w:lvl>
  </w:abstractNum>
  <w:abstractNum w:abstractNumId="78">
    <w:nsid w:val="74DE0EE3"/>
    <w:multiLevelType w:val="hybridMultilevel"/>
    <w:lvl w:ilvl="0">
      <w:lvlJc w:val="left"/>
      <w:lvlText w:val="(%1)"/>
      <w:numFmt w:val="lowerLetter"/>
      <w:start w:val="9"/>
    </w:lvl>
    <w:lvl w:ilvl="1">
      <w:lvlJc w:val="left"/>
      <w:lvlText w:val="%2"/>
      <w:numFmt w:val="decimal"/>
      <w:start w:val="1"/>
    </w:lvl>
    <w:lvl w:ilvl="2">
      <w:lvlJc w:val="left"/>
      <w:lvlText w:val="%3"/>
      <w:numFmt w:val="lowerLetter"/>
      <w:start w:val="1"/>
    </w:lvl>
  </w:abstractNum>
  <w:abstractNum w:abstractNumId="79">
    <w:nsid w:val="68EBC550"/>
    <w:multiLevelType w:val="hybridMultilevel"/>
    <w:lvl w:ilvl="0">
      <w:lvlJc w:val="left"/>
      <w:lvlText w:val="(%1)"/>
      <w:numFmt w:val="lowerLetter"/>
      <w:start w:val="2"/>
    </w:lvl>
  </w:abstractNum>
  <w:abstractNum w:abstractNumId="80">
    <w:nsid w:val="2DF6D648"/>
    <w:multiLevelType w:val="hybridMultilevel"/>
    <w:lvl w:ilvl="0">
      <w:lvlJc w:val="left"/>
      <w:lvlText w:val="%1"/>
      <w:numFmt w:val="lowerLetter"/>
      <w:start w:val="1"/>
    </w:lvl>
    <w:lvl w:ilvl="1">
      <w:lvlJc w:val="left"/>
      <w:lvlText w:val="(%2)"/>
      <w:numFmt w:val="lowerRoman"/>
      <w:start w:val="1"/>
    </w:lvl>
  </w:abstractNum>
  <w:abstractNum w:abstractNumId="81">
    <w:nsid w:val="46B7D447"/>
    <w:multiLevelType w:val="hybridMultilevel"/>
    <w:lvl w:ilvl="0">
      <w:lvlJc w:val="left"/>
      <w:lvlText w:val="(%1)"/>
      <w:numFmt w:val="lowerLetter"/>
      <w:start w:val="3"/>
    </w:lvl>
    <w:lvl w:ilvl="1">
      <w:lvlJc w:val="left"/>
      <w:lvlText w:val="%2"/>
      <w:numFmt w:val="lowerRoman"/>
      <w:start w:val="1"/>
    </w:lvl>
  </w:abstractNum>
  <w:abstractNum w:abstractNumId="82">
    <w:nsid w:val="4A2AC315"/>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83">
    <w:nsid w:val="39EE015C"/>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2"/>
    </w:lvl>
  </w:abstractNum>
  <w:abstractNum w:abstractNumId="84">
    <w:nsid w:val="57FC4FB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85">
    <w:nsid w:val="CC1016F"/>
    <w:multiLevelType w:val="hybridMultilevel"/>
    <w:lvl w:ilvl="0">
      <w:lvlJc w:val="left"/>
      <w:lvlText w:val="%1"/>
      <w:numFmt w:val="decimal"/>
      <w:start w:val="1"/>
    </w:lvl>
    <w:lvl w:ilvl="1">
      <w:lvlJc w:val="left"/>
      <w:lvlText w:val="(%2)"/>
      <w:numFmt w:val="lowerRoman"/>
      <w:start w:val="4"/>
    </w:lvl>
  </w:abstractNum>
  <w:abstractNum w:abstractNumId="86">
    <w:nsid w:val="43F18422"/>
    <w:multiLevelType w:val="hybridMultilevel"/>
    <w:lvl w:ilvl="0">
      <w:lvlJc w:val="left"/>
      <w:lvlText w:val="%1."/>
      <w:numFmt w:val="decimal"/>
      <w:start w:val="4"/>
    </w:lvl>
    <w:lvl w:ilvl="1">
      <w:lvlJc w:val="left"/>
      <w:lvlText w:val="%2"/>
      <w:numFmt w:val="lowerRoman"/>
      <w:start w:val="1"/>
    </w:lvl>
  </w:abstractNum>
  <w:abstractNum w:abstractNumId="87">
    <w:nsid w:val="60EF0119"/>
    <w:multiLevelType w:val="hybridMultilevel"/>
    <w:lvl w:ilvl="0">
      <w:lvlJc w:val="left"/>
      <w:lvlText w:val="(%1)"/>
      <w:numFmt w:val="lowerLetter"/>
      <w:start w:val="1"/>
    </w:lvl>
  </w:abstractNum>
  <w:abstractNum w:abstractNumId="88">
    <w:nsid w:val="26F324BA"/>
    <w:multiLevelType w:val="hybridMultilevel"/>
    <w:lvl w:ilvl="0">
      <w:lvlJc w:val="left"/>
      <w:lvlText w:val="%1."/>
      <w:numFmt w:val="decimal"/>
      <w:start w:val="5"/>
    </w:lvl>
    <w:lvl w:ilvl="1">
      <w:lvlJc w:val="left"/>
      <w:lvlText w:val="(%2)"/>
      <w:numFmt w:val="lowerLetter"/>
      <w:start w:val="1"/>
    </w:lvl>
  </w:abstractNum>
  <w:abstractNum w:abstractNumId="89">
    <w:nsid w:val="7F01579B"/>
    <w:multiLevelType w:val="hybridMultilevel"/>
    <w:lvl w:ilvl="0">
      <w:lvlJc w:val="left"/>
      <w:lvlText w:val="(%1)"/>
      <w:numFmt w:val="lowerLetter"/>
      <w:start w:val="2"/>
    </w:lvl>
  </w:abstractNum>
  <w:abstractNum w:abstractNumId="90">
    <w:nsid w:val="49DA307D"/>
    <w:multiLevelType w:val="hybridMultilevel"/>
    <w:lvl w:ilvl="0">
      <w:lvlJc w:val="left"/>
      <w:lvlText w:val="%1."/>
      <w:numFmt w:val="decimal"/>
      <w:start w:val="1"/>
    </w:lvl>
  </w:abstractNum>
  <w:abstractNum w:abstractNumId="91">
    <w:nsid w:val="7055A5F5"/>
    <w:multiLevelType w:val="hybridMultilevel"/>
    <w:lvl w:ilvl="0">
      <w:lvlJc w:val="left"/>
      <w:lvlText w:val="%1)"/>
      <w:numFmt w:val="lowerLetter"/>
      <w:start w:val="1"/>
    </w:lvl>
  </w:abstractNum>
  <w:abstractNum w:abstractNumId="92">
    <w:nsid w:val="5FB8370B"/>
    <w:multiLevelType w:val="hybridMultilevel"/>
    <w:lvl w:ilvl="0">
      <w:lvlJc w:val="left"/>
      <w:lvlText w:val="%1."/>
      <w:numFmt w:val="decimal"/>
      <w:start w:val="5"/>
    </w:lvl>
  </w:abstractNum>
  <w:abstractNum w:abstractNumId="93">
    <w:nsid w:val="50801EE1"/>
    <w:multiLevelType w:val="hybridMultilevel"/>
    <w:lvl w:ilvl="0">
      <w:lvlJc w:val="left"/>
      <w:lvlText w:val="%1)"/>
      <w:numFmt w:val="lowerLetter"/>
      <w:start w:val="1"/>
    </w:lvl>
  </w:abstractNum>
  <w:abstractNum w:abstractNumId="94">
    <w:nsid w:val="488AC1A"/>
    <w:multiLevelType w:val="hybridMultilevel"/>
    <w:lvl w:ilvl="0">
      <w:lvlJc w:val="left"/>
      <w:lvlText w:val="%1."/>
      <w:numFmt w:val="decimal"/>
      <w:start w:val="1"/>
    </w:lvl>
  </w:abstractNum>
  <w:abstractNum w:abstractNumId="95">
    <w:nsid w:val="5FB8011C"/>
    <w:multiLevelType w:val="hybridMultilevel"/>
    <w:lvl w:ilvl="0">
      <w:lvlJc w:val="left"/>
      <w:lvlText w:val="%1)"/>
      <w:numFmt w:val="lowerLetter"/>
      <w:start w:val="1"/>
    </w:lvl>
  </w:abstractNum>
  <w:abstractNum w:abstractNumId="96">
    <w:nsid w:val="6AA78F7F"/>
    <w:multiLevelType w:val="hybridMultilevel"/>
    <w:lvl w:ilvl="0">
      <w:lvlJc w:val="left"/>
      <w:lvlText w:val="%1."/>
      <w:numFmt w:val="decimal"/>
      <w:start w:val="5"/>
    </w:lvl>
  </w:abstractNum>
  <w:abstractNum w:abstractNumId="97">
    <w:nsid w:val="7672BD23"/>
    <w:multiLevelType w:val="hybridMultilevel"/>
    <w:lvl w:ilvl="0">
      <w:lvlJc w:val="left"/>
      <w:lvlText w:val="%1)"/>
      <w:numFmt w:val="lowerLetter"/>
      <w:start w:val="1"/>
    </w:lvl>
  </w:abstractNum>
  <w:abstractNum w:abstractNumId="98">
    <w:nsid w:val="6FC75AF8"/>
    <w:multiLevelType w:val="hybridMultilevel"/>
    <w:lvl w:ilvl="0">
      <w:lvlJc w:val="left"/>
      <w:lvlText w:val="(%1)"/>
      <w:numFmt w:val="lowerRoman"/>
      <w:start w:val="1"/>
    </w:lvl>
  </w:abstractNum>
  <w:abstractNum w:abstractNumId="99">
    <w:nsid w:val="6A5F7029"/>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jpe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2020-12-04T15:10:41Z</dcterms:created>
  <dcterms:modified xsi:type="dcterms:W3CDTF">2020-12-04T15:10:41Z</dcterms:modified>
</cp:coreProperties>
</file>