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December 7, 2020</w:t>
      </w:r>
    </w:p>
    <w:p>
      <w:pPr>
        <w:spacing w:after="0" w:line="1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77-0481679</w:t>
      </w:r>
    </w:p>
    <w:p>
      <w:pPr>
        <w:spacing w:after="0" w:line="23" w:lineRule="exact"/>
        <w:rPr>
          <w:sz w:val="24"/>
          <w:szCs w:val="24"/>
          <w:color w:val="auto"/>
        </w:rPr>
      </w:pPr>
    </w:p>
    <w:p>
      <w:pPr>
        <w:sectPr>
          <w:pgSz w:w="11900" w:h="16838" w:orient="portrait"/>
          <w:cols w:equalWidth="0" w:num="3">
            <w:col w:w="4600" w:space="720"/>
            <w:col w:w="2780" w:space="720"/>
            <w:col w:w="2200"/>
          </w:cols>
          <w:pgMar w:left="440" w:top="362"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62" w:right="439" w:bottom="1440" w:gutter="0" w:footer="0" w:header="0"/>
          <w:type w:val="continuous"/>
        </w:sectPr>
      </w:pPr>
    </w:p>
    <w:p>
      <w:pPr>
        <w:spacing w:after="0" w:line="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Victoria Place, 5</w:t>
      </w:r>
      <w:r>
        <w:rPr>
          <w:rFonts w:ascii="Times New Roman" w:cs="Times New Roman" w:eastAsia="Times New Roman" w:hAnsi="Times New Roman"/>
          <w:sz w:val="15"/>
          <w:szCs w:val="15"/>
          <w:b w:val="1"/>
          <w:bCs w:val="1"/>
          <w:color w:val="auto"/>
        </w:rPr>
        <w:t>th</w:t>
      </w:r>
      <w:r>
        <w:rPr>
          <w:rFonts w:ascii="Times New Roman" w:cs="Times New Roman" w:eastAsia="Times New Roman" w:hAnsi="Times New Roman"/>
          <w:sz w:val="18"/>
          <w:szCs w:val="18"/>
          <w:b w:val="1"/>
          <w:bCs w:val="1"/>
          <w:color w:val="auto"/>
        </w:rPr>
        <w:t xml:space="preserve"> Floor</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31 Victoria Street</w:t>
      </w:r>
    </w:p>
    <w:p>
      <w:pPr>
        <w:spacing w:after="0" w:line="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Hamilton HM 10</w:t>
      </w:r>
    </w:p>
    <w:p>
      <w:pPr>
        <w:spacing w:after="0" w:line="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p>
      <w:pPr>
        <w:spacing w:after="0" w:line="200" w:lineRule="exact"/>
        <w:rPr>
          <w:sz w:val="24"/>
          <w:szCs w:val="24"/>
          <w:color w:val="auto"/>
        </w:rPr>
      </w:pPr>
    </w:p>
    <w:p>
      <w:pPr>
        <w:spacing w:after="0" w:line="289"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79"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1.01</w:t>
      </w:r>
      <w:r>
        <w:rPr>
          <w:sz w:val="20"/>
          <w:szCs w:val="20"/>
          <w:color w:val="auto"/>
        </w:rPr>
        <w:tab/>
      </w:r>
      <w:r>
        <w:rPr>
          <w:rFonts w:ascii="Times New Roman" w:cs="Times New Roman" w:eastAsia="Times New Roman" w:hAnsi="Times New Roman"/>
          <w:sz w:val="18"/>
          <w:szCs w:val="18"/>
          <w:b w:val="1"/>
          <w:bCs w:val="1"/>
          <w:color w:val="auto"/>
        </w:rPr>
        <w:t>Entry Into a Material Definitive Agreement.</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Term Credit Agreement</w:t>
      </w:r>
    </w:p>
    <w:p>
      <w:pPr>
        <w:spacing w:after="0" w:line="115" w:lineRule="exact"/>
        <w:rPr>
          <w:sz w:val="20"/>
          <w:szCs w:val="20"/>
          <w:color w:val="auto"/>
        </w:rPr>
      </w:pPr>
    </w:p>
    <w:p>
      <w:pPr>
        <w:ind w:right="20" w:firstLine="440"/>
        <w:spacing w:after="0" w:line="269" w:lineRule="auto"/>
        <w:rPr>
          <w:sz w:val="20"/>
          <w:szCs w:val="20"/>
          <w:color w:val="auto"/>
        </w:rPr>
      </w:pPr>
      <w:r>
        <w:rPr>
          <w:rFonts w:ascii="Times New Roman" w:cs="Times New Roman" w:eastAsia="Times New Roman" w:hAnsi="Times New Roman"/>
          <w:sz w:val="17"/>
          <w:szCs w:val="17"/>
          <w:color w:val="auto"/>
        </w:rPr>
        <w:t>On December 7, 2020, Marvell Technology Group Ltd. (“</w:t>
      </w:r>
      <w:r>
        <w:rPr>
          <w:rFonts w:ascii="Times New Roman" w:cs="Times New Roman" w:eastAsia="Times New Roman" w:hAnsi="Times New Roman"/>
          <w:sz w:val="17"/>
          <w:szCs w:val="17"/>
          <w:b w:val="1"/>
          <w:bCs w:val="1"/>
          <w:color w:val="auto"/>
        </w:rPr>
        <w:t>Marvell</w:t>
      </w:r>
      <w:r>
        <w:rPr>
          <w:rFonts w:ascii="Times New Roman" w:cs="Times New Roman" w:eastAsia="Times New Roman" w:hAnsi="Times New Roman"/>
          <w:sz w:val="17"/>
          <w:szCs w:val="17"/>
          <w:color w:val="auto"/>
        </w:rPr>
        <w:t>”) entered into a credit agreement by and among Marvell, Maui HoldCo, Inc., a Delaware corporation (“</w:t>
      </w:r>
      <w:r>
        <w:rPr>
          <w:rFonts w:ascii="Times New Roman" w:cs="Times New Roman" w:eastAsia="Times New Roman" w:hAnsi="Times New Roman"/>
          <w:sz w:val="17"/>
          <w:szCs w:val="17"/>
          <w:b w:val="1"/>
          <w:bCs w:val="1"/>
          <w:color w:val="auto"/>
        </w:rPr>
        <w:t>HoldCo</w:t>
      </w:r>
      <w:r>
        <w:rPr>
          <w:rFonts w:ascii="Times New Roman" w:cs="Times New Roman" w:eastAsia="Times New Roman" w:hAnsi="Times New Roman"/>
          <w:sz w:val="17"/>
          <w:szCs w:val="17"/>
          <w:color w:val="auto"/>
        </w:rPr>
        <w:t>”), the guarantors party thereto, the Lenders party thereto (each, a “</w:t>
      </w:r>
      <w:r>
        <w:rPr>
          <w:rFonts w:ascii="Times New Roman" w:cs="Times New Roman" w:eastAsia="Times New Roman" w:hAnsi="Times New Roman"/>
          <w:sz w:val="17"/>
          <w:szCs w:val="17"/>
          <w:b w:val="1"/>
          <w:bCs w:val="1"/>
          <w:color w:val="auto"/>
        </w:rPr>
        <w:t>Term Lender</w:t>
      </w:r>
      <w:r>
        <w:rPr>
          <w:rFonts w:ascii="Times New Roman" w:cs="Times New Roman" w:eastAsia="Times New Roman" w:hAnsi="Times New Roman"/>
          <w:sz w:val="17"/>
          <w:szCs w:val="17"/>
          <w:color w:val="auto"/>
        </w:rPr>
        <w:t>”) and JPMorgan Chase Bank, N.A., as the administrative agent (the “</w:t>
      </w:r>
      <w:r>
        <w:rPr>
          <w:rFonts w:ascii="Times New Roman" w:cs="Times New Roman" w:eastAsia="Times New Roman" w:hAnsi="Times New Roman"/>
          <w:sz w:val="17"/>
          <w:szCs w:val="17"/>
          <w:b w:val="1"/>
          <w:bCs w:val="1"/>
          <w:color w:val="auto"/>
        </w:rPr>
        <w:t>Term Credit Agreement</w:t>
      </w:r>
      <w:r>
        <w:rPr>
          <w:rFonts w:ascii="Times New Roman" w:cs="Times New Roman" w:eastAsia="Times New Roman" w:hAnsi="Times New Roman"/>
          <w:sz w:val="17"/>
          <w:szCs w:val="17"/>
          <w:color w:val="auto"/>
        </w:rPr>
        <w:t>”). The Term Credit Agreement provides for borrowings of up to $1.750 billion in the form of term loans (“</w:t>
      </w:r>
      <w:r>
        <w:rPr>
          <w:rFonts w:ascii="Times New Roman" w:cs="Times New Roman" w:eastAsia="Times New Roman" w:hAnsi="Times New Roman"/>
          <w:sz w:val="17"/>
          <w:szCs w:val="17"/>
          <w:b w:val="1"/>
          <w:bCs w:val="1"/>
          <w:color w:val="auto"/>
        </w:rPr>
        <w:t>Term Loans</w:t>
      </w:r>
      <w:r>
        <w:rPr>
          <w:rFonts w:ascii="Times New Roman" w:cs="Times New Roman" w:eastAsia="Times New Roman" w:hAnsi="Times New Roman"/>
          <w:sz w:val="17"/>
          <w:szCs w:val="17"/>
          <w:color w:val="auto"/>
        </w:rPr>
        <w:t>”), $875.0 million of which will mature on the third anniversary of the funding date thereof (the “</w:t>
      </w:r>
      <w:r>
        <w:rPr>
          <w:rFonts w:ascii="Times New Roman" w:cs="Times New Roman" w:eastAsia="Times New Roman" w:hAnsi="Times New Roman"/>
          <w:sz w:val="17"/>
          <w:szCs w:val="17"/>
          <w:b w:val="1"/>
          <w:bCs w:val="1"/>
          <w:color w:val="auto"/>
        </w:rPr>
        <w:t>3-Year Tranche Loans</w:t>
      </w:r>
      <w:r>
        <w:rPr>
          <w:rFonts w:ascii="Times New Roman" w:cs="Times New Roman" w:eastAsia="Times New Roman" w:hAnsi="Times New Roman"/>
          <w:sz w:val="17"/>
          <w:szCs w:val="17"/>
          <w:color w:val="auto"/>
        </w:rPr>
        <w:t>”) and $875.0 million of which will mature on the fifth anniversary of the funding date thereof (the “</w:t>
      </w:r>
      <w:r>
        <w:rPr>
          <w:rFonts w:ascii="Times New Roman" w:cs="Times New Roman" w:eastAsia="Times New Roman" w:hAnsi="Times New Roman"/>
          <w:sz w:val="17"/>
          <w:szCs w:val="17"/>
          <w:b w:val="1"/>
          <w:bCs w:val="1"/>
          <w:color w:val="auto"/>
        </w:rPr>
        <w:t>5-Year Tranche Loans</w:t>
      </w:r>
      <w:r>
        <w:rPr>
          <w:rFonts w:ascii="Times New Roman" w:cs="Times New Roman" w:eastAsia="Times New Roman" w:hAnsi="Times New Roman"/>
          <w:sz w:val="17"/>
          <w:szCs w:val="17"/>
          <w:color w:val="auto"/>
        </w:rPr>
        <w:t>”). The availability and funding of the Term Loans is subject to satisfaction of customary conditions and the closing of Marvell’s previously announced acquisition of Inphi Corporation (“</w:t>
      </w:r>
      <w:r>
        <w:rPr>
          <w:rFonts w:ascii="Times New Roman" w:cs="Times New Roman" w:eastAsia="Times New Roman" w:hAnsi="Times New Roman"/>
          <w:sz w:val="17"/>
          <w:szCs w:val="17"/>
          <w:b w:val="1"/>
          <w:bCs w:val="1"/>
          <w:color w:val="auto"/>
        </w:rPr>
        <w:t>Inphi</w:t>
      </w:r>
      <w:r>
        <w:rPr>
          <w:rFonts w:ascii="Times New Roman" w:cs="Times New Roman" w:eastAsia="Times New Roman" w:hAnsi="Times New Roman"/>
          <w:sz w:val="17"/>
          <w:szCs w:val="17"/>
          <w:color w:val="auto"/>
        </w:rPr>
        <w:t>”) through a merger of Inphi with and into Indigo Acquisition Corp., a wholly owned subsidiary of HoldCo (the “</w:t>
      </w:r>
      <w:r>
        <w:rPr>
          <w:rFonts w:ascii="Times New Roman" w:cs="Times New Roman" w:eastAsia="Times New Roman" w:hAnsi="Times New Roman"/>
          <w:sz w:val="17"/>
          <w:szCs w:val="17"/>
          <w:b w:val="1"/>
          <w:bCs w:val="1"/>
          <w:color w:val="auto"/>
        </w:rPr>
        <w:t>Inphi</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b w:val="1"/>
          <w:bCs w:val="1"/>
          <w:color w:val="auto"/>
        </w:rPr>
        <w:t>Acquisition</w:t>
      </w:r>
      <w:r>
        <w:rPr>
          <w:rFonts w:ascii="Times New Roman" w:cs="Times New Roman" w:eastAsia="Times New Roman" w:hAnsi="Times New Roman"/>
          <w:sz w:val="17"/>
          <w:szCs w:val="17"/>
          <w:color w:val="auto"/>
        </w:rPr>
        <w:t>”). The Term Loans are anticipated to be fully funded on the date of the consummation of the Inphi Acquisition and, upon the reorganization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to occur on such date with Marvell becoming a wholly-owned subsidiary of HoldCo (the “</w:t>
      </w:r>
      <w:r>
        <w:rPr>
          <w:rFonts w:ascii="Times New Roman" w:cs="Times New Roman" w:eastAsia="Times New Roman" w:hAnsi="Times New Roman"/>
          <w:sz w:val="17"/>
          <w:szCs w:val="17"/>
          <w:b w:val="1"/>
          <w:bCs w:val="1"/>
          <w:color w:val="auto"/>
        </w:rPr>
        <w:t>Holdco Reorganization</w:t>
      </w:r>
      <w:r>
        <w:rPr>
          <w:rFonts w:ascii="Times New Roman" w:cs="Times New Roman" w:eastAsia="Times New Roman" w:hAnsi="Times New Roman"/>
          <w:sz w:val="17"/>
          <w:szCs w:val="17"/>
          <w:color w:val="auto"/>
        </w:rPr>
        <w:t>”), HoldCo will be the borrower of the Term Loans. As used herein and in the Term Credit Agreement, Marvell is initially the “</w:t>
      </w:r>
      <w:r>
        <w:rPr>
          <w:rFonts w:ascii="Times New Roman" w:cs="Times New Roman" w:eastAsia="Times New Roman" w:hAnsi="Times New Roman"/>
          <w:sz w:val="17"/>
          <w:szCs w:val="17"/>
          <w:b w:val="1"/>
          <w:bCs w:val="1"/>
          <w:color w:val="auto"/>
        </w:rPr>
        <w:t>Company</w:t>
      </w:r>
      <w:r>
        <w:rPr>
          <w:rFonts w:ascii="Times New Roman" w:cs="Times New Roman" w:eastAsia="Times New Roman" w:hAnsi="Times New Roman"/>
          <w:sz w:val="17"/>
          <w:szCs w:val="17"/>
          <w:color w:val="auto"/>
        </w:rPr>
        <w:t>” and on and after the date of the Holdco Reorganization, HoldCo is the “</w:t>
      </w:r>
      <w:r>
        <w:rPr>
          <w:rFonts w:ascii="Times New Roman" w:cs="Times New Roman" w:eastAsia="Times New Roman" w:hAnsi="Times New Roman"/>
          <w:sz w:val="17"/>
          <w:szCs w:val="17"/>
          <w:b w:val="1"/>
          <w:bCs w:val="1"/>
          <w:color w:val="auto"/>
        </w:rPr>
        <w:t>Company</w:t>
      </w:r>
      <w:r>
        <w:rPr>
          <w:rFonts w:ascii="Times New Roman" w:cs="Times New Roman" w:eastAsia="Times New Roman" w:hAnsi="Times New Roman"/>
          <w:sz w:val="17"/>
          <w:szCs w:val="17"/>
          <w:color w:val="auto"/>
        </w:rPr>
        <w:t>”. The proceeds of the Term Loans may be used to finance a portion of the cash consideration for the Inphi Acquisition, refinance certain of Inphi’s debt and pay fees and expenses related to the Inphi Acquisition and incurrence of any related indebtedness.</w:t>
      </w:r>
    </w:p>
    <w:p>
      <w:pPr>
        <w:spacing w:after="0" w:line="183"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7"/>
          <w:szCs w:val="17"/>
          <w:color w:val="auto"/>
        </w:rPr>
        <w:t>Amounts borrowed under the Term Credit Agreement bear interest, at the Company’s election, at an “alternative base rate” plus an applicable margin or at a reserve-adjusted LIBOR plus an applicable margin. In the case of alternate base rate loans, amounts borrowed bear interest at a per annum rate equal to the higher of (i) the prime rate set by administrative agent, (ii) 0.5% above the NYFRB Rate, and (iii) reserve-adjusted LIBOR for a deposit in dollars with a maturity of one month plus 1.00%, plus a margin based on ratings of S&amp;P, Moody’s and Fitch of Marvell’s senior unsecured long-term indebtedness (or (x) prior to the assignment of such ratings by any rating agency for HoldCo, Marvell and (y) thereafter, HoldCo or, in the absence of any such rating, the Company’s “corporate rating” by such rating agency), which at current ratings such margin initially equals 0.25% in the case of</w:t>
      </w:r>
    </w:p>
    <w:p>
      <w:pPr>
        <w:spacing w:after="0" w:line="5" w:lineRule="exact"/>
        <w:rPr>
          <w:sz w:val="20"/>
          <w:szCs w:val="20"/>
          <w:color w:val="auto"/>
        </w:rPr>
      </w:pPr>
    </w:p>
    <w:p>
      <w:pPr>
        <w:ind w:right="100"/>
        <w:spacing w:after="0" w:line="255" w:lineRule="auto"/>
        <w:rPr>
          <w:sz w:val="20"/>
          <w:szCs w:val="20"/>
          <w:color w:val="auto"/>
        </w:rPr>
      </w:pPr>
      <w:r>
        <w:rPr>
          <w:rFonts w:ascii="Times New Roman" w:cs="Times New Roman" w:eastAsia="Times New Roman" w:hAnsi="Times New Roman"/>
          <w:sz w:val="18"/>
          <w:szCs w:val="18"/>
          <w:color w:val="auto"/>
        </w:rPr>
        <w:t>3-Year Tranche Loans and 0.375% in the case of 5-Year Tranche Loans. In the case of Eurodollar loans, amounts borrowed bear interest at a per annum rate equal to reserve-adjusted LIBOR for the applicable interest period plus a margin based on ratings as set forth above, which at current ratings such margin initially equals 1.25% in the case of 3-Year Tranche Loans and 1.375% in the case of 5-Year Tranche Loans.</w:t>
      </w:r>
    </w:p>
    <w:p>
      <w:pPr>
        <w:spacing w:after="0" w:line="186" w:lineRule="exact"/>
        <w:rPr>
          <w:sz w:val="20"/>
          <w:szCs w:val="20"/>
          <w:color w:val="auto"/>
        </w:rPr>
      </w:pPr>
    </w:p>
    <w:p>
      <w:pPr>
        <w:ind w:firstLine="440"/>
        <w:spacing w:after="0" w:line="277" w:lineRule="auto"/>
        <w:rPr>
          <w:sz w:val="20"/>
          <w:szCs w:val="20"/>
          <w:color w:val="auto"/>
        </w:rPr>
      </w:pPr>
      <w:r>
        <w:rPr>
          <w:rFonts w:ascii="Times New Roman" w:cs="Times New Roman" w:eastAsia="Times New Roman" w:hAnsi="Times New Roman"/>
          <w:sz w:val="17"/>
          <w:szCs w:val="17"/>
          <w:color w:val="auto"/>
        </w:rPr>
        <w:t>The Company may prepay any borrowing at any time without premium or penalty. No amortization payments are required to be made with respect to the 3-Year Tranche Loans. Quarterly amortization payments are required to be made by the Company with respect to the 5-Year Tranche Loans in an amount equal to (i) 5.0% per annum of the aggregate principal amount of the 5-Year Tranche Loans for the first four full fiscal quarters following the funding date, (ii) 10.0% per annum of the aggregate principal amount of the 5-Year Tranche Loans for the fifth through the twelfth full fiscal quarters following the funding date, and (iii) 15.0% per annum of the aggregate principal amount of the 5-Year Tranche Loans for each fiscal quarter thereafter.</w:t>
      </w:r>
    </w:p>
    <w:p>
      <w:pPr>
        <w:spacing w:after="0" w:line="168" w:lineRule="exact"/>
        <w:rPr>
          <w:sz w:val="20"/>
          <w:szCs w:val="20"/>
          <w:color w:val="auto"/>
        </w:rPr>
      </w:pPr>
    </w:p>
    <w:p>
      <w:pPr>
        <w:ind w:right="180" w:firstLine="440"/>
        <w:spacing w:after="0" w:line="261" w:lineRule="auto"/>
        <w:rPr>
          <w:sz w:val="20"/>
          <w:szCs w:val="20"/>
          <w:color w:val="auto"/>
        </w:rPr>
      </w:pPr>
      <w:r>
        <w:rPr>
          <w:rFonts w:ascii="Times New Roman" w:cs="Times New Roman" w:eastAsia="Times New Roman" w:hAnsi="Times New Roman"/>
          <w:sz w:val="18"/>
          <w:szCs w:val="18"/>
          <w:color w:val="auto"/>
        </w:rPr>
        <w:t>The Company must pay each Term Lender a ticking fee on the daily amount of the commitment for Term Loans of such Term Lender during the period commencing on January 27, 2021 and ending on the earlier of the date on which the Term Loans are funded or such commitment terminates, which accrues on a margin based on ratings as set forth above, which margin ranges from 0.125% to 0.350% in the case of 3-Year Tranche Loans and 0.150% to 0.400% in the case of 5-Year Tranche Loans.</w:t>
      </w:r>
    </w:p>
    <w:p>
      <w:pPr>
        <w:spacing w:after="0" w:line="180"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Upon the Holdco Reorganization and the funding of the Term Loans, Marvell will guarantee the obligations of the Company under the Term Credit Agreement so long as Marvell remains obligated in respect of other indebtedness in an aggregate principal amount in excess of $100.0 million. Additionally, from and after the date of the consummation of the Inphi Acquisition, Inphi will be required to guarantee the obligations of the Company under the Term Credit Agreement so long as Inphi remains obligated in respect of other indebtedness in an aggregate principal amount in excess of $100.0 million; provided that the existing convertible notes of Inphi shall not be deemed to be outstanding for such purpose until the date that is 90 days following the date of the consummation of the Inphi Acquisition.</w:t>
      </w:r>
    </w:p>
    <w:p>
      <w:pPr>
        <w:sectPr>
          <w:pgSz w:w="11900" w:h="16838" w:orient="portrait"/>
          <w:cols w:equalWidth="0" w:num="1">
            <w:col w:w="11000"/>
          </w:cols>
          <w:pgMar w:left="440" w:top="266" w:right="459" w:bottom="1440" w:gutter="0" w:footer="0" w:header="0"/>
        </w:sectPr>
      </w:pPr>
    </w:p>
    <w:bookmarkStart w:id="2" w:name="page3"/>
    <w:bookmarkEnd w:id="2"/>
    <w:p>
      <w:pPr>
        <w:ind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Term Credit Agreement requires that the Company and its subsidiaries, subject to certain exceptions,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commencing with the first fiscal quarter ending after the funding date of the Term Loans, maintain a leverage ratio as of the end of each fiscal quarter of no greater than 4.75 to 1.00, with such maximum leverage ratio level periodically stepping down as set forth in the Term Credit Agreement.</w:t>
      </w:r>
    </w:p>
    <w:p>
      <w:pPr>
        <w:spacing w:after="0" w:line="18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Amounts outstanding under the Term Credit Agreement may become immediately due and payable upon the occurrence of specified events, including, among other things: failure to pay any obligations under the Term Credit Agreement that have become due; breach of certain covenants; any event or condition that results in any indebtedness or obligation with respect to hedging agreements in an aggregate outstanding principal amount of $100.0 million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 million (other than any judgment covered by insurance (other than a self-insurance program)) is rendered against the Company, any material subsidiary or any combination thereof and remains unsatisfied; certain ERISA events; and a change in control.</w:t>
      </w:r>
    </w:p>
    <w:p>
      <w:pPr>
        <w:spacing w:after="0" w:line="192" w:lineRule="exact"/>
        <w:rPr>
          <w:sz w:val="20"/>
          <w:szCs w:val="20"/>
          <w:color w:val="auto"/>
        </w:rPr>
      </w:pPr>
    </w:p>
    <w:p>
      <w:pPr>
        <w:ind w:right="200" w:firstLine="440"/>
        <w:spacing w:after="0" w:line="266" w:lineRule="auto"/>
        <w:rPr>
          <w:sz w:val="20"/>
          <w:szCs w:val="20"/>
          <w:color w:val="auto"/>
        </w:rPr>
      </w:pPr>
      <w:r>
        <w:rPr>
          <w:rFonts w:ascii="Times New Roman" w:cs="Times New Roman" w:eastAsia="Times New Roman" w:hAnsi="Times New Roman"/>
          <w:sz w:val="18"/>
          <w:szCs w:val="18"/>
          <w:color w:val="auto"/>
        </w:rPr>
        <w:t>Certain Term Lenders under the Term Credit Agreement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76" w:lineRule="exact"/>
        <w:rPr>
          <w:sz w:val="20"/>
          <w:szCs w:val="20"/>
          <w:color w:val="auto"/>
        </w:rPr>
      </w:pPr>
    </w:p>
    <w:p>
      <w:pPr>
        <w:ind w:right="280" w:firstLine="440"/>
        <w:spacing w:after="0" w:line="282" w:lineRule="auto"/>
        <w:rPr>
          <w:sz w:val="20"/>
          <w:szCs w:val="20"/>
          <w:color w:val="auto"/>
        </w:rPr>
      </w:pPr>
      <w:r>
        <w:rPr>
          <w:rFonts w:ascii="Times New Roman" w:cs="Times New Roman" w:eastAsia="Times New Roman" w:hAnsi="Times New Roman"/>
          <w:sz w:val="18"/>
          <w:szCs w:val="18"/>
          <w:color w:val="auto"/>
        </w:rPr>
        <w:t>A copy of the Term Credit Agreement is attached hereto as Exhibit 10.1 and incorporated herein by reference. The foregoing description of the Term Credit Agreement is qualified in its entirety by reference to the full text of the Term Credit Agreement.</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Revolving Credit Agreement</w:t>
      </w:r>
    </w:p>
    <w:p>
      <w:pPr>
        <w:spacing w:after="0" w:line="11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On December 7, 2020, Marvell entered into a revolving credit agreement by and among Marvell, HoldCo, the guarantors party thereto,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Lenders party thereto (each, a “</w:t>
      </w:r>
      <w:r>
        <w:rPr>
          <w:rFonts w:ascii="Times New Roman" w:cs="Times New Roman" w:eastAsia="Times New Roman" w:hAnsi="Times New Roman"/>
          <w:sz w:val="18"/>
          <w:szCs w:val="18"/>
          <w:b w:val="1"/>
          <w:bCs w:val="1"/>
          <w:color w:val="auto"/>
        </w:rPr>
        <w:t>Revolving Lender</w:t>
      </w:r>
      <w:r>
        <w:rPr>
          <w:rFonts w:ascii="Times New Roman" w:cs="Times New Roman" w:eastAsia="Times New Roman" w:hAnsi="Times New Roman"/>
          <w:sz w:val="18"/>
          <w:szCs w:val="18"/>
          <w:color w:val="auto"/>
        </w:rPr>
        <w:t>”) and Bank of America, N.A., as the administrative agent (the “</w:t>
      </w:r>
      <w:r>
        <w:rPr>
          <w:rFonts w:ascii="Times New Roman" w:cs="Times New Roman" w:eastAsia="Times New Roman" w:hAnsi="Times New Roman"/>
          <w:sz w:val="18"/>
          <w:szCs w:val="18"/>
          <w:b w:val="1"/>
          <w:bCs w:val="1"/>
          <w:color w:val="auto"/>
        </w:rPr>
        <w:t>Revolving Credit Agreement</w:t>
      </w:r>
      <w:r>
        <w:rPr>
          <w:rFonts w:ascii="Times New Roman" w:cs="Times New Roman" w:eastAsia="Times New Roman" w:hAnsi="Times New Roman"/>
          <w:sz w:val="18"/>
          <w:szCs w:val="18"/>
          <w:color w:val="auto"/>
        </w:rPr>
        <w:t>”).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Revolving Credit Agreement provides for borrowings of up to $750.0 million in the form of revolving loans (“</w:t>
      </w:r>
      <w:r>
        <w:rPr>
          <w:rFonts w:ascii="Times New Roman" w:cs="Times New Roman" w:eastAsia="Times New Roman" w:hAnsi="Times New Roman"/>
          <w:sz w:val="18"/>
          <w:szCs w:val="18"/>
          <w:b w:val="1"/>
          <w:bCs w:val="1"/>
          <w:color w:val="auto"/>
        </w:rPr>
        <w:t>Revolving Loans</w:t>
      </w:r>
      <w:r>
        <w:rPr>
          <w:rFonts w:ascii="Times New Roman" w:cs="Times New Roman" w:eastAsia="Times New Roman" w:hAnsi="Times New Roman"/>
          <w:sz w:val="18"/>
          <w:szCs w:val="18"/>
          <w:color w:val="auto"/>
        </w:rPr>
        <w:t>”). As used herein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the Term Credit Agreement, Marvell is initially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and on and after the date of the Holdco Reorganization, HoldCo is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The proceeds of the Revolving Loans will be available to be used for general corporate purposes of the Company and its subsidiaries.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Revolving Credit Agreement replaces Marvell’s existing $500.0 million revolving credit facility.</w:t>
      </w:r>
    </w:p>
    <w:p>
      <w:pPr>
        <w:spacing w:after="0" w:line="20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Amounts borrowed under the Revolving Credit Agreement bear interest, at the Company’s election, at an “alternative base rate” plus an applicable margin or at a reserve-adjusted LIBOR plus an applicable margin. In the case of alternate base rate loans, amounts borrowed bear interest at a per annum rate equal to the “alternate base rate,” which is the higher of (i) the prime rate set by the administrative agent, (ii) 0.5% above the Federal Funds Effective Rate, and (iii) reserve-adjusted LIBOR for a deposit in dollars with a maturity of one month plus 1.00%, plus a margin based on ratings of S&amp;P, Moody’s and Fitch of Marvell’s senior unsecured long-term indebtedness (or (x) prior to the assignment of such ratings by any rating agency for HoldCo, Marvell and (y) thereafter, HoldCo or, in the absence of any such rating, the Company’s “corporate rating” by such rating agency), which margin initially equals 0.50%. In the case of Eurodollar loans, amounts borrowed bear interest at a per annum rate equal to reserve-adjusted LIBOR for the applicable interest period plus a margin based on ratings as set forth above, which margin initially equals 1.50%.</w:t>
      </w:r>
    </w:p>
    <w:p>
      <w:pPr>
        <w:spacing w:after="0" w:line="192" w:lineRule="exact"/>
        <w:rPr>
          <w:sz w:val="20"/>
          <w:szCs w:val="20"/>
          <w:color w:val="auto"/>
        </w:rPr>
      </w:pPr>
    </w:p>
    <w:p>
      <w:pPr>
        <w:ind w:right="240" w:firstLine="440"/>
        <w:spacing w:after="0" w:line="282" w:lineRule="auto"/>
        <w:rPr>
          <w:sz w:val="20"/>
          <w:szCs w:val="20"/>
          <w:color w:val="auto"/>
        </w:rPr>
      </w:pPr>
      <w:r>
        <w:rPr>
          <w:rFonts w:ascii="Times New Roman" w:cs="Times New Roman" w:eastAsia="Times New Roman" w:hAnsi="Times New Roman"/>
          <w:sz w:val="18"/>
          <w:szCs w:val="18"/>
          <w:color w:val="auto"/>
        </w:rPr>
        <w:t>The amounts borrowed under the Revolving Loans must be paid in full on the fifth anniversary of the date of execution of the Revolving Credit Agreement (the “</w:t>
      </w:r>
      <w:r>
        <w:rPr>
          <w:rFonts w:ascii="Times New Roman" w:cs="Times New Roman" w:eastAsia="Times New Roman" w:hAnsi="Times New Roman"/>
          <w:sz w:val="18"/>
          <w:szCs w:val="18"/>
          <w:b w:val="1"/>
          <w:bCs w:val="1"/>
          <w:color w:val="auto"/>
        </w:rPr>
        <w:t>Effective Date</w:t>
      </w:r>
      <w:r>
        <w:rPr>
          <w:rFonts w:ascii="Times New Roman" w:cs="Times New Roman" w:eastAsia="Times New Roman" w:hAnsi="Times New Roman"/>
          <w:sz w:val="18"/>
          <w:szCs w:val="18"/>
          <w:color w:val="auto"/>
        </w:rPr>
        <w:t>”).</w:t>
      </w:r>
    </w:p>
    <w:p>
      <w:pPr>
        <w:sectPr>
          <w:pgSz w:w="11900" w:h="16838" w:orient="portrait"/>
          <w:cols w:equalWidth="0" w:num="1">
            <w:col w:w="11000"/>
          </w:cols>
          <w:pgMar w:left="440" w:top="270" w:right="459" w:bottom="1440" w:gutter="0" w:footer="0" w:header="0"/>
        </w:sectPr>
      </w:pPr>
    </w:p>
    <w:bookmarkStart w:id="3" w:name="page4"/>
    <w:bookmarkEnd w:id="3"/>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may prepay any borrowing at any time without premium or penalty. The Company must pay each Revolving Lender a commitment fee, which accrues based on ratings as set forth above, and initially accrues at 0.175% per annum, on the daily unused amount of the commitment for Revolving Loans of such Revolving Lender during the period from and including the Effective Date to but excluding the date on which such commitment terminates.</w:t>
      </w:r>
    </w:p>
    <w:p>
      <w:pPr>
        <w:spacing w:after="0" w:line="180"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Upon the Holdco Reorganization, Marvell will guarantee the obligations of the Company under the Revolving Credit Agreement so long as Marvell remains obligated in respect of other indebtedness in an aggregate principal amount in excess of $100.0 million. Additionally, from and after the date of the consummation of the Inphi Acquisition, Inphi will be required to guarantee the obligations of the Company under the Revolving Credit Agreement so long as Inphi remains obligated in respect of other indebtedness in an aggregate principal amount in excess of $100.0 million; provided that the existing convertible notes of Inphi shall not be deemed to be outstanding for such purpose until the date that is 90 days following the date of the consummation of the Inphi Acquisition.</w:t>
      </w:r>
    </w:p>
    <w:p>
      <w:pPr>
        <w:spacing w:after="0" w:line="187" w:lineRule="exact"/>
        <w:rPr>
          <w:sz w:val="20"/>
          <w:szCs w:val="20"/>
          <w:color w:val="auto"/>
        </w:rPr>
      </w:pPr>
    </w:p>
    <w:p>
      <w:pPr>
        <w:ind w:right="120" w:firstLine="440"/>
        <w:spacing w:after="0" w:line="256" w:lineRule="auto"/>
        <w:rPr>
          <w:sz w:val="20"/>
          <w:szCs w:val="20"/>
          <w:color w:val="auto"/>
        </w:rPr>
      </w:pPr>
      <w:r>
        <w:rPr>
          <w:rFonts w:ascii="Times New Roman" w:cs="Times New Roman" w:eastAsia="Times New Roman" w:hAnsi="Times New Roman"/>
          <w:sz w:val="18"/>
          <w:szCs w:val="18"/>
          <w:color w:val="auto"/>
        </w:rPr>
        <w:t>The Revolving Credit Agreement requires that the Company and its subsidiaries, subject to certain exceptions,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as of the end of each fiscal quarter of (i) initially no greater than 3.00 to 1.00, and (ii) after the date of the consummation of the Inphi Acquisition, no greater that 4.75 to 1.00, with such maximum leverage ratio level periodically stepping down as set forth in the Revolving Credit Agreement.</w:t>
      </w:r>
    </w:p>
    <w:p>
      <w:pPr>
        <w:spacing w:after="0" w:line="18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Amounts outstanding under the Revolving Credit Agreement may become immediately due and payable upon the occurrence of specified events, including, among other things: failure to pay any obligations under the Revolving Credit Agreement that have become due; breach of certain covenants; any event or condition that results in any indebtedness or obligation with respect to hedging agreements in an aggregate outstanding principal amount of $100.0 million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 million (other than any judgment covered by insurance (other than a self-insurance program)) is rendered against the Company, any material subsidiary or any combination thereof and remains unsatisfied; certain ERISA events; and a change in control.</w:t>
      </w:r>
    </w:p>
    <w:p>
      <w:pPr>
        <w:spacing w:after="0" w:line="192" w:lineRule="exact"/>
        <w:rPr>
          <w:sz w:val="20"/>
          <w:szCs w:val="20"/>
          <w:color w:val="auto"/>
        </w:rPr>
      </w:pPr>
    </w:p>
    <w:p>
      <w:pPr>
        <w:ind w:right="40" w:firstLine="440"/>
        <w:spacing w:after="0" w:line="266" w:lineRule="auto"/>
        <w:rPr>
          <w:sz w:val="20"/>
          <w:szCs w:val="20"/>
          <w:color w:val="auto"/>
        </w:rPr>
      </w:pPr>
      <w:r>
        <w:rPr>
          <w:rFonts w:ascii="Times New Roman" w:cs="Times New Roman" w:eastAsia="Times New Roman" w:hAnsi="Times New Roman"/>
          <w:sz w:val="18"/>
          <w:szCs w:val="18"/>
          <w:color w:val="auto"/>
        </w:rPr>
        <w:t>Certain Revolving Lenders under the Revolving Credit Agreement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76" w:lineRule="exact"/>
        <w:rPr>
          <w:sz w:val="20"/>
          <w:szCs w:val="20"/>
          <w:color w:val="auto"/>
        </w:rPr>
      </w:pPr>
    </w:p>
    <w:p>
      <w:pPr>
        <w:ind w:right="160" w:firstLine="440"/>
        <w:spacing w:after="0" w:line="282" w:lineRule="auto"/>
        <w:rPr>
          <w:sz w:val="20"/>
          <w:szCs w:val="20"/>
          <w:color w:val="auto"/>
        </w:rPr>
      </w:pPr>
      <w:r>
        <w:rPr>
          <w:rFonts w:ascii="Times New Roman" w:cs="Times New Roman" w:eastAsia="Times New Roman" w:hAnsi="Times New Roman"/>
          <w:sz w:val="18"/>
          <w:szCs w:val="18"/>
          <w:color w:val="auto"/>
        </w:rPr>
        <w:t>A copy of the Revolving Credit Agreement is attached hereto as Exhibit 10.2 and incorporated herein by reference. The foregoing description of the Revolving Credit Agreement is qualified in its entirety by reference to the full text of the Revolving Credit Agreement.</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Amendment to Existing Credit Agreement</w:t>
      </w:r>
    </w:p>
    <w:p>
      <w:pPr>
        <w:spacing w:after="0" w:line="11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On December 7, 2020, Marvell entered into an Amendment No. 1 to Credit Agreement by and among Marvell, the Lenders party thereto, Bank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America, N.A., as the revolving facility agent, and Goldman Sachs Bank USA, as the general administrative agent and the term facility agent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Amendment</w:t>
      </w:r>
      <w:r>
        <w:rPr>
          <w:rFonts w:ascii="Times New Roman" w:cs="Times New Roman" w:eastAsia="Times New Roman" w:hAnsi="Times New Roman"/>
          <w:sz w:val="18"/>
          <w:szCs w:val="18"/>
          <w:color w:val="auto"/>
        </w:rPr>
        <w:t>”). The Amendment amends the Credit Agreement, dated as of June 13, 2018, by and among Marvell, the Lenders party thereto, Bank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America, N.A., as the revolving facility agent, and Goldman Sachs Bank USA, as the general administrative agent and the term facility agent (as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previously disclosed by Marvell on its </w:t>
      </w:r>
      <w:r>
        <w:rPr>
          <w:rFonts w:ascii="Times New Roman" w:cs="Times New Roman" w:eastAsia="Times New Roman" w:hAnsi="Times New Roman"/>
          <w:sz w:val="18"/>
          <w:szCs w:val="18"/>
          <w:u w:val="single" w:color="auto"/>
          <w:color w:val="auto"/>
        </w:rPr>
        <w:t>Current Report on Form 8-K dated June 13, 2018</w:t>
      </w:r>
      <w:r>
        <w:rPr>
          <w:rFonts w:ascii="Times New Roman" w:cs="Times New Roman" w:eastAsia="Times New Roman" w:hAnsi="Times New Roman"/>
          <w:sz w:val="18"/>
          <w:szCs w:val="18"/>
          <w:color w:val="auto"/>
        </w:rPr>
        <w:t>, filed with the Securities and Exchange Commission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w:t>
      </w:r>
      <w:r>
        <w:rPr>
          <w:rFonts w:ascii="Times New Roman" w:cs="Times New Roman" w:eastAsia="Times New Roman" w:hAnsi="Times New Roman"/>
          <w:sz w:val="18"/>
          <w:szCs w:val="18"/>
          <w:color w:val="auto"/>
        </w:rPr>
        <w:t>”) on June 13, 2018) (the “</w:t>
      </w:r>
      <w:r>
        <w:rPr>
          <w:rFonts w:ascii="Times New Roman" w:cs="Times New Roman" w:eastAsia="Times New Roman" w:hAnsi="Times New Roman"/>
          <w:sz w:val="18"/>
          <w:szCs w:val="18"/>
          <w:b w:val="1"/>
          <w:bCs w:val="1"/>
          <w:color w:val="auto"/>
        </w:rPr>
        <w:t>Existing Credit Agreement</w:t>
      </w:r>
      <w:r>
        <w:rPr>
          <w:rFonts w:ascii="Times New Roman" w:cs="Times New Roman" w:eastAsia="Times New Roman" w:hAnsi="Times New Roman"/>
          <w:sz w:val="18"/>
          <w:szCs w:val="18"/>
          <w:color w:val="auto"/>
        </w:rPr>
        <w:t>”). The Amendment amends and modifies the Existing Credit Agreement to, among other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things, expressly permit and provide for the Inphi Acquisition and to make other changes to conform certain covenants with the Term Credit Agreement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the Revolving Credit Agreement, including with respect to the maximum leverage ratio financial covenant.</w:t>
      </w:r>
    </w:p>
    <w:p>
      <w:pPr>
        <w:sectPr>
          <w:pgSz w:w="11900" w:h="16838" w:orient="portrait"/>
          <w:cols w:equalWidth="0" w:num="1">
            <w:col w:w="11000"/>
          </w:cols>
          <w:pgMar w:left="440" w:top="270" w:right="459" w:bottom="1440" w:gutter="0" w:footer="0" w:header="0"/>
        </w:sectPr>
      </w:pPr>
    </w:p>
    <w:bookmarkStart w:id="4" w:name="page5"/>
    <w:bookmarkEnd w:id="4"/>
    <w:p>
      <w:pPr>
        <w:ind w:right="40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Certain lenders under the Amendment and/or their respective affiliates have in the past performed, and may in the future from time to time perform, investment banking, financial advisory, lending and/or commercial banking services, or other services for Marvell and its subsidiaries, for which they have received, and may in the future receive, customary compensation and expense reimbursement.</w:t>
      </w:r>
    </w:p>
    <w:p>
      <w:pPr>
        <w:spacing w:after="0" w:line="176"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A copy of the Amendment is attached hereto as Exhibit 10.3 and incorporated herein by reference. The foregoing description of the Amendment is qualified in its entirety by reference to the full text of the Amendment.</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1.02</w:t>
      </w:r>
      <w:r>
        <w:rPr>
          <w:sz w:val="20"/>
          <w:szCs w:val="20"/>
          <w:color w:val="auto"/>
        </w:rPr>
        <w:tab/>
      </w:r>
      <w:r>
        <w:rPr>
          <w:rFonts w:ascii="Times New Roman" w:cs="Times New Roman" w:eastAsia="Times New Roman" w:hAnsi="Times New Roman"/>
          <w:sz w:val="17"/>
          <w:szCs w:val="17"/>
          <w:b w:val="1"/>
          <w:bCs w:val="1"/>
          <w:color w:val="auto"/>
        </w:rPr>
        <w:t>Termination of a Material Definitive Agreement.</w:t>
      </w:r>
    </w:p>
    <w:p>
      <w:pPr>
        <w:spacing w:after="0" w:line="121" w:lineRule="exact"/>
        <w:rPr>
          <w:sz w:val="20"/>
          <w:szCs w:val="20"/>
          <w:color w:val="auto"/>
        </w:rPr>
      </w:pPr>
    </w:p>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t>On December 7, 2020, concurrently with the effectiveness of the Revolving Credit Agreement, the commitments in respect of the $500.0 million revolving credit facility under the Existing Credit Agreement were terminated in their entirety and such revolving credit facility was replaced by the commitments under the Revolving Credit Agreement as described in Item 1.01 above. The term loans under the Existing Credit Agreement remain in effect.</w:t>
      </w:r>
    </w:p>
    <w:p>
      <w:pPr>
        <w:spacing w:after="0" w:line="324"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2.03</w:t>
      </w:r>
      <w:r>
        <w:rPr>
          <w:sz w:val="20"/>
          <w:szCs w:val="20"/>
          <w:color w:val="auto"/>
        </w:rPr>
        <w:tab/>
      </w:r>
      <w:r>
        <w:rPr>
          <w:rFonts w:ascii="Times New Roman" w:cs="Times New Roman" w:eastAsia="Times New Roman" w:hAnsi="Times New Roman"/>
          <w:sz w:val="17"/>
          <w:szCs w:val="17"/>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information set forth in Item 1.01 of this Current Report on Form 8-K is incorporated by reference into this Item 2.03.</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121" w:lineRule="exact"/>
        <w:rPr>
          <w:sz w:val="20"/>
          <w:szCs w:val="20"/>
          <w:color w:val="auto"/>
        </w:rPr>
      </w:pPr>
    </w:p>
    <w:p>
      <w:pPr>
        <w:ind w:right="40" w:firstLine="440"/>
        <w:spacing w:after="0" w:line="272" w:lineRule="auto"/>
        <w:rPr>
          <w:sz w:val="20"/>
          <w:szCs w:val="20"/>
          <w:color w:val="auto"/>
        </w:rPr>
      </w:pPr>
      <w:r>
        <w:rPr>
          <w:rFonts w:ascii="Times New Roman" w:cs="Times New Roman" w:eastAsia="Times New Roman" w:hAnsi="Times New Roman"/>
          <w:sz w:val="17"/>
          <w:szCs w:val="17"/>
          <w:color w:val="auto"/>
        </w:rPr>
        <w:t>This communication relates to a proposed transaction between Marvell and Inphi. In connection with the proposed transaction, Marvell and Inphi will cause HoldCo to file a registration statement on Form S-4 with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2"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Participants in the Solicitation</w:t>
      </w:r>
    </w:p>
    <w:p>
      <w:pPr>
        <w:spacing w:after="0" w:line="121"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 Looking Statements</w:t>
      </w:r>
    </w:p>
    <w:p>
      <w:pPr>
        <w:spacing w:after="0" w:line="121"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7"/>
          <w:szCs w:val="17"/>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w:t>
      </w:r>
    </w:p>
    <w:p>
      <w:pPr>
        <w:sectPr>
          <w:pgSz w:w="11900" w:h="16838" w:orient="portrait"/>
          <w:cols w:equalWidth="0" w:num="1">
            <w:col w:w="11000"/>
          </w:cols>
          <w:pgMar w:left="440" w:top="270" w:right="459" w:bottom="0" w:gutter="0" w:footer="0" w:header="0"/>
        </w:sectPr>
      </w:pPr>
    </w:p>
    <w:bookmarkStart w:id="5" w:name="page6"/>
    <w:bookmarkEnd w:id="5"/>
    <w:p>
      <w:pPr>
        <w:ind w:left="4"/>
        <w:spacing w:after="0" w:line="254" w:lineRule="auto"/>
        <w:rPr>
          <w:sz w:val="20"/>
          <w:szCs w:val="20"/>
          <w:color w:val="auto"/>
        </w:rPr>
      </w:pPr>
      <w:r>
        <w:rPr>
          <w:rFonts w:ascii="Times New Roman" w:cs="Times New Roman" w:eastAsia="Times New Roman" w:hAnsi="Times New Roman"/>
          <w:sz w:val="18"/>
          <w:szCs w:val="18"/>
          <w:color w:val="auto"/>
        </w:rPr>
        <w:t>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9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No Offer or Solicitation</w:t>
      </w:r>
    </w:p>
    <w:p>
      <w:pPr>
        <w:spacing w:after="0" w:line="121" w:lineRule="exact"/>
        <w:rPr>
          <w:sz w:val="20"/>
          <w:szCs w:val="20"/>
          <w:color w:val="auto"/>
        </w:rPr>
      </w:pPr>
    </w:p>
    <w:p>
      <w:pPr>
        <w:jc w:val="both"/>
        <w:ind w:left="4" w:firstLine="44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p>
      <w:pPr>
        <w:spacing w:after="0" w:line="324" w:lineRule="exact"/>
        <w:rPr>
          <w:sz w:val="20"/>
          <w:szCs w:val="20"/>
          <w:color w:val="auto"/>
        </w:rPr>
      </w:pPr>
    </w:p>
    <w:p>
      <w:pPr>
        <w:ind w:left="4"/>
        <w:spacing w:after="0"/>
        <w:tabs>
          <w:tab w:leader="none" w:pos="1184"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ind w:left="724" w:right="220" w:hanging="714"/>
        <w:spacing w:after="0" w:line="282" w:lineRule="auto"/>
        <w:tabs>
          <w:tab w:leader="none" w:pos="704" w:val="left"/>
        </w:tabs>
        <w:rPr>
          <w:sz w:val="20"/>
          <w:szCs w:val="20"/>
          <w:color w:val="auto"/>
        </w:rPr>
      </w:pPr>
      <w:r>
        <w:rPr>
          <w:rFonts w:ascii="Times New Roman" w:cs="Times New Roman" w:eastAsia="Times New Roman" w:hAnsi="Times New Roman"/>
          <w:sz w:val="18"/>
          <w:szCs w:val="18"/>
          <w:color w:val="auto"/>
        </w:rPr>
        <w:t>10.1*</w:t>
      </w:r>
      <w:r>
        <w:rPr>
          <w:sz w:val="20"/>
          <w:szCs w:val="20"/>
          <w:color w:val="auto"/>
        </w:rPr>
        <w:tab/>
      </w:r>
      <w:r>
        <w:rPr>
          <w:rFonts w:ascii="Times New Roman" w:cs="Times New Roman" w:eastAsia="Times New Roman" w:hAnsi="Times New Roman"/>
          <w:sz w:val="18"/>
          <w:szCs w:val="18"/>
          <w:color w:val="auto"/>
        </w:rPr>
        <w:t>Credit Agreement, dated as of December 7, 2020, among Marvell Technology Group Ltd., Maui HoldCo, Inc., the Guarantors party thereto, the Lenders party thereto and JPMorgan Chase Bank, N.A., as the Administrative Agent.</w:t>
      </w:r>
    </w:p>
    <w:p>
      <w:pPr>
        <w:spacing w:after="0" w:line="54" w:lineRule="exact"/>
        <w:rPr>
          <w:sz w:val="20"/>
          <w:szCs w:val="20"/>
          <w:color w:val="auto"/>
        </w:rPr>
      </w:pPr>
    </w:p>
    <w:p>
      <w:pPr>
        <w:ind w:left="724" w:right="20" w:hanging="714"/>
        <w:spacing w:after="0" w:line="282" w:lineRule="auto"/>
        <w:tabs>
          <w:tab w:leader="none" w:pos="704" w:val="left"/>
        </w:tabs>
        <w:rPr>
          <w:sz w:val="20"/>
          <w:szCs w:val="20"/>
          <w:color w:val="auto"/>
        </w:rPr>
      </w:pPr>
      <w:r>
        <w:rPr>
          <w:rFonts w:ascii="Times New Roman" w:cs="Times New Roman" w:eastAsia="Times New Roman" w:hAnsi="Times New Roman"/>
          <w:sz w:val="18"/>
          <w:szCs w:val="18"/>
          <w:color w:val="auto"/>
        </w:rPr>
        <w:t>10.2*</w:t>
      </w:r>
      <w:r>
        <w:rPr>
          <w:sz w:val="20"/>
          <w:szCs w:val="20"/>
          <w:color w:val="auto"/>
        </w:rPr>
        <w:tab/>
      </w:r>
      <w:r>
        <w:rPr>
          <w:rFonts w:ascii="Times New Roman" w:cs="Times New Roman" w:eastAsia="Times New Roman" w:hAnsi="Times New Roman"/>
          <w:sz w:val="18"/>
          <w:szCs w:val="18"/>
          <w:color w:val="auto"/>
        </w:rPr>
        <w:t>Revolving Credit Agreement, dated as of December 7, 2020, among Marvell Technology Group Ltd., Maui HoldCo, Inc., the Guarantors party thereto, the Lenders party thereto and Bank of America, N.A., as the Administrative Agent.</w:t>
      </w:r>
    </w:p>
    <w:p>
      <w:pPr>
        <w:spacing w:after="0" w:line="54" w:lineRule="exact"/>
        <w:rPr>
          <w:sz w:val="20"/>
          <w:szCs w:val="20"/>
          <w:color w:val="auto"/>
        </w:rPr>
      </w:pPr>
    </w:p>
    <w:p>
      <w:pPr>
        <w:ind w:left="724" w:right="160" w:hanging="714"/>
        <w:spacing w:after="0" w:line="266" w:lineRule="auto"/>
        <w:tabs>
          <w:tab w:leader="none" w:pos="704" w:val="left"/>
        </w:tabs>
        <w:rPr>
          <w:sz w:val="20"/>
          <w:szCs w:val="20"/>
          <w:color w:val="auto"/>
        </w:rPr>
      </w:pPr>
      <w:r>
        <w:rPr>
          <w:rFonts w:ascii="Times New Roman" w:cs="Times New Roman" w:eastAsia="Times New Roman" w:hAnsi="Times New Roman"/>
          <w:sz w:val="18"/>
          <w:szCs w:val="18"/>
          <w:color w:val="auto"/>
        </w:rPr>
        <w:t>10.3</w:t>
      </w:r>
      <w:r>
        <w:rPr>
          <w:sz w:val="20"/>
          <w:szCs w:val="20"/>
          <w:color w:val="auto"/>
        </w:rPr>
        <w:tab/>
      </w:r>
      <w:r>
        <w:rPr>
          <w:rFonts w:ascii="Times New Roman" w:cs="Times New Roman" w:eastAsia="Times New Roman" w:hAnsi="Times New Roman"/>
          <w:sz w:val="18"/>
          <w:szCs w:val="18"/>
          <w:color w:val="auto"/>
        </w:rPr>
        <w:t>Amendment No. 1 to Credit Agreement, dated as of December 7, 2020, among Marvell Technology Group Ltd., the Lenders party thereto, Bank of America, N.A., as the Revolving Facility Agent, and Goldman Sachs Bank USA, as the General Administrative Agent and the Term Facility Agent.</w:t>
      </w:r>
    </w:p>
    <w:p>
      <w:pPr>
        <w:spacing w:after="0" w:line="68" w:lineRule="exact"/>
        <w:rPr>
          <w:sz w:val="20"/>
          <w:szCs w:val="20"/>
          <w:color w:val="auto"/>
        </w:rPr>
      </w:pPr>
    </w:p>
    <w:p>
      <w:pPr>
        <w:ind w:left="4"/>
        <w:spacing w:after="0"/>
        <w:tabs>
          <w:tab w:leader="none" w:pos="704"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pacing w:after="0" w:line="131" w:lineRule="exact"/>
        <w:rPr>
          <w:sz w:val="20"/>
          <w:szCs w:val="20"/>
          <w:color w:val="auto"/>
        </w:rPr>
      </w:pPr>
    </w:p>
    <w:p>
      <w:pPr>
        <w:ind w:left="224" w:right="80" w:hanging="224"/>
        <w:spacing w:after="0" w:line="282" w:lineRule="auto"/>
        <w:tabs>
          <w:tab w:leader="none" w:pos="224"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Item 601(a)(5) of Regulation S-K, certain schedules and similar attachments have been omitted. The registrant hereby agrees to furnish a copy of any omitted schedule or similar attachment to the Securities and Exchange Commission upon request.</w:t>
      </w:r>
    </w:p>
    <w:p>
      <w:pPr>
        <w:sectPr>
          <w:pgSz w:w="11900" w:h="16838" w:orient="portrait"/>
          <w:cols w:equalWidth="0" w:num="1">
            <w:col w:w="11004"/>
          </w:cols>
          <w:pgMar w:left="436" w:top="121" w:right="459" w:bottom="1440" w:gutter="0" w:footer="0" w:header="0"/>
        </w:sectPr>
      </w:pPr>
    </w:p>
    <w:bookmarkStart w:id="6" w:name="page7"/>
    <w:bookmarkEnd w:id="6"/>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December 7,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660"/>
          </w:cols>
          <w:pgMar w:left="440" w:top="266" w:right="799" w:bottom="1440" w:gutter="0" w:footer="0" w:header="0"/>
        </w:sectPr>
      </w:pPr>
    </w:p>
    <w:bookmarkStart w:id="7" w:name="page8"/>
    <w:bookmarkEnd w:id="7"/>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10.1</w:t>
      </w:r>
    </w:p>
    <w:p>
      <w:pPr>
        <w:spacing w:after="0" w:line="22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77470</wp:posOffset>
            </wp:positionV>
            <wp:extent cx="699516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120015</wp:posOffset>
            </wp:positionV>
            <wp:extent cx="699516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81"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CREDIT AGREEMENT</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dated as of</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December 7, 2020,</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among</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the GUARANTORS Party Hereto</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the LENDERS Party Hereto</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JPMORGAN CHASE BANK, N.A.,</w:t>
      </w:r>
    </w:p>
    <w:p>
      <w:pPr>
        <w:spacing w:after="0" w:line="27"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as the Administrative Agent</w:t>
      </w:r>
    </w:p>
    <w:p>
      <w:pPr>
        <w:spacing w:after="0" w:line="207"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JPMORGAN CHASE BANK, N.A.,</w:t>
      </w:r>
    </w:p>
    <w:p>
      <w:pPr>
        <w:spacing w:after="0" w:line="27"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as Sole Lead Arranger and Bookrunner</w:t>
      </w:r>
    </w:p>
    <w:p>
      <w:pPr>
        <w:spacing w:after="0" w:line="207"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left="1440" w:right="2460"/>
        <w:spacing w:after="0" w:line="263" w:lineRule="auto"/>
        <w:rPr>
          <w:sz w:val="20"/>
          <w:szCs w:val="20"/>
          <w:color w:val="auto"/>
        </w:rPr>
      </w:pPr>
      <w:r>
        <w:rPr>
          <w:rFonts w:ascii="Times New Roman" w:cs="Times New Roman" w:eastAsia="Times New Roman" w:hAnsi="Times New Roman"/>
          <w:sz w:val="18"/>
          <w:szCs w:val="18"/>
          <w:color w:val="auto"/>
        </w:rPr>
        <w:t>BANK OF AMERICA, N.A., MUFG BANK, LTD., WELLS FARGO BANK, NATIONAL ASSOCIATION, CITIBANK, N.A., GOLDMAN SACHS BANK USA and HSBC BANK USA, NATIONAL ASSOCIATION, as Syndication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1722755</wp:posOffset>
            </wp:positionV>
            <wp:extent cx="699516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1765300</wp:posOffset>
            </wp:positionV>
            <wp:extent cx="699516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020"/>
          </w:cols>
          <w:pgMar w:left="1440" w:top="266" w:right="43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34"/>
        </w:trPr>
        <w:tc>
          <w:tcPr>
            <w:tcW w:w="10660" w:type="dxa"/>
            <w:vAlign w:val="bottom"/>
          </w:tcPr>
          <w:p>
            <w:pPr>
              <w:ind w:left="4600"/>
              <w:spacing w:after="0"/>
              <w:rPr>
                <w:sz w:val="20"/>
                <w:szCs w:val="20"/>
                <w:color w:val="auto"/>
              </w:rPr>
            </w:pPr>
            <w:r>
              <w:rPr>
                <w:rFonts w:ascii="Times New Roman" w:cs="Times New Roman" w:eastAsia="Times New Roman" w:hAnsi="Times New Roman"/>
                <w:sz w:val="18"/>
                <w:szCs w:val="18"/>
                <w:color w:val="auto"/>
              </w:rPr>
              <w:t>TABLE OF CONTENTS</w:t>
            </w:r>
          </w:p>
        </w:tc>
        <w:tc>
          <w:tcPr>
            <w:tcW w:w="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1066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ARTICLE I Definitions</w:t>
            </w:r>
          </w:p>
        </w:tc>
        <w:tc>
          <w:tcPr>
            <w:tcW w:w="32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Page</w:t>
            </w:r>
          </w:p>
        </w:tc>
        <w:tc>
          <w:tcPr>
            <w:tcW w:w="0" w:type="dxa"/>
            <w:vAlign w:val="bottom"/>
          </w:tcPr>
          <w:p>
            <w:pPr>
              <w:spacing w:after="0"/>
              <w:rPr>
                <w:sz w:val="1"/>
                <w:szCs w:val="1"/>
                <w:color w:val="auto"/>
              </w:rPr>
            </w:pPr>
          </w:p>
        </w:tc>
      </w:tr>
      <w:tr>
        <w:trPr>
          <w:trHeight w:val="228"/>
        </w:trPr>
        <w:tc>
          <w:tcPr>
            <w:tcW w:w="10660" w:type="dxa"/>
            <w:vAlign w:val="bottom"/>
            <w:vMerge w:val="continue"/>
          </w:tcPr>
          <w:p>
            <w:pPr>
              <w:spacing w:after="0"/>
              <w:rPr>
                <w:sz w:val="19"/>
                <w:szCs w:val="19"/>
                <w:color w:val="auto"/>
              </w:rPr>
            </w:pPr>
          </w:p>
        </w:tc>
        <w:tc>
          <w:tcPr>
            <w:tcW w:w="3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7"/>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1.01. Defined Terms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1.02. Classification of Loans and Borrowings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1.03. Terms Generally</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1.04. Accounting Terms; GAAP; Pro Forma Calculations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1.05. Currency Translation</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38</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1.06. Effectuation of Transactions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1.07. Interest Rates; LIBOR Notification</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34"/>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1.08. Divisions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40</w:t>
            </w:r>
          </w:p>
        </w:tc>
        <w:tc>
          <w:tcPr>
            <w:tcW w:w="0" w:type="dxa"/>
            <w:vAlign w:val="bottom"/>
          </w:tcPr>
          <w:p>
            <w:pPr>
              <w:spacing w:after="0"/>
              <w:rPr>
                <w:sz w:val="1"/>
                <w:szCs w:val="1"/>
                <w:color w:val="auto"/>
              </w:rPr>
            </w:pPr>
          </w:p>
        </w:tc>
      </w:tr>
      <w:tr>
        <w:trPr>
          <w:trHeight w:val="324"/>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ARTICLE II The Credits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40</w:t>
            </w:r>
          </w:p>
        </w:tc>
        <w:tc>
          <w:tcPr>
            <w:tcW w:w="0" w:type="dxa"/>
            <w:vAlign w:val="bottom"/>
          </w:tcPr>
          <w:p>
            <w:pPr>
              <w:spacing w:after="0"/>
              <w:rPr>
                <w:sz w:val="1"/>
                <w:szCs w:val="1"/>
                <w:color w:val="auto"/>
              </w:rPr>
            </w:pPr>
          </w:p>
        </w:tc>
      </w:tr>
      <w:tr>
        <w:trPr>
          <w:trHeight w:val="30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2.01. Commitments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2.02. Loans and Borrowings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2.03. Requests for Borrowings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2.04. Funding of Borrowings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2.05. Interest Elections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2.06. Termination and Reduction of Commitments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2.07. Repayment of Loans; Amortization; Evidence of Debt</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2.08. Prepayment of Loans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45</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2.09. Fees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2.10. Interest</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2.11. Alternate Rate of Interest</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47</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2.12. Increased Costs; Illegality</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49</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2.13. Break Funding Payments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2.14. Taxes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2.15. Payments Generally; Pro Rata Treatment; Sharing of Setoffs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55</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2.16. Mitigation Obligations; Replacement of Lenders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56</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2.17. Defaulting Lenders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57</w:t>
            </w:r>
          </w:p>
        </w:tc>
        <w:tc>
          <w:tcPr>
            <w:tcW w:w="0" w:type="dxa"/>
            <w:vAlign w:val="bottom"/>
          </w:tcPr>
          <w:p>
            <w:pPr>
              <w:spacing w:after="0"/>
              <w:rPr>
                <w:sz w:val="1"/>
                <w:szCs w:val="1"/>
                <w:color w:val="auto"/>
              </w:rPr>
            </w:pPr>
          </w:p>
        </w:tc>
      </w:tr>
      <w:tr>
        <w:trPr>
          <w:trHeight w:val="234"/>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2.18. Certain Permitted Amendments.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59</w:t>
            </w:r>
          </w:p>
        </w:tc>
        <w:tc>
          <w:tcPr>
            <w:tcW w:w="0" w:type="dxa"/>
            <w:vAlign w:val="bottom"/>
          </w:tcPr>
          <w:p>
            <w:pPr>
              <w:spacing w:after="0"/>
              <w:rPr>
                <w:sz w:val="1"/>
                <w:szCs w:val="1"/>
                <w:color w:val="auto"/>
              </w:rPr>
            </w:pPr>
          </w:p>
        </w:tc>
      </w:tr>
      <w:tr>
        <w:trPr>
          <w:trHeight w:val="324"/>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ARTICLE III Representations and Warranties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60</w:t>
            </w:r>
          </w:p>
        </w:tc>
        <w:tc>
          <w:tcPr>
            <w:tcW w:w="0" w:type="dxa"/>
            <w:vAlign w:val="bottom"/>
          </w:tcPr>
          <w:p>
            <w:pPr>
              <w:spacing w:after="0"/>
              <w:rPr>
                <w:sz w:val="1"/>
                <w:szCs w:val="1"/>
                <w:color w:val="auto"/>
              </w:rPr>
            </w:pPr>
          </w:p>
        </w:tc>
      </w:tr>
      <w:tr>
        <w:trPr>
          <w:trHeight w:val="30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3.01. Organization; Powers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60</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3.02. Authorization; Enforceability</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3.03. Governmental Approvals; Absence of Conflicts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3.04. Financial Condition; No Material Adverse Change</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61</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3.05. Properties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3.06. Litigation and Environmental Matters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62</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3.07. Compliance with Laws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63</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3.08. Investment Company Status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63</w:t>
            </w:r>
          </w:p>
        </w:tc>
        <w:tc>
          <w:tcPr>
            <w:tcW w:w="0" w:type="dxa"/>
            <w:vAlign w:val="bottom"/>
          </w:tcPr>
          <w:p>
            <w:pPr>
              <w:spacing w:after="0"/>
              <w:rPr>
                <w:sz w:val="1"/>
                <w:szCs w:val="1"/>
                <w:color w:val="auto"/>
              </w:rPr>
            </w:pPr>
          </w:p>
        </w:tc>
      </w:tr>
      <w:tr>
        <w:trPr>
          <w:trHeight w:val="216"/>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3.09. Taxes</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63</w:t>
            </w:r>
          </w:p>
        </w:tc>
        <w:tc>
          <w:tcPr>
            <w:tcW w:w="0" w:type="dxa"/>
            <w:vAlign w:val="bottom"/>
          </w:tcPr>
          <w:p>
            <w:pPr>
              <w:spacing w:after="0"/>
              <w:rPr>
                <w:sz w:val="1"/>
                <w:szCs w:val="1"/>
                <w:color w:val="auto"/>
              </w:rPr>
            </w:pPr>
          </w:p>
        </w:tc>
      </w:tr>
      <w:tr>
        <w:trPr>
          <w:trHeight w:val="234"/>
        </w:trPr>
        <w:tc>
          <w:tcPr>
            <w:tcW w:w="10660" w:type="dxa"/>
            <w:vAlign w:val="bottom"/>
          </w:tcPr>
          <w:p>
            <w:pPr>
              <w:spacing w:after="0"/>
              <w:rPr>
                <w:sz w:val="20"/>
                <w:szCs w:val="20"/>
                <w:color w:val="auto"/>
              </w:rPr>
            </w:pPr>
            <w:r>
              <w:rPr>
                <w:rFonts w:ascii="Times New Roman" w:cs="Times New Roman" w:eastAsia="Times New Roman" w:hAnsi="Times New Roman"/>
                <w:sz w:val="18"/>
                <w:szCs w:val="18"/>
                <w:color w:val="auto"/>
              </w:rPr>
              <w:t>SECTION 3.10. ERISA</w:t>
            </w:r>
          </w:p>
        </w:tc>
        <w:tc>
          <w:tcPr>
            <w:tcW w:w="32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63</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9" w:name="page10"/>
    <w:bookmarkEnd w:id="9"/>
    <w:tbl>
      <w:tblPr>
        <w:tblLayout w:type="fixed"/>
        <w:tblInd w:w="0" w:type="dxa"/>
        <w:tblCellMar>
          <w:top w:w="0" w:type="dxa"/>
          <w:left w:w="0" w:type="dxa"/>
          <w:bottom w:w="0" w:type="dxa"/>
          <w:right w:w="0" w:type="dxa"/>
        </w:tblCellMar>
      </w:tblP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3.11. Solvency</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3.12. Disclosure</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3.13. Federal Reserve Regulations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3.14. Use of Proceeds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3.15. Ranking of Obligations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3.16. Choice of Law Provisions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3.17. No Immunity</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3.18. Proper Form; No Recordation</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3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3.19. Affected Financial Institutions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IV Conditions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30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4.01. Effective Date</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3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4.02. Term Funding Date</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V Affirmative Covenants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30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5.01. Financial Statements and Other Information</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5.02. Notices of Material Events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5.03. Existence; Conduct of Business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5.04. Payment of Taxes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5.05. Maintenance of Properties and Rights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5.06. Insurance</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5.07. Books and Records; Inspection and Audit Rights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5.08. Compliance with Laws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5.09. Use of Proceeds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w:t>
            </w:r>
          </w:p>
        </w:tc>
      </w:tr>
      <w:tr>
        <w:trPr>
          <w:trHeight w:val="23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5.10. Guaranty</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VI Negative Covenants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30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6.01. Indebtedness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6.02. Liens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6.03. Sale/Leaseback Transactions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6.04. Fundamental Changes; Business Activities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6.05. [Reserved]</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23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6.06. Leverage Ratio</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VII Events of Default</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7.01. Events of Default; Remedies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VIII The Administrative Agent</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86</w:t>
            </w:r>
          </w:p>
        </w:tc>
      </w:tr>
      <w:tr>
        <w:trPr>
          <w:trHeight w:val="32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ARTICLE IX Miscellaneous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w:t>
            </w:r>
          </w:p>
        </w:tc>
      </w:tr>
      <w:tr>
        <w:trPr>
          <w:trHeight w:val="30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9.01. Notices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9.02. Waivers; Amendments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9.03. Expenses; Indemnity; Damage Waiver</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96</w:t>
            </w:r>
          </w:p>
        </w:tc>
      </w:tr>
      <w:tr>
        <w:trPr>
          <w:trHeight w:val="216"/>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9.04. Successors and Assigns</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99</w:t>
            </w:r>
          </w:p>
        </w:tc>
      </w:tr>
      <w:tr>
        <w:trPr>
          <w:trHeight w:val="234"/>
        </w:trPr>
        <w:tc>
          <w:tcPr>
            <w:tcW w:w="7700" w:type="dxa"/>
            <w:vAlign w:val="bottom"/>
          </w:tcPr>
          <w:p>
            <w:pPr>
              <w:spacing w:after="0"/>
              <w:rPr>
                <w:sz w:val="20"/>
                <w:szCs w:val="20"/>
                <w:color w:val="auto"/>
              </w:rPr>
            </w:pPr>
            <w:r>
              <w:rPr>
                <w:rFonts w:ascii="Times New Roman" w:cs="Times New Roman" w:eastAsia="Times New Roman" w:hAnsi="Times New Roman"/>
                <w:sz w:val="18"/>
                <w:szCs w:val="18"/>
                <w:color w:val="auto"/>
              </w:rPr>
              <w:t>SECTION 9.05. Survival</w:t>
            </w:r>
          </w:p>
        </w:tc>
        <w:tc>
          <w:tcPr>
            <w:tcW w:w="3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bl>
    <w:p>
      <w:pPr>
        <w:jc w:val="right"/>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0" w:name="page11"/>
    <w:bookmarkEnd w:id="10"/>
    <w:tbl>
      <w:tblPr>
        <w:tblLayout w:type="fixed"/>
        <w:tblInd w:w="0" w:type="dxa"/>
        <w:tblCellMar>
          <w:top w:w="0" w:type="dxa"/>
          <w:left w:w="0" w:type="dxa"/>
          <w:bottom w:w="0" w:type="dxa"/>
          <w:right w:w="0" w:type="dxa"/>
        </w:tblCellMar>
      </w:tblP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9.06. Counterparts; Integration; Effectiveness; Electronic Execution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9.07. Severability</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9.08. Right of Setoff</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105</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9.09. Governing Law; Jurisdiction; Consent to Service of Process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9.10. WAIVER OF JURY TRIAL</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107</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9.11. Headings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107</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9.12. Confidentiality</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107</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9.13. Interest Rate Limitation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9.14. USA PATRIOT Act Notice</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9.15. No Fiduciary Relationship</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9.16. Non-Public Information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9.17. Judgment Currency</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9.18. Acknowledgement and Consent to Bail-In of Affected Financial Institutions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w:t>
            </w:r>
          </w:p>
        </w:tc>
      </w:tr>
      <w:tr>
        <w:trPr>
          <w:trHeight w:val="234"/>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9.19. Permitted Reorganization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w:t>
            </w:r>
          </w:p>
        </w:tc>
      </w:tr>
      <w:tr>
        <w:trPr>
          <w:trHeight w:val="324"/>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ARTICLE X Guarantees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112</w:t>
            </w:r>
          </w:p>
        </w:tc>
      </w:tr>
      <w:tr>
        <w:trPr>
          <w:trHeight w:val="30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10.01. The Guarantees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112</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10.02. Guarantee Unconditional</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112</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10.03. Discharge Only upon Payment in Full; Reinstatement in Certain Circumstances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10.04. Subrogation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10.05. Waivers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10.06. Limit on Liability</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10.07. Stay of Acceleration</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16"/>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10.08. Benefit to Guarantors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r>
        <w:trPr>
          <w:trHeight w:val="234"/>
        </w:trPr>
        <w:tc>
          <w:tcPr>
            <w:tcW w:w="8860" w:type="dxa"/>
            <w:vAlign w:val="bottom"/>
          </w:tcPr>
          <w:p>
            <w:pPr>
              <w:spacing w:after="0"/>
              <w:rPr>
                <w:sz w:val="20"/>
                <w:szCs w:val="20"/>
                <w:color w:val="auto"/>
              </w:rPr>
            </w:pPr>
            <w:r>
              <w:rPr>
                <w:rFonts w:ascii="Times New Roman" w:cs="Times New Roman" w:eastAsia="Times New Roman" w:hAnsi="Times New Roman"/>
                <w:sz w:val="18"/>
                <w:szCs w:val="18"/>
                <w:color w:val="auto"/>
              </w:rPr>
              <w:t>SECTION 10.09. Guarantor Covenants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w:t>
            </w:r>
          </w:p>
        </w:tc>
      </w:tr>
    </w:tbl>
    <w:p>
      <w:pPr>
        <w:jc w:val="right"/>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1" w:name="page12"/>
    <w:bookmarkEnd w:id="11"/>
    <w:p>
      <w:pPr>
        <w:spacing w:after="0"/>
        <w:rPr>
          <w:sz w:val="20"/>
          <w:szCs w:val="20"/>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Schedule 2.01 — Commitments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Schedule 3.06 — Litigation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Schedule 6.01 — Existing Indebtedness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Schedule 6.02 — Existing Liens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Schedule 6.03 — Certain Sale/Leaseback Transactions</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EXHIBITS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A — Form of Assignment and Assumption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B — Form of Borrowing Request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C — Form of Compliance Certificate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D — Form of Interest Election Request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E — Form of Solvency Certificate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F — Form of Additional Guarantor Supplement</w:t>
      </w:r>
    </w:p>
    <w:p>
      <w:pPr>
        <w:sectPr>
          <w:pgSz w:w="11900" w:h="16838" w:orient="portrait"/>
          <w:cols w:equalWidth="0" w:num="1">
            <w:col w:w="10019"/>
          </w:cols>
          <w:pgMar w:left="440" w:top="270" w:right="1440" w:bottom="1440" w:gutter="0" w:footer="0" w:header="0"/>
        </w:sectPr>
      </w:pPr>
    </w:p>
    <w:bookmarkStart w:id="12" w:name="page13"/>
    <w:bookmarkEnd w:id="12"/>
    <w:p>
      <w:pPr>
        <w:ind w:left="1420" w:firstLine="383"/>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CREDIT AGREEMENT dated as of December 7, 2020, among MARVELL TECHNOLOGY GROUP LTD., a Bermuda exempted company, MAUI HOLDCO, INC., a Delaware corporation, the GUARANTORS party hereto, the LENDERS party hereto and JPMORGAN CHASE BANK, N.A., as the Administrative Agent.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The parties hereto agree as follows:</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I</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u w:val="single" w:color="auto"/>
          <w:color w:val="auto"/>
        </w:rPr>
        <w:t>Definitions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u w:val="single" w:color="auto"/>
          <w:color w:val="auto"/>
        </w:rPr>
        <w:t>Defined Terms</w:t>
      </w:r>
      <w:r>
        <w:rPr>
          <w:rFonts w:ascii="Times New Roman" w:cs="Times New Roman" w:eastAsia="Times New Roman" w:hAnsi="Times New Roman"/>
          <w:sz w:val="18"/>
          <w:szCs w:val="18"/>
          <w:color w:val="auto"/>
        </w:rPr>
        <w:t>. As used in this Agreement, the following terms have the meanings specified below:</w:t>
      </w:r>
    </w:p>
    <w:p>
      <w:pPr>
        <w:spacing w:after="0" w:line="225" w:lineRule="exact"/>
        <w:rPr>
          <w:sz w:val="20"/>
          <w:szCs w:val="20"/>
          <w:color w:val="auto"/>
        </w:rPr>
      </w:pPr>
    </w:p>
    <w:p>
      <w:pPr>
        <w:ind w:right="2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3-Year Tranche Borrowing</w:t>
      </w:r>
      <w:r>
        <w:rPr>
          <w:rFonts w:ascii="Times New Roman" w:cs="Times New Roman" w:eastAsia="Times New Roman" w:hAnsi="Times New Roman"/>
          <w:sz w:val="18"/>
          <w:szCs w:val="18"/>
          <w:color w:val="auto"/>
        </w:rPr>
        <w:t>” means 3-Year Tranche Loans of the same Type made, converted or continued on the same date and, in the case of Eurocurrency Loans, as to which a single Interest Period is in effect.</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3-Year Tranche Commitment</w:t>
      </w:r>
      <w:r>
        <w:rPr>
          <w:rFonts w:ascii="Times New Roman" w:cs="Times New Roman" w:eastAsia="Times New Roman" w:hAnsi="Times New Roman"/>
          <w:sz w:val="18"/>
          <w:szCs w:val="18"/>
          <w:color w:val="auto"/>
        </w:rPr>
        <w:t>” means, with respect to each Lender, the commitment, if any, of such Lender to make a 3-Year Tranche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Loan on the Term Funding Date, expressed as an amount representing the maximum principal amount of the 3-Year Tranche Loan to be made by such</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Lender, as such commitment may be (a) reduced from time to time pursuant to Section 2.06 and (b) reduced or increased from time to time pursuant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assignments by or to such Lender pursuant to Section 9.04. The initial amount of each Lender’s 3-Year Tranche Commitment is set forth 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Schedule 2.01, or in the Assignment and Assumption pursuant to which such Lender shall have assumed its 3-Year Tranche Commitment, as applicable.</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initial aggregate amount of the Lenders’ 3-Year Tranche Commitment is $875,000,000.</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3-Year Tranche Lender</w:t>
      </w:r>
      <w:r>
        <w:rPr>
          <w:rFonts w:ascii="Times New Roman" w:cs="Times New Roman" w:eastAsia="Times New Roman" w:hAnsi="Times New Roman"/>
          <w:sz w:val="18"/>
          <w:szCs w:val="18"/>
          <w:color w:val="auto"/>
        </w:rPr>
        <w:t>” means a Lender with a 3-Year Tranche Commitment or holding 3-Year Tranche Loans.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3-Year Tranche Loan</w:t>
      </w:r>
      <w:r>
        <w:rPr>
          <w:rFonts w:ascii="Times New Roman" w:cs="Times New Roman" w:eastAsia="Times New Roman" w:hAnsi="Times New Roman"/>
          <w:sz w:val="18"/>
          <w:szCs w:val="18"/>
          <w:color w:val="auto"/>
        </w:rPr>
        <w:t>” means a Loan made pursuant to clause (a) of Section 2.01.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3-Year Tranche Maturity Date</w:t>
      </w:r>
      <w:r>
        <w:rPr>
          <w:rFonts w:ascii="Times New Roman" w:cs="Times New Roman" w:eastAsia="Times New Roman" w:hAnsi="Times New Roman"/>
          <w:sz w:val="18"/>
          <w:szCs w:val="18"/>
          <w:color w:val="auto"/>
        </w:rPr>
        <w:t>” means the third anniversary of the Term Funding Date.</w:t>
      </w:r>
    </w:p>
    <w:p>
      <w:pPr>
        <w:spacing w:after="0" w:line="225" w:lineRule="exact"/>
        <w:rPr>
          <w:sz w:val="20"/>
          <w:szCs w:val="20"/>
          <w:color w:val="auto"/>
        </w:rPr>
      </w:pPr>
    </w:p>
    <w:p>
      <w:pPr>
        <w:ind w:right="2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5-Year Tranche Borrowing</w:t>
      </w:r>
      <w:r>
        <w:rPr>
          <w:rFonts w:ascii="Times New Roman" w:cs="Times New Roman" w:eastAsia="Times New Roman" w:hAnsi="Times New Roman"/>
          <w:sz w:val="18"/>
          <w:szCs w:val="18"/>
          <w:color w:val="auto"/>
        </w:rPr>
        <w:t>” means 5-Year Tranche Loans of the same Type made, converted or continued on the same date and, in the case of Eurocurrency Loans, as to which a single Interest Period is in effect.</w:t>
      </w:r>
    </w:p>
    <w:p>
      <w:pPr>
        <w:spacing w:after="0" w:line="162"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5-Year Tranche Commitment</w:t>
      </w:r>
      <w:r>
        <w:rPr>
          <w:rFonts w:ascii="Times New Roman" w:cs="Times New Roman" w:eastAsia="Times New Roman" w:hAnsi="Times New Roman"/>
          <w:sz w:val="18"/>
          <w:szCs w:val="18"/>
          <w:color w:val="auto"/>
        </w:rPr>
        <w:t>” means, with respect to each Lender, the commitment, if any, of such Lender to make a 5-Year Tranche Loan on the Term Funding Date, expressed as an amount representing the maximum principal amount of the 5-Year Tranche Loan to be made by such Lender, as such commitment may be (a)</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0980"/>
          </w:cols>
          <w:pgMar w:left="440" w:top="270" w:right="479" w:bottom="1440" w:gutter="0" w:footer="0" w:header="0"/>
        </w:sectPr>
      </w:pPr>
    </w:p>
    <w:bookmarkStart w:id="13" w:name="page14"/>
    <w:bookmarkEnd w:id="13"/>
    <w:p>
      <w:pPr>
        <w:ind w:right="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reduced from time to time pursuant to Section 2.06 and (b) reduced or increased from time to time pursuant to assignments by or to such Lender pursuant to Section 9.04. The initial amount of each Lender’s 5-Year Tranche Commitment is set forth on Schedule 2.01, or in the Assignment and Assumption pursuant to which such Lender shall have assumed its 5-Year Tranche Commitment, as applicable. The initial aggregate amount of the Lenders’ 5-Year Tranche Commitment is $875,000,000.</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“5</w:t>
      </w:r>
      <w:r>
        <w:rPr>
          <w:rFonts w:ascii="Times New Roman" w:cs="Times New Roman" w:eastAsia="Times New Roman" w:hAnsi="Times New Roman"/>
          <w:sz w:val="18"/>
          <w:szCs w:val="18"/>
          <w:u w:val="single" w:color="auto"/>
          <w:color w:val="auto"/>
        </w:rPr>
        <w:t>-Year Tranche Lender</w:t>
      </w:r>
      <w:r>
        <w:rPr>
          <w:rFonts w:ascii="Times New Roman" w:cs="Times New Roman" w:eastAsia="Times New Roman" w:hAnsi="Times New Roman"/>
          <w:sz w:val="18"/>
          <w:szCs w:val="18"/>
          <w:color w:val="auto"/>
        </w:rPr>
        <w:t>” means a Lender with a 5-Year Tranche Commitment or holding 5-Year Tranche Loans.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5-Year Tranche Loan</w:t>
      </w:r>
      <w:r>
        <w:rPr>
          <w:rFonts w:ascii="Times New Roman" w:cs="Times New Roman" w:eastAsia="Times New Roman" w:hAnsi="Times New Roman"/>
          <w:sz w:val="18"/>
          <w:szCs w:val="18"/>
          <w:color w:val="auto"/>
        </w:rPr>
        <w:t>” means a Loan made pursuant to clause (b) of Section 2.01.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5-Year Tranche Maturity Date</w:t>
      </w:r>
      <w:r>
        <w:rPr>
          <w:rFonts w:ascii="Times New Roman" w:cs="Times New Roman" w:eastAsia="Times New Roman" w:hAnsi="Times New Roman"/>
          <w:sz w:val="18"/>
          <w:szCs w:val="18"/>
          <w:color w:val="auto"/>
        </w:rPr>
        <w:t>” means the fifth anniversary of the Term Funding Date.</w:t>
      </w:r>
    </w:p>
    <w:p>
      <w:pPr>
        <w:spacing w:after="0" w:line="225"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ABR</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Alternate Base Rate.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Accepting Lender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w:t>
      </w:r>
      <w:r>
        <w:rPr>
          <w:rFonts w:ascii="Times New Roman" w:cs="Times New Roman" w:eastAsia="Times New Roman" w:hAnsi="Times New Roman"/>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7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 Indebtedness</w:t>
      </w:r>
      <w:r>
        <w:rPr>
          <w:rFonts w:ascii="Times New Roman" w:cs="Times New Roman" w:eastAsia="Times New Roman" w:hAnsi="Times New Roman"/>
          <w:sz w:val="18"/>
          <w:szCs w:val="18"/>
          <w:color w:val="auto"/>
        </w:rPr>
        <w:t xml:space="preserve">” means any Indebtedness of the Company or any Subsidiary that has been incurred for the purpose of financing, in whole or in part, an Acquisition (including the Inphi Acquisition) and any related transactions (including for the purpose of refinancing or replacing all or a portion of any related bridge facilities or any pre-existing Indebtedness of the Persons or assets to be acquired);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with respect to the Inphi Acquisition Indebtedness only, the proceeds of such Indebtedness shall be held in a segregated account of the Company (or Maui Topco) and other funds of the Company and its subsidiaries shall not be comingled in any material respect with the funds so held in such account and (b) either (x)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(y) such Indebtedness contains a “special mandatory redemption” provision (or a similar provision) if such Acquisition is not consummated by the date specified in the definitive documentation evidencing, governing the rights of the holders</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20"/>
          </w:cols>
          <w:pgMar w:left="440" w:top="270" w:right="439" w:bottom="1440" w:gutter="0" w:footer="0" w:header="0"/>
        </w:sectPr>
      </w:pPr>
    </w:p>
    <w:bookmarkStart w:id="14" w:name="page15"/>
    <w:bookmarkEnd w:id="14"/>
    <w:p>
      <w:pPr>
        <w:ind w:right="1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promptly after such termination or such specified date, as the case may be).</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“Additional Guarantor Supplement” has the meaning specified in Section 10.01.</w:t>
      </w:r>
    </w:p>
    <w:p>
      <w:pPr>
        <w:spacing w:after="0" w:line="225" w:lineRule="exact"/>
        <w:rPr>
          <w:sz w:val="20"/>
          <w:szCs w:val="20"/>
          <w:color w:val="auto"/>
        </w:rPr>
      </w:pPr>
    </w:p>
    <w:p>
      <w:pPr>
        <w:ind w:right="22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Adjusted LIBO Rate</w:t>
      </w:r>
      <w:r>
        <w:rPr>
          <w:rFonts w:ascii="Times New Roman" w:cs="Times New Roman" w:eastAsia="Times New Roman" w:hAnsi="Times New Roman"/>
          <w:sz w:val="17"/>
          <w:szCs w:val="17"/>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40" w:lineRule="exact"/>
        <w:rPr>
          <w:sz w:val="20"/>
          <w:szCs w:val="20"/>
          <w:color w:val="auto"/>
        </w:rPr>
      </w:pPr>
    </w:p>
    <w:p>
      <w:pPr>
        <w:ind w:right="3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Administrative Agent</w:t>
      </w:r>
      <w:r>
        <w:rPr>
          <w:rFonts w:ascii="Times New Roman" w:cs="Times New Roman" w:eastAsia="Times New Roman" w:hAnsi="Times New Roman"/>
          <w:sz w:val="18"/>
          <w:szCs w:val="18"/>
          <w:color w:val="auto"/>
        </w:rPr>
        <w:t>” means JPMorgan Chase Bank, N.A., in its capacity as the administrative agent hereunder and under the other Loan Documents, and its successors in such capacity as provided in Article VIII.</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Administrative Questionnaire</w:t>
      </w:r>
      <w:r>
        <w:rPr>
          <w:rFonts w:ascii="Times New Roman" w:cs="Times New Roman" w:eastAsia="Times New Roman" w:hAnsi="Times New Roman"/>
          <w:sz w:val="18"/>
          <w:szCs w:val="18"/>
          <w:color w:val="auto"/>
        </w:rPr>
        <w:t>” means an Administrative Questionnaire in a form supplied by the Administrative Agent.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Affected Financial Institution</w:t>
      </w:r>
      <w:r>
        <w:rPr>
          <w:rFonts w:ascii="Times New Roman" w:cs="Times New Roman" w:eastAsia="Times New Roman" w:hAnsi="Times New Roman"/>
          <w:sz w:val="18"/>
          <w:szCs w:val="18"/>
          <w:color w:val="auto"/>
        </w:rPr>
        <w:t>” means (a) any EEA Financial Institution or (b) any UK Financial Institution.</w:t>
      </w:r>
    </w:p>
    <w:p>
      <w:pPr>
        <w:spacing w:after="0" w:line="225" w:lineRule="exact"/>
        <w:rPr>
          <w:sz w:val="20"/>
          <w:szCs w:val="20"/>
          <w:color w:val="auto"/>
        </w:rPr>
      </w:pPr>
    </w:p>
    <w:p>
      <w:pPr>
        <w:ind w:right="4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means, with respect to a specified Person, another Person that directly or indirectly Controls, is Controlled by or is under common Control with the Person specified.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means this Credit Agreement.</w:t>
      </w:r>
    </w:p>
    <w:p>
      <w:pPr>
        <w:spacing w:after="0" w:line="225" w:lineRule="exact"/>
        <w:rPr>
          <w:sz w:val="20"/>
          <w:szCs w:val="20"/>
          <w:color w:val="auto"/>
        </w:rPr>
      </w:pPr>
    </w:p>
    <w:p>
      <w:pPr>
        <w:ind w:firstLine="991"/>
        <w:spacing w:after="0" w:line="23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Alternate Base Rate</w:t>
      </w:r>
      <w:r>
        <w:rPr>
          <w:rFonts w:ascii="Times New Roman" w:cs="Times New Roman" w:eastAsia="Times New Roman" w:hAnsi="Times New Roman"/>
          <w:sz w:val="18"/>
          <w:szCs w:val="18"/>
          <w:color w:val="auto"/>
        </w:rPr>
        <w:t xml:space="preserve">” means, for any day, a rate per annum equal to the greatest of (a) the Prime Rate in effect on such day, (b) the NYFRB Rate in effect on such day plus </w:t>
      </w:r>
      <w:r>
        <w:rPr>
          <w:rFonts w:ascii="Times New Roman" w:cs="Times New Roman" w:eastAsia="Times New Roman" w:hAnsi="Times New Roman"/>
          <w:sz w:val="29"/>
          <w:szCs w:val="29"/>
          <w:color w:val="auto"/>
          <w:vertAlign w:val="superscript"/>
        </w:rPr>
        <w:t>1</w:t>
      </w:r>
      <w:r>
        <w:rPr>
          <w:rFonts w:ascii="Times New Roman" w:cs="Times New Roman" w:eastAsia="Times New Roman" w:hAnsi="Times New Roman"/>
          <w:sz w:val="18"/>
          <w:szCs w:val="18"/>
          <w:color w:val="auto"/>
        </w:rPr>
        <w:t>⁄</w:t>
      </w:r>
      <w:r>
        <w:rPr>
          <w:rFonts w:ascii="Times New Roman" w:cs="Times New Roman" w:eastAsia="Times New Roman" w:hAnsi="Times New Roman"/>
          <w:sz w:val="29"/>
          <w:szCs w:val="29"/>
          <w:color w:val="auto"/>
          <w:vertAlign w:val="subscript"/>
        </w:rPr>
        <w:t>2</w:t>
      </w:r>
      <w:r>
        <w:rPr>
          <w:rFonts w:ascii="Times New Roman" w:cs="Times New Roman" w:eastAsia="Times New Roman" w:hAnsi="Times New Roman"/>
          <w:sz w:val="18"/>
          <w:szCs w:val="18"/>
          <w:color w:val="auto"/>
        </w:rPr>
        <w:t xml:space="preserve"> of 1.00% per annum and (c) the Adjusted LIBO Rate on such day (or if such day is not a Business Day, the immediately preceding Business Day) for a deposit in dollars with a maturity of one month plus 1.00% per annum;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rate shall be less than 1.00%, such rate shall be deemed to be 1.00%. For purposes of clause (c) above, the Adjusted LIBO Rate on any day shall be based on the LIBO Screen Rate (or if the LIBO Screen Rate is not available for such one month Interest Period, the Interpolated Rate) on such day for a deposit in dollars with a maturity of one month at approximately 11:00 a.m., London time, on such day. If the Alternate Base Rate is being used as an alternate rate of interest pursuant to Section 2.11 (for the avoidance of doubt, only until the Benchmark Replacement has been determined pursuant to 2.11(b)), then the Alternate Base Rate shall be the greater of clause (a) and (b) above and shall be determined without reference to clause (c) above. Any change in the Alternate Base Rate due to a change in the Prime Rate, the NYFRB Rate or the Adjusted LIBO Rate shall be effective from and including the effective date of such change in the Prime Rate, the NYFRB Rate or the Adjusted LIBO Rate, respectively.</w:t>
      </w:r>
    </w:p>
    <w:p>
      <w:pPr>
        <w:spacing w:after="0" w:line="13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80"/>
          </w:cols>
          <w:pgMar w:left="440" w:top="270" w:right="479" w:bottom="1440" w:gutter="0" w:footer="0" w:header="0"/>
        </w:sectPr>
      </w:pPr>
    </w:p>
    <w:bookmarkStart w:id="15" w:name="page16"/>
    <w:bookmarkEnd w:id="15"/>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Ancillary Document</w:t>
      </w:r>
      <w:r>
        <w:rPr>
          <w:rFonts w:ascii="Times New Roman" w:cs="Times New Roman" w:eastAsia="Times New Roman" w:hAnsi="Times New Roman"/>
          <w:sz w:val="18"/>
          <w:szCs w:val="18"/>
          <w:color w:val="auto"/>
        </w:rPr>
        <w:t>” has the meaning set forth in Section 9.06(b).</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Anti-Corruption Laws</w:t>
      </w:r>
      <w:r>
        <w:rPr>
          <w:rFonts w:ascii="Times New Roman" w:cs="Times New Roman" w:eastAsia="Times New Roman" w:hAnsi="Times New Roman"/>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Rate</w:t>
      </w:r>
      <w:r>
        <w:rPr>
          <w:rFonts w:ascii="Times New Roman" w:cs="Times New Roman" w:eastAsia="Times New Roman" w:hAnsi="Times New Roman"/>
          <w:sz w:val="18"/>
          <w:szCs w:val="18"/>
          <w:color w:val="auto"/>
        </w:rPr>
        <w:t>” means, for any day, with respect to any Term Loan that is an ABR Loan or a Eurocurrency Loan, the applicable rate per annum set forth below under the applicable caption “ABR Spread” or “Eurocurrency Spread”, as the case may be, and as applicable to the 3-Year Tranche Loan or the 5-Year Tranche Loan, based upon the Senior Unsecured Ratings in effect on such date.</w:t>
      </w:r>
    </w:p>
    <w:p>
      <w:pPr>
        <w:spacing w:after="0" w:line="186"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1520" w:type="dxa"/>
            <w:vAlign w:val="bottom"/>
          </w:tcPr>
          <w:p>
            <w:pPr>
              <w:spacing w:after="0"/>
              <w:rPr>
                <w:sz w:val="13"/>
                <w:szCs w:val="13"/>
                <w:color w:val="auto"/>
              </w:rPr>
            </w:pPr>
          </w:p>
        </w:tc>
        <w:tc>
          <w:tcPr>
            <w:tcW w:w="3440" w:type="dxa"/>
            <w:vAlign w:val="bottom"/>
          </w:tcPr>
          <w:p>
            <w:pPr>
              <w:spacing w:after="0"/>
              <w:rPr>
                <w:sz w:val="13"/>
                <w:szCs w:val="13"/>
                <w:color w:val="auto"/>
              </w:rPr>
            </w:pPr>
          </w:p>
        </w:tc>
        <w:tc>
          <w:tcPr>
            <w:tcW w:w="2800" w:type="dxa"/>
            <w:vAlign w:val="bottom"/>
            <w:gridSpan w:val="5"/>
          </w:tcPr>
          <w:p>
            <w:pPr>
              <w:jc w:val="right"/>
              <w:ind w:right="1100"/>
              <w:spacing w:after="0"/>
              <w:rPr>
                <w:sz w:val="20"/>
                <w:szCs w:val="20"/>
                <w:color w:val="auto"/>
              </w:rPr>
            </w:pPr>
            <w:r>
              <w:rPr>
                <w:rFonts w:ascii="Times New Roman" w:cs="Times New Roman" w:eastAsia="Times New Roman" w:hAnsi="Times New Roman"/>
                <w:sz w:val="14"/>
                <w:szCs w:val="14"/>
                <w:color w:val="auto"/>
              </w:rPr>
              <w:t>3-Year Tranche Loan</w:t>
            </w:r>
          </w:p>
        </w:tc>
        <w:tc>
          <w:tcPr>
            <w:tcW w:w="2320" w:type="dxa"/>
            <w:vAlign w:val="bottom"/>
            <w:gridSpan w:val="4"/>
          </w:tcPr>
          <w:p>
            <w:pPr>
              <w:jc w:val="right"/>
              <w:ind w:right="620"/>
              <w:spacing w:after="0"/>
              <w:rPr>
                <w:sz w:val="20"/>
                <w:szCs w:val="20"/>
                <w:color w:val="auto"/>
              </w:rPr>
            </w:pPr>
            <w:r>
              <w:rPr>
                <w:rFonts w:ascii="Times New Roman" w:cs="Times New Roman" w:eastAsia="Times New Roman" w:hAnsi="Times New Roman"/>
                <w:sz w:val="14"/>
                <w:szCs w:val="14"/>
                <w:color w:val="auto"/>
              </w:rPr>
              <w:t>5-Year Tranche Loan</w:t>
            </w:r>
          </w:p>
        </w:tc>
        <w:tc>
          <w:tcPr>
            <w:tcW w:w="0" w:type="dxa"/>
            <w:vAlign w:val="bottom"/>
          </w:tcPr>
          <w:p>
            <w:pPr>
              <w:spacing w:after="0"/>
              <w:rPr>
                <w:sz w:val="1"/>
                <w:szCs w:val="1"/>
                <w:color w:val="auto"/>
              </w:rPr>
            </w:pPr>
          </w:p>
        </w:tc>
      </w:tr>
      <w:tr>
        <w:trPr>
          <w:trHeight w:val="171"/>
        </w:trPr>
        <w:tc>
          <w:tcPr>
            <w:tcW w:w="15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800" w:type="dxa"/>
            <w:vAlign w:val="bottom"/>
            <w:gridSpan w:val="5"/>
          </w:tcPr>
          <w:p>
            <w:pPr>
              <w:jc w:val="right"/>
              <w:ind w:right="1120"/>
              <w:spacing w:after="0"/>
              <w:rPr>
                <w:sz w:val="20"/>
                <w:szCs w:val="20"/>
                <w:color w:val="auto"/>
              </w:rPr>
            </w:pPr>
            <w:r>
              <w:rPr>
                <w:rFonts w:ascii="Times New Roman" w:cs="Times New Roman" w:eastAsia="Times New Roman" w:hAnsi="Times New Roman"/>
                <w:sz w:val="14"/>
                <w:szCs w:val="14"/>
                <w:color w:val="auto"/>
              </w:rPr>
              <w:t>Interest Rate Margin</w:t>
            </w:r>
          </w:p>
        </w:tc>
        <w:tc>
          <w:tcPr>
            <w:tcW w:w="2320" w:type="dxa"/>
            <w:vAlign w:val="bottom"/>
            <w:gridSpan w:val="4"/>
          </w:tcPr>
          <w:p>
            <w:pPr>
              <w:jc w:val="right"/>
              <w:ind w:right="640"/>
              <w:spacing w:after="0"/>
              <w:rPr>
                <w:sz w:val="20"/>
                <w:szCs w:val="20"/>
                <w:color w:val="auto"/>
              </w:rPr>
            </w:pPr>
            <w:r>
              <w:rPr>
                <w:rFonts w:ascii="Times New Roman" w:cs="Times New Roman" w:eastAsia="Times New Roman" w:hAnsi="Times New Roman"/>
                <w:sz w:val="14"/>
                <w:szCs w:val="14"/>
                <w:color w:val="auto"/>
              </w:rPr>
              <w:t>Interest Rate Margin</w:t>
            </w:r>
          </w:p>
        </w:tc>
        <w:tc>
          <w:tcPr>
            <w:tcW w:w="0" w:type="dxa"/>
            <w:vAlign w:val="bottom"/>
          </w:tcPr>
          <w:p>
            <w:pPr>
              <w:spacing w:after="0"/>
              <w:rPr>
                <w:sz w:val="1"/>
                <w:szCs w:val="1"/>
                <w:color w:val="auto"/>
              </w:rPr>
            </w:pPr>
          </w:p>
        </w:tc>
      </w:tr>
      <w:tr>
        <w:trPr>
          <w:trHeight w:val="119"/>
        </w:trPr>
        <w:tc>
          <w:tcPr>
            <w:tcW w:w="496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color w:val="auto"/>
              </w:rPr>
              <w:t>Senior Unsecured Ratings</w:t>
            </w:r>
          </w:p>
        </w:tc>
        <w:tc>
          <w:tcPr>
            <w:tcW w:w="1140" w:type="dxa"/>
            <w:vAlign w:val="bottom"/>
            <w:tcBorders>
              <w:top w:val="single" w:sz="8" w:color="auto"/>
            </w:tcBorders>
            <w:gridSpan w:val="2"/>
            <w:vMerge w:val="restart"/>
          </w:tcPr>
          <w:p>
            <w:pPr>
              <w:jc w:val="right"/>
              <w:ind w:right="400"/>
              <w:spacing w:after="0"/>
              <w:rPr>
                <w:sz w:val="20"/>
                <w:szCs w:val="20"/>
                <w:color w:val="auto"/>
              </w:rPr>
            </w:pPr>
            <w:r>
              <w:rPr>
                <w:rFonts w:ascii="Times New Roman" w:cs="Times New Roman" w:eastAsia="Times New Roman" w:hAnsi="Times New Roman"/>
                <w:sz w:val="14"/>
                <w:szCs w:val="14"/>
                <w:color w:val="auto"/>
              </w:rPr>
              <w:t>ABR Spread</w:t>
            </w:r>
          </w:p>
        </w:tc>
        <w:tc>
          <w:tcPr>
            <w:tcW w:w="1020" w:type="dxa"/>
            <w:vAlign w:val="bottom"/>
            <w:tcBorders>
              <w:top w:val="single" w:sz="8" w:color="auto"/>
            </w:tcBorders>
            <w:gridSpan w:val="2"/>
          </w:tcPr>
          <w:p>
            <w:pPr>
              <w:jc w:val="center"/>
              <w:ind w:left="154"/>
              <w:spacing w:after="0" w:line="119" w:lineRule="exact"/>
              <w:rPr>
                <w:sz w:val="20"/>
                <w:szCs w:val="20"/>
                <w:color w:val="auto"/>
              </w:rPr>
            </w:pPr>
            <w:r>
              <w:rPr>
                <w:rFonts w:ascii="Times New Roman" w:cs="Times New Roman" w:eastAsia="Times New Roman" w:hAnsi="Times New Roman"/>
                <w:sz w:val="13"/>
                <w:szCs w:val="13"/>
                <w:color w:val="auto"/>
              </w:rPr>
              <w:t>Eurocurrency</w:t>
            </w:r>
          </w:p>
        </w:tc>
        <w:tc>
          <w:tcPr>
            <w:tcW w:w="640" w:type="dxa"/>
            <w:vAlign w:val="bottom"/>
          </w:tcPr>
          <w:p>
            <w:pPr>
              <w:spacing w:after="0"/>
              <w:rPr>
                <w:sz w:val="10"/>
                <w:szCs w:val="10"/>
                <w:color w:val="auto"/>
              </w:rPr>
            </w:pPr>
          </w:p>
        </w:tc>
        <w:tc>
          <w:tcPr>
            <w:tcW w:w="1380" w:type="dxa"/>
            <w:vAlign w:val="bottom"/>
            <w:tcBorders>
              <w:top w:val="single" w:sz="8" w:color="auto"/>
            </w:tcBorders>
            <w:gridSpan w:val="2"/>
            <w:vMerge w:val="restart"/>
          </w:tcPr>
          <w:p>
            <w:pPr>
              <w:jc w:val="right"/>
              <w:ind w:right="640"/>
              <w:spacing w:after="0"/>
              <w:rPr>
                <w:sz w:val="20"/>
                <w:szCs w:val="20"/>
                <w:color w:val="auto"/>
              </w:rPr>
            </w:pPr>
            <w:r>
              <w:rPr>
                <w:rFonts w:ascii="Times New Roman" w:cs="Times New Roman" w:eastAsia="Times New Roman" w:hAnsi="Times New Roman"/>
                <w:sz w:val="14"/>
                <w:szCs w:val="14"/>
                <w:color w:val="auto"/>
              </w:rPr>
              <w:t>ABR Spread</w:t>
            </w:r>
          </w:p>
        </w:tc>
        <w:tc>
          <w:tcPr>
            <w:tcW w:w="780" w:type="dxa"/>
            <w:vAlign w:val="bottom"/>
            <w:tcBorders>
              <w:top w:val="single" w:sz="8" w:color="auto"/>
            </w:tcBorders>
          </w:tcPr>
          <w:p>
            <w:pPr>
              <w:jc w:val="center"/>
              <w:spacing w:after="0" w:line="119" w:lineRule="exact"/>
              <w:rPr>
                <w:sz w:val="20"/>
                <w:szCs w:val="20"/>
                <w:color w:val="auto"/>
              </w:rPr>
            </w:pPr>
            <w:r>
              <w:rPr>
                <w:rFonts w:ascii="Times New Roman" w:cs="Times New Roman" w:eastAsia="Times New Roman" w:hAnsi="Times New Roman"/>
                <w:sz w:val="13"/>
                <w:szCs w:val="13"/>
                <w:color w:val="auto"/>
              </w:rPr>
              <w:t>Eurocurrency</w:t>
            </w: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4960" w:type="dxa"/>
            <w:vAlign w:val="bottom"/>
            <w:gridSpan w:val="2"/>
            <w:vMerge w:val="continue"/>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1420" w:type="dxa"/>
            <w:vAlign w:val="bottom"/>
            <w:gridSpan w:val="2"/>
          </w:tcPr>
          <w:p>
            <w:pPr>
              <w:jc w:val="center"/>
              <w:ind w:right="620"/>
              <w:spacing w:after="0" w:line="145" w:lineRule="exact"/>
              <w:rPr>
                <w:sz w:val="20"/>
                <w:szCs w:val="20"/>
                <w:color w:val="auto"/>
              </w:rPr>
            </w:pPr>
            <w:r>
              <w:rPr>
                <w:rFonts w:ascii="Times New Roman" w:cs="Times New Roman" w:eastAsia="Times New Roman" w:hAnsi="Times New Roman"/>
                <w:sz w:val="14"/>
                <w:szCs w:val="14"/>
                <w:color w:val="auto"/>
              </w:rPr>
              <w:t>Spread</w:t>
            </w:r>
          </w:p>
        </w:tc>
        <w:tc>
          <w:tcPr>
            <w:tcW w:w="1380" w:type="dxa"/>
            <w:vAlign w:val="bottom"/>
            <w:gridSpan w:val="2"/>
            <w:vMerge w:val="continue"/>
          </w:tcPr>
          <w:p>
            <w:pPr>
              <w:spacing w:after="0"/>
              <w:rPr>
                <w:sz w:val="12"/>
                <w:szCs w:val="12"/>
                <w:color w:val="auto"/>
              </w:rPr>
            </w:pPr>
          </w:p>
        </w:tc>
        <w:tc>
          <w:tcPr>
            <w:tcW w:w="940" w:type="dxa"/>
            <w:vAlign w:val="bottom"/>
            <w:gridSpan w:val="2"/>
          </w:tcPr>
          <w:p>
            <w:pPr>
              <w:jc w:val="center"/>
              <w:ind w:right="140"/>
              <w:spacing w:after="0" w:line="145" w:lineRule="exact"/>
              <w:rPr>
                <w:sz w:val="20"/>
                <w:szCs w:val="20"/>
                <w:color w:val="auto"/>
              </w:rPr>
            </w:pPr>
            <w:r>
              <w:rPr>
                <w:rFonts w:ascii="Times New Roman" w:cs="Times New Roman" w:eastAsia="Times New Roman" w:hAnsi="Times New Roman"/>
                <w:sz w:val="14"/>
                <w:szCs w:val="14"/>
                <w:color w:val="auto"/>
              </w:rPr>
              <w:t>Spread</w:t>
            </w:r>
          </w:p>
        </w:tc>
        <w:tc>
          <w:tcPr>
            <w:tcW w:w="0" w:type="dxa"/>
            <w:vAlign w:val="bottom"/>
          </w:tcPr>
          <w:p>
            <w:pPr>
              <w:spacing w:after="0"/>
              <w:rPr>
                <w:sz w:val="1"/>
                <w:szCs w:val="1"/>
                <w:color w:val="auto"/>
              </w:rPr>
            </w:pPr>
          </w:p>
        </w:tc>
      </w:tr>
      <w:tr>
        <w:trPr>
          <w:trHeight w:val="182"/>
        </w:trPr>
        <w:tc>
          <w:tcPr>
            <w:tcW w:w="496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(S&amp;P/Moody’s/Fitch)</w:t>
            </w:r>
          </w:p>
        </w:tc>
        <w:tc>
          <w:tcPr>
            <w:tcW w:w="114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color w:val="auto"/>
              </w:rPr>
              <w:t>(per annum)</w:t>
            </w:r>
          </w:p>
        </w:tc>
        <w:tc>
          <w:tcPr>
            <w:tcW w:w="240" w:type="dxa"/>
            <w:vAlign w:val="bottom"/>
          </w:tcPr>
          <w:p>
            <w:pPr>
              <w:spacing w:after="0"/>
              <w:rPr>
                <w:sz w:val="15"/>
                <w:szCs w:val="15"/>
                <w:color w:val="auto"/>
              </w:rPr>
            </w:pPr>
          </w:p>
        </w:tc>
        <w:tc>
          <w:tcPr>
            <w:tcW w:w="1420" w:type="dxa"/>
            <w:vAlign w:val="bottom"/>
            <w:gridSpan w:val="2"/>
          </w:tcPr>
          <w:p>
            <w:pPr>
              <w:jc w:val="center"/>
              <w:ind w:right="620"/>
              <w:spacing w:after="0"/>
              <w:rPr>
                <w:sz w:val="20"/>
                <w:szCs w:val="20"/>
                <w:color w:val="auto"/>
              </w:rPr>
            </w:pPr>
            <w:r>
              <w:rPr>
                <w:rFonts w:ascii="Times New Roman" w:cs="Times New Roman" w:eastAsia="Times New Roman" w:hAnsi="Times New Roman"/>
                <w:sz w:val="14"/>
                <w:szCs w:val="14"/>
                <w:color w:val="auto"/>
              </w:rPr>
              <w:t>(per annum)</w:t>
            </w:r>
          </w:p>
        </w:tc>
        <w:tc>
          <w:tcPr>
            <w:tcW w:w="1380" w:type="dxa"/>
            <w:vAlign w:val="bottom"/>
            <w:gridSpan w:val="2"/>
          </w:tcPr>
          <w:p>
            <w:pPr>
              <w:jc w:val="right"/>
              <w:ind w:right="660"/>
              <w:spacing w:after="0"/>
              <w:rPr>
                <w:sz w:val="20"/>
                <w:szCs w:val="20"/>
                <w:color w:val="auto"/>
              </w:rPr>
            </w:pPr>
            <w:r>
              <w:rPr>
                <w:rFonts w:ascii="Times New Roman" w:cs="Times New Roman" w:eastAsia="Times New Roman" w:hAnsi="Times New Roman"/>
                <w:sz w:val="14"/>
                <w:szCs w:val="14"/>
                <w:color w:val="auto"/>
              </w:rPr>
              <w:t>(per annum)</w:t>
            </w:r>
          </w:p>
        </w:tc>
        <w:tc>
          <w:tcPr>
            <w:tcW w:w="94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color w:val="auto"/>
              </w:rPr>
              <w:t>(per annum)</w:t>
            </w:r>
          </w:p>
        </w:tc>
        <w:tc>
          <w:tcPr>
            <w:tcW w:w="0" w:type="dxa"/>
            <w:vAlign w:val="bottom"/>
          </w:tcPr>
          <w:p>
            <w:pPr>
              <w:spacing w:after="0"/>
              <w:rPr>
                <w:sz w:val="1"/>
                <w:szCs w:val="1"/>
                <w:color w:val="auto"/>
              </w:rPr>
            </w:pPr>
          </w:p>
        </w:tc>
      </w:tr>
      <w:tr>
        <w:trPr>
          <w:trHeight w:val="171"/>
        </w:trPr>
        <w:tc>
          <w:tcPr>
            <w:tcW w:w="1520" w:type="dxa"/>
            <w:vAlign w:val="bottom"/>
            <w:tcBorders>
              <w:top w:val="single" w:sz="8" w:color="auto"/>
            </w:tcBorders>
          </w:tcPr>
          <w:p>
            <w:pPr>
              <w:spacing w:after="0" w:line="171" w:lineRule="exact"/>
              <w:rPr>
                <w:sz w:val="20"/>
                <w:szCs w:val="20"/>
                <w:color w:val="auto"/>
              </w:rPr>
            </w:pPr>
            <w:r>
              <w:rPr>
                <w:rFonts w:ascii="Times New Roman" w:cs="Times New Roman" w:eastAsia="Times New Roman" w:hAnsi="Times New Roman"/>
                <w:sz w:val="18"/>
                <w:szCs w:val="18"/>
                <w:color w:val="auto"/>
              </w:rPr>
              <w:t>Level 1</w:t>
            </w:r>
          </w:p>
        </w:tc>
        <w:tc>
          <w:tcPr>
            <w:tcW w:w="3440" w:type="dxa"/>
            <w:vAlign w:val="bottom"/>
          </w:tcPr>
          <w:p>
            <w:pPr>
              <w:spacing w:after="0"/>
              <w:rPr>
                <w:sz w:val="14"/>
                <w:szCs w:val="14"/>
                <w:color w:val="auto"/>
              </w:rPr>
            </w:pPr>
          </w:p>
        </w:tc>
        <w:tc>
          <w:tcPr>
            <w:tcW w:w="760" w:type="dxa"/>
            <w:vAlign w:val="bottom"/>
            <w:tcBorders>
              <w:top w:val="single" w:sz="8" w:color="auto"/>
            </w:tcBorders>
          </w:tcPr>
          <w:p>
            <w:pPr>
              <w:spacing w:after="0"/>
              <w:rPr>
                <w:sz w:val="14"/>
                <w:szCs w:val="14"/>
                <w:color w:val="auto"/>
              </w:rPr>
            </w:pPr>
          </w:p>
        </w:tc>
        <w:tc>
          <w:tcPr>
            <w:tcW w:w="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tcBorders>
              <w:top w:val="single" w:sz="8" w:color="auto"/>
            </w:tcBorders>
          </w:tcPr>
          <w:p>
            <w:pPr>
              <w:spacing w:after="0"/>
              <w:rPr>
                <w:sz w:val="14"/>
                <w:szCs w:val="14"/>
                <w:color w:val="auto"/>
              </w:rPr>
            </w:pPr>
          </w:p>
        </w:tc>
        <w:tc>
          <w:tcPr>
            <w:tcW w:w="640" w:type="dxa"/>
            <w:vAlign w:val="bottom"/>
          </w:tcPr>
          <w:p>
            <w:pPr>
              <w:spacing w:after="0"/>
              <w:rPr>
                <w:sz w:val="14"/>
                <w:szCs w:val="14"/>
                <w:color w:val="auto"/>
              </w:rPr>
            </w:pPr>
          </w:p>
        </w:tc>
        <w:tc>
          <w:tcPr>
            <w:tcW w:w="740" w:type="dxa"/>
            <w:vAlign w:val="bottom"/>
            <w:tcBorders>
              <w:top w:val="single" w:sz="8" w:color="auto"/>
            </w:tcBorders>
          </w:tcPr>
          <w:p>
            <w:pPr>
              <w:spacing w:after="0"/>
              <w:rPr>
                <w:sz w:val="14"/>
                <w:szCs w:val="14"/>
                <w:color w:val="auto"/>
              </w:rPr>
            </w:pPr>
          </w:p>
        </w:tc>
        <w:tc>
          <w:tcPr>
            <w:tcW w:w="640" w:type="dxa"/>
            <w:vAlign w:val="bottom"/>
          </w:tcPr>
          <w:p>
            <w:pPr>
              <w:spacing w:after="0"/>
              <w:rPr>
                <w:sz w:val="14"/>
                <w:szCs w:val="14"/>
                <w:color w:val="auto"/>
              </w:rPr>
            </w:pPr>
          </w:p>
        </w:tc>
        <w:tc>
          <w:tcPr>
            <w:tcW w:w="780" w:type="dxa"/>
            <w:vAlign w:val="bottom"/>
            <w:tcBorders>
              <w:top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8"/>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BBB+/Baa1/BBB+ or above</w:t>
            </w:r>
          </w:p>
        </w:tc>
        <w:tc>
          <w:tcPr>
            <w:tcW w:w="11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0.000%</w:t>
            </w:r>
          </w:p>
        </w:tc>
        <w:tc>
          <w:tcPr>
            <w:tcW w:w="1660" w:type="dxa"/>
            <w:vAlign w:val="bottom"/>
            <w:gridSpan w:val="3"/>
          </w:tcPr>
          <w:p>
            <w:pPr>
              <w:jc w:val="right"/>
              <w:ind w:right="480"/>
              <w:spacing w:after="0"/>
              <w:rPr>
                <w:sz w:val="20"/>
                <w:szCs w:val="20"/>
                <w:color w:val="auto"/>
              </w:rPr>
            </w:pPr>
            <w:r>
              <w:rPr>
                <w:rFonts w:ascii="Times New Roman" w:cs="Times New Roman" w:eastAsia="Times New Roman" w:hAnsi="Times New Roman"/>
                <w:sz w:val="18"/>
                <w:szCs w:val="18"/>
                <w:color w:val="auto"/>
              </w:rPr>
              <w:t>1.000%</w:t>
            </w:r>
          </w:p>
        </w:tc>
        <w:tc>
          <w:tcPr>
            <w:tcW w:w="138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0.125%</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1.125%</w:t>
            </w:r>
          </w:p>
        </w:tc>
        <w:tc>
          <w:tcPr>
            <w:tcW w:w="0" w:type="dxa"/>
            <w:vAlign w:val="bottom"/>
          </w:tcPr>
          <w:p>
            <w:pPr>
              <w:spacing w:after="0"/>
              <w:rPr>
                <w:sz w:val="1"/>
                <w:szCs w:val="1"/>
                <w:color w:val="auto"/>
              </w:rPr>
            </w:pPr>
          </w:p>
        </w:tc>
      </w:tr>
      <w:tr>
        <w:trPr>
          <w:trHeight w:val="306"/>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2</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BBB/Baa2/BBB</w:t>
            </w:r>
          </w:p>
        </w:tc>
        <w:tc>
          <w:tcPr>
            <w:tcW w:w="11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0.125%</w:t>
            </w:r>
          </w:p>
        </w:tc>
        <w:tc>
          <w:tcPr>
            <w:tcW w:w="1660" w:type="dxa"/>
            <w:vAlign w:val="bottom"/>
            <w:gridSpan w:val="3"/>
          </w:tcPr>
          <w:p>
            <w:pPr>
              <w:jc w:val="right"/>
              <w:ind w:right="480"/>
              <w:spacing w:after="0"/>
              <w:rPr>
                <w:sz w:val="20"/>
                <w:szCs w:val="20"/>
                <w:color w:val="auto"/>
              </w:rPr>
            </w:pPr>
            <w:r>
              <w:rPr>
                <w:rFonts w:ascii="Times New Roman" w:cs="Times New Roman" w:eastAsia="Times New Roman" w:hAnsi="Times New Roman"/>
                <w:sz w:val="18"/>
                <w:szCs w:val="18"/>
                <w:color w:val="auto"/>
              </w:rPr>
              <w:t>1.125%</w:t>
            </w:r>
          </w:p>
        </w:tc>
        <w:tc>
          <w:tcPr>
            <w:tcW w:w="138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0.250%</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1.250%</w:t>
            </w:r>
          </w:p>
        </w:tc>
        <w:tc>
          <w:tcPr>
            <w:tcW w:w="0" w:type="dxa"/>
            <w:vAlign w:val="bottom"/>
          </w:tcPr>
          <w:p>
            <w:pPr>
              <w:spacing w:after="0"/>
              <w:rPr>
                <w:sz w:val="1"/>
                <w:szCs w:val="1"/>
                <w:color w:val="auto"/>
              </w:rPr>
            </w:pPr>
          </w:p>
        </w:tc>
      </w:tr>
      <w:tr>
        <w:trPr>
          <w:trHeight w:val="306"/>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3</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BBB-/Baa3/BBB-</w:t>
            </w:r>
          </w:p>
        </w:tc>
        <w:tc>
          <w:tcPr>
            <w:tcW w:w="11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0.250%</w:t>
            </w:r>
          </w:p>
        </w:tc>
        <w:tc>
          <w:tcPr>
            <w:tcW w:w="1660" w:type="dxa"/>
            <w:vAlign w:val="bottom"/>
            <w:gridSpan w:val="3"/>
          </w:tcPr>
          <w:p>
            <w:pPr>
              <w:jc w:val="right"/>
              <w:ind w:right="480"/>
              <w:spacing w:after="0"/>
              <w:rPr>
                <w:sz w:val="20"/>
                <w:szCs w:val="20"/>
                <w:color w:val="auto"/>
              </w:rPr>
            </w:pPr>
            <w:r>
              <w:rPr>
                <w:rFonts w:ascii="Times New Roman" w:cs="Times New Roman" w:eastAsia="Times New Roman" w:hAnsi="Times New Roman"/>
                <w:sz w:val="18"/>
                <w:szCs w:val="18"/>
                <w:color w:val="auto"/>
              </w:rPr>
              <w:t>1.250%</w:t>
            </w:r>
          </w:p>
        </w:tc>
        <w:tc>
          <w:tcPr>
            <w:tcW w:w="138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0.375%</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1.375%</w:t>
            </w:r>
          </w:p>
        </w:tc>
        <w:tc>
          <w:tcPr>
            <w:tcW w:w="0" w:type="dxa"/>
            <w:vAlign w:val="bottom"/>
          </w:tcPr>
          <w:p>
            <w:pPr>
              <w:spacing w:after="0"/>
              <w:rPr>
                <w:sz w:val="1"/>
                <w:szCs w:val="1"/>
                <w:color w:val="auto"/>
              </w:rPr>
            </w:pPr>
          </w:p>
        </w:tc>
      </w:tr>
      <w:tr>
        <w:trPr>
          <w:trHeight w:val="306"/>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4</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BB+/Ba1/BB+</w:t>
            </w:r>
          </w:p>
        </w:tc>
        <w:tc>
          <w:tcPr>
            <w:tcW w:w="11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0.750%</w:t>
            </w:r>
          </w:p>
        </w:tc>
        <w:tc>
          <w:tcPr>
            <w:tcW w:w="1660" w:type="dxa"/>
            <w:vAlign w:val="bottom"/>
            <w:gridSpan w:val="3"/>
          </w:tcPr>
          <w:p>
            <w:pPr>
              <w:jc w:val="right"/>
              <w:ind w:right="480"/>
              <w:spacing w:after="0"/>
              <w:rPr>
                <w:sz w:val="20"/>
                <w:szCs w:val="20"/>
                <w:color w:val="auto"/>
              </w:rPr>
            </w:pPr>
            <w:r>
              <w:rPr>
                <w:rFonts w:ascii="Times New Roman" w:cs="Times New Roman" w:eastAsia="Times New Roman" w:hAnsi="Times New Roman"/>
                <w:sz w:val="18"/>
                <w:szCs w:val="18"/>
                <w:color w:val="auto"/>
              </w:rPr>
              <w:t>1.750%</w:t>
            </w:r>
          </w:p>
        </w:tc>
        <w:tc>
          <w:tcPr>
            <w:tcW w:w="138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1.000%</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2.000%</w:t>
            </w:r>
          </w:p>
        </w:tc>
        <w:tc>
          <w:tcPr>
            <w:tcW w:w="0" w:type="dxa"/>
            <w:vAlign w:val="bottom"/>
          </w:tcPr>
          <w:p>
            <w:pPr>
              <w:spacing w:after="0"/>
              <w:rPr>
                <w:sz w:val="1"/>
                <w:szCs w:val="1"/>
                <w:color w:val="auto"/>
              </w:rPr>
            </w:pPr>
          </w:p>
        </w:tc>
      </w:tr>
      <w:tr>
        <w:trPr>
          <w:trHeight w:val="306"/>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5</w:t>
            </w:r>
          </w:p>
        </w:tc>
        <w:tc>
          <w:tcPr>
            <w:tcW w:w="7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49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BB/Ba2/BB or below</w:t>
            </w:r>
          </w:p>
        </w:tc>
        <w:tc>
          <w:tcPr>
            <w:tcW w:w="11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1.000%</w:t>
            </w:r>
          </w:p>
        </w:tc>
        <w:tc>
          <w:tcPr>
            <w:tcW w:w="1660" w:type="dxa"/>
            <w:vAlign w:val="bottom"/>
            <w:gridSpan w:val="3"/>
          </w:tcPr>
          <w:p>
            <w:pPr>
              <w:jc w:val="right"/>
              <w:ind w:right="480"/>
              <w:spacing w:after="0"/>
              <w:rPr>
                <w:sz w:val="20"/>
                <w:szCs w:val="20"/>
                <w:color w:val="auto"/>
              </w:rPr>
            </w:pPr>
            <w:r>
              <w:rPr>
                <w:rFonts w:ascii="Times New Roman" w:cs="Times New Roman" w:eastAsia="Times New Roman" w:hAnsi="Times New Roman"/>
                <w:sz w:val="18"/>
                <w:szCs w:val="18"/>
                <w:color w:val="auto"/>
              </w:rPr>
              <w:t>2.000%</w:t>
            </w:r>
          </w:p>
        </w:tc>
        <w:tc>
          <w:tcPr>
            <w:tcW w:w="138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rPr>
              <w:t>1.250%</w:t>
            </w:r>
          </w:p>
        </w:tc>
        <w:tc>
          <w:tcPr>
            <w:tcW w:w="9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2.250%</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w:t>
      </w:r>
    </w:p>
    <w:p>
      <w:pPr>
        <w:spacing w:after="0" w:line="11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80"/>
          </w:cols>
          <w:pgMar w:left="440" w:top="270" w:right="479" w:bottom="1440" w:gutter="0" w:footer="0" w:header="0"/>
        </w:sectPr>
      </w:pPr>
    </w:p>
    <w:bookmarkStart w:id="16" w:name="page17"/>
    <w:bookmarkEnd w:id="16"/>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95" w:lineRule="exact"/>
        <w:rPr>
          <w:sz w:val="20"/>
          <w:szCs w:val="20"/>
          <w:color w:val="auto"/>
        </w:rPr>
      </w:pPr>
    </w:p>
    <w:p>
      <w:pPr>
        <w:ind w:right="4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Approved Fund</w:t>
      </w:r>
      <w:r>
        <w:rPr>
          <w:rFonts w:ascii="Times New Roman" w:cs="Times New Roman" w:eastAsia="Times New Roman" w:hAnsi="Times New Roman"/>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Arranger</w:t>
      </w:r>
      <w:r>
        <w:rPr>
          <w:rFonts w:ascii="Times New Roman" w:cs="Times New Roman" w:eastAsia="Times New Roman" w:hAnsi="Times New Roman"/>
          <w:sz w:val="18"/>
          <w:szCs w:val="18"/>
          <w:color w:val="auto"/>
        </w:rPr>
        <w:t>” means JPMorgan Chase Bank, N.A. in its capacity as sole lead arranger and bookrunner for the Term Facility.</w:t>
      </w:r>
    </w:p>
    <w:p>
      <w:pPr>
        <w:spacing w:after="0" w:line="225"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Assignment and Assumption</w:t>
      </w:r>
      <w:r>
        <w:rPr>
          <w:rFonts w:ascii="Times New Roman" w:cs="Times New Roman" w:eastAsia="Times New Roman" w:hAnsi="Times New Roman"/>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has the meaning set forth in Section 6.04(a).</w:t>
      </w:r>
    </w:p>
    <w:p>
      <w:pPr>
        <w:spacing w:after="0" w:line="158" w:lineRule="exact"/>
        <w:rPr>
          <w:sz w:val="20"/>
          <w:szCs w:val="20"/>
          <w:color w:val="auto"/>
        </w:rPr>
      </w:pPr>
    </w:p>
    <w:p>
      <w:pPr>
        <w:ind w:left="5460"/>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17" w:name="page18"/>
    <w:bookmarkEnd w:id="17"/>
    <w:p>
      <w:pPr>
        <w:ind w:firstLine="991"/>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Attributable Debt</w:t>
      </w:r>
      <w:r>
        <w:rPr>
          <w:rFonts w:ascii="Times New Roman" w:cs="Times New Roman" w:eastAsia="Times New Roman" w:hAnsi="Times New Roman"/>
          <w:sz w:val="18"/>
          <w:szCs w:val="18"/>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92"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Available Tenor</w:t>
      </w:r>
      <w:r>
        <w:rPr>
          <w:rFonts w:ascii="Times New Roman" w:cs="Times New Roman" w:eastAsia="Times New Roman" w:hAnsi="Times New Roman"/>
          <w:sz w:val="18"/>
          <w:szCs w:val="18"/>
          <w:color w:val="auto"/>
        </w:rPr>
        <w:t>” means, as of any date of determination and with respect to the then-current Benchmark, as applicable, any tenor for such Benchmark or payment period for interest calculated with reference to such Benchmark, as applicable, that is or may be used for determining the length of an Interest Period pursuant to this Agreement as of such date and not including, for the avoidance of doubt, any tenor for such Benchmark that is then-removed from the definition of “Interest Period” pursuant to clause (f) of Section 2.11.</w:t>
      </w:r>
    </w:p>
    <w:p>
      <w:pPr>
        <w:spacing w:after="0" w:line="180"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Bail-In Action</w:t>
      </w:r>
      <w:r>
        <w:rPr>
          <w:rFonts w:ascii="Times New Roman" w:cs="Times New Roman" w:eastAsia="Times New Roman" w:hAnsi="Times New Roman"/>
          <w:sz w:val="18"/>
          <w:szCs w:val="18"/>
          <w:color w:val="auto"/>
        </w:rPr>
        <w:t>” means the exercise of any Write-Down and Conversion Powers by the applicable Resolution Authority in respect of any liability of an Affected Financial Institution.</w:t>
      </w:r>
    </w:p>
    <w:p>
      <w:pPr>
        <w:spacing w:after="0" w:line="162" w:lineRule="exact"/>
        <w:rPr>
          <w:sz w:val="20"/>
          <w:szCs w:val="20"/>
          <w:color w:val="auto"/>
        </w:rPr>
      </w:pPr>
    </w:p>
    <w:p>
      <w:pPr>
        <w:ind w:right="12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Bail-In Legislation</w:t>
      </w:r>
      <w:r>
        <w:rPr>
          <w:rFonts w:ascii="Times New Roman" w:cs="Times New Roman" w:eastAsia="Times New Roman" w:hAnsi="Times New Roman"/>
          <w:sz w:val="18"/>
          <w:szCs w:val="18"/>
          <w:color w:val="auto"/>
        </w:rPr>
        <w:t>” means (a) with respect to any EEA Member Country implementing Article 55 of Directive 2014/59/EU of the European Parliament and of the Council of the European Union, the implementing law, regulation rule or requirement for such EEA Member Country from time to time which is described in the EU Bail-In Legislation Schedule and (b) with respect to the United Kingdom, Part I of the United 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187"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Bankruptcy Event</w:t>
      </w:r>
      <w:r>
        <w:rPr>
          <w:rFonts w:ascii="Times New Roman" w:cs="Times New Roman" w:eastAsia="Times New Roman" w:hAnsi="Times New Roman"/>
          <w:sz w:val="18"/>
          <w:szCs w:val="18"/>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Administrative Agent, has taken any action in furtherance of, or indicating its consent to, approval of or acquiescence in, any such proceeding or appointment;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Bankruptcy Event shall not result solely by virtue of any ownership interest, or the acquisition of any ownership interest, in such Person by a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00"/>
          </w:cols>
          <w:pgMar w:left="440" w:top="270" w:right="459" w:bottom="1440" w:gutter="0" w:footer="0" w:header="0"/>
        </w:sectPr>
      </w:pPr>
    </w:p>
    <w:bookmarkStart w:id="18" w:name="page19"/>
    <w:bookmarkEnd w:id="18"/>
    <w:p>
      <w:pPr>
        <w:ind w:right="22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Benchmark</w:t>
      </w:r>
      <w:r>
        <w:rPr>
          <w:rFonts w:ascii="Times New Roman" w:cs="Times New Roman" w:eastAsia="Times New Roman" w:hAnsi="Times New Roman"/>
          <w:sz w:val="18"/>
          <w:szCs w:val="18"/>
          <w:color w:val="auto"/>
        </w:rPr>
        <w:t>” means, initially, LIBO Rate; provided that if a Benchmark Transition Event, a Term SOFR Transition Event or an Early Opt-in Election, as applicable, and its related Benchmark Replacement Date have occurred with respect to LIBO Rate or the then-current Benchmark, then “Benchmark” means the applicable Benchmark Replacement to the extent that such Benchmark Replacement has replaced such prior benchmark rate pursuant to clause (b) or clause (c) of Section 2.11.</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Replacement</w:t>
      </w:r>
      <w:r>
        <w:rPr>
          <w:rFonts w:ascii="Times New Roman" w:cs="Times New Roman" w:eastAsia="Times New Roman" w:hAnsi="Times New Roman"/>
          <w:sz w:val="18"/>
          <w:szCs w:val="18"/>
          <w:color w:val="auto"/>
        </w:rPr>
        <w:t>” means, for any Available Tenor, the first alternative set forth in the order below that can be determined by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Administrative Agent for the applicable Benchmark Replacement Date:</w:t>
      </w:r>
    </w:p>
    <w:p>
      <w:pPr>
        <w:spacing w:after="0" w:line="207" w:lineRule="exact"/>
        <w:rPr>
          <w:sz w:val="20"/>
          <w:szCs w:val="20"/>
          <w:color w:val="auto"/>
        </w:rPr>
      </w:pPr>
    </w:p>
    <w:p>
      <w:pPr>
        <w:ind w:left="1240" w:hanging="253"/>
        <w:spacing w:after="0"/>
        <w:tabs>
          <w:tab w:leader="none" w:pos="12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sum of: (a) Term SOFR and (b) the related Benchmark Replacement Adjustment;</w:t>
      </w:r>
    </w:p>
    <w:p>
      <w:pPr>
        <w:spacing w:after="0" w:line="225"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sum of: (a) Daily Simple SOFR and (b) the related Benchmark Replacement Adjustment;</w:t>
      </w:r>
    </w:p>
    <w:p>
      <w:pPr>
        <w:spacing w:after="0" w:line="225" w:lineRule="exact"/>
        <w:rPr>
          <w:rFonts w:ascii="Times New Roman" w:cs="Times New Roman" w:eastAsia="Times New Roman" w:hAnsi="Times New Roman"/>
          <w:sz w:val="18"/>
          <w:szCs w:val="18"/>
          <w:color w:val="auto"/>
        </w:rPr>
      </w:pPr>
    </w:p>
    <w:p>
      <w:pPr>
        <w:ind w:firstLine="987"/>
        <w:spacing w:after="0" w:line="258" w:lineRule="auto"/>
        <w:tabs>
          <w:tab w:leader="none" w:pos="1246"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sum of: (a) the alternate benchmark rate that has been selected by the Administrative Agent and the Company as the replacement for the then-current Benchmark for the applicable Corresponding Tenor giving due consideration to (i) any selection or recommendation of a replacement benchmark rate or the mechanism for determining such a rate by the Relevant Governmental Body or (ii) any evolving or then-prevailing market convention for determining a benchmark rate as a replacement for the then-current Benchmark for dollar-denominated syndicated credit facilities at such time and (b) the related Benchmark Replacement Adjustment;</w:t>
      </w:r>
    </w:p>
    <w:p>
      <w:pPr>
        <w:spacing w:after="0" w:line="183" w:lineRule="exact"/>
        <w:rPr>
          <w:sz w:val="20"/>
          <w:szCs w:val="20"/>
          <w:color w:val="auto"/>
        </w:rPr>
      </w:pPr>
    </w:p>
    <w:p>
      <w:pPr>
        <w:jc w:val="both"/>
        <w:ind w:right="20" w:firstLine="440"/>
        <w:spacing w:after="0" w:line="277" w:lineRule="auto"/>
        <w:rPr>
          <w:sz w:val="20"/>
          <w:szCs w:val="20"/>
          <w:color w:val="auto"/>
        </w:rPr>
      </w:pP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in the case of clause (1), such Unadjusted Benchmark Replacement is displayed on a screen or other information service that publishes such rate from time to time as selected by the Administrative Agent in its reasonable discretion; provided further that, notwithstanding anything to the contrary in this Agreement or in any other Loan Document, upon the occurrence of a Term SOFR Transition Event, and the delivery of a Term SOFR Notice, on the applicable Benchmark Replacement Date the “Benchmark Replacement” shall revert to and shall be deemed to be the sum of (a) Term SOFR and (b) the related Benchmark Replacement Adjustment, as set forth in clause (1) of this definition (subject to the first proviso above).</w:t>
      </w:r>
    </w:p>
    <w:p>
      <w:pPr>
        <w:spacing w:after="0" w:line="168" w:lineRule="exact"/>
        <w:rPr>
          <w:sz w:val="20"/>
          <w:szCs w:val="20"/>
          <w:color w:val="auto"/>
        </w:rPr>
      </w:pPr>
    </w:p>
    <w:p>
      <w:pPr>
        <w:ind w:right="200" w:firstLine="440"/>
        <w:spacing w:after="0" w:line="282" w:lineRule="auto"/>
        <w:rPr>
          <w:sz w:val="20"/>
          <w:szCs w:val="20"/>
          <w:color w:val="auto"/>
        </w:rPr>
      </w:pPr>
      <w:r>
        <w:rPr>
          <w:rFonts w:ascii="Times New Roman" w:cs="Times New Roman" w:eastAsia="Times New Roman" w:hAnsi="Times New Roman"/>
          <w:sz w:val="18"/>
          <w:szCs w:val="18"/>
          <w:color w:val="auto"/>
        </w:rPr>
        <w:t>If the Benchmark Replacement as determined pursuant to clause (1), (2) or (3) above would be less than the Floor, the Benchmark Replacement will be deemed to be the Floor for the purposes of this Agreement and the other Loan Documents.</w:t>
      </w:r>
    </w:p>
    <w:p>
      <w:pPr>
        <w:spacing w:after="0" w:line="162" w:lineRule="exact"/>
        <w:rPr>
          <w:sz w:val="20"/>
          <w:szCs w:val="20"/>
          <w:color w:val="auto"/>
        </w:rPr>
      </w:pPr>
    </w:p>
    <w:p>
      <w:pPr>
        <w:ind w:right="5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Replacement Adjustment</w:t>
      </w:r>
      <w:r>
        <w:rPr>
          <w:rFonts w:ascii="Times New Roman" w:cs="Times New Roman" w:eastAsia="Times New Roman" w:hAnsi="Times New Roman"/>
          <w:sz w:val="18"/>
          <w:szCs w:val="18"/>
          <w:color w:val="auto"/>
        </w:rPr>
        <w:t>” means, with respect to any replacement of the then-current Benchmark with an Unadjusted Benchmark Replacement for any applicable Interest Period and Available Tenor for any setting of such Unadjusted Benchmark Replacement:</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0"/>
          </w:cols>
          <w:pgMar w:left="440" w:top="270" w:right="459" w:bottom="1440" w:gutter="0" w:footer="0" w:header="0"/>
        </w:sectPr>
      </w:pPr>
    </w:p>
    <w:bookmarkStart w:id="19" w:name="page20"/>
    <w:bookmarkEnd w:id="19"/>
    <w:p>
      <w:pPr>
        <w:ind w:right="80" w:firstLine="987"/>
        <w:spacing w:after="0" w:line="282" w:lineRule="auto"/>
        <w:tabs>
          <w:tab w:leader="none" w:pos="1246"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 purposes of clauses (1) and (2) of the definition of “Benchmark Replacement,” the first alternative set forth in the order below that can be determined by the Administrative Agent:</w:t>
      </w:r>
    </w:p>
    <w:p>
      <w:pPr>
        <w:spacing w:after="0" w:line="162" w:lineRule="exact"/>
        <w:rPr>
          <w:sz w:val="20"/>
          <w:szCs w:val="20"/>
          <w:color w:val="auto"/>
        </w:rPr>
      </w:pPr>
    </w:p>
    <w:p>
      <w:pPr>
        <w:jc w:val="both"/>
        <w:ind w:right="20" w:firstLine="987"/>
        <w:spacing w:after="0" w:line="261" w:lineRule="auto"/>
        <w:tabs>
          <w:tab w:leader="none" w:pos="1236"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spread adjustment, or method for calculating or determining such spread adjustment, (which may be a positive or negative value or zero) as of the Reference Time such Benchmark Replacement is first set for such Interest Period that has been selected or recommended by the Relevant Governmental Body for the replacement of such Benchmark with the applicable Unadjusted Benchmark Replacement for the applicable Corresponding Tenor;</w:t>
      </w:r>
    </w:p>
    <w:p>
      <w:pPr>
        <w:spacing w:after="0" w:line="179" w:lineRule="exact"/>
        <w:rPr>
          <w:rFonts w:ascii="Times New Roman" w:cs="Times New Roman" w:eastAsia="Times New Roman" w:hAnsi="Times New Roman"/>
          <w:sz w:val="18"/>
          <w:szCs w:val="18"/>
          <w:color w:val="auto"/>
        </w:rPr>
      </w:pPr>
    </w:p>
    <w:p>
      <w:pPr>
        <w:jc w:val="both"/>
        <w:ind w:right="180" w:firstLine="987"/>
        <w:spacing w:after="0" w:line="266" w:lineRule="auto"/>
        <w:tabs>
          <w:tab w:leader="none" w:pos="1246"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spread adjustment (which may be a positive or negative value or zero) as of the Reference Time such Benchmark Replacement is first set for such Interest Period that would apply to the fallback rate for a derivative transaction referencing the ISDA Definitions to be effective upon an index cessation event with respect to such Benchmark for the applicable Corresponding Tenor; and</w:t>
      </w:r>
    </w:p>
    <w:p>
      <w:pPr>
        <w:spacing w:after="0" w:line="176" w:lineRule="exact"/>
        <w:rPr>
          <w:sz w:val="20"/>
          <w:szCs w:val="20"/>
          <w:color w:val="auto"/>
        </w:rPr>
      </w:pPr>
    </w:p>
    <w:p>
      <w:pPr>
        <w:ind w:firstLine="987"/>
        <w:spacing w:after="0" w:line="255" w:lineRule="auto"/>
        <w:tabs>
          <w:tab w:leader="none" w:pos="1246"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clause (3) of the definition of “Benchmark Replacement,” the spread adjustment, or method for calculating or determining such spread adjustment, (which may be a positive or negative value or zero) that has been selected by the Administrative Agent and the Company for the applicable Corresponding Tenor giving due consideration to (i) any selection or recommendation of a spread adjustment, or method for calculating or determining such spread adjustment, for the replacement of such Benchmark with the applicable Unadjusted Benchmark Replacement by the Relevant Governmental Body on the applicable Benchmark Replacement Date or (ii) any evolving or then-prevailing market convention for determining a spread adjustment, or method for calculating or determining such spread adjustment, for the replacement of such Benchmark with the applicable Unadjusted Benchmark Replacement for dollar-denominated syndicated credit facilities;</w:t>
      </w:r>
    </w:p>
    <w:p>
      <w:pPr>
        <w:spacing w:after="0" w:line="189" w:lineRule="exact"/>
        <w:rPr>
          <w:sz w:val="20"/>
          <w:szCs w:val="20"/>
          <w:color w:val="auto"/>
        </w:rPr>
      </w:pPr>
    </w:p>
    <w:p>
      <w:pPr>
        <w:ind w:right="840" w:firstLine="440"/>
        <w:spacing w:after="0" w:line="282"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in the case of clause (1) above, such adjustment is displayed on a screen or other information service that publishes such Benchmark Replacement Adjustment from time to time as selected by the Administrative Agent in its reasonable discretion.</w:t>
      </w:r>
    </w:p>
    <w:p>
      <w:pPr>
        <w:spacing w:after="0" w:line="162"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Replacement Conforming Changes</w:t>
      </w:r>
      <w:r>
        <w:rPr>
          <w:rFonts w:ascii="Times New Roman" w:cs="Times New Roman" w:eastAsia="Times New Roman" w:hAnsi="Times New Roman"/>
          <w:sz w:val="18"/>
          <w:szCs w:val="18"/>
          <w:color w:val="auto"/>
        </w:rPr>
        <w:t>” means, with respect to any Benchmark Replacement, any technical, administrative or operational changes (including changes to the definition of “Alternate Base Rate,” the definition of “Business Day,” the definition of “Interest Period,” timing and frequency of determining rates and making payments of interest, timing of borrowing requests or prepayment, conversion or continuation notices, length of lookback periods, the applicability of breakage provisions, and other technical, administrative or operational matters) that the Administrative Agent reasonably decides may be appropriate to reflect the adoption and implementation of such Benchmark Replacement and to permit the administration thereof by the Administrative Agent in a manner substantially consistent with market practice (or, if the Administrative Agent decides in its reasonable discretion that adoption of any portion of such market practice is not administratively feasible or if the Administrative Agent determines in its</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0980"/>
          </w:cols>
          <w:pgMar w:left="440" w:top="270" w:right="479" w:bottom="1440" w:gutter="0" w:footer="0" w:header="0"/>
        </w:sectPr>
      </w:pPr>
    </w:p>
    <w:bookmarkStart w:id="20" w:name="page21"/>
    <w:bookmarkEnd w:id="20"/>
    <w:p>
      <w:pPr>
        <w:ind w:right="140"/>
        <w:spacing w:after="0" w:line="31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reasonable discretion that no market practice for the administration of such Benchmark Replacement exists, in such other manner of administration as the Administrative Agent decides is reasonably necessary in connection with the administration of this Agreement and the other Loan Documents).</w:t>
      </w:r>
    </w:p>
    <w:p>
      <w:pPr>
        <w:spacing w:after="0" w:line="14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Replacement Date</w:t>
      </w:r>
      <w:r>
        <w:rPr>
          <w:rFonts w:ascii="Times New Roman" w:cs="Times New Roman" w:eastAsia="Times New Roman" w:hAnsi="Times New Roman"/>
          <w:sz w:val="18"/>
          <w:szCs w:val="18"/>
          <w:color w:val="auto"/>
        </w:rPr>
        <w:t>” means the earliest to occur of the following events with respect to the then-current Benchmark:</w:t>
      </w:r>
    </w:p>
    <w:p>
      <w:pPr>
        <w:spacing w:after="0" w:line="225" w:lineRule="exact"/>
        <w:rPr>
          <w:sz w:val="20"/>
          <w:szCs w:val="20"/>
          <w:color w:val="auto"/>
        </w:rPr>
      </w:pPr>
    </w:p>
    <w:p>
      <w:pPr>
        <w:ind w:right="160" w:firstLine="987"/>
        <w:spacing w:after="0" w:line="266" w:lineRule="auto"/>
        <w:tabs>
          <w:tab w:leader="none" w:pos="1246"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clause (1) or (2) of the definition of “Benchmark Transition Event,” the later of (a) the date of the public statement or publication of information referenced therein and (b) the date on which the administrator of such Benchmark (or the published component used in the calculation thereof) permanently or indefinitely ceases to provide all Available Tenors of such Benchmark (or such component thereof);</w:t>
      </w:r>
    </w:p>
    <w:p>
      <w:pPr>
        <w:spacing w:after="0" w:line="175" w:lineRule="exact"/>
        <w:rPr>
          <w:rFonts w:ascii="Times New Roman" w:cs="Times New Roman" w:eastAsia="Times New Roman" w:hAnsi="Times New Roman"/>
          <w:sz w:val="18"/>
          <w:szCs w:val="18"/>
          <w:color w:val="auto"/>
        </w:rPr>
      </w:pPr>
    </w:p>
    <w:p>
      <w:pPr>
        <w:ind w:right="720" w:firstLine="987"/>
        <w:spacing w:after="0" w:line="282" w:lineRule="auto"/>
        <w:tabs>
          <w:tab w:leader="none" w:pos="1246"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clause (3) of the definition of “Benchmark Transition Event,” the date of the public statement or publication of information referenced therein; or</w:t>
      </w:r>
    </w:p>
    <w:p>
      <w:pPr>
        <w:spacing w:after="0" w:line="161" w:lineRule="exact"/>
        <w:rPr>
          <w:rFonts w:ascii="Times New Roman" w:cs="Times New Roman" w:eastAsia="Times New Roman" w:hAnsi="Times New Roman"/>
          <w:sz w:val="18"/>
          <w:szCs w:val="18"/>
          <w:color w:val="auto"/>
        </w:rPr>
      </w:pPr>
    </w:p>
    <w:p>
      <w:pPr>
        <w:ind w:right="300" w:firstLine="987"/>
        <w:spacing w:after="0" w:line="282" w:lineRule="auto"/>
        <w:tabs>
          <w:tab w:leader="none" w:pos="1246"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Term SOFR Transition Event, the date that is thirty (30) days after the date a Term SOFR Notice is provided to the Lenders and the Company pursuant to Section 2.11(c); or</w:t>
      </w:r>
    </w:p>
    <w:p>
      <w:pPr>
        <w:spacing w:after="0" w:line="161" w:lineRule="exact"/>
        <w:rPr>
          <w:rFonts w:ascii="Times New Roman" w:cs="Times New Roman" w:eastAsia="Times New Roman" w:hAnsi="Times New Roman"/>
          <w:sz w:val="18"/>
          <w:szCs w:val="18"/>
          <w:color w:val="auto"/>
        </w:rPr>
      </w:pPr>
    </w:p>
    <w:p>
      <w:pPr>
        <w:ind w:right="120" w:firstLine="987"/>
        <w:spacing w:after="0" w:line="261" w:lineRule="auto"/>
        <w:tabs>
          <w:tab w:leader="none" w:pos="1246"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 Early Opt-in Election, the sixth (6th) Business Day after the date notice of such Early Opt-in Election is provided to the Lenders, so long as the Administrative Agent has not received, by 5:00 p.m. (New York City time) on the fifth (5th) Business Day after the date notice of such Early Opt-in Election is provided to the Lenders, written notice of objection to such Early Opt-in Election from Lenders comprising the Required Lenders.</w:t>
      </w:r>
    </w:p>
    <w:p>
      <w:pPr>
        <w:spacing w:after="0" w:line="180"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For the avoidance of doubt, (i) if the event giving rise to the Benchmark Replacement Date occurs on the same day as, but earlier than, the Reference Time in respect of any determination, the Benchmark Replacement Date will be deemed to have occurred prior to the Reference Time for such determination and (ii) the “Benchmark Replacement Date” will be deemed to have occurred in the case of clause (1) or (2) with respect to any Benchmark upon the occurrence of the applicable event or events set forth therein with respect to all then-current Available Tenors of such Benchmark (or the published component used in the calculation thereof).</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Transition Event</w:t>
      </w:r>
      <w:r>
        <w:rPr>
          <w:rFonts w:ascii="Times New Roman" w:cs="Times New Roman" w:eastAsia="Times New Roman" w:hAnsi="Times New Roman"/>
          <w:sz w:val="18"/>
          <w:szCs w:val="18"/>
          <w:color w:val="auto"/>
        </w:rPr>
        <w:t>” means the occurrence of one or more of the following events with respect to the then-current Benchmark:</w:t>
      </w:r>
    </w:p>
    <w:p>
      <w:pPr>
        <w:spacing w:after="0" w:line="225" w:lineRule="exact"/>
        <w:rPr>
          <w:sz w:val="20"/>
          <w:szCs w:val="20"/>
          <w:color w:val="auto"/>
        </w:rPr>
      </w:pPr>
    </w:p>
    <w:p>
      <w:pPr>
        <w:jc w:val="both"/>
        <w:ind w:firstLine="987"/>
        <w:spacing w:after="0" w:line="261" w:lineRule="auto"/>
        <w:tabs>
          <w:tab w:leader="none" w:pos="1246"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public statement or publication of information by or on behalf of the administrator of such Benchmark (or the published component used in the calculation thereof) announcing that such administrator has ceased or will cease to provide all Available Tenors of such Benchmark (or such component thereof), permanently or indefinitely, provided that, at the time of such statement or publication, there is no successor administrator that will continue to provide any Available Tenor of such Benchmark (or such component thereof);</w:t>
      </w:r>
    </w:p>
    <w:p>
      <w:pPr>
        <w:spacing w:after="0" w:line="11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0920"/>
          </w:cols>
          <w:pgMar w:left="440" w:top="270" w:right="539" w:bottom="1440" w:gutter="0" w:footer="0" w:header="0"/>
        </w:sectPr>
      </w:pPr>
    </w:p>
    <w:bookmarkStart w:id="21" w:name="page22"/>
    <w:bookmarkEnd w:id="21"/>
    <w:p>
      <w:pPr>
        <w:ind w:firstLine="987"/>
        <w:spacing w:after="0" w:line="255" w:lineRule="auto"/>
        <w:tabs>
          <w:tab w:leader="none" w:pos="1246"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public statement or publication of information by the regulatory supervisor for the administrator of such Benchmark (or the published component used in the calculation thereof), the Federal Reserve Board, the NYFRB, an insolvency official with jurisdiction over the administrator for such Benchmark (or such component), a resolution authority with jurisdiction over the administrator for such Benchmark (or such component) or a court or an entity with similar insolvency or resolution authority over the administrator for such Benchmark (or such component), which states that the administrator of such Benchmark (or such component) has ceased or will cease to provide all Available Tenors of such Benchmark (or such component thereof) permanently or indefinitely, provided that, at the time of such statement or publication, there is no successor administrator that will continue to provide any Available Tenor of such Benchmark (or such component thereof); or</w:t>
      </w:r>
    </w:p>
    <w:p>
      <w:pPr>
        <w:spacing w:after="0" w:line="188" w:lineRule="exact"/>
        <w:rPr>
          <w:rFonts w:ascii="Times New Roman" w:cs="Times New Roman" w:eastAsia="Times New Roman" w:hAnsi="Times New Roman"/>
          <w:sz w:val="18"/>
          <w:szCs w:val="18"/>
          <w:color w:val="auto"/>
        </w:rPr>
      </w:pPr>
    </w:p>
    <w:p>
      <w:pPr>
        <w:ind w:firstLine="987"/>
        <w:spacing w:after="0" w:line="266" w:lineRule="auto"/>
        <w:tabs>
          <w:tab w:leader="none" w:pos="1246"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public statement or publication of information by the regulatory supervisor for the administrator of such Benchmark (or the published component used in the calculation thereof) announcing that all Available Tenors of such Benchmark (or such component thereof) are no longer representative.</w:t>
      </w:r>
    </w:p>
    <w:p>
      <w:pPr>
        <w:spacing w:after="0" w:line="176" w:lineRule="exact"/>
        <w:rPr>
          <w:sz w:val="20"/>
          <w:szCs w:val="20"/>
          <w:color w:val="auto"/>
        </w:rPr>
      </w:pPr>
    </w:p>
    <w:p>
      <w:pPr>
        <w:ind w:right="240"/>
        <w:spacing w:after="0" w:line="266" w:lineRule="auto"/>
        <w:rPr>
          <w:sz w:val="20"/>
          <w:szCs w:val="20"/>
          <w:color w:val="auto"/>
        </w:rPr>
      </w:pPr>
      <w:r>
        <w:rPr>
          <w:rFonts w:ascii="Times New Roman" w:cs="Times New Roman" w:eastAsia="Times New Roman" w:hAnsi="Times New Roman"/>
          <w:sz w:val="18"/>
          <w:szCs w:val="18"/>
          <w:color w:val="auto"/>
        </w:rPr>
        <w:t>For the avoidance of doubt, a “Benchmark Transition Event” will be deemed to have occurred with respect to any Benchmark if a public statement or publication of information set forth above has occurred with respect to each then-current Available Tenor of such Benchmark (or the published component used in the calculation thereof).</w:t>
      </w:r>
    </w:p>
    <w:p>
      <w:pPr>
        <w:spacing w:after="0" w:line="176" w:lineRule="exact"/>
        <w:rPr>
          <w:sz w:val="20"/>
          <w:szCs w:val="20"/>
          <w:color w:val="auto"/>
        </w:rPr>
      </w:pPr>
    </w:p>
    <w:p>
      <w:pPr>
        <w:ind w:right="1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Benchmark Unavailability Period</w:t>
      </w:r>
      <w:r>
        <w:rPr>
          <w:rFonts w:ascii="Times New Roman" w:cs="Times New Roman" w:eastAsia="Times New Roman" w:hAnsi="Times New Roman"/>
          <w:sz w:val="18"/>
          <w:szCs w:val="18"/>
          <w:color w:val="auto"/>
        </w:rPr>
        <w:t>” means the period (if any) (x) beginning at the time that a Benchmark Replacement Date pursuant to clauses (1) or (2) of that definition has occurred if, at such time, no Benchmark Replacement has replaced the then-current Benchmark for all purposes hereunder and under any Loan Document in accordance with Section 2.11 and (y) ending at the time that a Benchmark Replacement has replaced the then-current Benchmark for all purposes hereunder and under any Loan Document in accordance with Section 2.11.</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Beneficial Ownership Certification</w:t>
      </w:r>
      <w:r>
        <w:rPr>
          <w:rFonts w:ascii="Times New Roman" w:cs="Times New Roman" w:eastAsia="Times New Roman" w:hAnsi="Times New Roman"/>
          <w:sz w:val="18"/>
          <w:szCs w:val="18"/>
          <w:color w:val="auto"/>
        </w:rPr>
        <w:t>” means a certification regarding beneficial ownership as required by the Beneficial Ownership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Regulation.</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Beneficial Ownership Regulation</w:t>
      </w:r>
      <w:r>
        <w:rPr>
          <w:rFonts w:ascii="Times New Roman" w:cs="Times New Roman" w:eastAsia="Times New Roman" w:hAnsi="Times New Roman"/>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Board of Governors</w:t>
      </w:r>
      <w:r>
        <w:rPr>
          <w:rFonts w:ascii="Times New Roman" w:cs="Times New Roman" w:eastAsia="Times New Roman" w:hAnsi="Times New Roman"/>
          <w:sz w:val="18"/>
          <w:szCs w:val="18"/>
          <w:color w:val="auto"/>
        </w:rPr>
        <w:t>” means the Board of Governors of the Federal Reserve System of the United States of America.</w:t>
      </w:r>
    </w:p>
    <w:p>
      <w:pPr>
        <w:spacing w:after="0" w:line="225"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Borrowing</w:t>
      </w:r>
      <w:r>
        <w:rPr>
          <w:rFonts w:ascii="Times New Roman" w:cs="Times New Roman" w:eastAsia="Times New Roman" w:hAnsi="Times New Roman"/>
          <w:sz w:val="18"/>
          <w:szCs w:val="18"/>
          <w:color w:val="auto"/>
        </w:rPr>
        <w:t>” means Loans of the same Class and Type made, converted or continued on the same date and, in the case of Eurocurrency Loans, as to which a single Interest Period is in effect.</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70" w:right="459" w:bottom="1440" w:gutter="0" w:footer="0" w:header="0"/>
        </w:sectPr>
      </w:pPr>
    </w:p>
    <w:bookmarkStart w:id="22" w:name="page23"/>
    <w:bookmarkEnd w:id="22"/>
    <w:p>
      <w:pPr>
        <w:ind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Borrowing Request</w:t>
      </w:r>
      <w:r>
        <w:rPr>
          <w:rFonts w:ascii="Times New Roman" w:cs="Times New Roman" w:eastAsia="Times New Roman" w:hAnsi="Times New Roman"/>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62"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xml:space="preserve">” means any day that is not a Saturday, Sunday or other day on which commercial banks in New York City are authorized or required by law to remain closed;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76" w:lineRule="exact"/>
        <w:rPr>
          <w:sz w:val="20"/>
          <w:szCs w:val="20"/>
          <w:color w:val="auto"/>
        </w:rPr>
      </w:pPr>
    </w:p>
    <w:p>
      <w:pPr>
        <w:ind w:right="14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Capital Lease Obligations</w:t>
      </w:r>
      <w:r>
        <w:rPr>
          <w:rFonts w:ascii="Times New Roman" w:cs="Times New Roman" w:eastAsia="Times New Roman" w:hAnsi="Times New Roman"/>
          <w:sz w:val="18"/>
          <w:szCs w:val="18"/>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83" w:lineRule="exact"/>
        <w:rPr>
          <w:sz w:val="20"/>
          <w:szCs w:val="20"/>
          <w:color w:val="auto"/>
        </w:rPr>
      </w:pPr>
    </w:p>
    <w:p>
      <w:pPr>
        <w:ind w:right="40" w:firstLine="991"/>
        <w:spacing w:after="0" w:line="253"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Change in Control</w:t>
      </w:r>
      <w:r>
        <w:rPr>
          <w:rFonts w:ascii="Times New Roman" w:cs="Times New Roman" w:eastAsia="Times New Roman" w:hAnsi="Times New Roman"/>
          <w:sz w:val="18"/>
          <w:szCs w:val="18"/>
          <w:color w:val="auto"/>
        </w:rPr>
        <w:t>” shall be deemed to have occurred if (a) any Person or group of Persons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the directors then in office) cease to constitute a majority of the Board of Directors of the Company and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For the avoidance of doubt, the acquisition by Maui Topco of beneficial ownership of the outstanding Voting Shares in Marvell pursuant to the Permitted Reorganization shall not constitute a Change in Control.</w:t>
      </w:r>
    </w:p>
    <w:p>
      <w:pPr>
        <w:spacing w:after="0" w:line="194" w:lineRule="exact"/>
        <w:rPr>
          <w:sz w:val="20"/>
          <w:szCs w:val="20"/>
          <w:color w:val="auto"/>
        </w:rPr>
      </w:pPr>
    </w:p>
    <w:p>
      <w:pPr>
        <w:ind w:right="4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Change in Law</w:t>
      </w:r>
      <w:r>
        <w:rPr>
          <w:rFonts w:ascii="Times New Roman" w:cs="Times New Roman" w:eastAsia="Times New Roman" w:hAnsi="Times New Roman"/>
          <w:sz w:val="18"/>
          <w:szCs w:val="18"/>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20"/>
          </w:cols>
          <w:pgMar w:left="440" w:top="270" w:right="439" w:bottom="1440" w:gutter="0" w:footer="0" w:header="0"/>
        </w:sectPr>
      </w:pPr>
    </w:p>
    <w:bookmarkStart w:id="23" w:name="page24"/>
    <w:bookmarkEnd w:id="23"/>
    <w:p>
      <w:pPr>
        <w:ind w:right="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successor or similar authority) or the United States or foreign regulatory authorities, in each case pursuant to Basel III, shall in each case be deemed to be a “Change in Law”, regardless of the date enacted, adopted, promulgated or issued.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has the meaning set forth in Section 9.13.</w:t>
      </w:r>
    </w:p>
    <w:p>
      <w:pPr>
        <w:spacing w:after="0" w:line="225" w:lineRule="exact"/>
        <w:rPr>
          <w:sz w:val="20"/>
          <w:szCs w:val="20"/>
          <w:color w:val="auto"/>
        </w:rPr>
      </w:pPr>
    </w:p>
    <w:p>
      <w:pPr>
        <w:jc w:val="both"/>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Class</w:t>
      </w:r>
      <w:r>
        <w:rPr>
          <w:rFonts w:ascii="Times New Roman" w:cs="Times New Roman" w:eastAsia="Times New Roman" w:hAnsi="Times New Roman"/>
          <w:sz w:val="18"/>
          <w:szCs w:val="18"/>
          <w:color w:val="auto"/>
        </w:rPr>
        <w:t>”, when used in reference to (a) any Loan or Borrowing, refers to whether such Loan, or the Loans comprising such Borrowing, are 3-Year Tranche Loans or 5-Year Tranche Loans, (b) any Commitment, refers to whether such Commitment is a 3-Year Tranche Commitment or 5-Year Tranche Commitment and (c) any Lender, refers to whether such Lender has a Loan or Commitment of a particular Class.</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Internal Revenue Code of 1986, as amended.</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Commitment</w:t>
      </w:r>
      <w:r>
        <w:rPr>
          <w:rFonts w:ascii="Times New Roman" w:cs="Times New Roman" w:eastAsia="Times New Roman" w:hAnsi="Times New Roman"/>
          <w:sz w:val="18"/>
          <w:szCs w:val="18"/>
          <w:color w:val="auto"/>
        </w:rPr>
        <w:t>” means a 3-Year Tranche Commitment or a 5-Year Tranche Commitment.</w:t>
      </w:r>
    </w:p>
    <w:p>
      <w:pPr>
        <w:spacing w:after="0" w:line="225"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Commitment Letter</w:t>
      </w:r>
      <w:r>
        <w:rPr>
          <w:rFonts w:ascii="Times New Roman" w:cs="Times New Roman" w:eastAsia="Times New Roman" w:hAnsi="Times New Roman"/>
          <w:sz w:val="18"/>
          <w:szCs w:val="18"/>
          <w:color w:val="auto"/>
        </w:rPr>
        <w:t>” means the Facilities Commitment Letter with respect to the Term Facility and the Revolving Facility (as defined therein) dated October 29, 2020, among Marvell, Maui Topco and JPMorgan Chase Bank, N.A.</w:t>
      </w:r>
    </w:p>
    <w:p>
      <w:pPr>
        <w:spacing w:after="0" w:line="162"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Commitment Termination Date</w:t>
      </w:r>
      <w:r>
        <w:rPr>
          <w:rFonts w:ascii="Times New Roman" w:cs="Times New Roman" w:eastAsia="Times New Roman" w:hAnsi="Times New Roman"/>
          <w:sz w:val="18"/>
          <w:szCs w:val="18"/>
          <w:color w:val="auto"/>
        </w:rPr>
        <w:t>” means the earliest of (i) after execution of the Inphi Acquisition Agreement and prior to the consummation of the Transactions, the termination of the Inphi Acquisition Agreement by the Company in a signed writing in accordance with its terms (or the Company’s written confirmation thereof) (and the Company hereby agrees to notify the Administrative Agent promptly thereof), (ii) the consummation of the Inphi Acquisition without the funding of the Term Facility, (iii) 11:59 p.m., New York City time, on the date that is five Business Days after the End Date (as defined in the Inphi Acquisition Agreement as in effect on the Signing Date); provided that if the End Date (as defined in the Inphi Acquisition Agreement as in effect on the Signing Date) is extended one or more times pursuant to Section 8.1(b) of the Inphi Acquisition Agreement (as in effect on the Signing Date), such End Date shall be for purposes of this clause (iii), upon written notice of each such extension to the Administrative Agent from the Company, automatically extend to five Business Days after each such extended date, and (iv) receipt by the Administrative Agent of written notice from the Company of its election to terminate all commitments under the Term Facility in full.</w:t>
      </w:r>
    </w:p>
    <w:p>
      <w:pPr>
        <w:spacing w:after="0" w:line="188" w:lineRule="exact"/>
        <w:rPr>
          <w:sz w:val="20"/>
          <w:szCs w:val="20"/>
          <w:color w:val="auto"/>
        </w:rPr>
      </w:pPr>
    </w:p>
    <w:p>
      <w:pPr>
        <w:jc w:val="both"/>
        <w:ind w:right="1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Communications</w:t>
      </w:r>
      <w:r>
        <w:rPr>
          <w:rFonts w:ascii="Times New Roman" w:cs="Times New Roman" w:eastAsia="Times New Roman" w:hAnsi="Times New Roman"/>
          <w:sz w:val="18"/>
          <w:szCs w:val="18"/>
          <w:color w:val="auto"/>
        </w:rPr>
        <w:t>” means, collectively, any notice, demand, communication, information, document or other material provided by or on behalf of the Company pursuant to any Loan Document or the transactions contemplated therein that is distributed to the Administrative Agent or any Lender by means of electronic communications pursuant to Section 9.01, including through the Platform.</w:t>
      </w:r>
    </w:p>
    <w:p>
      <w:pPr>
        <w:spacing w:after="0" w:line="176"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(x) prior to the Permitted Reorganization, Marvell and (y) on and after the Permitted Reorganization contemplated by Section 9.19 and immediately prior to any Borrowing, Maui Topco, and, in each case, any successor thereto permitted under Section 6.04(a)(ii)(B).</w:t>
      </w:r>
    </w:p>
    <w:p>
      <w:pPr>
        <w:spacing w:after="0" w:line="9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60"/>
          </w:cols>
          <w:pgMar w:left="440" w:top="270" w:right="499" w:bottom="1440" w:gutter="0" w:footer="0" w:header="0"/>
        </w:sectPr>
      </w:pPr>
    </w:p>
    <w:bookmarkStart w:id="24" w:name="page25"/>
    <w:bookmarkEnd w:id="24"/>
    <w:p>
      <w:pPr>
        <w:ind w:right="30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Compliance Certificate</w:t>
      </w:r>
      <w:r>
        <w:rPr>
          <w:rFonts w:ascii="Times New Roman" w:cs="Times New Roman" w:eastAsia="Times New Roman" w:hAnsi="Times New Roman"/>
          <w:sz w:val="18"/>
          <w:szCs w:val="18"/>
          <w:color w:val="auto"/>
        </w:rPr>
        <w:t>” means a Compliance Certificate in the form of Exhibit C or any other form approved by the Administrative Agent in its reasonable discretion.</w:t>
      </w:r>
    </w:p>
    <w:p>
      <w:pPr>
        <w:spacing w:after="0" w:line="162" w:lineRule="exact"/>
        <w:rPr>
          <w:sz w:val="20"/>
          <w:szCs w:val="20"/>
          <w:color w:val="auto"/>
        </w:rPr>
      </w:pPr>
    </w:p>
    <w:p>
      <w:pPr>
        <w:ind w:right="3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 Information Memorandum</w:t>
      </w:r>
      <w:r>
        <w:rPr>
          <w:rFonts w:ascii="Times New Roman" w:cs="Times New Roman" w:eastAsia="Times New Roman" w:hAnsi="Times New Roman"/>
          <w:sz w:val="18"/>
          <w:szCs w:val="18"/>
          <w:color w:val="auto"/>
        </w:rPr>
        <w:t>” means the Confidential Information Memorandum dated November 9, 2020 relating to the credit facilities provided for herein.</w:t>
      </w:r>
    </w:p>
    <w:p>
      <w:pPr>
        <w:spacing w:after="0" w:line="16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Connection Income Taxes</w:t>
      </w:r>
      <w:r>
        <w:rPr>
          <w:rFonts w:ascii="Times New Roman" w:cs="Times New Roman" w:eastAsia="Times New Roman" w:hAnsi="Times New Roman"/>
          <w:sz w:val="18"/>
          <w:szCs w:val="18"/>
          <w:color w:val="auto"/>
        </w:rPr>
        <w:t>” means Other Connection Taxes that are imposed on or measured by net income (however denominated) or that are franchise Taxes or branch profits Taxes.</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EBITDA</w:t>
      </w:r>
      <w:r>
        <w:rPr>
          <w:rFonts w:ascii="Times New Roman" w:cs="Times New Roman" w:eastAsia="Times New Roman" w:hAnsi="Times New Roman"/>
          <w:sz w:val="18"/>
          <w:szCs w:val="18"/>
          <w:color w:val="auto"/>
        </w:rPr>
        <w:t>” means, for any period, Consolidated Operating Income From Continuing Operations for such period, plus</w:t>
      </w:r>
    </w:p>
    <w:p>
      <w:pPr>
        <w:spacing w:after="0" w:line="225" w:lineRule="exact"/>
        <w:rPr>
          <w:sz w:val="20"/>
          <w:szCs w:val="20"/>
          <w:color w:val="auto"/>
        </w:rPr>
      </w:pPr>
    </w:p>
    <w:p>
      <w:pPr>
        <w:ind w:right="60" w:firstLine="987"/>
        <w:spacing w:after="0" w:line="282" w:lineRule="auto"/>
        <w:tabs>
          <w:tab w:leader="none" w:pos="1236" w:val="left"/>
        </w:tabs>
        <w:numPr>
          <w:ilvl w:val="1"/>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without duplication and to the extent deducted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amounts attributable to depreciation and amortization;</w:t>
      </w:r>
    </w:p>
    <w:p>
      <w:pPr>
        <w:spacing w:after="0" w:line="117" w:lineRule="exact"/>
        <w:rPr>
          <w:rFonts w:ascii="Times New Roman" w:cs="Times New Roman" w:eastAsia="Times New Roman" w:hAnsi="Times New Roman"/>
          <w:sz w:val="18"/>
          <w:szCs w:val="18"/>
          <w:color w:val="auto"/>
        </w:rPr>
      </w:pPr>
    </w:p>
    <w:p>
      <w:pPr>
        <w:jc w:val="both"/>
        <w:ind w:left="440" w:right="280" w:firstLine="525"/>
        <w:spacing w:after="0" w:line="266" w:lineRule="auto"/>
        <w:tabs>
          <w:tab w:leader="none" w:pos="1233"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all other non-cash charges,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67" w:lineRule="exact"/>
        <w:rPr>
          <w:rFonts w:ascii="Times New Roman" w:cs="Times New Roman" w:eastAsia="Times New Roman" w:hAnsi="Times New Roman"/>
          <w:sz w:val="18"/>
          <w:szCs w:val="18"/>
          <w:color w:val="auto"/>
        </w:rPr>
      </w:pPr>
    </w:p>
    <w:p>
      <w:pPr>
        <w:ind w:left="440" w:firstLine="525"/>
        <w:spacing w:after="0" w:line="266" w:lineRule="auto"/>
        <w:tabs>
          <w:tab w:leader="none" w:pos="1283"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cash restructuring, severance and similar charges relating to the Inphi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6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extraordinary, unusual or non-recurring cash charges;</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non-cash stock-based compensation;</w:t>
      </w:r>
    </w:p>
    <w:p>
      <w:pPr>
        <w:spacing w:after="0" w:line="11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losses during such period as a result of a change in accounting principles;</w:t>
      </w:r>
    </w:p>
    <w:p>
      <w:pPr>
        <w:spacing w:after="0" w:line="117" w:lineRule="exact"/>
        <w:rPr>
          <w:rFonts w:ascii="Times New Roman" w:cs="Times New Roman" w:eastAsia="Times New Roman" w:hAnsi="Times New Roman"/>
          <w:sz w:val="18"/>
          <w:szCs w:val="18"/>
          <w:color w:val="auto"/>
        </w:rPr>
      </w:pPr>
    </w:p>
    <w:p>
      <w:pPr>
        <w:ind w:left="1320" w:hanging="355"/>
        <w:spacing w:after="0"/>
        <w:tabs>
          <w:tab w:leader="none" w:pos="13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losses for such period relating to currency hedges or remeasurements of Indebtedness;</w:t>
      </w:r>
    </w:p>
    <w:p>
      <w:pPr>
        <w:spacing w:after="0" w:line="117" w:lineRule="exact"/>
        <w:rPr>
          <w:rFonts w:ascii="Times New Roman" w:cs="Times New Roman" w:eastAsia="Times New Roman" w:hAnsi="Times New Roman"/>
          <w:sz w:val="18"/>
          <w:szCs w:val="18"/>
          <w:color w:val="auto"/>
        </w:rPr>
      </w:pPr>
    </w:p>
    <w:p>
      <w:pPr>
        <w:jc w:val="both"/>
        <w:ind w:left="440" w:right="140" w:firstLine="525"/>
        <w:spacing w:after="0" w:line="266" w:lineRule="auto"/>
        <w:tabs>
          <w:tab w:leader="none" w:pos="1373"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fees, commissions, costs or expenses (or any amortization thereof) relating to any Acquisition (including the Inphi Acquisition) or joint venture investment, Disposition, issuance of Equity Interests, recapitalization or the incurrence, prepayment, amendment, modification,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0880"/>
          </w:cols>
          <w:pgMar w:left="440" w:top="270" w:right="579" w:bottom="1440" w:gutter="0" w:footer="0" w:header="0"/>
        </w:sectPr>
      </w:pPr>
    </w:p>
    <w:bookmarkStart w:id="25" w:name="page26"/>
    <w:bookmarkEnd w:id="25"/>
    <w:p>
      <w:pPr>
        <w:ind w:left="440" w:right="1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restructuring or refinancing of Indebtedness (including the Loans), in each case, not prohibited hereunder or occurring prior to the Effective Date (whether or not successful) for such period; and</w:t>
      </w:r>
    </w:p>
    <w:p>
      <w:pPr>
        <w:spacing w:after="0" w:line="54" w:lineRule="exact"/>
        <w:rPr>
          <w:sz w:val="20"/>
          <w:szCs w:val="20"/>
          <w:color w:val="auto"/>
        </w:rPr>
      </w:pPr>
    </w:p>
    <w:p>
      <w:pPr>
        <w:ind w:left="440" w:right="100" w:firstLine="525"/>
        <w:spacing w:after="0" w:line="266" w:lineRule="auto"/>
        <w:tabs>
          <w:tab w:leader="none" w:pos="1273"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176" w:lineRule="exact"/>
        <w:rPr>
          <w:sz w:val="20"/>
          <w:szCs w:val="20"/>
          <w:color w:val="auto"/>
        </w:rPr>
      </w:pPr>
    </w:p>
    <w:p>
      <w:pPr>
        <w:ind w:right="200" w:firstLine="987"/>
        <w:spacing w:after="0" w:line="282" w:lineRule="auto"/>
        <w:tabs>
          <w:tab w:leader="none" w:pos="1246" w:val="left"/>
        </w:tabs>
        <w:numPr>
          <w:ilvl w:val="1"/>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without duplication and to the extent included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non-cash items of income;</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extraordinary, unusual or non-recurring items of income;</w:t>
      </w:r>
    </w:p>
    <w:p>
      <w:pPr>
        <w:spacing w:after="0" w:line="117"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gains during such period as a result of a change in accounting principles; and</w:t>
      </w:r>
    </w:p>
    <w:p>
      <w:pPr>
        <w:spacing w:after="0" w:line="11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including the Inphi Acquisition, or a Material Disposition, Consolidated EBITDA for such period shall be determined giving pro forma effect thereto in accordance with Section 1.04(b).</w:t>
      </w:r>
    </w:p>
    <w:p>
      <w:pPr>
        <w:spacing w:after="0" w:line="180"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Net Tangible Assets</w:t>
      </w:r>
      <w:r>
        <w:rPr>
          <w:rFonts w:ascii="Times New Roman" w:cs="Times New Roman" w:eastAsia="Times New Roman" w:hAnsi="Times New Roman"/>
          <w:sz w:val="18"/>
          <w:szCs w:val="18"/>
          <w:color w:val="auto"/>
        </w:rPr>
        <w:t xml:space="preserve">” means, at any date, (a) total assets of the Company and the Subsidiaries (minus applicable reserves) determined on a consolidated basis in accordance with GAAP </w:t>
      </w:r>
      <w:r>
        <w:rPr>
          <w:rFonts w:ascii="Times New Roman" w:cs="Times New Roman" w:eastAsia="Times New Roman" w:hAnsi="Times New Roman"/>
          <w:sz w:val="18"/>
          <w:szCs w:val="18"/>
          <w:u w:val="single" w:color="auto"/>
          <w:color w:val="auto"/>
        </w:rPr>
        <w:t>minus</w:t>
      </w:r>
      <w:r>
        <w:rPr>
          <w:rFonts w:ascii="Times New Roman" w:cs="Times New Roman" w:eastAsia="Times New Roman" w:hAnsi="Times New Roman"/>
          <w:sz w:val="18"/>
          <w:szCs w:val="18"/>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Term Funding Date, the Consolidated Net Tangible Assets as of any date prior to the Term Funding Date shall be determined on a pro forma basis to give effect to the Inphi Acquisition and the other Transactions to occur on the Term Funding Date.</w:t>
      </w:r>
    </w:p>
    <w:p>
      <w:pPr>
        <w:spacing w:after="0" w:line="19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Operating Income From Continuing Operations</w:t>
      </w:r>
      <w:r>
        <w:rPr>
          <w:rFonts w:ascii="Times New Roman" w:cs="Times New Roman" w:eastAsia="Times New Roman" w:hAnsi="Times New Roman"/>
          <w:sz w:val="18"/>
          <w:szCs w:val="18"/>
          <w:color w:val="auto"/>
        </w:rPr>
        <w:t>” means, for any period, the consolidated operating income (or loss) of the Company and its Subsidiaries from continuing operations for such period, determined on a consolidated basis in accordance with GAAP.</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26" w:name="page27"/>
    <w:bookmarkEnd w:id="26"/>
    <w:p>
      <w:pPr>
        <w:ind w:right="60"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Consolidated Total Indebtedness</w:t>
      </w:r>
      <w:r>
        <w:rPr>
          <w:rFonts w:ascii="Times New Roman" w:cs="Times New Roman" w:eastAsia="Times New Roman" w:hAnsi="Times New Roman"/>
          <w:sz w:val="18"/>
          <w:szCs w:val="18"/>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purposes of determining Consolidated Total Indebtedness, at any time after the definitive agreement for any Material Acquisition shall have been executed, any Acquisition Indebtedness with respect to such Material Acquisition, unless such Acquisition shall have been consummated, shall be disregarded.</w:t>
      </w:r>
    </w:p>
    <w:p>
      <w:pPr>
        <w:spacing w:after="0" w:line="189"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Control</w:t>
      </w:r>
      <w:r>
        <w:rPr>
          <w:rFonts w:ascii="Times New Roman" w:cs="Times New Roman" w:eastAsia="Times New Roman" w:hAnsi="Times New Roman"/>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Times New Roman" w:cs="Times New Roman" w:eastAsia="Times New Roman" w:hAnsi="Times New Roman"/>
          <w:sz w:val="18"/>
          <w:szCs w:val="18"/>
          <w:u w:val="single" w:color="auto"/>
          <w:color w:val="auto"/>
        </w:rPr>
        <w:t>Controlling</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Controlled</w:t>
      </w:r>
      <w:r>
        <w:rPr>
          <w:rFonts w:ascii="Times New Roman" w:cs="Times New Roman" w:eastAsia="Times New Roman" w:hAnsi="Times New Roman"/>
          <w:sz w:val="18"/>
          <w:szCs w:val="18"/>
          <w:color w:val="auto"/>
        </w:rPr>
        <w:t>” have meanings correlative thereto.</w:t>
      </w:r>
    </w:p>
    <w:p>
      <w:pPr>
        <w:spacing w:after="0" w:line="176" w:lineRule="exact"/>
        <w:rPr>
          <w:sz w:val="20"/>
          <w:szCs w:val="20"/>
          <w:color w:val="auto"/>
        </w:rPr>
      </w:pPr>
    </w:p>
    <w:p>
      <w:pPr>
        <w:ind w:right="4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Corresponding Tenor</w:t>
      </w:r>
      <w:r>
        <w:rPr>
          <w:rFonts w:ascii="Times New Roman" w:cs="Times New Roman" w:eastAsia="Times New Roman" w:hAnsi="Times New Roman"/>
          <w:sz w:val="18"/>
          <w:szCs w:val="18"/>
          <w:color w:val="auto"/>
        </w:rPr>
        <w:t>” with respect to any Available Tenor means, as applicable, either a tenor (including overnight) or an interest payment period having approximately the same length (disregarding business day adjustment) as such Available Tenor.</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Credit Party</w:t>
      </w:r>
      <w:r>
        <w:rPr>
          <w:rFonts w:ascii="Times New Roman" w:cs="Times New Roman" w:eastAsia="Times New Roman" w:hAnsi="Times New Roman"/>
          <w:sz w:val="18"/>
          <w:szCs w:val="18"/>
          <w:color w:val="auto"/>
        </w:rPr>
        <w:t>” means the Administrative Agent and each Lender.</w:t>
      </w:r>
    </w:p>
    <w:p>
      <w:pPr>
        <w:spacing w:after="0" w:line="225"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Daily Simple SOFR</w:t>
      </w:r>
      <w:r>
        <w:rPr>
          <w:rFonts w:ascii="Times New Roman" w:cs="Times New Roman" w:eastAsia="Times New Roman" w:hAnsi="Times New Roman"/>
          <w:sz w:val="18"/>
          <w:szCs w:val="18"/>
          <w:color w:val="auto"/>
        </w:rPr>
        <w:t>” means, for any day, SOFR, with the conventions for this rate (which will include a lookback) being established by the Administrative Agent in accordance with the conventions for this rate selected or recommended by the Relevant Governmental Body for determining “Daily Simple SOFR” for business loans; provided, that if the Administrative Agent decides that any such convention is not administratively feasible for the Administrative Agent, then the Administrative Agent may establish another convention in its reasonable discretion.</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w:t>
      </w:r>
      <w:r>
        <w:rPr>
          <w:rFonts w:ascii="Times New Roman" w:cs="Times New Roman" w:eastAsia="Times New Roman" w:hAnsi="Times New Roman"/>
          <w:sz w:val="18"/>
          <w:szCs w:val="18"/>
          <w:color w:val="auto"/>
        </w:rPr>
        <w:t>” means any event or condition that constitutes, or upon notice, lapse of time or both would constitute, an Event of Default.</w:t>
      </w:r>
    </w:p>
    <w:p>
      <w:pPr>
        <w:spacing w:after="0" w:line="225" w:lineRule="exact"/>
        <w:rPr>
          <w:sz w:val="20"/>
          <w:szCs w:val="20"/>
          <w:color w:val="auto"/>
        </w:rPr>
      </w:pPr>
    </w:p>
    <w:p>
      <w:pPr>
        <w:ind w:right="4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Defaulting Lender</w:t>
      </w:r>
      <w:r>
        <w:rPr>
          <w:rFonts w:ascii="Times New Roman" w:cs="Times New Roman" w:eastAsia="Times New Roman" w:hAnsi="Times New Roman"/>
          <w:sz w:val="18"/>
          <w:szCs w:val="18"/>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0900"/>
          </w:cols>
          <w:pgMar w:left="440" w:top="270" w:right="559" w:bottom="1440" w:gutter="0" w:footer="0" w:header="0"/>
        </w:sectPr>
      </w:pPr>
    </w:p>
    <w:bookmarkStart w:id="27" w:name="page28"/>
    <w:bookmarkEnd w:id="27"/>
    <w:p>
      <w:pPr>
        <w:ind w:right="20"/>
        <w:spacing w:after="0" w:line="269"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Administrative Agent made in good faith, to provide a certification in writing from an authorized officer of such Lender that it will comply with its obligations to fund prospective Loans,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82"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Disposition</w:t>
      </w:r>
      <w:r>
        <w:rPr>
          <w:rFonts w:ascii="Times New Roman" w:cs="Times New Roman" w:eastAsia="Times New Roman" w:hAnsi="Times New Roman"/>
          <w:sz w:val="18"/>
          <w:szCs w:val="18"/>
          <w:color w:val="auto"/>
        </w:rPr>
        <w:t>” means any sale, transfer or other disposition, or series of related sales, transfers, or dispositions (including pursuant to any merger, amalgamation or consolidation), of property that constitutes (a) assets comprising all or substantially all of a division, business or operating unit or product line of any Person or (b) all or substantially all of the Equity Interests in a Person.</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dollars</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refers to lawful money of the United States of America.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Early Opt-in Election</w:t>
      </w:r>
      <w:r>
        <w:rPr>
          <w:rFonts w:ascii="Times New Roman" w:cs="Times New Roman" w:eastAsia="Times New Roman" w:hAnsi="Times New Roman"/>
          <w:sz w:val="18"/>
          <w:szCs w:val="18"/>
          <w:color w:val="auto"/>
        </w:rPr>
        <w:t>” means, if the then-current Benchmark is LIBO Rate, the occurrence of:</w:t>
      </w:r>
    </w:p>
    <w:p>
      <w:pPr>
        <w:spacing w:after="0" w:line="225" w:lineRule="exact"/>
        <w:rPr>
          <w:sz w:val="20"/>
          <w:szCs w:val="20"/>
          <w:color w:val="auto"/>
        </w:rPr>
      </w:pPr>
    </w:p>
    <w:p>
      <w:pPr>
        <w:jc w:val="both"/>
        <w:ind w:firstLine="987"/>
        <w:spacing w:after="0" w:line="261" w:lineRule="auto"/>
        <w:tabs>
          <w:tab w:leader="none" w:pos="1381"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notification by the Administrative Agent to (or the request by the Company to the Administrative Agent to notify) each of the other parties hereto that at least five currently outstanding dollar-denominated syndicated credit facilities at such time contain (as a result of amendment or as originally executed) a SOFR-based rate (including SOFR, a term SOFR or any other rate based upon SOFR) as a benchmark rate (and such syndicated credit facilities are identified in such notice and are publicly available for review), and</w:t>
      </w:r>
    </w:p>
    <w:p>
      <w:pPr>
        <w:spacing w:after="0" w:line="179" w:lineRule="exact"/>
        <w:rPr>
          <w:rFonts w:ascii="Times New Roman" w:cs="Times New Roman" w:eastAsia="Times New Roman" w:hAnsi="Times New Roman"/>
          <w:sz w:val="18"/>
          <w:szCs w:val="18"/>
          <w:color w:val="auto"/>
        </w:rPr>
      </w:pPr>
    </w:p>
    <w:p>
      <w:pPr>
        <w:ind w:right="480" w:firstLine="987"/>
        <w:spacing w:after="0" w:line="282" w:lineRule="auto"/>
        <w:tabs>
          <w:tab w:leader="none" w:pos="1381"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joint election by the Administrative Agent and the Company to trigger a fallback from LIBO Rate and the provision by the Administrative Agent of written notice of such election to the Lenders.</w:t>
      </w:r>
    </w:p>
    <w:p>
      <w:pPr>
        <w:spacing w:after="0" w:line="162"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Financial Institution</w:t>
      </w:r>
      <w:r>
        <w:rPr>
          <w:rFonts w:ascii="Times New Roman" w:cs="Times New Roman" w:eastAsia="Times New Roman" w:hAnsi="Times New Roman"/>
          <w:sz w:val="18"/>
          <w:szCs w:val="18"/>
          <w:color w:val="auto"/>
        </w:rPr>
        <w:t>” means (a) any credit institution or investment firm established in any EEA Member Country which is subject to the supervision of an EEA Resolution Authority, (b) any entity established in an EEA Member Country that is a parent of any Person described in clause (a) above, or (c) any entity established in an EEA Member Country that is a subsidiary of any Person described in clause (a) or (b) above and is subject to consolidated supervision with its parent.</w:t>
      </w:r>
    </w:p>
    <w:p>
      <w:pPr>
        <w:spacing w:after="0" w:line="1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960"/>
          </w:cols>
          <w:pgMar w:left="440" w:top="270" w:right="499" w:bottom="1440" w:gutter="0" w:footer="0" w:header="0"/>
        </w:sectPr>
      </w:pPr>
    </w:p>
    <w:bookmarkStart w:id="28" w:name="page29"/>
    <w:bookmarkEnd w:id="28"/>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EEA Member Country</w:t>
      </w:r>
      <w:r>
        <w:rPr>
          <w:rFonts w:ascii="Times New Roman" w:cs="Times New Roman" w:eastAsia="Times New Roman" w:hAnsi="Times New Roman"/>
          <w:sz w:val="18"/>
          <w:szCs w:val="18"/>
          <w:color w:val="auto"/>
        </w:rPr>
        <w:t>” means any of the member states of the European Union, Iceland, Liechtenstein and Norway.</w:t>
      </w:r>
    </w:p>
    <w:p>
      <w:pPr>
        <w:spacing w:after="0" w:line="225"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Resolution Authority</w:t>
      </w:r>
      <w:r>
        <w:rPr>
          <w:rFonts w:ascii="Times New Roman" w:cs="Times New Roman" w:eastAsia="Times New Roman" w:hAnsi="Times New Roman"/>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62" w:lineRule="exact"/>
        <w:rPr>
          <w:sz w:val="20"/>
          <w:szCs w:val="20"/>
          <w:color w:val="auto"/>
        </w:rPr>
      </w:pPr>
    </w:p>
    <w:p>
      <w:pPr>
        <w:ind w:right="9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means the date on which the conditions specified in Section 4.01 are satisfied (or waived in accordance with Section 9.02).</w:t>
      </w:r>
    </w:p>
    <w:p>
      <w:pPr>
        <w:spacing w:after="0" w:line="162" w:lineRule="exact"/>
        <w:rPr>
          <w:sz w:val="20"/>
          <w:szCs w:val="20"/>
          <w:color w:val="auto"/>
        </w:rPr>
      </w:pPr>
    </w:p>
    <w:p>
      <w:pPr>
        <w:ind w:right="5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Electronic Signature</w:t>
      </w:r>
      <w:r>
        <w:rPr>
          <w:rFonts w:ascii="Times New Roman" w:cs="Times New Roman" w:eastAsia="Times New Roman" w:hAnsi="Times New Roman"/>
          <w:sz w:val="18"/>
          <w:szCs w:val="18"/>
          <w:color w:val="auto"/>
        </w:rPr>
        <w:t>” means an electronic sound, symbol, or process attached to, or associated with, a contract or other record and adopted by a Person with the intent to sign, authenticate or accept such contract or record.</w:t>
      </w:r>
    </w:p>
    <w:p>
      <w:pPr>
        <w:spacing w:after="0" w:line="162"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Eligible Assignee</w:t>
      </w:r>
      <w:r>
        <w:rPr>
          <w:rFonts w:ascii="Times New Roman" w:cs="Times New Roman" w:eastAsia="Times New Roman" w:hAnsi="Times New Roman"/>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62" w:lineRule="exact"/>
        <w:rPr>
          <w:sz w:val="20"/>
          <w:szCs w:val="20"/>
          <w:color w:val="auto"/>
        </w:rPr>
      </w:pPr>
    </w:p>
    <w:p>
      <w:pPr>
        <w:ind w:right="6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Laws</w:t>
      </w:r>
      <w:r>
        <w:rPr>
          <w:rFonts w:ascii="Times New Roman" w:cs="Times New Roman" w:eastAsia="Times New Roman" w:hAnsi="Times New Roman"/>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generation, use, handling, transportation, storage, treatment, disposal, Release or threatened Release or the classification, registration, disclosure or import of, or exposure to, any toxic or hazardous materials, substance or waste or to related health or safety matters.</w:t>
      </w:r>
    </w:p>
    <w:p>
      <w:pPr>
        <w:spacing w:after="0" w:line="183"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Liability</w:t>
      </w:r>
      <w:r>
        <w:rPr>
          <w:rFonts w:ascii="Times New Roman" w:cs="Times New Roman" w:eastAsia="Times New Roman" w:hAnsi="Times New Roman"/>
          <w:sz w:val="18"/>
          <w:szCs w:val="18"/>
          <w:color w:val="auto"/>
        </w:rPr>
        <w:t>” means any liability, obligation, loss, claim, action, order or cost, contingent or otherwise (including any liability for damages, costs of environmental remediation, fines, penalties and indemnities), directly or indirectly resulting from or based upon (a)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83" w:lineRule="exact"/>
        <w:rPr>
          <w:sz w:val="20"/>
          <w:szCs w:val="20"/>
          <w:color w:val="auto"/>
        </w:rPr>
      </w:pPr>
    </w:p>
    <w:p>
      <w:pPr>
        <w:ind w:right="1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Interests</w:t>
      </w:r>
      <w:r>
        <w:rPr>
          <w:rFonts w:ascii="Times New Roman" w:cs="Times New Roman" w:eastAsia="Times New Roman" w:hAnsi="Times New Roman"/>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000"/>
          </w:cols>
          <w:pgMar w:left="440" w:top="270" w:right="459" w:bottom="1440" w:gutter="0" w:footer="0" w:header="0"/>
        </w:sectPr>
      </w:pPr>
    </w:p>
    <w:bookmarkStart w:id="29" w:name="page30"/>
    <w:bookmarkEnd w:id="29"/>
    <w:p>
      <w:pPr>
        <w:jc w:val="both"/>
        <w:ind w:left="4" w:right="4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76" w:lineRule="exact"/>
        <w:rPr>
          <w:sz w:val="20"/>
          <w:szCs w:val="20"/>
          <w:color w:val="auto"/>
        </w:rPr>
      </w:pPr>
    </w:p>
    <w:p>
      <w:pPr>
        <w:ind w:left="4" w:right="20" w:firstLine="991"/>
        <w:spacing w:after="0" w:line="268"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ERISA Event</w:t>
      </w:r>
      <w:r>
        <w:rPr>
          <w:rFonts w:ascii="Times New Roman" w:cs="Times New Roman" w:eastAsia="Times New Roman" w:hAnsi="Times New Roman"/>
          <w:sz w:val="17"/>
          <w:szCs w:val="17"/>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5" w:lineRule="exact"/>
        <w:rPr>
          <w:sz w:val="20"/>
          <w:szCs w:val="20"/>
          <w:color w:val="auto"/>
        </w:rPr>
      </w:pPr>
    </w:p>
    <w:p>
      <w:pPr>
        <w:ind w:left="4" w:right="160" w:hanging="4"/>
        <w:spacing w:after="0" w:line="252" w:lineRule="auto"/>
        <w:tabs>
          <w:tab w:leader="none" w:pos="229"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0" w:lineRule="exact"/>
        <w:rPr>
          <w:sz w:val="20"/>
          <w:szCs w:val="20"/>
          <w:color w:val="auto"/>
        </w:rPr>
      </w:pPr>
    </w:p>
    <w:p>
      <w:pPr>
        <w:ind w:left="4" w:right="6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 Bail-In Legislation Schedule</w:t>
      </w:r>
      <w:r>
        <w:rPr>
          <w:rFonts w:ascii="Times New Roman" w:cs="Times New Roman" w:eastAsia="Times New Roman" w:hAnsi="Times New Roman"/>
          <w:sz w:val="18"/>
          <w:szCs w:val="18"/>
          <w:color w:val="auto"/>
        </w:rPr>
        <w:t>” means the EU Bail-In Legislation Schedule published by the Loan Market Association (or any successor person), as in effect from time to time.</w:t>
      </w:r>
    </w:p>
    <w:p>
      <w:pPr>
        <w:spacing w:after="0" w:line="162" w:lineRule="exact"/>
        <w:rPr>
          <w:sz w:val="20"/>
          <w:szCs w:val="20"/>
          <w:color w:val="auto"/>
        </w:rPr>
      </w:pPr>
    </w:p>
    <w:p>
      <w:pPr>
        <w:ind w:left="4"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Eurocurrency</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Adjusted LIBO Rate.</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has the meaning set forth in Section 7.01.</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United States Securities Exchange Act of 1934.</w:t>
      </w:r>
    </w:p>
    <w:p>
      <w:pPr>
        <w:spacing w:after="0" w:line="225" w:lineRule="exact"/>
        <w:rPr>
          <w:sz w:val="20"/>
          <w:szCs w:val="20"/>
          <w:color w:val="auto"/>
        </w:rPr>
      </w:pPr>
    </w:p>
    <w:p>
      <w:pPr>
        <w:ind w:left="4"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Excluded Taxes</w:t>
      </w:r>
      <w:r>
        <w:rPr>
          <w:rFonts w:ascii="Times New Roman" w:cs="Times New Roman" w:eastAsia="Times New Roman" w:hAnsi="Times New Roman"/>
          <w:sz w:val="18"/>
          <w:szCs w:val="18"/>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w:t>
      </w:r>
    </w:p>
    <w:p>
      <w:pPr>
        <w:spacing w:after="0" w:line="3" w:lineRule="exact"/>
        <w:rPr>
          <w:sz w:val="20"/>
          <w:szCs w:val="20"/>
          <w:color w:val="auto"/>
        </w:rPr>
      </w:pPr>
    </w:p>
    <w:p>
      <w:pPr>
        <w:ind w:left="5424" w:right="2220" w:hanging="5424"/>
        <w:spacing w:after="0" w:line="433" w:lineRule="auto"/>
        <w:tabs>
          <w:tab w:leader="none" w:pos="258"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Taxes attributable to such Recipient’s failure to comply with Section 2.14(f) and (c) any Taxes imposed under FATCA. 18</w:t>
      </w:r>
    </w:p>
    <w:p>
      <w:pPr>
        <w:sectPr>
          <w:pgSz w:w="11900" w:h="16838" w:orient="portrait"/>
          <w:cols w:equalWidth="0" w:num="1">
            <w:col w:w="11004"/>
          </w:cols>
          <w:pgMar w:left="436" w:top="270" w:right="459" w:bottom="1440" w:gutter="0" w:footer="0" w:header="0"/>
        </w:sectPr>
      </w:pPr>
    </w:p>
    <w:bookmarkStart w:id="30" w:name="page31"/>
    <w:bookmarkEnd w:id="30"/>
    <w:p>
      <w:pPr>
        <w:ind w:firstLine="991"/>
        <w:spacing w:after="0" w:line="281"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7"/>
          <w:szCs w:val="17"/>
          <w:u w:val="single" w:color="auto"/>
          <w:color w:val="auto"/>
        </w:rPr>
        <w:t>FATCA</w:t>
      </w:r>
      <w:r>
        <w:rPr>
          <w:rFonts w:ascii="Times New Roman" w:cs="Times New Roman" w:eastAsia="Times New Roman" w:hAnsi="Times New Roman"/>
          <w:sz w:val="17"/>
          <w:szCs w:val="17"/>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64" w:lineRule="exact"/>
        <w:rPr>
          <w:sz w:val="20"/>
          <w:szCs w:val="20"/>
          <w:color w:val="auto"/>
        </w:rPr>
      </w:pPr>
    </w:p>
    <w:p>
      <w:pPr>
        <w:ind w:right="2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Federal Funds Effective Rate</w:t>
      </w:r>
      <w:r>
        <w:rPr>
          <w:rFonts w:ascii="Times New Roman" w:cs="Times New Roman" w:eastAsia="Times New Roman" w:hAnsi="Times New Roman"/>
          <w:sz w:val="18"/>
          <w:szCs w:val="18"/>
          <w:color w:val="auto"/>
        </w:rPr>
        <w:t>”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provided that if the Federal Funds Effective Rate shall be less than zero, such rate shall be deemed to be zero for the purposes of calculating such rate.</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Federal Reserve Board</w:t>
      </w:r>
      <w:r>
        <w:rPr>
          <w:rFonts w:ascii="Times New Roman" w:cs="Times New Roman" w:eastAsia="Times New Roman" w:hAnsi="Times New Roman"/>
          <w:sz w:val="18"/>
          <w:szCs w:val="18"/>
          <w:color w:val="auto"/>
        </w:rPr>
        <w:t>” means the Board of Governors of the Federal Reserve System of the United States of America.</w:t>
      </w:r>
    </w:p>
    <w:p>
      <w:pPr>
        <w:spacing w:after="0" w:line="225" w:lineRule="exact"/>
        <w:rPr>
          <w:sz w:val="20"/>
          <w:szCs w:val="20"/>
          <w:color w:val="auto"/>
        </w:rPr>
      </w:pPr>
    </w:p>
    <w:p>
      <w:pPr>
        <w:ind w:right="4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 means the Facilities Fee Letter dated October 29, 2020 (as amended from time to time), between Marvell and JPMorgan Chase Bank, N.A.</w:t>
      </w:r>
    </w:p>
    <w:p>
      <w:pPr>
        <w:spacing w:after="0" w:line="162"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Financial Officer</w:t>
      </w:r>
      <w:r>
        <w:rPr>
          <w:rFonts w:ascii="Times New Roman" w:cs="Times New Roman" w:eastAsia="Times New Roman" w:hAnsi="Times New Roman"/>
          <w:sz w:val="18"/>
          <w:szCs w:val="18"/>
          <w:color w:val="auto"/>
        </w:rPr>
        <w:t xml:space="preserve">” means, with respect to any Person, the chief financial officer, principal accounting officer, vice president-treasury, treasurer or controller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Fitch</w:t>
      </w:r>
      <w:r>
        <w:rPr>
          <w:rFonts w:ascii="Times New Roman" w:cs="Times New Roman" w:eastAsia="Times New Roman" w:hAnsi="Times New Roman"/>
          <w:sz w:val="18"/>
          <w:szCs w:val="18"/>
          <w:color w:val="auto"/>
        </w:rPr>
        <w:t>” means Fitch Ratings, Inc., or any successor to its rating agency business.</w:t>
      </w:r>
    </w:p>
    <w:p>
      <w:pPr>
        <w:spacing w:after="0" w:line="225" w:lineRule="exact"/>
        <w:rPr>
          <w:sz w:val="20"/>
          <w:szCs w:val="20"/>
          <w:color w:val="auto"/>
        </w:rPr>
      </w:pPr>
    </w:p>
    <w:p>
      <w:pPr>
        <w:ind w:right="4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Floor</w:t>
      </w:r>
      <w:r>
        <w:rPr>
          <w:rFonts w:ascii="Times New Roman" w:cs="Times New Roman" w:eastAsia="Times New Roman" w:hAnsi="Times New Roman"/>
          <w:sz w:val="18"/>
          <w:szCs w:val="18"/>
          <w:color w:val="auto"/>
        </w:rPr>
        <w:t>” means the benchmark rate floor, if any, provided in this Agreement (as of the execution of this Agreement, the modification, amendment or renewal of this Agreement or otherwise) with respect to LIBO Screen Rate.</w:t>
      </w:r>
    </w:p>
    <w:p>
      <w:pPr>
        <w:spacing w:after="0" w:line="162" w:lineRule="exact"/>
        <w:rPr>
          <w:sz w:val="20"/>
          <w:szCs w:val="20"/>
          <w:color w:val="auto"/>
        </w:rPr>
      </w:pPr>
    </w:p>
    <w:p>
      <w:pPr>
        <w:ind w:right="7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subject to Section 1.04(a), generally accepted accounting principles in the United States of America, applied in accordance with the consistency requirements thereof.</w:t>
      </w:r>
    </w:p>
    <w:p>
      <w:pPr>
        <w:spacing w:after="0" w:line="162"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Approvals</w:t>
      </w:r>
      <w:r>
        <w:rPr>
          <w:rFonts w:ascii="Times New Roman" w:cs="Times New Roman" w:eastAsia="Times New Roman" w:hAnsi="Times New Roman"/>
          <w:sz w:val="18"/>
          <w:szCs w:val="18"/>
          <w:color w:val="auto"/>
        </w:rPr>
        <w:t>” means all authorizations, consents, approvals, permits, licenses and exemptions of, registrations and filings with, and reports to, Governmental Authorities.</w:t>
      </w:r>
    </w:p>
    <w:p>
      <w:pPr>
        <w:spacing w:after="0" w:line="16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Authority</w:t>
      </w:r>
      <w:r>
        <w:rPr>
          <w:rFonts w:ascii="Times New Roman" w:cs="Times New Roman" w:eastAsia="Times New Roman" w:hAnsi="Times New Roman"/>
          <w:sz w:val="18"/>
          <w:szCs w:val="18"/>
          <w:color w:val="auto"/>
        </w:rPr>
        <w:t>” means the government of the United States of America or any other nation or any political subdivision of any thereof, and any agency,</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000"/>
          </w:cols>
          <w:pgMar w:left="440" w:top="270" w:right="459" w:bottom="1440" w:gutter="0" w:footer="0" w:header="0"/>
        </w:sectPr>
      </w:pPr>
    </w:p>
    <w:bookmarkStart w:id="31" w:name="page32"/>
    <w:bookmarkEnd w:id="31"/>
    <w:p>
      <w:pPr>
        <w:ind w:right="1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7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Guarantee</w:t>
      </w:r>
      <w:r>
        <w:rPr>
          <w:rFonts w:ascii="Times New Roman" w:cs="Times New Roman" w:eastAsia="Times New Roman" w:hAnsi="Times New Roman"/>
          <w:sz w:val="18"/>
          <w:szCs w:val="18"/>
          <w:color w:val="auto"/>
        </w:rPr>
        <w:t>” of or by any Person (the “</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means any obligation, contingent or otherwise, of the guarantor guaranteeing or having the economic effect of guaranteeing any Indebtedness or other obligation of any other Person (the “</w:t>
      </w:r>
      <w:r>
        <w:rPr>
          <w:rFonts w:ascii="Times New Roman" w:cs="Times New Roman" w:eastAsia="Times New Roman" w:hAnsi="Times New Roman"/>
          <w:sz w:val="18"/>
          <w:szCs w:val="18"/>
          <w:u w:val="single" w:color="auto"/>
          <w:color w:val="auto"/>
        </w:rPr>
        <w:t>primary obligor</w:t>
      </w:r>
      <w:r>
        <w:rPr>
          <w:rFonts w:ascii="Times New Roman" w:cs="Times New Roman" w:eastAsia="Times New Roman" w:hAnsi="Times New Roman"/>
          <w:sz w:val="18"/>
          <w:szCs w:val="18"/>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Guarantors</w:t>
      </w:r>
      <w:r>
        <w:rPr>
          <w:rFonts w:ascii="Times New Roman" w:cs="Times New Roman" w:eastAsia="Times New Roman" w:hAnsi="Times New Roman"/>
          <w:sz w:val="18"/>
          <w:szCs w:val="18"/>
          <w:color w:val="auto"/>
        </w:rPr>
        <w:t>” has the meaning set forth in Section 5.10(a).</w:t>
      </w:r>
    </w:p>
    <w:p>
      <w:pPr>
        <w:spacing w:after="0" w:line="225"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76"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Hedging Agreement</w:t>
      </w:r>
      <w:r>
        <w:rPr>
          <w:rFonts w:ascii="Times New Roman" w:cs="Times New Roman" w:eastAsia="Times New Roman" w:hAnsi="Times New Roman"/>
          <w:sz w:val="18"/>
          <w:szCs w:val="18"/>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00"/>
          </w:cols>
          <w:pgMar w:left="440" w:top="270" w:right="459" w:bottom="1440" w:gutter="0" w:footer="0" w:header="0"/>
        </w:sectPr>
      </w:pPr>
    </w:p>
    <w:bookmarkStart w:id="32" w:name="page33"/>
    <w:bookmarkEnd w:id="32"/>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IBA</w:t>
      </w:r>
      <w:r>
        <w:rPr>
          <w:rFonts w:ascii="Times New Roman" w:cs="Times New Roman" w:eastAsia="Times New Roman" w:hAnsi="Times New Roman"/>
          <w:sz w:val="18"/>
          <w:szCs w:val="18"/>
          <w:color w:val="auto"/>
        </w:rPr>
        <w:t>” has the meaning assigned to such term in Section 1.07.</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Impacted Interest Period</w:t>
      </w:r>
      <w:r>
        <w:rPr>
          <w:rFonts w:ascii="Times New Roman" w:cs="Times New Roman" w:eastAsia="Times New Roman" w:hAnsi="Times New Roman"/>
          <w:sz w:val="18"/>
          <w:szCs w:val="18"/>
          <w:color w:val="auto"/>
        </w:rPr>
        <w:t>” has the meaning assigned to it in the definition of “LIBO Rate.”</w:t>
      </w:r>
    </w:p>
    <w:p>
      <w:pPr>
        <w:spacing w:after="0" w:line="225"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96" w:lineRule="exact"/>
        <w:rPr>
          <w:sz w:val="20"/>
          <w:szCs w:val="20"/>
          <w:color w:val="auto"/>
        </w:rPr>
      </w:pPr>
    </w:p>
    <w:p>
      <w:pPr>
        <w:ind w:right="24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Indemnified Taxes</w:t>
      </w:r>
      <w:r>
        <w:rPr>
          <w:rFonts w:ascii="Times New Roman" w:cs="Times New Roman" w:eastAsia="Times New Roman" w:hAnsi="Times New Roman"/>
          <w:sz w:val="17"/>
          <w:szCs w:val="17"/>
          <w:color w:val="auto"/>
        </w:rPr>
        <w:t>” means (a) Taxes, other than Excluded Taxes, imposed on or with respect to any payment made by or on account of any obligation of the Company or any Guarantor under any Loan Document and (b) to the extent not otherwise described in clause (a), Other Taxes.</w:t>
      </w:r>
    </w:p>
    <w:p>
      <w:pPr>
        <w:spacing w:after="0" w:line="14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has the meaning set forth in Section 9.03(b).</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w:t>
      </w:r>
      <w:r>
        <w:rPr>
          <w:rFonts w:ascii="Times New Roman" w:cs="Times New Roman" w:eastAsia="Times New Roman" w:hAnsi="Times New Roman"/>
          <w:sz w:val="18"/>
          <w:szCs w:val="18"/>
          <w:color w:val="auto"/>
        </w:rPr>
        <w:t>” means Inphi Corporation, a Delaware corporation.</w:t>
      </w:r>
    </w:p>
    <w:p>
      <w:pPr>
        <w:spacing w:after="0" w:line="225"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Convertible Notes</w:t>
      </w:r>
      <w:r>
        <w:rPr>
          <w:rFonts w:ascii="Times New Roman" w:cs="Times New Roman" w:eastAsia="Times New Roman" w:hAnsi="Times New Roman"/>
          <w:sz w:val="18"/>
          <w:szCs w:val="18"/>
          <w:color w:val="auto"/>
        </w:rPr>
        <w:t>”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0"/>
          </w:cols>
          <w:pgMar w:left="440" w:top="270" w:right="459" w:bottom="1440" w:gutter="0" w:footer="0" w:header="0"/>
        </w:sectPr>
      </w:pPr>
    </w:p>
    <w:bookmarkStart w:id="33" w:name="page34"/>
    <w:bookmarkEnd w:id="33"/>
    <w:p>
      <w:pPr>
        <w:ind w:right="320" w:firstLine="991"/>
        <w:spacing w:after="0" w:line="31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7"/>
          <w:szCs w:val="17"/>
          <w:u w:val="single" w:color="auto"/>
          <w:color w:val="auto"/>
        </w:rPr>
        <w:t>Inphi Acquisition</w:t>
      </w:r>
      <w:r>
        <w:rPr>
          <w:rFonts w:ascii="Times New Roman" w:cs="Times New Roman" w:eastAsia="Times New Roman" w:hAnsi="Times New Roman"/>
          <w:sz w:val="17"/>
          <w:szCs w:val="17"/>
          <w:color w:val="auto"/>
        </w:rPr>
        <w:t>” means the acquisition by Marvell of Inphi pursuant to the Inphi Acquisition Agreement, in accordance with which Indigo Acquisition Corp., a Delaware corporation, will merge with and into Inphi, with Inphi surviving such merger as a wholly owned Subsidiary.</w:t>
      </w:r>
    </w:p>
    <w:p>
      <w:pPr>
        <w:spacing w:after="0" w:line="140" w:lineRule="exact"/>
        <w:rPr>
          <w:sz w:val="20"/>
          <w:szCs w:val="20"/>
          <w:color w:val="auto"/>
        </w:rPr>
      </w:pPr>
    </w:p>
    <w:p>
      <w:pPr>
        <w:ind w:right="200" w:firstLine="991"/>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Inphi Acquisition Agreement</w:t>
      </w:r>
      <w:r>
        <w:rPr>
          <w:rFonts w:ascii="Times New Roman" w:cs="Times New Roman" w:eastAsia="Times New Roman" w:hAnsi="Times New Roman"/>
          <w:sz w:val="17"/>
          <w:szCs w:val="17"/>
          <w:color w:val="auto"/>
        </w:rPr>
        <w:t>” means the Agreement and Plan of Merger dated as of October 29, 2020 (including the exhibits and schedules thereto and all related documents), among Marvell, Inphi, Maui Topco, Marvell Acquisition Company Ltd., a Bermuda exempted company and a wholly-owned subsidiary of Maui Topco, and Indigo Acquisition Corp., a Delaware corporation and a wholly-owned subsidiary of Maui Topco.</w:t>
      </w:r>
    </w:p>
    <w:p>
      <w:pPr>
        <w:spacing w:after="0" w:line="158"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Acquisition Indebtedness</w:t>
      </w:r>
      <w:r>
        <w:rPr>
          <w:rFonts w:ascii="Times New Roman" w:cs="Times New Roman" w:eastAsia="Times New Roman" w:hAnsi="Times New Roman"/>
          <w:sz w:val="18"/>
          <w:szCs w:val="18"/>
          <w:color w:val="auto"/>
        </w:rPr>
        <w:t>” means any Indebtedness (other than the Loans) incurred on or prior to the Term Funding Date to finance, in part, the Inphi Acquisition and the payment of fees and expenses related to the Transactions, and any Indebtedness that represents an extension, renewal or refinancing thereof.</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Business</w:t>
      </w:r>
      <w:r>
        <w:rPr>
          <w:rFonts w:ascii="Times New Roman" w:cs="Times New Roman" w:eastAsia="Times New Roman" w:hAnsi="Times New Roman"/>
          <w:sz w:val="18"/>
          <w:szCs w:val="18"/>
          <w:color w:val="auto"/>
        </w:rPr>
        <w:t>” means, collectively, Inphi and its subsidiaries.</w:t>
      </w:r>
    </w:p>
    <w:p>
      <w:pPr>
        <w:spacing w:after="0" w:line="225" w:lineRule="exact"/>
        <w:rPr>
          <w:sz w:val="20"/>
          <w:szCs w:val="20"/>
          <w:color w:val="auto"/>
        </w:rPr>
      </w:pPr>
    </w:p>
    <w:p>
      <w:pPr>
        <w:ind w:right="8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Business Representations</w:t>
      </w:r>
      <w:r>
        <w:rPr>
          <w:rFonts w:ascii="Times New Roman" w:cs="Times New Roman" w:eastAsia="Times New Roman" w:hAnsi="Times New Roman"/>
          <w:sz w:val="18"/>
          <w:szCs w:val="18"/>
          <w:color w:val="auto"/>
        </w:rPr>
        <w:t>” means the representations made by Inphi in the Inphi Acquisition Agreement as are material to the interests of the Lenders, but only to the extent that the Company has (or an Affiliate of it has) the right to terminate the Company’s (or its Affiliates’) obligations under the Inphi Acquisition Agreement as a result of the breach of such representations in the Inphi Acquisition Agreement, or the accuracy of such representations in the Inphi Acquisition Agreement is a condition to the Company’s (or its Affiliates’) obligations to consummate the Inphi Acquisition pursuant to the Inphi Acquisition Agreement.</w:t>
      </w:r>
    </w:p>
    <w:p>
      <w:pPr>
        <w:spacing w:after="0" w:line="183"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Election Request</w:t>
      </w:r>
      <w:r>
        <w:rPr>
          <w:rFonts w:ascii="Times New Roman" w:cs="Times New Roman" w:eastAsia="Times New Roman" w:hAnsi="Times New Roman"/>
          <w:sz w:val="18"/>
          <w:szCs w:val="18"/>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162" w:lineRule="exact"/>
        <w:rPr>
          <w:sz w:val="20"/>
          <w:szCs w:val="20"/>
          <w:color w:val="auto"/>
        </w:rPr>
      </w:pPr>
    </w:p>
    <w:p>
      <w:pPr>
        <w:ind w:right="1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Payment Date</w:t>
      </w:r>
      <w:r>
        <w:rPr>
          <w:rFonts w:ascii="Times New Roman" w:cs="Times New Roman" w:eastAsia="Times New Roman" w:hAnsi="Times New Roman"/>
          <w:sz w:val="18"/>
          <w:szCs w:val="18"/>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80" w:lineRule="exact"/>
        <w:rPr>
          <w:sz w:val="20"/>
          <w:szCs w:val="20"/>
          <w:color w:val="auto"/>
        </w:rPr>
      </w:pPr>
    </w:p>
    <w:p>
      <w:pPr>
        <w:ind w:right="1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Period</w:t>
      </w:r>
      <w:r>
        <w:rPr>
          <w:rFonts w:ascii="Times New Roman" w:cs="Times New Roman" w:eastAsia="Times New Roman" w:hAnsi="Times New Roman"/>
          <w:sz w:val="18"/>
          <w:szCs w:val="18"/>
          <w:color w:val="auto"/>
        </w:rPr>
        <w:t>”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000"/>
          </w:cols>
          <w:pgMar w:left="440" w:top="270" w:right="459" w:bottom="1440" w:gutter="0" w:footer="0" w:header="0"/>
        </w:sectPr>
      </w:pPr>
    </w:p>
    <w:bookmarkStart w:id="34" w:name="page35"/>
    <w:bookmarkEnd w:id="34"/>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participating in such Borrowing), as the Company may elect;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87" w:lineRule="exact"/>
        <w:rPr>
          <w:sz w:val="20"/>
          <w:szCs w:val="20"/>
          <w:color w:val="auto"/>
        </w:rPr>
      </w:pPr>
    </w:p>
    <w:p>
      <w:pPr>
        <w:ind w:right="10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Interpolated Rate</w:t>
      </w:r>
      <w:r>
        <w:rPr>
          <w:rFonts w:ascii="Times New Roman" w:cs="Times New Roman" w:eastAsia="Times New Roman" w:hAnsi="Times New Roman"/>
          <w:sz w:val="18"/>
          <w:szCs w:val="18"/>
          <w:color w:val="auto"/>
        </w:rPr>
        <w:t>” means, at any time, for any interest period, the rate per annum (rounded to the same number of decimal places as the LIBO Screen Rate) determined by the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183"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ISDA Definitions</w:t>
      </w:r>
      <w:r>
        <w:rPr>
          <w:rFonts w:ascii="Times New Roman" w:cs="Times New Roman" w:eastAsia="Times New Roman" w:hAnsi="Times New Roman"/>
          <w:sz w:val="18"/>
          <w:szCs w:val="18"/>
          <w:color w:val="auto"/>
        </w:rPr>
        <w:t>” means the 2006 ISDA Definitions published by the International Swaps and Derivatives Association, Inc. or any successor thereto, as amended or supplemented from time to time, or any successor definitional booklet for interest rate derivatives published from time to time by the International Swaps and Derivatives Association, Inc. or such successor thereto.</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Lender-Related Person</w:t>
      </w:r>
      <w:r>
        <w:rPr>
          <w:rFonts w:ascii="Times New Roman" w:cs="Times New Roman" w:eastAsia="Times New Roman" w:hAnsi="Times New Roman"/>
          <w:sz w:val="18"/>
          <w:szCs w:val="18"/>
          <w:color w:val="auto"/>
        </w:rPr>
        <w:t>” has the meaning assigned to it in Section 9.03(d).</w:t>
      </w:r>
    </w:p>
    <w:p>
      <w:pPr>
        <w:spacing w:after="0" w:line="225" w:lineRule="exact"/>
        <w:rPr>
          <w:sz w:val="20"/>
          <w:szCs w:val="20"/>
          <w:color w:val="auto"/>
        </w:rPr>
      </w:pPr>
    </w:p>
    <w:p>
      <w:pPr>
        <w:ind w:right="60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Lenders</w:t>
      </w:r>
      <w:r>
        <w:rPr>
          <w:rFonts w:ascii="Times New Roman" w:cs="Times New Roman" w:eastAsia="Times New Roman" w:hAnsi="Times New Roman"/>
          <w:sz w:val="17"/>
          <w:szCs w:val="17"/>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40"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Liabilities</w:t>
      </w:r>
      <w:r>
        <w:rPr>
          <w:rFonts w:ascii="Times New Roman" w:cs="Times New Roman" w:eastAsia="Times New Roman" w:hAnsi="Times New Roman"/>
          <w:sz w:val="18"/>
          <w:szCs w:val="18"/>
          <w:color w:val="auto"/>
        </w:rPr>
        <w:t>” means any losses, claims (including intraparty claims), demands, damages or liabilities of any kind.</w:t>
      </w:r>
    </w:p>
    <w:p>
      <w:pPr>
        <w:spacing w:after="0" w:line="225" w:lineRule="exact"/>
        <w:rPr>
          <w:sz w:val="20"/>
          <w:szCs w:val="20"/>
          <w:color w:val="auto"/>
        </w:rPr>
      </w:pPr>
    </w:p>
    <w:p>
      <w:pPr>
        <w:jc w:val="both"/>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Rate</w:t>
      </w:r>
      <w:r>
        <w:rPr>
          <w:rFonts w:ascii="Times New Roman" w:cs="Times New Roman" w:eastAsia="Times New Roman" w:hAnsi="Times New Roman"/>
          <w:sz w:val="18"/>
          <w:szCs w:val="18"/>
          <w:color w:val="auto"/>
        </w:rPr>
        <w:t xml:space="preserve">” means, with respect to any Eurocurrency Borrowing for any Interest Period, the LIBO Screen Rate at approximately 11:00 a.m., London time, two Business Days prior to the commencement of such Interest Period;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LIBO Screen Rate shall not be available at such time for such Interest Period (an “</w:t>
      </w:r>
      <w:r>
        <w:rPr>
          <w:rFonts w:ascii="Times New Roman" w:cs="Times New Roman" w:eastAsia="Times New Roman" w:hAnsi="Times New Roman"/>
          <w:sz w:val="18"/>
          <w:szCs w:val="18"/>
          <w:u w:val="single" w:color="auto"/>
          <w:color w:val="auto"/>
        </w:rPr>
        <w:t>Impacted Interest Period</w:t>
      </w:r>
      <w:r>
        <w:rPr>
          <w:rFonts w:ascii="Times New Roman" w:cs="Times New Roman" w:eastAsia="Times New Roman" w:hAnsi="Times New Roman"/>
          <w:sz w:val="18"/>
          <w:szCs w:val="18"/>
          <w:color w:val="auto"/>
        </w:rPr>
        <w:t>”) then the LIBO Rate shall be the Interpolated Rate.</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0980"/>
          </w:cols>
          <w:pgMar w:left="440" w:top="270" w:right="479" w:bottom="1440" w:gutter="0" w:footer="0" w:header="0"/>
        </w:sectPr>
      </w:pPr>
    </w:p>
    <w:bookmarkStart w:id="35" w:name="page36"/>
    <w:bookmarkEnd w:id="35"/>
    <w:p>
      <w:pPr>
        <w:ind w:right="20"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LIBO Screen Rate</w:t>
      </w:r>
      <w:r>
        <w:rPr>
          <w:rFonts w:ascii="Times New Roman" w:cs="Times New Roman" w:eastAsia="Times New Roman" w:hAnsi="Times New Roman"/>
          <w:sz w:val="18"/>
          <w:szCs w:val="18"/>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Administrative Agent in its reasonable discretion); provided that if the LIBO Screen Rate as so determined would be less than zero, such rate shall be deemed to be zero for the purposes of calculating such rate.</w:t>
      </w:r>
    </w:p>
    <w:p>
      <w:pPr>
        <w:spacing w:after="0" w:line="189"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Lien</w:t>
      </w:r>
      <w:r>
        <w:rPr>
          <w:rFonts w:ascii="Times New Roman" w:cs="Times New Roman" w:eastAsia="Times New Roman" w:hAnsi="Times New Roman"/>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76" w:lineRule="exact"/>
        <w:rPr>
          <w:sz w:val="20"/>
          <w:szCs w:val="20"/>
          <w:color w:val="auto"/>
        </w:rPr>
      </w:pPr>
    </w:p>
    <w:p>
      <w:pPr>
        <w:ind w:right="6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Documents</w:t>
      </w:r>
      <w:r>
        <w:rPr>
          <w:rFonts w:ascii="Times New Roman" w:cs="Times New Roman" w:eastAsia="Times New Roman" w:hAnsi="Times New Roman"/>
          <w:sz w:val="18"/>
          <w:szCs w:val="18"/>
          <w:color w:val="auto"/>
        </w:rPr>
        <w:t>” means this Agreement, the Assumption Agreement (if any), the Subsidiary Guaranties (if any) and, except for purposes of Section 9.02, any promissory notes delivered pursuant to Section 2.07(c).</w:t>
      </w:r>
    </w:p>
    <w:p>
      <w:pPr>
        <w:spacing w:after="0" w:line="162" w:lineRule="exact"/>
        <w:rPr>
          <w:sz w:val="20"/>
          <w:szCs w:val="20"/>
          <w:color w:val="auto"/>
        </w:rPr>
      </w:pPr>
    </w:p>
    <w:p>
      <w:pPr>
        <w:ind w:right="10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Modification Agreement</w:t>
      </w:r>
      <w:r>
        <w:rPr>
          <w:rFonts w:ascii="Times New Roman" w:cs="Times New Roman" w:eastAsia="Times New Roman" w:hAnsi="Times New Roman"/>
          <w:sz w:val="18"/>
          <w:szCs w:val="18"/>
          <w:color w:val="auto"/>
        </w:rPr>
        <w:t>” means a Loan Modification Agreement in form and substance reasonably satisfactory to the Administrative Agent and the Company, among the Company, one or more Accepting Lenders and the Administrative Agent.</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Modification Offer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Loans</w:t>
      </w:r>
      <w:r>
        <w:rPr>
          <w:rFonts w:ascii="Times New Roman" w:cs="Times New Roman" w:eastAsia="Times New Roman" w:hAnsi="Times New Roman"/>
          <w:sz w:val="18"/>
          <w:szCs w:val="18"/>
          <w:color w:val="auto"/>
        </w:rPr>
        <w:t>” means the loans made by the Lenders to the Company pursuant to this Agreement.</w:t>
      </w:r>
    </w:p>
    <w:p>
      <w:pPr>
        <w:spacing w:after="0" w:line="225"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Majority in Interest</w:t>
      </w:r>
      <w:r>
        <w:rPr>
          <w:rFonts w:ascii="Times New Roman" w:cs="Times New Roman" w:eastAsia="Times New Roman" w:hAnsi="Times New Roman"/>
          <w:sz w:val="18"/>
          <w:szCs w:val="18"/>
          <w:color w:val="auto"/>
        </w:rPr>
        <w:t>”, when used in reference to Lenders of any Class, means, at any time, (a) in the case of the 3-Year Tranche Lenders, Lenders having 3-Year Tranche Loans (or, prior to the borrowing of the 3-Year Tranche Loans hereunder on the Term Funding Date, 3-Year Tranche Commitments) representing more than 50% of the aggregate outstanding principal amount of all the 3-Year Tranche Loans (or, prior to the borrowing of the 3-Year Tranche Loans hereunder on the Term Funding Date, the aggregate amount of the 3-Year Tranche Commitments) at such time and (b) in the case of the 5-Year Tranche Lenders, Lenders having 5-Year Tranche Loans (or, prior to the borrowing of the 5-Year Tranche Loans hereunder on the Term Funding Date, 5-Year Tranche Commitments) representing more than 50% of the aggregate outstanding principal amount of all the 5-Year Tranche Loans (or, prior to the borrowing of the 5-Year Tranche Loans hereunder on the Term Funding Date, the aggregate amount of the 5-Year Tranche Commitments) at such time.</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000"/>
          </w:cols>
          <w:pgMar w:left="440" w:top="270" w:right="459" w:bottom="1440" w:gutter="0" w:footer="0" w:header="0"/>
        </w:sectPr>
      </w:pPr>
    </w:p>
    <w:bookmarkStart w:id="36" w:name="page37"/>
    <w:bookmarkEnd w:id="36"/>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means Marvell Technology Group Ltd., a Bermuda exempted company.</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 2018 Senior Unsecured Notes</w:t>
      </w:r>
      <w:r>
        <w:rPr>
          <w:rFonts w:ascii="Times New Roman" w:cs="Times New Roman" w:eastAsia="Times New Roman" w:hAnsi="Times New Roman"/>
          <w:sz w:val="18"/>
          <w:szCs w:val="18"/>
          <w:color w:val="auto"/>
        </w:rPr>
        <w:t>” means collectively (i) the 4.200% senior notes due 2023 issued on June 22, 2018 by Marvell in an aggregate principal amount of $500,000,000 and (ii) the 4.875% senior notes due 2028 issued on June 22, 2018 by Marvell in an aggregate principal amount of $500,000,000.</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Acquisition</w:t>
      </w:r>
      <w:r>
        <w:rPr>
          <w:rFonts w:ascii="Times New Roman" w:cs="Times New Roman" w:eastAsia="Times New Roman" w:hAnsi="Times New Roman"/>
          <w:sz w:val="18"/>
          <w:szCs w:val="18"/>
          <w:color w:val="auto"/>
        </w:rPr>
        <w:t>” means any Acquisition by the Company or any Subsidiary involving payment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w:t>
      </w:r>
      <w:r>
        <w:rPr>
          <w:rFonts w:ascii="Times New Roman" w:cs="Times New Roman" w:eastAsia="Times New Roman" w:hAnsi="Times New Roman"/>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76" w:lineRule="exact"/>
        <w:rPr>
          <w:sz w:val="20"/>
          <w:szCs w:val="20"/>
          <w:color w:val="auto"/>
        </w:rPr>
      </w:pPr>
    </w:p>
    <w:p>
      <w:pPr>
        <w:ind w:right="5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the Acquired Companies</w:t>
      </w:r>
      <w:r>
        <w:rPr>
          <w:rFonts w:ascii="Times New Roman" w:cs="Times New Roman" w:eastAsia="Times New Roman" w:hAnsi="Times New Roman"/>
          <w:sz w:val="18"/>
          <w:szCs w:val="18"/>
          <w:color w:val="auto"/>
        </w:rPr>
        <w:t>” means a “Material Adverse Effect on the Company” (as defined in the Inphi Acquisition Agreement as in effect on the Signing Date).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Disposition</w:t>
      </w:r>
      <w:r>
        <w:rPr>
          <w:rFonts w:ascii="Times New Roman" w:cs="Times New Roman" w:eastAsia="Times New Roman" w:hAnsi="Times New Roman"/>
          <w:sz w:val="18"/>
          <w:szCs w:val="18"/>
          <w:color w:val="auto"/>
        </w:rPr>
        <w:t>” means any Disposition by the Company or any Subsidiary involving receipt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Indebtedness</w:t>
      </w:r>
      <w:r>
        <w:rPr>
          <w:rFonts w:ascii="Times New Roman" w:cs="Times New Roman" w:eastAsia="Times New Roman" w:hAnsi="Times New Roman"/>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3"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Subsidiary</w:t>
      </w:r>
      <w:r>
        <w:rPr>
          <w:rFonts w:ascii="Times New Roman" w:cs="Times New Roman" w:eastAsia="Times New Roman" w:hAnsi="Times New Roman"/>
          <w:sz w:val="18"/>
          <w:szCs w:val="18"/>
          <w:color w:val="auto"/>
        </w:rPr>
        <w:t>” means any Subsidiary that would constitute a “significant subsidiary” under Rule 1-02(w) of Regulation S-X under the Securities Act, as amended.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Maturity Date</w:t>
      </w:r>
      <w:r>
        <w:rPr>
          <w:rFonts w:ascii="Times New Roman" w:cs="Times New Roman" w:eastAsia="Times New Roman" w:hAnsi="Times New Roman"/>
          <w:sz w:val="18"/>
          <w:szCs w:val="18"/>
          <w:color w:val="auto"/>
        </w:rPr>
        <w:t>” means the 3-Year Tranche Maturity Date or the 5-Year Tranche Maturity Date, as applicable.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Maui Topco</w:t>
      </w:r>
      <w:r>
        <w:rPr>
          <w:rFonts w:ascii="Times New Roman" w:cs="Times New Roman" w:eastAsia="Times New Roman" w:hAnsi="Times New Roman"/>
          <w:sz w:val="18"/>
          <w:szCs w:val="18"/>
          <w:color w:val="auto"/>
        </w:rPr>
        <w:t>” means Maui HoldCo, Inc., a Delaware corporation.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has the meaning set forth in Section 9.13.</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20"/>
          </w:cols>
          <w:pgMar w:left="440" w:top="270" w:right="439" w:bottom="1440" w:gutter="0" w:footer="0" w:header="0"/>
        </w:sectPr>
      </w:pPr>
    </w:p>
    <w:bookmarkStart w:id="37" w:name="page38"/>
    <w:bookmarkEnd w:id="37"/>
    <w:p>
      <w:pPr>
        <w:ind w:right="380"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MNPI</w:t>
      </w:r>
      <w:r>
        <w:rPr>
          <w:rFonts w:ascii="Times New Roman" w:cs="Times New Roman" w:eastAsia="Times New Roman" w:hAnsi="Times New Roman"/>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Moody’s</w:t>
      </w:r>
      <w:r>
        <w:rPr>
          <w:rFonts w:ascii="Times New Roman" w:cs="Times New Roman" w:eastAsia="Times New Roman" w:hAnsi="Times New Roman"/>
          <w:sz w:val="18"/>
          <w:szCs w:val="18"/>
          <w:color w:val="auto"/>
        </w:rPr>
        <w:t>” means Moody’s Investors Service, Inc., or any successor to the rating agency business thereof.</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Multiemployer Plan</w:t>
      </w:r>
      <w:r>
        <w:rPr>
          <w:rFonts w:ascii="Times New Roman" w:cs="Times New Roman" w:eastAsia="Times New Roman" w:hAnsi="Times New Roman"/>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Non-Accepting Lender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NYFRB Rate</w:t>
      </w:r>
      <w:r>
        <w:rPr>
          <w:rFonts w:ascii="Times New Roman" w:cs="Times New Roman" w:eastAsia="Times New Roman" w:hAnsi="Times New Roman"/>
          <w:sz w:val="18"/>
          <w:szCs w:val="18"/>
          <w:color w:val="auto"/>
        </w:rPr>
        <w:t>” means, for any day, the greater of (a) the Federal Funds Effective Rate in effect on such day and (b) the Overnight Bank Funding Rate in effect on such day; provided that if any of the aforesaid rates shall be less than zero, such rate shall be deemed to be zero for the purposes of calculating such rate.</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NYFRB’s Website</w:t>
      </w:r>
      <w:r>
        <w:rPr>
          <w:rFonts w:ascii="Times New Roman" w:cs="Times New Roman" w:eastAsia="Times New Roman" w:hAnsi="Times New Roman"/>
          <w:sz w:val="18"/>
          <w:szCs w:val="18"/>
          <w:color w:val="auto"/>
        </w:rPr>
        <w:t>” means the website of the NYFRB at http://www.newyorkfed.org, or any successor source.</w:t>
      </w:r>
    </w:p>
    <w:p>
      <w:pPr>
        <w:spacing w:after="0" w:line="225" w:lineRule="exact"/>
        <w:rPr>
          <w:sz w:val="20"/>
          <w:szCs w:val="20"/>
          <w:color w:val="auto"/>
        </w:rPr>
      </w:pPr>
    </w:p>
    <w:p>
      <w:pPr>
        <w:ind w:right="4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Obligations</w:t>
      </w:r>
      <w:r>
        <w:rPr>
          <w:rFonts w:ascii="Times New Roman" w:cs="Times New Roman" w:eastAsia="Times New Roman" w:hAnsi="Times New Roman"/>
          <w:sz w:val="18"/>
          <w:szCs w:val="18"/>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Connection Taxes</w:t>
      </w:r>
      <w:r>
        <w:rPr>
          <w:rFonts w:ascii="Times New Roman" w:cs="Times New Roman" w:eastAsia="Times New Roman" w:hAnsi="Times New Roman"/>
          <w:sz w:val="18"/>
          <w:szCs w:val="18"/>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0980"/>
          </w:cols>
          <w:pgMar w:left="440" w:top="270" w:right="479" w:bottom="1440" w:gutter="0" w:footer="0" w:header="0"/>
        </w:sectPr>
      </w:pPr>
    </w:p>
    <w:bookmarkStart w:id="38" w:name="page39"/>
    <w:bookmarkEnd w:id="38"/>
    <w:p>
      <w:pPr>
        <w:ind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Other Taxes</w:t>
      </w:r>
      <w:r>
        <w:rPr>
          <w:rFonts w:ascii="Times New Roman" w:cs="Times New Roman" w:eastAsia="Times New Roman" w:hAnsi="Times New Roman"/>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0"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Overnight Bank Funding Rate</w:t>
      </w:r>
      <w:r>
        <w:rPr>
          <w:rFonts w:ascii="Times New Roman" w:cs="Times New Roman" w:eastAsia="Times New Roman" w:hAnsi="Times New Roman"/>
          <w:sz w:val="18"/>
          <w:szCs w:val="18"/>
          <w:color w:val="auto"/>
        </w:rPr>
        <w:t>” means, for any day, the rate comprised of both overnight federal funds and overnight Eurocurrency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Participants</w:t>
      </w:r>
      <w:r>
        <w:rPr>
          <w:rFonts w:ascii="Times New Roman" w:cs="Times New Roman" w:eastAsia="Times New Roman" w:hAnsi="Times New Roman"/>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PBGC</w:t>
      </w:r>
      <w:r>
        <w:rPr>
          <w:rFonts w:ascii="Times New Roman" w:cs="Times New Roman" w:eastAsia="Times New Roman" w:hAnsi="Times New Roman"/>
          <w:sz w:val="18"/>
          <w:szCs w:val="18"/>
          <w:color w:val="auto"/>
        </w:rPr>
        <w:t>” means the Pension Benefit Guaranty Corporation referred to and defined in ERISA and any successor entity performing similar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functions.</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Amendment</w:t>
      </w:r>
      <w:r>
        <w:rPr>
          <w:rFonts w:ascii="Times New Roman" w:cs="Times New Roman" w:eastAsia="Times New Roman" w:hAnsi="Times New Roman"/>
          <w:sz w:val="18"/>
          <w:szCs w:val="18"/>
          <w:color w:val="auto"/>
        </w:rPr>
        <w:t>” has the meaning specified in Section 2.18(c).</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Liens</w:t>
      </w:r>
      <w:r>
        <w:rPr>
          <w:rFonts w:ascii="Times New Roman" w:cs="Times New Roman" w:eastAsia="Times New Roman" w:hAnsi="Times New Roman"/>
          <w:sz w:val="18"/>
          <w:szCs w:val="18"/>
          <w:color w:val="auto"/>
        </w:rPr>
        <w:t>” means:</w:t>
      </w:r>
    </w:p>
    <w:p>
      <w:pPr>
        <w:spacing w:after="0" w:line="117" w:lineRule="exact"/>
        <w:rPr>
          <w:sz w:val="20"/>
          <w:szCs w:val="20"/>
          <w:color w:val="auto"/>
        </w:rPr>
      </w:pPr>
    </w:p>
    <w:p>
      <w:pPr>
        <w:ind w:left="440" w:right="180" w:firstLine="525"/>
        <w:spacing w:after="0" w:line="282" w:lineRule="auto"/>
        <w:tabs>
          <w:tab w:leader="none" w:pos="1213"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imposed by law for Taxes that are not yet overdue for a period of more than 30 days or are being contested in compliance with Section 5.04;</w:t>
      </w:r>
    </w:p>
    <w:p>
      <w:pPr>
        <w:spacing w:after="0" w:line="53" w:lineRule="exact"/>
        <w:rPr>
          <w:rFonts w:ascii="Times New Roman" w:cs="Times New Roman" w:eastAsia="Times New Roman" w:hAnsi="Times New Roman"/>
          <w:sz w:val="18"/>
          <w:szCs w:val="18"/>
          <w:color w:val="auto"/>
        </w:rPr>
      </w:pPr>
    </w:p>
    <w:p>
      <w:pPr>
        <w:ind w:left="440" w:right="40" w:firstLine="525"/>
        <w:spacing w:after="0" w:line="289" w:lineRule="auto"/>
        <w:tabs>
          <w:tab w:leader="none" w:pos="1223" w:val="left"/>
        </w:tabs>
        <w:numPr>
          <w:ilvl w:val="0"/>
          <w:numId w:val="1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9" w:lineRule="exact"/>
        <w:rPr>
          <w:rFonts w:ascii="Times New Roman" w:cs="Times New Roman" w:eastAsia="Times New Roman" w:hAnsi="Times New Roman"/>
          <w:sz w:val="17"/>
          <w:szCs w:val="17"/>
          <w:color w:val="auto"/>
        </w:rPr>
      </w:pPr>
    </w:p>
    <w:p>
      <w:pPr>
        <w:jc w:val="both"/>
        <w:ind w:left="440" w:right="60" w:firstLine="525"/>
        <w:spacing w:after="0" w:line="261" w:lineRule="auto"/>
        <w:tabs>
          <w:tab w:leader="none" w:pos="1213"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71" w:lineRule="exact"/>
        <w:rPr>
          <w:rFonts w:ascii="Times New Roman" w:cs="Times New Roman" w:eastAsia="Times New Roman" w:hAnsi="Times New Roman"/>
          <w:sz w:val="18"/>
          <w:szCs w:val="18"/>
          <w:color w:val="auto"/>
        </w:rPr>
      </w:pPr>
    </w:p>
    <w:p>
      <w:pPr>
        <w:ind w:left="440" w:firstLine="525"/>
        <w:spacing w:after="0" w:line="266" w:lineRule="auto"/>
        <w:tabs>
          <w:tab w:leader="none" w:pos="1223"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w:t>
      </w:r>
    </w:p>
    <w:p>
      <w:pPr>
        <w:spacing w:after="0" w:line="108"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0940"/>
          </w:cols>
          <w:pgMar w:left="440" w:top="270" w:right="519" w:bottom="1440" w:gutter="0" w:footer="0" w:header="0"/>
        </w:sectPr>
      </w:pPr>
    </w:p>
    <w:bookmarkStart w:id="39" w:name="page40"/>
    <w:bookmarkEnd w:id="39"/>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68" w:lineRule="exact"/>
        <w:rPr>
          <w:sz w:val="20"/>
          <w:szCs w:val="20"/>
          <w:color w:val="auto"/>
        </w:rPr>
      </w:pPr>
    </w:p>
    <w:p>
      <w:pPr>
        <w:ind w:left="760" w:hanging="235"/>
        <w:spacing w:after="0"/>
        <w:tabs>
          <w:tab w:leader="none" w:pos="7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judgment liens in respect of judgments that do not constitute an Event of Default under clause (k) of Section 7.01;</w:t>
      </w:r>
    </w:p>
    <w:p>
      <w:pPr>
        <w:spacing w:after="0" w:line="117" w:lineRule="exact"/>
        <w:rPr>
          <w:rFonts w:ascii="Times New Roman" w:cs="Times New Roman" w:eastAsia="Times New Roman" w:hAnsi="Times New Roman"/>
          <w:sz w:val="18"/>
          <w:szCs w:val="18"/>
          <w:color w:val="auto"/>
        </w:rPr>
      </w:pPr>
    </w:p>
    <w:p>
      <w:pPr>
        <w:ind w:right="260" w:firstLine="525"/>
        <w:spacing w:after="0" w:line="266" w:lineRule="auto"/>
        <w:tabs>
          <w:tab w:leader="none" w:pos="75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67" w:lineRule="exact"/>
        <w:rPr>
          <w:rFonts w:ascii="Times New Roman" w:cs="Times New Roman" w:eastAsia="Times New Roman" w:hAnsi="Times New Roman"/>
          <w:sz w:val="18"/>
          <w:szCs w:val="18"/>
          <w:color w:val="auto"/>
        </w:rPr>
      </w:pPr>
    </w:p>
    <w:p>
      <w:pPr>
        <w:ind w:right="60" w:firstLine="525"/>
        <w:spacing w:after="0" w:line="281" w:lineRule="auto"/>
        <w:tabs>
          <w:tab w:leader="none" w:pos="783" w:val="left"/>
        </w:tabs>
        <w:numPr>
          <w:ilvl w:val="0"/>
          <w:numId w:val="2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56" w:lineRule="exact"/>
        <w:rPr>
          <w:rFonts w:ascii="Times New Roman" w:cs="Times New Roman" w:eastAsia="Times New Roman" w:hAnsi="Times New Roman"/>
          <w:sz w:val="17"/>
          <w:szCs w:val="17"/>
          <w:color w:val="auto"/>
        </w:rPr>
      </w:pPr>
    </w:p>
    <w:p>
      <w:pPr>
        <w:ind w:right="340" w:firstLine="525"/>
        <w:spacing w:after="0" w:line="282" w:lineRule="auto"/>
        <w:tabs>
          <w:tab w:leader="none" w:pos="78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53" w:lineRule="exact"/>
        <w:rPr>
          <w:rFonts w:ascii="Times New Roman" w:cs="Times New Roman" w:eastAsia="Times New Roman" w:hAnsi="Times New Roman"/>
          <w:sz w:val="18"/>
          <w:szCs w:val="18"/>
          <w:color w:val="auto"/>
        </w:rPr>
      </w:pPr>
    </w:p>
    <w:p>
      <w:pPr>
        <w:ind w:right="140" w:firstLine="525"/>
        <w:spacing w:after="0" w:line="266" w:lineRule="auto"/>
        <w:tabs>
          <w:tab w:leader="none" w:pos="74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67" w:lineRule="exact"/>
        <w:rPr>
          <w:rFonts w:ascii="Times New Roman" w:cs="Times New Roman" w:eastAsia="Times New Roman" w:hAnsi="Times New Roman"/>
          <w:sz w:val="18"/>
          <w:szCs w:val="18"/>
          <w:color w:val="auto"/>
        </w:rPr>
      </w:pPr>
    </w:p>
    <w:p>
      <w:pPr>
        <w:ind w:right="100" w:firstLine="525"/>
        <w:spacing w:after="0" w:line="282" w:lineRule="auto"/>
        <w:tabs>
          <w:tab w:leader="none" w:pos="74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in favor of customs and revenue authorities arising as a matter of law to secure payment of customs duties in connection with the importation of goods;</w:t>
      </w:r>
    </w:p>
    <w:p>
      <w:pPr>
        <w:spacing w:after="0" w:line="53" w:lineRule="exact"/>
        <w:rPr>
          <w:rFonts w:ascii="Times New Roman" w:cs="Times New Roman" w:eastAsia="Times New Roman" w:hAnsi="Times New Roman"/>
          <w:sz w:val="18"/>
          <w:szCs w:val="18"/>
          <w:color w:val="auto"/>
        </w:rPr>
      </w:pPr>
    </w:p>
    <w:p>
      <w:pPr>
        <w:ind w:right="60" w:firstLine="525"/>
        <w:spacing w:after="0" w:line="266" w:lineRule="auto"/>
        <w:tabs>
          <w:tab w:leader="none" w:pos="78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67" w:lineRule="exact"/>
        <w:rPr>
          <w:rFonts w:ascii="Times New Roman" w:cs="Times New Roman" w:eastAsia="Times New Roman" w:hAnsi="Times New Roman"/>
          <w:sz w:val="18"/>
          <w:szCs w:val="18"/>
          <w:color w:val="auto"/>
        </w:rPr>
      </w:pPr>
    </w:p>
    <w:p>
      <w:pPr>
        <w:ind w:right="80" w:firstLine="525"/>
        <w:spacing w:after="0" w:line="282" w:lineRule="auto"/>
        <w:tabs>
          <w:tab w:leader="none" w:pos="743"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94"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0560"/>
          </w:cols>
          <w:pgMar w:left="880" w:top="270" w:right="459" w:bottom="1440" w:gutter="0" w:footer="0" w:header="0"/>
        </w:sectPr>
      </w:pPr>
    </w:p>
    <w:bookmarkStart w:id="40" w:name="page41"/>
    <w:bookmarkEnd w:id="40"/>
    <w:p>
      <w:pPr>
        <w:ind w:left="444" w:right="40" w:firstLine="525"/>
        <w:spacing w:after="0" w:line="282" w:lineRule="auto"/>
        <w:tabs>
          <w:tab w:leader="none" w:pos="1277"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Liens on cash and cash equivalents deposited with a trustee or a similar Person to defease or to satisfy and discharge any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defeasance or satisfaction and discharge is permitted hereunder;</w:t>
      </w:r>
    </w:p>
    <w:p>
      <w:pPr>
        <w:spacing w:after="0" w:line="53" w:lineRule="exact"/>
        <w:rPr>
          <w:rFonts w:ascii="Times New Roman" w:cs="Times New Roman" w:eastAsia="Times New Roman" w:hAnsi="Times New Roman"/>
          <w:sz w:val="18"/>
          <w:szCs w:val="18"/>
          <w:color w:val="auto"/>
        </w:rPr>
      </w:pPr>
    </w:p>
    <w:p>
      <w:pPr>
        <w:ind w:left="1224" w:hanging="255"/>
        <w:spacing w:after="0"/>
        <w:tabs>
          <w:tab w:leader="none" w:pos="1224"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that are contractual rights of set-off; and</w:t>
      </w:r>
    </w:p>
    <w:p>
      <w:pPr>
        <w:spacing w:after="0" w:line="117" w:lineRule="exact"/>
        <w:rPr>
          <w:rFonts w:ascii="Times New Roman" w:cs="Times New Roman" w:eastAsia="Times New Roman" w:hAnsi="Times New Roman"/>
          <w:sz w:val="18"/>
          <w:szCs w:val="18"/>
          <w:color w:val="auto"/>
        </w:rPr>
      </w:pPr>
    </w:p>
    <w:p>
      <w:pPr>
        <w:ind w:left="444" w:right="260" w:firstLine="525"/>
        <w:spacing w:after="0" w:line="282" w:lineRule="auto"/>
        <w:tabs>
          <w:tab w:leader="none" w:pos="1227"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arising out of consignment or similar arrangements for the sale of goods entered into by the Company or any Subsidiary in the ordinary course of business;</w:t>
      </w:r>
    </w:p>
    <w:p>
      <w:pPr>
        <w:spacing w:after="0" w:line="162" w:lineRule="exact"/>
        <w:rPr>
          <w:sz w:val="20"/>
          <w:szCs w:val="20"/>
          <w:color w:val="auto"/>
        </w:rPr>
      </w:pPr>
    </w:p>
    <w:p>
      <w:pPr>
        <w:ind w:left="4" w:right="80"/>
        <w:spacing w:after="0" w:line="282"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62" w:lineRule="exact"/>
        <w:rPr>
          <w:sz w:val="20"/>
          <w:szCs w:val="20"/>
          <w:color w:val="auto"/>
        </w:rPr>
      </w:pPr>
    </w:p>
    <w:p>
      <w:pPr>
        <w:ind w:left="4" w:right="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means a transaction described in Section 9.19 pursuant to which Marvell becomes a wholly-owned subsidiary of Maui Topco.</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 Merger Subsidiary</w:t>
      </w:r>
      <w:r>
        <w:rPr>
          <w:rFonts w:ascii="Times New Roman" w:cs="Times New Roman" w:eastAsia="Times New Roman" w:hAnsi="Times New Roman"/>
          <w:sz w:val="18"/>
          <w:szCs w:val="18"/>
          <w:color w:val="auto"/>
        </w:rPr>
        <w:t>” has the meaning set forth in Section 9.19.</w:t>
      </w:r>
    </w:p>
    <w:p>
      <w:pPr>
        <w:spacing w:after="0" w:line="225" w:lineRule="exact"/>
        <w:rPr>
          <w:sz w:val="20"/>
          <w:szCs w:val="20"/>
          <w:color w:val="auto"/>
        </w:rPr>
      </w:pPr>
    </w:p>
    <w:p>
      <w:pPr>
        <w:ind w:left="4" w:right="7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natural person, corporation, limited liability company, trust, joint venture, association, company, partnership, Governmental Authority or other entity.</w:t>
      </w:r>
    </w:p>
    <w:p>
      <w:pPr>
        <w:spacing w:after="0" w:line="162" w:lineRule="exact"/>
        <w:rPr>
          <w:sz w:val="20"/>
          <w:szCs w:val="20"/>
          <w:color w:val="auto"/>
        </w:rPr>
      </w:pPr>
    </w:p>
    <w:p>
      <w:pPr>
        <w:ind w:left="4"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Plan</w:t>
      </w:r>
      <w:r>
        <w:rPr>
          <w:rFonts w:ascii="Times New Roman" w:cs="Times New Roman" w:eastAsia="Times New Roman" w:hAnsi="Times New Roman"/>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Platform</w:t>
      </w:r>
      <w:r>
        <w:rPr>
          <w:rFonts w:ascii="Times New Roman" w:cs="Times New Roman" w:eastAsia="Times New Roman" w:hAnsi="Times New Roman"/>
          <w:sz w:val="18"/>
          <w:szCs w:val="18"/>
          <w:color w:val="auto"/>
        </w:rPr>
        <w:t>” has the meaning set forth in Section 9.01(d).</w:t>
      </w:r>
    </w:p>
    <w:p>
      <w:pPr>
        <w:spacing w:after="0" w:line="225" w:lineRule="exact"/>
        <w:rPr>
          <w:sz w:val="20"/>
          <w:szCs w:val="20"/>
          <w:color w:val="auto"/>
        </w:rPr>
      </w:pPr>
    </w:p>
    <w:p>
      <w:pPr>
        <w:ind w:left="4" w:right="20" w:firstLine="991"/>
        <w:spacing w:after="0" w:line="276"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Prime Rate</w:t>
      </w:r>
      <w:r>
        <w:rPr>
          <w:rFonts w:ascii="Times New Roman" w:cs="Times New Roman" w:eastAsia="Times New Roman" w:hAnsi="Times New Roman"/>
          <w:sz w:val="17"/>
          <w:szCs w:val="17"/>
          <w:color w:val="auto"/>
        </w:rPr>
        <w:t>” means the rate of interest last quoted by The Wall Street Journal as the “Prime Rate” in the U.S. or, if The Wall Street Journal ceases to quote such rate, the highest per annum interest rate published by the Federal Reserve Board in Federal Reserve Statistical Release H.15</w:t>
      </w:r>
    </w:p>
    <w:p>
      <w:pPr>
        <w:spacing w:after="0" w:line="1" w:lineRule="exact"/>
        <w:rPr>
          <w:sz w:val="20"/>
          <w:szCs w:val="20"/>
          <w:color w:val="auto"/>
        </w:rPr>
      </w:pPr>
    </w:p>
    <w:p>
      <w:pPr>
        <w:ind w:left="4" w:hanging="4"/>
        <w:spacing w:after="0" w:line="255" w:lineRule="auto"/>
        <w:tabs>
          <w:tab w:leader="none" w:pos="439"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(Selected Interest Rates) as the “bank prime loan” rate or, if such rate is no longer quoted therein, any similar rate quoted therein (as determined by the Administrative Agent) or any similar release by the Federal Reserve Board (as determined by the Administrative Agent). Each change in the Prime Rate shall be effective from and including the date such change is publicly announced or quoted as being effective.</w:t>
      </w:r>
    </w:p>
    <w:p>
      <w:pPr>
        <w:spacing w:after="0" w:line="186" w:lineRule="exact"/>
        <w:rPr>
          <w:sz w:val="20"/>
          <w:szCs w:val="20"/>
          <w:color w:val="auto"/>
        </w:rPr>
      </w:pPr>
    </w:p>
    <w:p>
      <w:pPr>
        <w:ind w:left="4" w:right="1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Private Side Lender Representatives</w:t>
      </w:r>
      <w:r>
        <w:rPr>
          <w:rFonts w:ascii="Times New Roman" w:cs="Times New Roman" w:eastAsia="Times New Roman" w:hAnsi="Times New Roman"/>
          <w:sz w:val="18"/>
          <w:szCs w:val="18"/>
          <w:color w:val="auto"/>
        </w:rPr>
        <w:t>” means, with respect to any Lender, representatives of such Lender that are not Public Side Lender Representatives.</w:t>
      </w:r>
    </w:p>
    <w:p>
      <w:pPr>
        <w:spacing w:after="0" w:line="162" w:lineRule="exact"/>
        <w:rPr>
          <w:sz w:val="20"/>
          <w:szCs w:val="20"/>
          <w:color w:val="auto"/>
        </w:rPr>
      </w:pPr>
    </w:p>
    <w:p>
      <w:pPr>
        <w:ind w:left="4" w:right="2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PTE</w:t>
      </w:r>
      <w:r>
        <w:rPr>
          <w:rFonts w:ascii="Times New Roman" w:cs="Times New Roman" w:eastAsia="Times New Roman" w:hAnsi="Times New Roman"/>
          <w:sz w:val="18"/>
          <w:szCs w:val="18"/>
          <w:color w:val="auto"/>
        </w:rPr>
        <w:t>” means a prohibited transaction class exemption issued by the U.S. Department of Labor, as any such exemption may be amended from time to time.</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024"/>
          </w:cols>
          <w:pgMar w:left="436" w:top="270" w:right="439" w:bottom="1440" w:gutter="0" w:footer="0" w:header="0"/>
        </w:sectPr>
      </w:pPr>
    </w:p>
    <w:bookmarkStart w:id="41" w:name="page42"/>
    <w:bookmarkEnd w:id="41"/>
    <w:p>
      <w:pPr>
        <w:ind w:left="984"/>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7"/>
          <w:szCs w:val="17"/>
          <w:u w:val="single" w:color="auto"/>
          <w:color w:val="auto"/>
        </w:rPr>
        <w:t>Public Side Lender Representatives</w:t>
      </w:r>
      <w:r>
        <w:rPr>
          <w:rFonts w:ascii="Times New Roman" w:cs="Times New Roman" w:eastAsia="Times New Roman" w:hAnsi="Times New Roman"/>
          <w:sz w:val="17"/>
          <w:szCs w:val="17"/>
          <w:color w:val="auto"/>
        </w:rPr>
        <w:t>” means, with respect to any Lender, representatives of such Lender that do not wish to receive MNPI.</w:t>
      </w:r>
    </w:p>
    <w:p>
      <w:pPr>
        <w:spacing w:after="0" w:line="237"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Rating Agencies</w:t>
      </w:r>
      <w:r>
        <w:rPr>
          <w:rFonts w:ascii="Times New Roman" w:cs="Times New Roman" w:eastAsia="Times New Roman" w:hAnsi="Times New Roman"/>
          <w:sz w:val="18"/>
          <w:szCs w:val="18"/>
          <w:color w:val="auto"/>
        </w:rPr>
        <w:t>” means S&amp;P, Moody’s and Fitch.</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Recipient</w:t>
      </w:r>
      <w:r>
        <w:rPr>
          <w:rFonts w:ascii="Times New Roman" w:cs="Times New Roman" w:eastAsia="Times New Roman" w:hAnsi="Times New Roman"/>
          <w:sz w:val="18"/>
          <w:szCs w:val="18"/>
          <w:color w:val="auto"/>
        </w:rPr>
        <w:t>” means the Administrative Agent, any Lender or any combination thereof (as the context requires).</w:t>
      </w:r>
    </w:p>
    <w:p>
      <w:pPr>
        <w:spacing w:after="0" w:line="225" w:lineRule="exact"/>
        <w:rPr>
          <w:sz w:val="20"/>
          <w:szCs w:val="20"/>
          <w:color w:val="auto"/>
        </w:rPr>
      </w:pPr>
    </w:p>
    <w:p>
      <w:pPr>
        <w:ind w:left="4" w:right="3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Reference Time</w:t>
      </w:r>
      <w:r>
        <w:rPr>
          <w:rFonts w:ascii="Times New Roman" w:cs="Times New Roman" w:eastAsia="Times New Roman" w:hAnsi="Times New Roman"/>
          <w:sz w:val="18"/>
          <w:szCs w:val="18"/>
          <w:color w:val="auto"/>
        </w:rPr>
        <w:t>” with respect to any setting of the then-current Benchmark means (1) if such Benchmark is LIBO Rate, 11:00 a.m. (London time) on the day that is two London banking days preceding the date of such setting, and (2) if such Benchmark is not LIBO Rate, the time determined by the Administrative Agent in its reasonable discretion.</w:t>
      </w:r>
    </w:p>
    <w:p>
      <w:pPr>
        <w:spacing w:after="0" w:line="176"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Refinancing</w:t>
      </w:r>
      <w:r>
        <w:rPr>
          <w:rFonts w:ascii="Times New Roman" w:cs="Times New Roman" w:eastAsia="Times New Roman" w:hAnsi="Times New Roman"/>
          <w:sz w:val="18"/>
          <w:szCs w:val="18"/>
          <w:color w:val="auto"/>
        </w:rPr>
        <w:t>” means any redemption, repayment or retirement of all, or any of, the Inphi Convertible Notes.</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has the meaning set forth in Section 9.04(b)(iv).</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Related Indemnitee Parties</w:t>
      </w:r>
      <w:r>
        <w:rPr>
          <w:rFonts w:ascii="Times New Roman" w:cs="Times New Roman" w:eastAsia="Times New Roman" w:hAnsi="Times New Roman"/>
          <w:sz w:val="17"/>
          <w:szCs w:val="17"/>
          <w:color w:val="auto"/>
        </w:rPr>
        <w:t>” means, with respect to any specified Person, (a) any controlling Person or controlled Affiliate of such Person,</w:t>
      </w:r>
    </w:p>
    <w:p>
      <w:pPr>
        <w:spacing w:after="0" w:line="39" w:lineRule="exact"/>
        <w:rPr>
          <w:sz w:val="20"/>
          <w:szCs w:val="20"/>
          <w:color w:val="auto"/>
        </w:rPr>
      </w:pPr>
    </w:p>
    <w:p>
      <w:pPr>
        <w:ind w:left="4" w:right="160" w:hanging="4"/>
        <w:spacing w:after="0" w:line="255" w:lineRule="auto"/>
        <w:tabs>
          <w:tab w:leader="none" w:pos="259"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86" w:lineRule="exact"/>
        <w:rPr>
          <w:sz w:val="20"/>
          <w:szCs w:val="20"/>
          <w:color w:val="auto"/>
        </w:rPr>
      </w:pPr>
    </w:p>
    <w:p>
      <w:pPr>
        <w:ind w:left="4" w:right="4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Related Parties</w:t>
      </w:r>
      <w:r>
        <w:rPr>
          <w:rFonts w:ascii="Times New Roman" w:cs="Times New Roman" w:eastAsia="Times New Roman" w:hAnsi="Times New Roman"/>
          <w:sz w:val="18"/>
          <w:szCs w:val="18"/>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62" w:lineRule="exact"/>
        <w:rPr>
          <w:sz w:val="20"/>
          <w:szCs w:val="20"/>
          <w:color w:val="auto"/>
        </w:rPr>
      </w:pPr>
    </w:p>
    <w:p>
      <w:pPr>
        <w:ind w:left="4"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Release</w:t>
      </w:r>
      <w:r>
        <w:rPr>
          <w:rFonts w:ascii="Times New Roman" w:cs="Times New Roman" w:eastAsia="Times New Roman" w:hAnsi="Times New Roman"/>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62" w:lineRule="exact"/>
        <w:rPr>
          <w:sz w:val="20"/>
          <w:szCs w:val="20"/>
          <w:color w:val="auto"/>
        </w:rPr>
      </w:pPr>
    </w:p>
    <w:p>
      <w:pPr>
        <w:ind w:left="4" w:right="1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Relevant Governmental Body</w:t>
      </w:r>
      <w:r>
        <w:rPr>
          <w:rFonts w:ascii="Times New Roman" w:cs="Times New Roman" w:eastAsia="Times New Roman" w:hAnsi="Times New Roman"/>
          <w:sz w:val="18"/>
          <w:szCs w:val="18"/>
          <w:color w:val="auto"/>
        </w:rPr>
        <w:t>” means the Federal Reserve Board and/or the NYFRB, or a committee officially endorsed or convened by the Federal Reserve Board and/or the NYFRB or, in each case, any successor thereto.</w:t>
      </w:r>
    </w:p>
    <w:p>
      <w:pPr>
        <w:spacing w:after="0" w:line="162" w:lineRule="exact"/>
        <w:rPr>
          <w:sz w:val="20"/>
          <w:szCs w:val="20"/>
          <w:color w:val="auto"/>
        </w:rPr>
      </w:pPr>
    </w:p>
    <w:p>
      <w:pPr>
        <w:ind w:left="4" w:right="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Lenders</w:t>
      </w:r>
      <w:r>
        <w:rPr>
          <w:rFonts w:ascii="Times New Roman" w:cs="Times New Roman" w:eastAsia="Times New Roman" w:hAnsi="Times New Roman"/>
          <w:sz w:val="18"/>
          <w:szCs w:val="18"/>
          <w:color w:val="auto"/>
        </w:rPr>
        <w:t>” means, at any time, Lenders having Term Loans (or, prior to the borrowing of the Term Loans hereunder on the Term Funding Date, Commitments) representing more than 50% of the aggregate outstanding principal amount of all the Term Loans (or, prior to the borrowing of the Term Loans hereunder on the Term Funding Date, the aggregate amount of Commitments) at such time.</w:t>
      </w:r>
    </w:p>
    <w:p>
      <w:pPr>
        <w:spacing w:after="0" w:line="176"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Resolution Authority</w:t>
      </w:r>
      <w:r>
        <w:rPr>
          <w:rFonts w:ascii="Times New Roman" w:cs="Times New Roman" w:eastAsia="Times New Roman" w:hAnsi="Times New Roman"/>
          <w:sz w:val="18"/>
          <w:szCs w:val="18"/>
          <w:color w:val="auto"/>
        </w:rPr>
        <w:t>” means an EEA Resolution Authority or, with respect to any UK Financial Institution, a UK Resolution Authority.</w:t>
      </w:r>
    </w:p>
    <w:p>
      <w:pPr>
        <w:spacing w:after="0" w:line="158" w:lineRule="exact"/>
        <w:rPr>
          <w:sz w:val="20"/>
          <w:szCs w:val="20"/>
          <w:color w:val="auto"/>
        </w:rPr>
      </w:pPr>
    </w:p>
    <w:p>
      <w:pPr>
        <w:ind w:left="5424"/>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04"/>
          </w:cols>
          <w:pgMar w:left="436" w:top="270" w:right="459" w:bottom="1440" w:gutter="0" w:footer="0" w:header="0"/>
        </w:sectPr>
      </w:pPr>
    </w:p>
    <w:bookmarkStart w:id="42" w:name="page43"/>
    <w:bookmarkEnd w:id="42"/>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Responsible Officer</w:t>
      </w:r>
      <w:r>
        <w:rPr>
          <w:rFonts w:ascii="Times New Roman" w:cs="Times New Roman" w:eastAsia="Times New Roman" w:hAnsi="Times New Roman"/>
          <w:sz w:val="18"/>
          <w:szCs w:val="18"/>
          <w:color w:val="auto"/>
        </w:rPr>
        <w:t xml:space="preserve">” means, with respect to any Person, the Financial Officer or the chief executive officer, general counsel or another executive officer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80" w:lineRule="exact"/>
        <w:rPr>
          <w:sz w:val="20"/>
          <w:szCs w:val="20"/>
          <w:color w:val="auto"/>
        </w:rPr>
      </w:pPr>
    </w:p>
    <w:p>
      <w:pPr>
        <w:ind w:right="3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S&amp;P</w:t>
      </w:r>
      <w:r>
        <w:rPr>
          <w:rFonts w:ascii="Times New Roman" w:cs="Times New Roman" w:eastAsia="Times New Roman" w:hAnsi="Times New Roman"/>
          <w:sz w:val="18"/>
          <w:szCs w:val="18"/>
          <w:color w:val="auto"/>
        </w:rPr>
        <w:t>” means Standard &amp; Poor’s Rating Services, a Standard &amp; Poor’s Financial Services LLC business, or any successor to its rating agency business.</w:t>
      </w:r>
    </w:p>
    <w:p>
      <w:pPr>
        <w:spacing w:after="0" w:line="162"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Sale/Leaseback Transaction</w:t>
      </w:r>
      <w:r>
        <w:rPr>
          <w:rFonts w:ascii="Times New Roman" w:cs="Times New Roman" w:eastAsia="Times New Roman" w:hAnsi="Times New Roman"/>
          <w:sz w:val="18"/>
          <w:szCs w:val="18"/>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76"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Sanctioned Country</w:t>
      </w:r>
      <w:r>
        <w:rPr>
          <w:rFonts w:ascii="Times New Roman" w:cs="Times New Roman" w:eastAsia="Times New Roman" w:hAnsi="Times New Roman"/>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62" w:lineRule="exact"/>
        <w:rPr>
          <w:sz w:val="20"/>
          <w:szCs w:val="20"/>
          <w:color w:val="auto"/>
        </w:rPr>
      </w:pPr>
    </w:p>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Sanctioned Person</w:t>
      </w:r>
      <w:r>
        <w:rPr>
          <w:rFonts w:ascii="Times New Roman" w:cs="Times New Roman" w:eastAsia="Times New Roman" w:hAnsi="Times New Roman"/>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Her Majesty’s Treasury of the United Kingdom, or any other relevant sanctions authority, (b) any Person operating, organized or resident in a Sanctioned Country or (c) any Person owned or controlled by any Person or Persons described in the preceding clauses (a) and (b).</w:t>
      </w:r>
    </w:p>
    <w:p>
      <w:pPr>
        <w:spacing w:after="0" w:line="180" w:lineRule="exact"/>
        <w:rPr>
          <w:sz w:val="20"/>
          <w:szCs w:val="20"/>
          <w:color w:val="auto"/>
        </w:rPr>
      </w:pPr>
    </w:p>
    <w:p>
      <w:pPr>
        <w:jc w:val="both"/>
        <w:ind w:right="3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Sanctions</w:t>
      </w:r>
      <w:r>
        <w:rPr>
          <w:rFonts w:ascii="Times New Roman" w:cs="Times New Roman" w:eastAsia="Times New Roman" w:hAnsi="Times New Roman"/>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 or any other relevant sanctions authority.</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United States Securities Act of 1933.</w:t>
      </w:r>
    </w:p>
    <w:p>
      <w:pPr>
        <w:spacing w:after="0" w:line="225" w:lineRule="exact"/>
        <w:rPr>
          <w:sz w:val="20"/>
          <w:szCs w:val="20"/>
          <w:color w:val="auto"/>
        </w:rPr>
      </w:pPr>
    </w:p>
    <w:p>
      <w:pPr>
        <w:ind w:right="6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Senior Unsecured Rating</w:t>
      </w:r>
      <w:r>
        <w:rPr>
          <w:rFonts w:ascii="Times New Roman" w:cs="Times New Roman" w:eastAsia="Times New Roman" w:hAnsi="Times New Roman"/>
          <w:sz w:val="18"/>
          <w:szCs w:val="18"/>
          <w:color w:val="auto"/>
        </w:rPr>
        <w:t>” means, with respect to any Rating Agency as of any date of determination, (a) the rating by such Rating Agency of the senior unsecured long-term indebtedness that is not Guaranteed by any Person or subject to any other credit enhancement of (x) prior to the assignment of such ratings by any Rating Agency for Maui Topco, Marvell and (y) thereafter, Maui Topco or (b) if, and only if, such Rating Agency shall not have in effect the rating referred to in clause (a), the Company’s “corporate credit” (however denominated) rating assigned by such Rating Agency.</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Signing Date</w:t>
      </w:r>
      <w:r>
        <w:rPr>
          <w:rFonts w:ascii="Times New Roman" w:cs="Times New Roman" w:eastAsia="Times New Roman" w:hAnsi="Times New Roman"/>
          <w:sz w:val="18"/>
          <w:szCs w:val="18"/>
          <w:color w:val="auto"/>
        </w:rPr>
        <w:t>” means October 29, 2020.</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70" w:right="459" w:bottom="1440" w:gutter="0" w:footer="0" w:header="0"/>
        </w:sectPr>
      </w:pPr>
    </w:p>
    <w:bookmarkStart w:id="43" w:name="page44"/>
    <w:bookmarkEnd w:id="43"/>
    <w:p>
      <w:pPr>
        <w:ind w:right="20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SOFR</w:t>
      </w:r>
      <w:r>
        <w:rPr>
          <w:rFonts w:ascii="Times New Roman" w:cs="Times New Roman" w:eastAsia="Times New Roman" w:hAnsi="Times New Roman"/>
          <w:sz w:val="18"/>
          <w:szCs w:val="18"/>
          <w:color w:val="auto"/>
        </w:rPr>
        <w:t>” means, with respect to any Business Day, a rate per annum equal to the secured overnight financing rate for such Business Day published by the SOFR Administrator on the SOFR Administrator’s Website at approximately 8:00 a.m. (New York City time) on the immediately succeeding Business Day.</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SOFR Administrator</w:t>
      </w:r>
      <w:r>
        <w:rPr>
          <w:rFonts w:ascii="Times New Roman" w:cs="Times New Roman" w:eastAsia="Times New Roman" w:hAnsi="Times New Roman"/>
          <w:sz w:val="18"/>
          <w:szCs w:val="18"/>
          <w:color w:val="auto"/>
        </w:rPr>
        <w:t>” means the NYFRB (or a successor administrator of the secured overnight financing rate).</w:t>
      </w:r>
    </w:p>
    <w:p>
      <w:pPr>
        <w:spacing w:after="0" w:line="225" w:lineRule="exact"/>
        <w:rPr>
          <w:sz w:val="20"/>
          <w:szCs w:val="20"/>
          <w:color w:val="auto"/>
        </w:rPr>
      </w:pPr>
    </w:p>
    <w:p>
      <w:pPr>
        <w:ind w:right="1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SOFR Administrator’s Website</w:t>
      </w:r>
      <w:r>
        <w:rPr>
          <w:rFonts w:ascii="Times New Roman" w:cs="Times New Roman" w:eastAsia="Times New Roman" w:hAnsi="Times New Roman"/>
          <w:sz w:val="18"/>
          <w:szCs w:val="18"/>
          <w:color w:val="auto"/>
        </w:rPr>
        <w:t>” means the NYFRB’s website, currently at http://www.newyorkfed.org, or any successor source for the secured overnight financing rate identified as such by the SOFR Administrator from time to time.</w:t>
      </w:r>
    </w:p>
    <w:p>
      <w:pPr>
        <w:spacing w:after="0" w:line="162"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Permitted Lender</w:t>
      </w:r>
      <w:r>
        <w:rPr>
          <w:rFonts w:ascii="Times New Roman" w:cs="Times New Roman" w:eastAsia="Times New Roman" w:hAnsi="Times New Roman"/>
          <w:sz w:val="18"/>
          <w:szCs w:val="18"/>
          <w:color w:val="auto"/>
        </w:rPr>
        <w:t>” means each Person that has been agreed on or prior to the Signing Date by the Company and the Arranger in writing (including by email) to be a “Permitted Assignee” (as defined in the Commitment Letter) for purposes of the Commitment Letter.</w:t>
      </w:r>
    </w:p>
    <w:p>
      <w:pPr>
        <w:spacing w:after="0" w:line="162" w:lineRule="exact"/>
        <w:rPr>
          <w:sz w:val="20"/>
          <w:szCs w:val="20"/>
          <w:color w:val="auto"/>
        </w:rPr>
      </w:pPr>
    </w:p>
    <w:p>
      <w:pPr>
        <w:ind w:right="100" w:firstLine="991"/>
        <w:spacing w:after="0" w:line="273"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Specified Representations</w:t>
      </w:r>
      <w:r>
        <w:rPr>
          <w:rFonts w:ascii="Times New Roman" w:cs="Times New Roman" w:eastAsia="Times New Roman" w:hAnsi="Times New Roman"/>
          <w:sz w:val="17"/>
          <w:szCs w:val="17"/>
          <w:color w:val="auto"/>
        </w:rPr>
        <w:t>” means the representations and warranties set forth in Sections 3.01 (as to the due organization, existence and good standing under the laws of the jurisdiction of its organization of Marvell and Maui Topco), 3.02 (for this purpose, including only clause (a) of the definition of the term “Transactions”), 3.03(c) (for this purpose, (x) only clause (a) of the definition of the term “Transactions” and (y) including with respect to the organizational documents of Marvell and Maui Topco), 3.03(d) (with respect to any indenture or other agreement or instrument binding upon the Company or any Subsidiary or any of their assets, in each case, governing Indebtedness contemplated by clauses (a) and (b) of the definition thereof in a principal or committed amount greater than $100,000,000 (as determined after giving pro forma effect to the Transactions and without giving effect to any Material Adverse Effect qualification thereto)), 3.08, 3.11 and 3.13 and the Term Funding Date Use of Proceeds Representation.</w:t>
      </w:r>
    </w:p>
    <w:p>
      <w:pPr>
        <w:spacing w:after="0" w:line="171"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Statutory Reserve Rate</w:t>
      </w:r>
      <w:r>
        <w:rPr>
          <w:rFonts w:ascii="Times New Roman" w:cs="Times New Roman" w:eastAsia="Times New Roman" w:hAnsi="Times New Roman"/>
          <w:sz w:val="18"/>
          <w:szCs w:val="18"/>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89" w:lineRule="exact"/>
        <w:rPr>
          <w:sz w:val="20"/>
          <w:szCs w:val="20"/>
          <w:color w:val="auto"/>
        </w:rPr>
      </w:pPr>
    </w:p>
    <w:p>
      <w:pPr>
        <w:ind w:right="3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means, with respect to any Person (the “</w:t>
      </w:r>
      <w:r>
        <w:rPr>
          <w:rFonts w:ascii="Times New Roman" w:cs="Times New Roman" w:eastAsia="Times New Roman" w:hAnsi="Times New Roman"/>
          <w:sz w:val="18"/>
          <w:szCs w:val="18"/>
          <w:u w:val="single" w:color="auto"/>
          <w:color w:val="auto"/>
        </w:rPr>
        <w:t>parent</w:t>
      </w:r>
      <w:r>
        <w:rPr>
          <w:rFonts w:ascii="Times New Roman" w:cs="Times New Roman" w:eastAsia="Times New Roman" w:hAnsi="Times New Roman"/>
          <w:sz w:val="18"/>
          <w:szCs w:val="18"/>
          <w:color w:val="auto"/>
        </w:rPr>
        <w:t>”) at any date, (a) any Person the accounts of which would be consolidated with those of the parent in the parent’s consolidated financial statements if such financial statements were prepared</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80"/>
          </w:cols>
          <w:pgMar w:left="440" w:top="270" w:right="479" w:bottom="1440" w:gutter="0" w:footer="0" w:header="0"/>
        </w:sectPr>
      </w:pPr>
    </w:p>
    <w:bookmarkStart w:id="44" w:name="page45"/>
    <w:bookmarkEnd w:id="44"/>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means any subsidiary of the Company.</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 Guaranty</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Subsidiary Guaranties</w:t>
      </w:r>
      <w:r>
        <w:rPr>
          <w:rFonts w:ascii="Times New Roman" w:cs="Times New Roman" w:eastAsia="Times New Roman" w:hAnsi="Times New Roman"/>
          <w:sz w:val="18"/>
          <w:szCs w:val="18"/>
          <w:color w:val="auto"/>
        </w:rPr>
        <w:t>” has the meaning set forth in Section 5.10(a).</w:t>
      </w:r>
    </w:p>
    <w:p>
      <w:pPr>
        <w:spacing w:after="0" w:line="225" w:lineRule="exact"/>
        <w:rPr>
          <w:sz w:val="20"/>
          <w:szCs w:val="20"/>
          <w:color w:val="auto"/>
        </w:rPr>
      </w:pPr>
    </w:p>
    <w:p>
      <w:pPr>
        <w:ind w:right="60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Syndication Agents</w:t>
      </w:r>
      <w:r>
        <w:rPr>
          <w:rFonts w:ascii="Times New Roman" w:cs="Times New Roman" w:eastAsia="Times New Roman" w:hAnsi="Times New Roman"/>
          <w:sz w:val="17"/>
          <w:szCs w:val="17"/>
          <w:color w:val="auto"/>
        </w:rPr>
        <w:t>” means Bank of America, N.A., MUFG Bank, Ltd., Wells Fargo Bank, National Association, Citibank, N.A., Goldman Sachs Bank USA and HSBC Bank USA, National Association in their capacities as the syndication agents for the Term Facility.</w:t>
      </w:r>
    </w:p>
    <w:p>
      <w:pPr>
        <w:spacing w:after="0" w:line="140"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Facility</w:t>
      </w:r>
      <w:r>
        <w:rPr>
          <w:rFonts w:ascii="Times New Roman" w:cs="Times New Roman" w:eastAsia="Times New Roman" w:hAnsi="Times New Roman"/>
          <w:sz w:val="18"/>
          <w:szCs w:val="18"/>
          <w:color w:val="auto"/>
        </w:rPr>
        <w:t>” means the term loan facility provided for herein, including the Commitments and the Term Loans.</w:t>
      </w:r>
    </w:p>
    <w:p>
      <w:pPr>
        <w:spacing w:after="0" w:line="225" w:lineRule="exact"/>
        <w:rPr>
          <w:sz w:val="20"/>
          <w:szCs w:val="20"/>
          <w:color w:val="auto"/>
        </w:rPr>
      </w:pPr>
    </w:p>
    <w:p>
      <w:pPr>
        <w:ind w:right="3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Funding Date</w:t>
      </w:r>
      <w:r>
        <w:rPr>
          <w:rFonts w:ascii="Times New Roman" w:cs="Times New Roman" w:eastAsia="Times New Roman" w:hAnsi="Times New Roman"/>
          <w:sz w:val="18"/>
          <w:szCs w:val="18"/>
          <w:color w:val="auto"/>
        </w:rPr>
        <w:t>” means the date, on or after the Effective Date, on which the conditions specified in Section 4.02 are satisfied (or waived in accordance with Section 9.02).</w:t>
      </w:r>
    </w:p>
    <w:p>
      <w:pPr>
        <w:spacing w:after="0" w:line="162" w:lineRule="exact"/>
        <w:rPr>
          <w:sz w:val="20"/>
          <w:szCs w:val="20"/>
          <w:color w:val="auto"/>
        </w:rPr>
      </w:pPr>
    </w:p>
    <w:p>
      <w:pPr>
        <w:ind w:right="1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Funding Date Use of Proceeds Representation</w:t>
      </w:r>
      <w:r>
        <w:rPr>
          <w:rFonts w:ascii="Times New Roman" w:cs="Times New Roman" w:eastAsia="Times New Roman" w:hAnsi="Times New Roman"/>
          <w:sz w:val="18"/>
          <w:szCs w:val="18"/>
          <w:color w:val="auto"/>
        </w:rPr>
        <w:t>” means the representation by the Company that the use of the proceeds of any Loan by the Company does not violate any applicable Sanctions, the United States Foreign Corrupt Practices Act of 1977 or the USA PATRIOT Act.</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Lender</w:t>
      </w:r>
      <w:r>
        <w:rPr>
          <w:rFonts w:ascii="Times New Roman" w:cs="Times New Roman" w:eastAsia="Times New Roman" w:hAnsi="Times New Roman"/>
          <w:sz w:val="18"/>
          <w:szCs w:val="18"/>
          <w:color w:val="auto"/>
        </w:rPr>
        <w:t>” means a Lender in its capacity as a 3-Year Tranche Lender or as a 5-Year Tranche Lender, as the context may require.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Loan</w:t>
      </w:r>
      <w:r>
        <w:rPr>
          <w:rFonts w:ascii="Times New Roman" w:cs="Times New Roman" w:eastAsia="Times New Roman" w:hAnsi="Times New Roman"/>
          <w:sz w:val="18"/>
          <w:szCs w:val="18"/>
          <w:color w:val="auto"/>
        </w:rPr>
        <w:t>” means a 3-Year Tranche Loan or a 5-Year Tranche Loan, as the context may require.</w:t>
      </w:r>
    </w:p>
    <w:p>
      <w:pPr>
        <w:spacing w:after="0" w:line="225"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SOFR</w:t>
      </w:r>
      <w:r>
        <w:rPr>
          <w:rFonts w:ascii="Times New Roman" w:cs="Times New Roman" w:eastAsia="Times New Roman" w:hAnsi="Times New Roman"/>
          <w:sz w:val="18"/>
          <w:szCs w:val="18"/>
          <w:color w:val="auto"/>
        </w:rPr>
        <w:t>” means, for the applicable Corresponding Tenor as of the applicable Reference Time, the forward-looking term rate based on SOFR that has been selected or recommended by the Relevant Governmental Body.</w:t>
      </w:r>
    </w:p>
    <w:p>
      <w:pPr>
        <w:spacing w:after="0" w:line="162" w:lineRule="exact"/>
        <w:rPr>
          <w:sz w:val="20"/>
          <w:szCs w:val="20"/>
          <w:color w:val="auto"/>
        </w:rPr>
      </w:pPr>
    </w:p>
    <w:p>
      <w:pPr>
        <w:ind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SOFR Notice</w:t>
      </w:r>
      <w:r>
        <w:rPr>
          <w:rFonts w:ascii="Times New Roman" w:cs="Times New Roman" w:eastAsia="Times New Roman" w:hAnsi="Times New Roman"/>
          <w:sz w:val="18"/>
          <w:szCs w:val="18"/>
          <w:color w:val="auto"/>
        </w:rPr>
        <w:t>” means a notification by the Administrative Agent to the Lenders and the Company of the occurrence of a Term SOFR Transition Event.</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0980"/>
          </w:cols>
          <w:pgMar w:left="440" w:top="270" w:right="479" w:bottom="1440" w:gutter="0" w:footer="0" w:header="0"/>
        </w:sectPr>
      </w:pPr>
    </w:p>
    <w:bookmarkStart w:id="45" w:name="page46"/>
    <w:bookmarkEnd w:id="45"/>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Term SOFR Transition Event</w:t>
      </w:r>
      <w:r>
        <w:rPr>
          <w:rFonts w:ascii="Times New Roman" w:cs="Times New Roman" w:eastAsia="Times New Roman" w:hAnsi="Times New Roman"/>
          <w:sz w:val="18"/>
          <w:szCs w:val="18"/>
          <w:color w:val="auto"/>
        </w:rPr>
        <w:t>” means the reasonable determination by the Administrative Agent that (a) Term SOFR has been recommended for use by the Relevant Governmental Body, (b) the administration of Term SOFR is administratively feasible for the Administrative Agent and (c) a Benchmark Transition Event or an Early Opt-in Election, as applicable, has previously occurred resulting in a Benchmark Replacement in accordance with Section 2.11 that is not Term SOFR.</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w:t>
      </w:r>
      <w:r>
        <w:rPr>
          <w:rFonts w:ascii="Times New Roman" w:cs="Times New Roman" w:eastAsia="Times New Roman" w:hAnsi="Times New Roman"/>
          <w:sz w:val="18"/>
          <w:szCs w:val="18"/>
          <w:color w:val="auto"/>
        </w:rPr>
        <w:t>” has the meaning set forth in Section 2.09(a).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 Accrual Period</w:t>
      </w:r>
      <w:r>
        <w:rPr>
          <w:rFonts w:ascii="Times New Roman" w:cs="Times New Roman" w:eastAsia="Times New Roman" w:hAnsi="Times New Roman"/>
          <w:sz w:val="18"/>
          <w:szCs w:val="18"/>
          <w:color w:val="auto"/>
        </w:rPr>
        <w:t>” has the meaning set forth in Section 2.09(a).</w:t>
      </w:r>
    </w:p>
    <w:p>
      <w:pPr>
        <w:spacing w:after="0" w:line="225" w:lineRule="exact"/>
        <w:rPr>
          <w:sz w:val="20"/>
          <w:szCs w:val="20"/>
          <w:color w:val="auto"/>
        </w:rPr>
      </w:pPr>
    </w:p>
    <w:p>
      <w:pPr>
        <w:jc w:val="both"/>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 Rate</w:t>
      </w:r>
      <w:r>
        <w:rPr>
          <w:rFonts w:ascii="Times New Roman" w:cs="Times New Roman" w:eastAsia="Times New Roman" w:hAnsi="Times New Roman"/>
          <w:sz w:val="18"/>
          <w:szCs w:val="18"/>
          <w:color w:val="auto"/>
        </w:rPr>
        <w:t>” means, for any day, (i) with respect to any 3-Year Tranche Commitment, the applicable rate per annum set forth below under the caption “3-Year Tranche” and (ii) with respect to any 5-Year Tranche Commitment, the applicable rate per annum set forth below under the caption “5-Year Tranche”, as the case may be, based upon Senior Unsecured Ratings in effect on such date.</w:t>
      </w:r>
    </w:p>
    <w:p>
      <w:pPr>
        <w:spacing w:after="0" w:line="186"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554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Senior Unsecured Ratings</w:t>
            </w:r>
          </w:p>
        </w:tc>
        <w:tc>
          <w:tcPr>
            <w:tcW w:w="8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60" w:type="dxa"/>
            <w:vAlign w:val="bottom"/>
          </w:tcPr>
          <w:p>
            <w:pPr>
              <w:spacing w:after="0"/>
              <w:rPr>
                <w:sz w:val="13"/>
                <w:szCs w:val="13"/>
                <w:color w:val="auto"/>
              </w:rPr>
            </w:pPr>
          </w:p>
        </w:tc>
      </w:tr>
      <w:tr>
        <w:trPr>
          <w:trHeight w:val="191"/>
        </w:trPr>
        <w:tc>
          <w:tcPr>
            <w:tcW w:w="554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(S&amp;P/Moody’s/Fitch)</w:t>
            </w:r>
          </w:p>
        </w:tc>
        <w:tc>
          <w:tcPr>
            <w:tcW w:w="1740" w:type="dxa"/>
            <w:vAlign w:val="bottom"/>
            <w:gridSpan w:val="2"/>
          </w:tcPr>
          <w:p>
            <w:pPr>
              <w:jc w:val="right"/>
              <w:ind w:right="860"/>
              <w:spacing w:after="0"/>
              <w:rPr>
                <w:sz w:val="20"/>
                <w:szCs w:val="20"/>
                <w:color w:val="auto"/>
              </w:rPr>
            </w:pPr>
            <w:r>
              <w:rPr>
                <w:rFonts w:ascii="Times New Roman" w:cs="Times New Roman" w:eastAsia="Times New Roman" w:hAnsi="Times New Roman"/>
                <w:sz w:val="14"/>
                <w:szCs w:val="14"/>
                <w:color w:val="auto"/>
                <w:w w:val="97"/>
              </w:rPr>
              <w:t>3-Year Tranche</w:t>
            </w:r>
          </w:p>
        </w:tc>
        <w:tc>
          <w:tcPr>
            <w:tcW w:w="1040" w:type="dxa"/>
            <w:vAlign w:val="bottom"/>
            <w:gridSpan w:val="2"/>
          </w:tcPr>
          <w:p>
            <w:pPr>
              <w:jc w:val="right"/>
              <w:ind w:right="160"/>
              <w:spacing w:after="0"/>
              <w:rPr>
                <w:sz w:val="20"/>
                <w:szCs w:val="20"/>
                <w:color w:val="auto"/>
              </w:rPr>
            </w:pPr>
            <w:r>
              <w:rPr>
                <w:rFonts w:ascii="Times New Roman" w:cs="Times New Roman" w:eastAsia="Times New Roman" w:hAnsi="Times New Roman"/>
                <w:sz w:val="14"/>
                <w:szCs w:val="14"/>
                <w:color w:val="auto"/>
                <w:w w:val="97"/>
              </w:rPr>
              <w:t>5-Year Tranche</w:t>
            </w:r>
          </w:p>
        </w:tc>
      </w:tr>
      <w:tr>
        <w:trPr>
          <w:trHeight w:val="171"/>
        </w:trPr>
        <w:tc>
          <w:tcPr>
            <w:tcW w:w="1520" w:type="dxa"/>
            <w:vAlign w:val="bottom"/>
            <w:tcBorders>
              <w:top w:val="single" w:sz="8" w:color="auto"/>
            </w:tcBorders>
          </w:tcPr>
          <w:p>
            <w:pPr>
              <w:spacing w:after="0" w:line="171" w:lineRule="exact"/>
              <w:rPr>
                <w:sz w:val="20"/>
                <w:szCs w:val="20"/>
                <w:color w:val="auto"/>
              </w:rPr>
            </w:pPr>
            <w:r>
              <w:rPr>
                <w:rFonts w:ascii="Times New Roman" w:cs="Times New Roman" w:eastAsia="Times New Roman" w:hAnsi="Times New Roman"/>
                <w:sz w:val="18"/>
                <w:szCs w:val="18"/>
                <w:color w:val="auto"/>
              </w:rPr>
              <w:t>Level 1</w:t>
            </w:r>
          </w:p>
        </w:tc>
        <w:tc>
          <w:tcPr>
            <w:tcW w:w="4020" w:type="dxa"/>
            <w:vAlign w:val="bottom"/>
          </w:tcPr>
          <w:p>
            <w:pPr>
              <w:spacing w:after="0"/>
              <w:rPr>
                <w:sz w:val="14"/>
                <w:szCs w:val="14"/>
                <w:color w:val="auto"/>
              </w:rPr>
            </w:pPr>
          </w:p>
        </w:tc>
        <w:tc>
          <w:tcPr>
            <w:tcW w:w="880" w:type="dxa"/>
            <w:vAlign w:val="bottom"/>
            <w:tcBorders>
              <w:top w:val="single" w:sz="8" w:color="auto"/>
            </w:tcBorders>
          </w:tcPr>
          <w:p>
            <w:pPr>
              <w:spacing w:after="0"/>
              <w:rPr>
                <w:sz w:val="14"/>
                <w:szCs w:val="14"/>
                <w:color w:val="auto"/>
              </w:rPr>
            </w:pPr>
          </w:p>
        </w:tc>
        <w:tc>
          <w:tcPr>
            <w:tcW w:w="860" w:type="dxa"/>
            <w:vAlign w:val="bottom"/>
          </w:tcPr>
          <w:p>
            <w:pPr>
              <w:spacing w:after="0"/>
              <w:rPr>
                <w:sz w:val="14"/>
                <w:szCs w:val="14"/>
                <w:color w:val="auto"/>
              </w:rPr>
            </w:pPr>
          </w:p>
        </w:tc>
        <w:tc>
          <w:tcPr>
            <w:tcW w:w="880" w:type="dxa"/>
            <w:vAlign w:val="bottom"/>
            <w:tcBorders>
              <w:top w:val="single" w:sz="8" w:color="auto"/>
            </w:tcBorders>
          </w:tcPr>
          <w:p>
            <w:pPr>
              <w:spacing w:after="0"/>
              <w:rPr>
                <w:sz w:val="14"/>
                <w:szCs w:val="14"/>
                <w:color w:val="auto"/>
              </w:rPr>
            </w:pPr>
          </w:p>
        </w:tc>
        <w:tc>
          <w:tcPr>
            <w:tcW w:w="160" w:type="dxa"/>
            <w:vAlign w:val="bottom"/>
          </w:tcPr>
          <w:p>
            <w:pPr>
              <w:spacing w:after="0"/>
              <w:rPr>
                <w:sz w:val="14"/>
                <w:szCs w:val="14"/>
                <w:color w:val="auto"/>
              </w:rPr>
            </w:pPr>
          </w:p>
        </w:tc>
      </w:tr>
      <w:tr>
        <w:trPr>
          <w:trHeight w:val="248"/>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BBB+/Baa1/BBB+ or above</w:t>
            </w:r>
          </w:p>
        </w:tc>
        <w:tc>
          <w:tcPr>
            <w:tcW w:w="174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0.125%</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0.150%</w:t>
            </w:r>
          </w:p>
        </w:tc>
      </w:tr>
      <w:tr>
        <w:trPr>
          <w:trHeight w:val="306"/>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2</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8"/>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BBB/Baa2/BBB</w:t>
            </w:r>
          </w:p>
        </w:tc>
        <w:tc>
          <w:tcPr>
            <w:tcW w:w="174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0.150%</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0.200%</w:t>
            </w:r>
          </w:p>
        </w:tc>
      </w:tr>
      <w:tr>
        <w:trPr>
          <w:trHeight w:val="306"/>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3</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8"/>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BBB-/Baa3/BBB-</w:t>
            </w:r>
          </w:p>
        </w:tc>
        <w:tc>
          <w:tcPr>
            <w:tcW w:w="174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0.200%</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0.250%</w:t>
            </w:r>
          </w:p>
        </w:tc>
      </w:tr>
      <w:tr>
        <w:trPr>
          <w:trHeight w:val="306"/>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4</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8"/>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BB+/Ba1/BB+</w:t>
            </w:r>
          </w:p>
        </w:tc>
        <w:tc>
          <w:tcPr>
            <w:tcW w:w="174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0.250%</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0.300%</w:t>
            </w:r>
          </w:p>
        </w:tc>
      </w:tr>
      <w:tr>
        <w:trPr>
          <w:trHeight w:val="306"/>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5</w:t>
            </w: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248"/>
        </w:trPr>
        <w:tc>
          <w:tcPr>
            <w:tcW w:w="55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BB/Ba2/BB or below</w:t>
            </w:r>
          </w:p>
        </w:tc>
        <w:tc>
          <w:tcPr>
            <w:tcW w:w="174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0.350%</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0.400%</w:t>
            </w:r>
          </w:p>
        </w:tc>
      </w:tr>
    </w:tbl>
    <w:p>
      <w:pPr>
        <w:spacing w:after="0" w:line="198"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w:t>
      </w:r>
    </w:p>
    <w:p>
      <w:pPr>
        <w:spacing w:after="0" w:line="11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0960"/>
          </w:cols>
          <w:pgMar w:left="440" w:top="270" w:right="499" w:bottom="1440" w:gutter="0" w:footer="0" w:header="0"/>
        </w:sectPr>
      </w:pPr>
    </w:p>
    <w:bookmarkStart w:id="46" w:name="page47"/>
    <w:bookmarkEnd w:id="46"/>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Term Ticking Fee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Term Ticking Fee Rate shall be determined by reference to the Senior Unsecured Rating of such Rating Agency most recently in effect prior to such change or cessation.</w:t>
      </w:r>
    </w:p>
    <w:p>
      <w:pPr>
        <w:spacing w:after="0" w:line="19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Transactions</w:t>
      </w:r>
      <w:r>
        <w:rPr>
          <w:rFonts w:ascii="Times New Roman" w:cs="Times New Roman" w:eastAsia="Times New Roman" w:hAnsi="Times New Roman"/>
          <w:sz w:val="18"/>
          <w:szCs w:val="18"/>
          <w:color w:val="auto"/>
        </w:rPr>
        <w:t>” means (a) the execution, delivery and performance by the Company of the Loan Documents, the borrowing of Loans and the use of the proceeds thereof, (b) the Inphi Acquisition, (c) the Refinancing, (d) the incurrence of any other Inphi Acquisition Indebtedness and (e) the payment of fees and expenses in connection with the foregoing.</w:t>
      </w:r>
    </w:p>
    <w:p>
      <w:pPr>
        <w:spacing w:after="0" w:line="176"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Type</w:t>
      </w:r>
      <w:r>
        <w:rPr>
          <w:rFonts w:ascii="Times New Roman" w:cs="Times New Roman" w:eastAsia="Times New Roman" w:hAnsi="Times New Roman"/>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Subsidiary</w:t>
      </w:r>
      <w:r>
        <w:rPr>
          <w:rFonts w:ascii="Times New Roman" w:cs="Times New Roman" w:eastAsia="Times New Roman" w:hAnsi="Times New Roman"/>
          <w:sz w:val="18"/>
          <w:szCs w:val="18"/>
          <w:color w:val="auto"/>
        </w:rPr>
        <w:t>” means any Subsidiary organized under the laws of the United States of America, any State thereof or the District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Columbia.</w:t>
      </w:r>
    </w:p>
    <w:p>
      <w:pPr>
        <w:spacing w:after="0" w:line="207" w:lineRule="exact"/>
        <w:rPr>
          <w:sz w:val="20"/>
          <w:szCs w:val="20"/>
          <w:color w:val="auto"/>
        </w:rPr>
      </w:pPr>
    </w:p>
    <w:p>
      <w:pPr>
        <w:ind w:right="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UK Financial Institutions</w:t>
      </w:r>
      <w:r>
        <w:rPr>
          <w:rFonts w:ascii="Times New Roman" w:cs="Times New Roman" w:eastAsia="Times New Roman" w:hAnsi="Times New Roman"/>
          <w:sz w:val="18"/>
          <w:szCs w:val="18"/>
          <w:color w:val="auto"/>
        </w:rPr>
        <w:t>”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0980"/>
          </w:cols>
          <w:pgMar w:left="440" w:top="270" w:right="479" w:bottom="1440" w:gutter="0" w:footer="0" w:header="0"/>
        </w:sectPr>
      </w:pPr>
    </w:p>
    <w:bookmarkStart w:id="47" w:name="page48"/>
    <w:bookmarkEnd w:id="47"/>
    <w:p>
      <w:pPr>
        <w:ind w:right="74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UK Resolution Authority</w:t>
      </w:r>
      <w:r>
        <w:rPr>
          <w:rFonts w:ascii="Times New Roman" w:cs="Times New Roman" w:eastAsia="Times New Roman" w:hAnsi="Times New Roman"/>
          <w:sz w:val="18"/>
          <w:szCs w:val="18"/>
          <w:color w:val="auto"/>
        </w:rPr>
        <w:t>” means the Bank of England or any other public administrative authority having responsibility for the resolution of any UK Financial Institution.</w:t>
      </w:r>
    </w:p>
    <w:p>
      <w:pPr>
        <w:spacing w:after="0" w:line="162"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Unadjusted Benchmark Replacement</w:t>
      </w:r>
      <w:r>
        <w:rPr>
          <w:rFonts w:ascii="Times New Roman" w:cs="Times New Roman" w:eastAsia="Times New Roman" w:hAnsi="Times New Roman"/>
          <w:sz w:val="18"/>
          <w:szCs w:val="18"/>
          <w:color w:val="auto"/>
        </w:rPr>
        <w:t>” means the Benchmark Replacement excluding the Benchmark Replacement Adjustment; provided that, if the Unadjusted Benchmark Replacement as so determined would be less than zero, the Unadjusted Benchmark Replacement will be deemed to be zero for the purposes of this Agreement.</w:t>
      </w:r>
    </w:p>
    <w:p>
      <w:pPr>
        <w:spacing w:after="0" w:line="176"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USA PATRIOT Act</w:t>
      </w:r>
      <w:r>
        <w:rPr>
          <w:rFonts w:ascii="Times New Roman" w:cs="Times New Roman" w:eastAsia="Times New Roman" w:hAnsi="Times New Roman"/>
          <w:sz w:val="18"/>
          <w:szCs w:val="18"/>
          <w:color w:val="auto"/>
        </w:rPr>
        <w:t>” means the Uniting and Strengthening America by Providing Appropriate Tools Required to Intercept and Obstruct Terrorism Act of 2001.</w:t>
      </w:r>
    </w:p>
    <w:p>
      <w:pPr>
        <w:spacing w:after="0" w:line="162"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Voting Shares</w:t>
      </w:r>
      <w:r>
        <w:rPr>
          <w:rFonts w:ascii="Times New Roman" w:cs="Times New Roman" w:eastAsia="Times New Roman" w:hAnsi="Times New Roman"/>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76"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wholly owned</w:t>
      </w:r>
      <w:r>
        <w:rPr>
          <w:rFonts w:ascii="Times New Roman" w:cs="Times New Roman" w:eastAsia="Times New Roman" w:hAnsi="Times New Roman"/>
          <w:sz w:val="18"/>
          <w:szCs w:val="18"/>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76"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Withdrawal Liability</w:t>
      </w:r>
      <w:r>
        <w:rPr>
          <w:rFonts w:ascii="Times New Roman" w:cs="Times New Roman" w:eastAsia="Times New Roman" w:hAnsi="Times New Roman"/>
          <w:sz w:val="18"/>
          <w:szCs w:val="18"/>
          <w:color w:val="auto"/>
        </w:rPr>
        <w:t>” means liability to a Multiemployer Plan as a result of a complete or partial withdrawal from such Multiemployer Plan, as such term is defined in Part I of Subtitle E of Title IV of ERISA.</w:t>
      </w:r>
    </w:p>
    <w:p>
      <w:pPr>
        <w:spacing w:after="0" w:line="162" w:lineRule="exact"/>
        <w:rPr>
          <w:sz w:val="20"/>
          <w:szCs w:val="20"/>
          <w:color w:val="auto"/>
        </w:rPr>
      </w:pPr>
    </w:p>
    <w:p>
      <w:pPr>
        <w:ind w:right="16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Write-Down and Conversion Powers</w:t>
      </w:r>
      <w:r>
        <w:rPr>
          <w:rFonts w:ascii="Times New Roman" w:cs="Times New Roman" w:eastAsia="Times New Roman" w:hAnsi="Times New Roman"/>
          <w:sz w:val="18"/>
          <w:szCs w:val="18"/>
          <w:color w:val="auto"/>
        </w:rPr>
        <w:t>” means, (a)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 and (b) with respect to the United Kingdom, any powers of the applicable 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189"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1.02. </w:t>
      </w:r>
      <w:r>
        <w:rPr>
          <w:rFonts w:ascii="Times New Roman" w:cs="Times New Roman" w:eastAsia="Times New Roman" w:hAnsi="Times New Roman"/>
          <w:sz w:val="18"/>
          <w:szCs w:val="18"/>
          <w:u w:val="single" w:color="auto"/>
          <w:color w:val="auto"/>
        </w:rPr>
        <w:t>Classification of Loans and Borrowings</w:t>
      </w:r>
      <w:r>
        <w:rPr>
          <w:rFonts w:ascii="Times New Roman" w:cs="Times New Roman" w:eastAsia="Times New Roman" w:hAnsi="Times New Roman"/>
          <w:sz w:val="18"/>
          <w:szCs w:val="18"/>
          <w:color w:val="auto"/>
        </w:rPr>
        <w:t>. For purposes of this Agreement, Loans and Borrowings may be classified and referred to by Class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“3-Year Tranche Loan” or “5-Year Tranche Loan”) or by Type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“Eurocurrency Loan” or “Eurocurrency Borrowing”) or by Class and Type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“Eurocurrency 3-Year Tranche Loan” or “Eurocurrency 5-Year Tranche Loan”).</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000"/>
          </w:cols>
          <w:pgMar w:left="440" w:top="270" w:right="459" w:bottom="1440" w:gutter="0" w:footer="0" w:header="0"/>
        </w:sectPr>
      </w:pPr>
    </w:p>
    <w:bookmarkStart w:id="48" w:name="page49"/>
    <w:bookmarkEnd w:id="48"/>
    <w:p>
      <w:pPr>
        <w:ind w:left="4" w:right="20" w:firstLine="991"/>
        <w:spacing w:after="0" w:line="268"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1.03. </w:t>
      </w:r>
      <w:r>
        <w:rPr>
          <w:rFonts w:ascii="Times New Roman" w:cs="Times New Roman" w:eastAsia="Times New Roman" w:hAnsi="Times New Roman"/>
          <w:sz w:val="17"/>
          <w:szCs w:val="17"/>
          <w:u w:val="single" w:color="auto"/>
          <w:color w:val="auto"/>
        </w:rPr>
        <w:t>Terms Generally</w:t>
      </w:r>
      <w:r>
        <w:rPr>
          <w:rFonts w:ascii="Times New Roman" w:cs="Times New Roman" w:eastAsia="Times New Roman" w:hAnsi="Times New Roman"/>
          <w:sz w:val="17"/>
          <w:szCs w:val="17"/>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2" w:lineRule="exact"/>
        <w:rPr>
          <w:sz w:val="20"/>
          <w:szCs w:val="20"/>
          <w:color w:val="auto"/>
        </w:rPr>
      </w:pPr>
    </w:p>
    <w:p>
      <w:pPr>
        <w:ind w:left="4" w:right="160" w:hanging="4"/>
        <w:spacing w:after="0" w:line="265" w:lineRule="auto"/>
        <w:tabs>
          <w:tab w:leader="none" w:pos="249" w:val="left"/>
        </w:tabs>
        <w:numPr>
          <w:ilvl w:val="0"/>
          <w:numId w:val="2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w:t>
      </w:r>
    </w:p>
    <w:p>
      <w:pPr>
        <w:spacing w:after="0" w:line="1" w:lineRule="exact"/>
        <w:rPr>
          <w:rFonts w:ascii="Times New Roman" w:cs="Times New Roman" w:eastAsia="Times New Roman" w:hAnsi="Times New Roman"/>
          <w:sz w:val="17"/>
          <w:szCs w:val="17"/>
          <w:color w:val="auto"/>
        </w:rPr>
      </w:pPr>
    </w:p>
    <w:p>
      <w:pPr>
        <w:ind w:left="4" w:hanging="4"/>
        <w:spacing w:after="0" w:line="255" w:lineRule="auto"/>
        <w:tabs>
          <w:tab w:leader="none" w:pos="259"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86" w:lineRule="exact"/>
        <w:rPr>
          <w:sz w:val="20"/>
          <w:szCs w:val="20"/>
          <w:color w:val="auto"/>
        </w:rPr>
      </w:pPr>
    </w:p>
    <w:p>
      <w:pPr>
        <w:ind w:left="4"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1.04. </w:t>
      </w:r>
      <w:r>
        <w:rPr>
          <w:rFonts w:ascii="Times New Roman" w:cs="Times New Roman" w:eastAsia="Times New Roman" w:hAnsi="Times New Roman"/>
          <w:sz w:val="18"/>
          <w:szCs w:val="18"/>
          <w:u w:val="single" w:color="auto"/>
          <w:color w:val="auto"/>
        </w:rPr>
        <w:t>Accounting Terms; GAAP; Pro Forma Calculations</w:t>
      </w:r>
      <w:r>
        <w:rPr>
          <w:rFonts w:ascii="Times New Roman" w:cs="Times New Roman" w:eastAsia="Times New Roman" w:hAnsi="Times New Roman"/>
          <w:sz w:val="18"/>
          <w:szCs w:val="18"/>
          <w:color w:val="auto"/>
        </w:rPr>
        <w:t xml:space="preserve">. (a) Except as otherwise expressly provided herein, all terms of an accounting or financial nature used herein shall be construed in accordance with GAAP as in effect from time to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3" w:lineRule="exact"/>
        <w:rPr>
          <w:sz w:val="20"/>
          <w:szCs w:val="20"/>
          <w:color w:val="auto"/>
        </w:rPr>
      </w:pPr>
    </w:p>
    <w:p>
      <w:pPr>
        <w:ind w:left="4" w:right="280" w:hanging="4"/>
        <w:spacing w:after="0" w:line="260" w:lineRule="auto"/>
        <w:tabs>
          <w:tab w:leader="none" w:pos="269"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contained herein, all terms of an accounting or financial nature used herein shall be construed (other than for purposes of</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4"/>
          </w:cols>
          <w:pgMar w:left="436" w:top="270" w:right="459" w:bottom="1440" w:gutter="0" w:footer="0" w:header="0"/>
        </w:sectPr>
      </w:pPr>
    </w:p>
    <w:bookmarkStart w:id="49" w:name="page50"/>
    <w:bookmarkEnd w:id="49"/>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Sections 3.04, 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194" w:lineRule="exact"/>
        <w:rPr>
          <w:sz w:val="20"/>
          <w:szCs w:val="20"/>
          <w:color w:val="auto"/>
        </w:rPr>
      </w:pPr>
    </w:p>
    <w:p>
      <w:pPr>
        <w:ind w:right="60" w:firstLine="987"/>
        <w:spacing w:after="0" w:line="253" w:lineRule="auto"/>
        <w:tabs>
          <w:tab w:leader="none" w:pos="1246"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90"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1.05. </w:t>
      </w:r>
      <w:r>
        <w:rPr>
          <w:rFonts w:ascii="Times New Roman" w:cs="Times New Roman" w:eastAsia="Times New Roman" w:hAnsi="Times New Roman"/>
          <w:sz w:val="18"/>
          <w:szCs w:val="18"/>
          <w:u w:val="single" w:color="auto"/>
          <w:color w:val="auto"/>
        </w:rPr>
        <w:t>Currency Translation</w:t>
      </w:r>
      <w:r>
        <w:rPr>
          <w:rFonts w:ascii="Times New Roman" w:cs="Times New Roman" w:eastAsia="Times New Roman" w:hAnsi="Times New Roman"/>
          <w:sz w:val="18"/>
          <w:szCs w:val="18"/>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000"/>
          </w:cols>
          <w:pgMar w:left="440" w:top="270" w:right="459" w:bottom="1440" w:gutter="0" w:footer="0" w:header="0"/>
        </w:sectPr>
      </w:pPr>
    </w:p>
    <w:bookmarkStart w:id="50" w:name="page51"/>
    <w:bookmarkEnd w:id="50"/>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92" w:lineRule="exact"/>
        <w:rPr>
          <w:sz w:val="20"/>
          <w:szCs w:val="20"/>
          <w:color w:val="auto"/>
        </w:rPr>
      </w:pPr>
    </w:p>
    <w:p>
      <w:pPr>
        <w:jc w:val="both"/>
        <w:ind w:right="1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1.06. </w:t>
      </w:r>
      <w:r>
        <w:rPr>
          <w:rFonts w:ascii="Times New Roman" w:cs="Times New Roman" w:eastAsia="Times New Roman" w:hAnsi="Times New Roman"/>
          <w:sz w:val="18"/>
          <w:szCs w:val="18"/>
          <w:u w:val="single" w:color="auto"/>
          <w:color w:val="auto"/>
        </w:rPr>
        <w:t>Effectuation of Transactions</w:t>
      </w:r>
      <w:r>
        <w:rPr>
          <w:rFonts w:ascii="Times New Roman" w:cs="Times New Roman" w:eastAsia="Times New Roman" w:hAnsi="Times New Roman"/>
          <w:sz w:val="18"/>
          <w:szCs w:val="18"/>
          <w:color w:val="auto"/>
        </w:rPr>
        <w:t>. All references herein to the Company and the Subsidiaries on the Term Funding Date shall be deemed to be references to such Persons, and all the representations and warranties of the Company contained in this Agreement or any other Loan Document shall be deemed, on the Term Funding Date, to be made, in each case, after giving effect to the Inphi Acquisition and the other Transactions to occur on the Term Funding Date, unless the context otherwise expressly requires.</w:t>
      </w:r>
    </w:p>
    <w:p>
      <w:pPr>
        <w:spacing w:after="0" w:line="180" w:lineRule="exact"/>
        <w:rPr>
          <w:sz w:val="20"/>
          <w:szCs w:val="20"/>
          <w:color w:val="auto"/>
        </w:rPr>
      </w:pPr>
    </w:p>
    <w:p>
      <w:pPr>
        <w:ind w:right="60"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1.07. </w:t>
      </w:r>
      <w:r>
        <w:rPr>
          <w:rFonts w:ascii="Times New Roman" w:cs="Times New Roman" w:eastAsia="Times New Roman" w:hAnsi="Times New Roman"/>
          <w:sz w:val="18"/>
          <w:szCs w:val="18"/>
          <w:u w:val="single" w:color="auto"/>
          <w:color w:val="auto"/>
        </w:rPr>
        <w:t>Interest Rates; LIBOR Notification</w:t>
      </w:r>
      <w:r>
        <w:rPr>
          <w:rFonts w:ascii="Times New Roman" w:cs="Times New Roman" w:eastAsia="Times New Roman" w:hAnsi="Times New Roman"/>
          <w:sz w:val="18"/>
          <w:szCs w:val="18"/>
          <w:color w:val="auto"/>
        </w:rPr>
        <w:t>. The interest rate on Eurocurrency Loans is determined by reference to the LIBO Rate, which is derived from the London interbank offered rate. The London interbank offered rate is intended to represent the rate at which contributing banks may obtain short-term borrowings from each other in the London interbank market. In July 2017, the U.K. Financial Conduct Authority announced that, after the end of 2021, it would no longer persuade or compel contributing banks to make rate submissions to the ICE Benchmark Administration (together with any successor to the ICE Benchmark Administrator, the “</w:t>
      </w:r>
      <w:r>
        <w:rPr>
          <w:rFonts w:ascii="Times New Roman" w:cs="Times New Roman" w:eastAsia="Times New Roman" w:hAnsi="Times New Roman"/>
          <w:sz w:val="18"/>
          <w:szCs w:val="18"/>
          <w:u w:val="single" w:color="auto"/>
          <w:color w:val="auto"/>
        </w:rPr>
        <w:t>IBA</w:t>
      </w:r>
      <w:r>
        <w:rPr>
          <w:rFonts w:ascii="Times New Roman" w:cs="Times New Roman" w:eastAsia="Times New Roman" w:hAnsi="Times New Roman"/>
          <w:sz w:val="18"/>
          <w:szCs w:val="18"/>
          <w:color w:val="auto"/>
        </w:rPr>
        <w:t>”) for purposes of the IBA setting the London interbank offered rate. As a result, it is possible that commencing in 2022, the London interbank offered rate may no longer be available or may no longer be deemed an appropriate reference rate upon which to determine the interest rate on Eurocurrency Loans. In light of this eventuality, public and private sector industry initiatives are currently underway to identify new or alternative reference rates to be used in place of the London interbank offered rate. Upon the occurrence of a Benchmark Transition Event, a Term SOFR Transition Event or an Early Opt-in Election, Section 2.11(b) and (c) provide the mechanism for determining an alternative rate of interest. The Administrative Agent will promptly notify the Company, pursuant to Section 2.11(e), of any change to the reference rate upon which the interest rate on Eurocurrency Loans is based. However, the Administrative Agent does not warrant or accept any responsibility for, and shall not have any liability with respect to, the administration, submission or any other matter related to the London interbank offered rate or other rates in the definition of “LIBO Rate” or with respect to any alternative or successor rate thereto, or replacement rate thereof (including, without limitation, (i) any such alternative, successor or replacement rate implemented pursuant to Section 2.11(b) or (c), whether upon the occurrence of a Benchmark Transition Event, a Term SOFR</w:t>
      </w:r>
    </w:p>
    <w:p>
      <w:pPr>
        <w:spacing w:after="0" w:line="12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0980"/>
          </w:cols>
          <w:pgMar w:left="440" w:top="270" w:right="479" w:bottom="1440" w:gutter="0" w:footer="0" w:header="0"/>
        </w:sectPr>
      </w:pPr>
    </w:p>
    <w:bookmarkStart w:id="51" w:name="page52"/>
    <w:bookmarkEnd w:id="51"/>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Transition Event or an Early Opt-in Election, and (ii) the implementation of any Benchmark Replacement Conforming Changes pursuant to</w:t>
      </w:r>
    </w:p>
    <w:p>
      <w:pPr>
        <w:spacing w:after="0" w:line="27" w:lineRule="exact"/>
        <w:rPr>
          <w:sz w:val="20"/>
          <w:szCs w:val="20"/>
          <w:color w:val="auto"/>
        </w:rPr>
      </w:pPr>
    </w:p>
    <w:p>
      <w:pPr>
        <w:ind w:left="4"/>
        <w:spacing w:after="0" w:line="255" w:lineRule="auto"/>
        <w:rPr>
          <w:sz w:val="20"/>
          <w:szCs w:val="20"/>
          <w:color w:val="auto"/>
        </w:rPr>
      </w:pPr>
      <w:r>
        <w:rPr>
          <w:rFonts w:ascii="Times New Roman" w:cs="Times New Roman" w:eastAsia="Times New Roman" w:hAnsi="Times New Roman"/>
          <w:sz w:val="18"/>
          <w:szCs w:val="18"/>
          <w:color w:val="auto"/>
        </w:rPr>
        <w:t>Section 2.11(d)), including without limitation, whether the composition or characteristics of any such alternative, successor or replacement reference rate will be similar to, or produce the same value or economic equivalence of, the LIBO Rate or have the same volume or liquidity as did the London interbank offered rate prior to its discontinuance or unavailability.</w:t>
      </w:r>
    </w:p>
    <w:p>
      <w:pPr>
        <w:spacing w:after="0" w:line="186" w:lineRule="exact"/>
        <w:rPr>
          <w:sz w:val="20"/>
          <w:szCs w:val="20"/>
          <w:color w:val="auto"/>
        </w:rPr>
      </w:pPr>
    </w:p>
    <w:p>
      <w:pPr>
        <w:ind w:left="4" w:right="28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1.08. </w:t>
      </w:r>
      <w:r>
        <w:rPr>
          <w:rFonts w:ascii="Times New Roman" w:cs="Times New Roman" w:eastAsia="Times New Roman" w:hAnsi="Times New Roman"/>
          <w:sz w:val="18"/>
          <w:szCs w:val="18"/>
          <w:u w:val="single" w:color="auto"/>
          <w:color w:val="auto"/>
        </w:rPr>
        <w:t>Divisions</w:t>
      </w:r>
      <w:r>
        <w:rPr>
          <w:rFonts w:ascii="Times New Roman" w:cs="Times New Roman" w:eastAsia="Times New Roman" w:hAnsi="Times New Roman"/>
          <w:sz w:val="18"/>
          <w:szCs w:val="18"/>
          <w:color w:val="auto"/>
        </w:rPr>
        <w:t>.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39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ARTICLE II</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u w:val="single" w:color="auto"/>
          <w:color w:val="auto"/>
        </w:rPr>
        <w:t>The Credits</w:t>
      </w:r>
    </w:p>
    <w:p>
      <w:pPr>
        <w:spacing w:after="0" w:line="225" w:lineRule="exact"/>
        <w:rPr>
          <w:sz w:val="20"/>
          <w:szCs w:val="20"/>
          <w:color w:val="auto"/>
        </w:rPr>
      </w:pPr>
    </w:p>
    <w:p>
      <w:pPr>
        <w:ind w:left="4" w:right="340" w:firstLine="991"/>
        <w:spacing w:after="0" w:line="276" w:lineRule="auto"/>
        <w:rPr>
          <w:sz w:val="20"/>
          <w:szCs w:val="20"/>
          <w:color w:val="auto"/>
        </w:rPr>
      </w:pPr>
      <w:r>
        <w:rPr>
          <w:rFonts w:ascii="Times New Roman" w:cs="Times New Roman" w:eastAsia="Times New Roman" w:hAnsi="Times New Roman"/>
          <w:sz w:val="17"/>
          <w:szCs w:val="17"/>
          <w:color w:val="auto"/>
        </w:rPr>
        <w:t xml:space="preserve">SECTION 2.01. </w:t>
      </w:r>
      <w:r>
        <w:rPr>
          <w:rFonts w:ascii="Times New Roman" w:cs="Times New Roman" w:eastAsia="Times New Roman" w:hAnsi="Times New Roman"/>
          <w:sz w:val="17"/>
          <w:szCs w:val="17"/>
          <w:u w:val="single" w:color="auto"/>
          <w:color w:val="auto"/>
        </w:rPr>
        <w:t>Commitments</w:t>
      </w:r>
      <w:r>
        <w:rPr>
          <w:rFonts w:ascii="Times New Roman" w:cs="Times New Roman" w:eastAsia="Times New Roman" w:hAnsi="Times New Roman"/>
          <w:sz w:val="17"/>
          <w:szCs w:val="17"/>
          <w:color w:val="auto"/>
        </w:rPr>
        <w:t>. Subject to the terms and conditions set forth herein, (a) each 3-Year Tranche Lender agrees to make a 3-Year Tranche Loan in dollars to the Company on the Term Funding Date in a principal amount not exceeding its 3-Year Tranche Commitment and</w:t>
      </w:r>
    </w:p>
    <w:p>
      <w:pPr>
        <w:spacing w:after="0" w:line="1" w:lineRule="exact"/>
        <w:rPr>
          <w:sz w:val="20"/>
          <w:szCs w:val="20"/>
          <w:color w:val="auto"/>
        </w:rPr>
      </w:pPr>
    </w:p>
    <w:p>
      <w:pPr>
        <w:ind w:left="4" w:right="200" w:hanging="4"/>
        <w:spacing w:after="0" w:line="260" w:lineRule="auto"/>
        <w:tabs>
          <w:tab w:leader="none" w:pos="259"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5-Year Tranche Lender agrees to make a 5-Year Tranche Loan in dollars to the Company on the Term Funding Date in a principal amount not exceeding its 5-Year Tranche Commitment. Amounts repaid or prepaid in respect of Term Loans may not be reborrowed.</w:t>
      </w:r>
    </w:p>
    <w:p>
      <w:pPr>
        <w:spacing w:after="0" w:line="181" w:lineRule="exact"/>
        <w:rPr>
          <w:sz w:val="20"/>
          <w:szCs w:val="20"/>
          <w:color w:val="auto"/>
        </w:rPr>
      </w:pPr>
    </w:p>
    <w:p>
      <w:pPr>
        <w:ind w:left="4" w:right="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2.02. </w:t>
      </w:r>
      <w:r>
        <w:rPr>
          <w:rFonts w:ascii="Times New Roman" w:cs="Times New Roman" w:eastAsia="Times New Roman" w:hAnsi="Times New Roman"/>
          <w:sz w:val="18"/>
          <w:szCs w:val="18"/>
          <w:u w:val="single" w:color="auto"/>
          <w:color w:val="auto"/>
        </w:rPr>
        <w:t>Loans and Borrowings</w:t>
      </w:r>
      <w:r>
        <w:rPr>
          <w:rFonts w:ascii="Times New Roman" w:cs="Times New Roman" w:eastAsia="Times New Roman" w:hAnsi="Times New Roman"/>
          <w:sz w:val="18"/>
          <w:szCs w:val="18"/>
          <w:color w:val="auto"/>
        </w:rPr>
        <w:t xml:space="preserve">. (a) Each Loan shall be made as part of a Borrowing consisting of Loans of the same Class and Type made by the Lenders ratably in accordance with their respective Commitments of the applicable Class. The failure of any Lender to make any Loan required to be made by it shall not relieve any other Lender of its obligations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Commitments of the Lenders are several and no Lender shall be responsible for any other Lender’s failure to make Loans as required.</w:t>
      </w:r>
    </w:p>
    <w:p>
      <w:pPr>
        <w:spacing w:after="0" w:line="180" w:lineRule="exact"/>
        <w:rPr>
          <w:sz w:val="20"/>
          <w:szCs w:val="20"/>
          <w:color w:val="auto"/>
        </w:rPr>
      </w:pPr>
    </w:p>
    <w:p>
      <w:pPr>
        <w:ind w:left="4" w:right="120" w:firstLine="987"/>
        <w:spacing w:after="0" w:line="261" w:lineRule="auto"/>
        <w:tabs>
          <w:tab w:leader="none" w:pos="125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Section 2.11, each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exercise of such option shall not affect the obligation of the Company to repay such Loan in accordance with the terms of this Agreement.</w:t>
      </w:r>
    </w:p>
    <w:p>
      <w:pPr>
        <w:spacing w:after="0" w:line="179" w:lineRule="exact"/>
        <w:rPr>
          <w:rFonts w:ascii="Times New Roman" w:cs="Times New Roman" w:eastAsia="Times New Roman" w:hAnsi="Times New Roman"/>
          <w:sz w:val="18"/>
          <w:szCs w:val="18"/>
          <w:color w:val="auto"/>
        </w:rPr>
      </w:pPr>
    </w:p>
    <w:p>
      <w:pPr>
        <w:ind w:left="4" w:right="20" w:firstLine="987"/>
        <w:spacing w:after="0" w:line="266" w:lineRule="auto"/>
        <w:tabs>
          <w:tab w:leader="none" w:pos="124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commencement of each Interest Period for any Eurocurrency Borrowing, such Borrowing shall be in an aggregate amount that is an integral multiple of $1,000,000 and not less than $5,000,000;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Eurocurrency Borrowing that results from a continuation of an outstanding Eurocurrency Borrowing may be in an</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024"/>
          </w:cols>
          <w:pgMar w:left="436" w:top="270" w:right="439" w:bottom="1440" w:gutter="0" w:footer="0" w:header="0"/>
        </w:sectPr>
      </w:pPr>
    </w:p>
    <w:bookmarkStart w:id="52" w:name="page53"/>
    <w:bookmarkEnd w:id="52"/>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aggregate amount that is equal to such outstanding Borrowing. At the time that each ABR Borrowing is made, such Borrowing shall be in an aggregate amount that is an integral multiple of $1,000,000 and not less than $5,000,000. Borrowings of more than one Type and Class may be outstanding at the same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there shall not at any time be more than a total of 10 (or such greater number as may be agreed to by the Administrative Agent) Eurocurrency Borrowings outstanding.</w:t>
      </w:r>
    </w:p>
    <w:p>
      <w:pPr>
        <w:spacing w:after="0" w:line="180" w:lineRule="exact"/>
        <w:rPr>
          <w:sz w:val="20"/>
          <w:szCs w:val="20"/>
          <w:color w:val="auto"/>
        </w:rPr>
      </w:pPr>
    </w:p>
    <w:p>
      <w:pPr>
        <w:ind w:right="520" w:firstLine="987"/>
        <w:spacing w:after="0" w:line="282" w:lineRule="auto"/>
        <w:tabs>
          <w:tab w:leader="none" w:pos="1246"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of this Agreement, the Company shall not be entitled to request, or to elect to convert to or continue, any Eurocurrency Borrowing if the Interest Period requested with respect thereto would end after the applicable Maturity Date.</w:t>
      </w:r>
    </w:p>
    <w:p>
      <w:pPr>
        <w:spacing w:after="0" w:line="162" w:lineRule="exact"/>
        <w:rPr>
          <w:sz w:val="20"/>
          <w:szCs w:val="20"/>
          <w:color w:val="auto"/>
        </w:rPr>
      </w:pPr>
    </w:p>
    <w:p>
      <w:pPr>
        <w:ind w:right="4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2.03. </w:t>
      </w:r>
      <w:r>
        <w:rPr>
          <w:rFonts w:ascii="Times New Roman" w:cs="Times New Roman" w:eastAsia="Times New Roman" w:hAnsi="Times New Roman"/>
          <w:sz w:val="18"/>
          <w:szCs w:val="18"/>
          <w:u w:val="single" w:color="auto"/>
          <w:color w:val="auto"/>
        </w:rPr>
        <w:t>Requests for Borrowings</w:t>
      </w:r>
      <w:r>
        <w:rPr>
          <w:rFonts w:ascii="Times New Roman" w:cs="Times New Roman" w:eastAsia="Times New Roman" w:hAnsi="Times New Roman"/>
          <w:sz w:val="18"/>
          <w:szCs w:val="18"/>
          <w:color w:val="auto"/>
        </w:rPr>
        <w:t>. To request a Borrowing, the Company shall notify the Administrative Agent of such request by telephone or in writing (a) in the case of a Eurocurrency Borrowing, not later than 11:00 a.m., New York City time, three Business Days before the date of the proposed Borrowing (or such shorter period of time as may be agreed to in writing by the Administrative Agent) or (b) in the case of an ABR Borrowing, not later than 11:00 a.m., New York City time, one Business Day prior to the day of the proposed Borrowing (or such later time on such day as may be agreed to in writing by the Administrative Agent). Each such telephonic and written Borrowing Request shall be irrevocable (except that the Borrowing Request for the initial Borrowing may be conditioned on the consummation of the Inphi Acquisition)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84" w:lineRule="exact"/>
        <w:rPr>
          <w:sz w:val="20"/>
          <w:szCs w:val="20"/>
          <w:color w:val="auto"/>
        </w:rPr>
      </w:pPr>
    </w:p>
    <w:p>
      <w:pPr>
        <w:ind w:left="1180" w:hanging="215"/>
        <w:spacing w:after="0"/>
        <w:tabs>
          <w:tab w:leader="none" w:pos="118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requested Borrowing is to be a 3-Year Tranche Borrowing or a 5-Year Tranche Borrowing;</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aggregate amount of such Borrowing;</w:t>
      </w:r>
    </w:p>
    <w:p>
      <w:pPr>
        <w:spacing w:after="0" w:line="117"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of such Borrowing, which shall be a Business Day;</w:t>
      </w:r>
    </w:p>
    <w:p>
      <w:pPr>
        <w:spacing w:after="0" w:line="11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such Borrowing is to be an ABR Borrowing or a Eurocurrency Borrowing;</w:t>
      </w:r>
    </w:p>
    <w:p>
      <w:pPr>
        <w:spacing w:after="0" w:line="117" w:lineRule="exact"/>
        <w:rPr>
          <w:rFonts w:ascii="Times New Roman" w:cs="Times New Roman" w:eastAsia="Times New Roman" w:hAnsi="Times New Roman"/>
          <w:sz w:val="18"/>
          <w:szCs w:val="18"/>
          <w:color w:val="auto"/>
        </w:rPr>
      </w:pPr>
    </w:p>
    <w:p>
      <w:pPr>
        <w:ind w:left="440" w:right="240" w:firstLine="525"/>
        <w:spacing w:after="0" w:line="282" w:lineRule="auto"/>
        <w:tabs>
          <w:tab w:leader="none" w:pos="1223"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Eurocurrency Borrowing, the initial Interest Period to be applicable thereto, which shall be a period contemplated by the definition of the term “Interest Period”; and</w:t>
      </w:r>
    </w:p>
    <w:p>
      <w:pPr>
        <w:spacing w:after="0" w:line="53"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location and number of the account of the Company to which funds are to be disbursed.</w:t>
      </w:r>
    </w:p>
    <w:p>
      <w:pPr>
        <w:spacing w:after="0" w:line="225"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0980"/>
          </w:cols>
          <w:pgMar w:left="440" w:top="270" w:right="479" w:bottom="1440" w:gutter="0" w:footer="0" w:header="0"/>
        </w:sectPr>
      </w:pPr>
    </w:p>
    <w:bookmarkStart w:id="53" w:name="page54"/>
    <w:bookmarkEnd w:id="53"/>
    <w:p>
      <w:pPr>
        <w:ind w:right="4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Request in accordance with this Section, the Administrative Agent shall advise each Lender of the applicable Class of the details thereof and of the amount of such Lender’s Loan to be made as part of the requested Borrowing.</w:t>
      </w:r>
    </w:p>
    <w:p>
      <w:pPr>
        <w:spacing w:after="0" w:line="162" w:lineRule="exact"/>
        <w:rPr>
          <w:sz w:val="20"/>
          <w:szCs w:val="20"/>
          <w:color w:val="auto"/>
        </w:rPr>
      </w:pPr>
    </w:p>
    <w:p>
      <w:pPr>
        <w:ind w:right="10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2.04. </w:t>
      </w:r>
      <w:r>
        <w:rPr>
          <w:rFonts w:ascii="Times New Roman" w:cs="Times New Roman" w:eastAsia="Times New Roman" w:hAnsi="Times New Roman"/>
          <w:sz w:val="18"/>
          <w:szCs w:val="18"/>
          <w:u w:val="single" w:color="auto"/>
          <w:color w:val="auto"/>
        </w:rPr>
        <w:t>Funding of Borrowings</w:t>
      </w:r>
      <w:r>
        <w:rPr>
          <w:rFonts w:ascii="Times New Roman" w:cs="Times New Roman" w:eastAsia="Times New Roman" w:hAnsi="Times New Roman"/>
          <w:sz w:val="18"/>
          <w:szCs w:val="18"/>
          <w:color w:val="auto"/>
        </w:rPr>
        <w:t>. (a) Each Lender shall make each Loan to be made by it hereunder on the proposed date thereof by wire transfer of immediately available funds by 10:00 a.m.,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183" w:lineRule="exact"/>
        <w:rPr>
          <w:sz w:val="20"/>
          <w:szCs w:val="20"/>
          <w:color w:val="auto"/>
        </w:rPr>
      </w:pPr>
    </w:p>
    <w:p>
      <w:pPr>
        <w:ind w:firstLine="987"/>
        <w:spacing w:after="0" w:line="253" w:lineRule="auto"/>
        <w:tabs>
          <w:tab w:leader="none" w:pos="1246"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of the applicable Class.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87" w:lineRule="exact"/>
        <w:rPr>
          <w:sz w:val="20"/>
          <w:szCs w:val="20"/>
          <w:color w:val="auto"/>
        </w:rPr>
      </w:pPr>
    </w:p>
    <w:p>
      <w:pPr>
        <w:ind w:right="8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2.05. </w:t>
      </w:r>
      <w:r>
        <w:rPr>
          <w:rFonts w:ascii="Times New Roman" w:cs="Times New Roman" w:eastAsia="Times New Roman" w:hAnsi="Times New Roman"/>
          <w:sz w:val="18"/>
          <w:szCs w:val="18"/>
          <w:u w:val="single" w:color="auto"/>
          <w:color w:val="auto"/>
        </w:rPr>
        <w:t>Interest Elections</w:t>
      </w:r>
      <w:r>
        <w:rPr>
          <w:rFonts w:ascii="Times New Roman" w:cs="Times New Roman" w:eastAsia="Times New Roman" w:hAnsi="Times New Roman"/>
          <w:sz w:val="18"/>
          <w:szCs w:val="18"/>
          <w:color w:val="auto"/>
        </w:rPr>
        <w:t>. (a) Each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 No 3-Year Tranche Loan may be converted into or continued as a 5-Year Tranche Loan, and no 5-Year Tranche Loan may be converted into or continued as a 3-Year Tranche Loan.</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00"/>
          </w:cols>
          <w:pgMar w:left="440" w:top="270" w:right="459" w:bottom="1440" w:gutter="0" w:footer="0" w:header="0"/>
        </w:sectPr>
      </w:pPr>
    </w:p>
    <w:bookmarkStart w:id="54" w:name="page55"/>
    <w:bookmarkEnd w:id="54"/>
    <w:p>
      <w:pPr>
        <w:ind w:right="60" w:firstLine="987"/>
        <w:spacing w:after="0" w:line="258" w:lineRule="auto"/>
        <w:tabs>
          <w:tab w:leader="none" w:pos="1246" w:val="left"/>
        </w:tabs>
        <w:numPr>
          <w:ilvl w:val="2"/>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 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75" w:lineRule="exact"/>
        <w:rPr>
          <w:rFonts w:ascii="Times New Roman" w:cs="Times New Roman" w:eastAsia="Times New Roman" w:hAnsi="Times New Roman"/>
          <w:sz w:val="18"/>
          <w:szCs w:val="18"/>
          <w:color w:val="auto"/>
        </w:rPr>
      </w:pPr>
    </w:p>
    <w:p>
      <w:pPr>
        <w:ind w:left="440" w:right="20" w:firstLine="525"/>
        <w:spacing w:after="0" w:line="276" w:lineRule="auto"/>
        <w:tabs>
          <w:tab w:leader="none" w:pos="1183" w:val="left"/>
        </w:tabs>
        <w:numPr>
          <w:ilvl w:val="1"/>
          <w:numId w:val="3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w:t>
      </w:r>
    </w:p>
    <w:p>
      <w:pPr>
        <w:ind w:left="760" w:hanging="324"/>
        <w:spacing w:after="0"/>
        <w:tabs>
          <w:tab w:leader="none" w:pos="7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 (iv) below shall be specified for each resulting Borrowing);</w:t>
      </w:r>
    </w:p>
    <w:p>
      <w:pPr>
        <w:spacing w:after="0" w:line="98"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effective date of the election made pursuant to such Interest Election Request, which shall be a Business Day;</w:t>
      </w:r>
    </w:p>
    <w:p>
      <w:pPr>
        <w:spacing w:after="0" w:line="117"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resulting Borrowing is to be an ABR Borrowing or a Eurocurrency Borrowing; and</w:t>
      </w:r>
    </w:p>
    <w:p>
      <w:pPr>
        <w:spacing w:after="0" w:line="117" w:lineRule="exact"/>
        <w:rPr>
          <w:rFonts w:ascii="Times New Roman" w:cs="Times New Roman" w:eastAsia="Times New Roman" w:hAnsi="Times New Roman"/>
          <w:sz w:val="18"/>
          <w:szCs w:val="18"/>
          <w:color w:val="auto"/>
        </w:rPr>
      </w:pPr>
    </w:p>
    <w:p>
      <w:pPr>
        <w:ind w:left="440" w:right="280" w:firstLine="525"/>
        <w:spacing w:after="0" w:line="282" w:lineRule="auto"/>
        <w:tabs>
          <w:tab w:leader="none" w:pos="1273"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62"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62" w:lineRule="exact"/>
        <w:rPr>
          <w:sz w:val="20"/>
          <w:szCs w:val="20"/>
          <w:color w:val="auto"/>
        </w:rPr>
      </w:pPr>
    </w:p>
    <w:p>
      <w:pPr>
        <w:ind w:right="80" w:firstLine="987"/>
        <w:spacing w:after="0" w:line="282" w:lineRule="auto"/>
        <w:tabs>
          <w:tab w:leader="none" w:pos="1236"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following receipt of an Interest Election Request in accordance with this Section, the Administrative Agent shall advise each Lender of the applicable Class of the details thereof and of such Lender’s portion of each resulting Borrowing.</w:t>
      </w:r>
    </w:p>
    <w:p>
      <w:pPr>
        <w:spacing w:after="0" w:line="161" w:lineRule="exact"/>
        <w:rPr>
          <w:rFonts w:ascii="Times New Roman" w:cs="Times New Roman" w:eastAsia="Times New Roman" w:hAnsi="Times New Roman"/>
          <w:sz w:val="18"/>
          <w:szCs w:val="18"/>
          <w:color w:val="auto"/>
        </w:rPr>
      </w:pPr>
    </w:p>
    <w:p>
      <w:pPr>
        <w:ind w:firstLine="987"/>
        <w:spacing w:after="0" w:line="256" w:lineRule="auto"/>
        <w:tabs>
          <w:tab w:leader="none" w:pos="1246"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Administrative Agent, at the request of a Majority in Interest of Lenders of any Class, has notified the Company of the election to give effect to this sentence on account of such other Event of Default, then, in each such case, so long as</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000"/>
          </w:cols>
          <w:pgMar w:left="440" w:top="270" w:right="459" w:bottom="1440" w:gutter="0" w:footer="0" w:header="0"/>
        </w:sectPr>
      </w:pPr>
    </w:p>
    <w:bookmarkStart w:id="55" w:name="page56"/>
    <w:bookmarkEnd w:id="55"/>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such Event of Default is continuing, (i) no outstanding Borrowing of such Class may be converted to or continued as a Eurocurrency Borrowing and</w:t>
      </w:r>
    </w:p>
    <w:p>
      <w:pPr>
        <w:spacing w:after="0" w:line="27" w:lineRule="exact"/>
        <w:rPr>
          <w:sz w:val="20"/>
          <w:szCs w:val="20"/>
          <w:color w:val="auto"/>
        </w:rPr>
      </w:pPr>
    </w:p>
    <w:p>
      <w:pPr>
        <w:ind w:left="4" w:right="380" w:hanging="4"/>
        <w:spacing w:after="0" w:line="260" w:lineRule="auto"/>
        <w:tabs>
          <w:tab w:leader="none" w:pos="269"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repaid, each Eurocurrency Borrowing of such Class shall be converted to an ABR Borrowing at the end of the Interest Period applicable thereto.</w:t>
      </w:r>
    </w:p>
    <w:p>
      <w:pPr>
        <w:spacing w:after="0" w:line="181" w:lineRule="exact"/>
        <w:rPr>
          <w:sz w:val="20"/>
          <w:szCs w:val="20"/>
          <w:color w:val="auto"/>
        </w:rPr>
      </w:pPr>
    </w:p>
    <w:p>
      <w:pPr>
        <w:ind w:left="4" w:right="120" w:firstLine="991"/>
        <w:spacing w:after="0" w:line="276" w:lineRule="auto"/>
        <w:rPr>
          <w:sz w:val="20"/>
          <w:szCs w:val="20"/>
          <w:color w:val="auto"/>
        </w:rPr>
      </w:pPr>
      <w:r>
        <w:rPr>
          <w:rFonts w:ascii="Times New Roman" w:cs="Times New Roman" w:eastAsia="Times New Roman" w:hAnsi="Times New Roman"/>
          <w:sz w:val="17"/>
          <w:szCs w:val="17"/>
          <w:color w:val="auto"/>
        </w:rPr>
        <w:t xml:space="preserve">SECTION 2.06. </w:t>
      </w:r>
      <w:r>
        <w:rPr>
          <w:rFonts w:ascii="Times New Roman" w:cs="Times New Roman" w:eastAsia="Times New Roman" w:hAnsi="Times New Roman"/>
          <w:sz w:val="17"/>
          <w:szCs w:val="17"/>
          <w:u w:val="single" w:color="auto"/>
          <w:color w:val="auto"/>
        </w:rPr>
        <w:t>Termination and Reduction of Commitments</w:t>
      </w:r>
      <w:r>
        <w:rPr>
          <w:rFonts w:ascii="Times New Roman" w:cs="Times New Roman" w:eastAsia="Times New Roman" w:hAnsi="Times New Roman"/>
          <w:sz w:val="17"/>
          <w:szCs w:val="17"/>
          <w:color w:val="auto"/>
        </w:rPr>
        <w:t>. (a) Unless previously terminated, the Commitment of each Term Lender shall automatically terminate on the earlier of (A) immediately after the making of the Term Loan by such Term Lender on the Term Funding Date and</w:t>
      </w:r>
    </w:p>
    <w:p>
      <w:pPr>
        <w:spacing w:after="0" w:line="1" w:lineRule="exact"/>
        <w:rPr>
          <w:sz w:val="20"/>
          <w:szCs w:val="20"/>
          <w:color w:val="auto"/>
        </w:rPr>
      </w:pPr>
    </w:p>
    <w:p>
      <w:pPr>
        <w:ind w:left="284" w:hanging="284"/>
        <w:spacing w:after="0"/>
        <w:tabs>
          <w:tab w:leader="none" w:pos="284"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Commitment Termination Date.</w:t>
      </w:r>
    </w:p>
    <w:p>
      <w:pPr>
        <w:spacing w:after="0" w:line="206" w:lineRule="exact"/>
        <w:rPr>
          <w:rFonts w:ascii="Times New Roman" w:cs="Times New Roman" w:eastAsia="Times New Roman" w:hAnsi="Times New Roman"/>
          <w:sz w:val="18"/>
          <w:szCs w:val="18"/>
          <w:color w:val="auto"/>
        </w:rPr>
      </w:pPr>
    </w:p>
    <w:p>
      <w:pPr>
        <w:ind w:left="4" w:right="40" w:firstLine="987"/>
        <w:spacing w:after="0" w:line="282" w:lineRule="auto"/>
        <w:tabs>
          <w:tab w:leader="none" w:pos="125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may at any time terminate, or from time to time permanently reduce, the Commitments of any Class;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each reduction of the Commitments of a Class shall be in an amount that is an integral multiple of $1,000,000 and not less than $5,000,000.</w:t>
      </w:r>
    </w:p>
    <w:p>
      <w:pPr>
        <w:spacing w:after="0" w:line="161" w:lineRule="exact"/>
        <w:rPr>
          <w:rFonts w:ascii="Times New Roman" w:cs="Times New Roman" w:eastAsia="Times New Roman" w:hAnsi="Times New Roman"/>
          <w:sz w:val="18"/>
          <w:szCs w:val="18"/>
          <w:color w:val="auto"/>
        </w:rPr>
      </w:pPr>
    </w:p>
    <w:p>
      <w:pPr>
        <w:ind w:left="4" w:firstLine="987"/>
        <w:spacing w:after="0" w:line="254" w:lineRule="auto"/>
        <w:tabs>
          <w:tab w:leader="none" w:pos="124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shall notify the Administrative Agent of any election to terminate or reduce the Commitments under paragraph (b) of this Section at least three Business Days prior to the effective date of such termination or reduction, specifying the effective date thereof. Promptly following receipt of any such notice, the Administrative Agent shall advise the Lenders of the applicable Class of the contents thereof. Each notice delivered by the Company pursuant to this Section shall be irrevocable;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notice of termination or reduction of the Commitments of any Class under paragraph (b) of this Section may state that such notice is conditioned upon the occurrence of one or more events specified therein, in which case such notice may be revoked by the Company (by notice to the Administrative Agent) on or prior to the specified effective date if such condition is not satisfied. Any termination or reduction of the Commitments of any Class shall be permanent. Each reduction of the Commitments of any Class shall be made ratably among the Lenders in accordance with their respective Commitments of such Class.</w:t>
      </w:r>
    </w:p>
    <w:p>
      <w:pPr>
        <w:spacing w:after="0" w:line="192" w:lineRule="exact"/>
        <w:rPr>
          <w:sz w:val="20"/>
          <w:szCs w:val="20"/>
          <w:color w:val="auto"/>
        </w:rPr>
      </w:pPr>
    </w:p>
    <w:p>
      <w:pPr>
        <w:jc w:val="both"/>
        <w:ind w:left="4" w:right="2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2.07. </w:t>
      </w:r>
      <w:r>
        <w:rPr>
          <w:rFonts w:ascii="Times New Roman" w:cs="Times New Roman" w:eastAsia="Times New Roman" w:hAnsi="Times New Roman"/>
          <w:sz w:val="18"/>
          <w:szCs w:val="18"/>
          <w:u w:val="single" w:color="auto"/>
          <w:color w:val="auto"/>
        </w:rPr>
        <w:t>Repayment of Loans; Amortization; Evidence of Debt</w:t>
      </w:r>
      <w:r>
        <w:rPr>
          <w:rFonts w:ascii="Times New Roman" w:cs="Times New Roman" w:eastAsia="Times New Roman" w:hAnsi="Times New Roman"/>
          <w:sz w:val="18"/>
          <w:szCs w:val="18"/>
          <w:color w:val="auto"/>
        </w:rPr>
        <w:t>. (a) (i) The Company hereby unconditionally promises to pay to the Administrative Agent for the account of each 3-Year Tranche Term Lender the then unpaid principal amount of each 3-Year Tranche Loan of such Term Lender on the 3-Year Tranche Maturity Date.</w:t>
      </w:r>
    </w:p>
    <w:p>
      <w:pPr>
        <w:spacing w:after="0" w:line="176" w:lineRule="exact"/>
        <w:rPr>
          <w:sz w:val="20"/>
          <w:szCs w:val="20"/>
          <w:color w:val="auto"/>
        </w:rPr>
      </w:pPr>
    </w:p>
    <w:p>
      <w:pPr>
        <w:ind w:left="4" w:right="60" w:firstLine="987"/>
        <w:spacing w:after="0" w:line="256" w:lineRule="auto"/>
        <w:tabs>
          <w:tab w:leader="none" w:pos="12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(x) shall repay to the Administrative Agent for the account of each 5-Year Tranche Term Lender (which repayments shall be adjusted from time to time pursuant to Section 2.08) on the last day of each fiscal quarter of the Company (commencing on the last day of the first full fiscal quarter of the Company ending after the Term Funding Date) or, if any such date is not a Business Day, on the next succeeding Business Day, a principal amount in respect of the 5-Year Tranche equal to (A) in the case of each quarterly payment for the first four (4) full fiscal quarters following the Term Funding Date, 1.25% of the aggregate principal amount of such 5-Year Tranche Loans on the Term Funding Date, (B) in the case of each quarterly payments for the fifth through twelfth full fiscal quarters following the Term Funding</w:t>
      </w:r>
    </w:p>
    <w:p>
      <w:pPr>
        <w:spacing w:after="0" w:line="12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0984"/>
          </w:cols>
          <w:pgMar w:left="436" w:top="270" w:right="479" w:bottom="1440" w:gutter="0" w:footer="0" w:header="0"/>
        </w:sectPr>
      </w:pPr>
    </w:p>
    <w:bookmarkStart w:id="56" w:name="page57"/>
    <w:bookmarkEnd w:id="56"/>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Date, 2.50% of the aggregate principal amount of such 5-Year Tranche Loans on the Term Funding Date and (C) in the case of each quarterly payment for each fiscal quarter following the twelfth full fiscal quarter following the Term Funding Date, 3.75% of the aggregate principal amount of such 5-Year Tranche Loans on the Term Funding Date and (y) hereby unconditionally promises to pay to the Administrative Agent for the account of each 5-Year Tranche Term Lender the then unpaid principal amount of each 5-Year Tranche Loan of such Term Lender on the 5-Year Tranche Maturity Date.</w:t>
      </w:r>
    </w:p>
    <w:p>
      <w:pPr>
        <w:spacing w:after="0" w:line="180" w:lineRule="exact"/>
        <w:rPr>
          <w:sz w:val="20"/>
          <w:szCs w:val="20"/>
          <w:color w:val="auto"/>
        </w:rPr>
      </w:pPr>
    </w:p>
    <w:p>
      <w:pPr>
        <w:ind w:right="220" w:firstLine="987"/>
        <w:spacing w:after="0" w:line="258" w:lineRule="auto"/>
        <w:tabs>
          <w:tab w:leader="none" w:pos="1246"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records maintained by the Administrative Agent and the Lenders shall (in the case of the Lenders, to the extent they are not inconsistent with the records maintained by the Administrative Agent pursuant to Section 9.04(b)(iv)) be prima facie evidence of the existence and amounts of the obligations of the Company in respect of the Loans, interest and fees due or accrued hereunder; provided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183" w:lineRule="exact"/>
        <w:rPr>
          <w:rFonts w:ascii="Times New Roman" w:cs="Times New Roman" w:eastAsia="Times New Roman" w:hAnsi="Times New Roman"/>
          <w:sz w:val="18"/>
          <w:szCs w:val="18"/>
          <w:color w:val="auto"/>
        </w:rPr>
      </w:pPr>
    </w:p>
    <w:p>
      <w:pPr>
        <w:ind w:right="260" w:firstLine="987"/>
        <w:spacing w:after="0" w:line="281" w:lineRule="auto"/>
        <w:tabs>
          <w:tab w:leader="none" w:pos="1236" w:val="left"/>
        </w:tabs>
        <w:numPr>
          <w:ilvl w:val="0"/>
          <w:numId w:val="4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Lender may request that Loans of any Class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64"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2.08. </w:t>
      </w:r>
      <w:r>
        <w:rPr>
          <w:rFonts w:ascii="Times New Roman" w:cs="Times New Roman" w:eastAsia="Times New Roman" w:hAnsi="Times New Roman"/>
          <w:sz w:val="18"/>
          <w:szCs w:val="18"/>
          <w:u w:val="single" w:color="auto"/>
          <w:color w:val="auto"/>
        </w:rPr>
        <w:t>Prepayment of Loans</w:t>
      </w:r>
      <w:r>
        <w:rPr>
          <w:rFonts w:ascii="Times New Roman" w:cs="Times New Roman" w:eastAsia="Times New Roman" w:hAnsi="Times New Roman"/>
          <w:sz w:val="18"/>
          <w:szCs w:val="18"/>
          <w:color w:val="auto"/>
        </w:rPr>
        <w:t>. (a) The Company shall have the right at any time and from time to time to prepay any Borrowing in whole or in part, without premium or penalty, subject to the requirements of this Section.</w:t>
      </w:r>
    </w:p>
    <w:p>
      <w:pPr>
        <w:spacing w:after="0" w:line="162" w:lineRule="exact"/>
        <w:rPr>
          <w:sz w:val="20"/>
          <w:szCs w:val="20"/>
          <w:color w:val="auto"/>
        </w:rPr>
      </w:pPr>
    </w:p>
    <w:p>
      <w:pPr>
        <w:ind w:right="40" w:firstLine="987"/>
        <w:spacing w:after="0" w:line="253" w:lineRule="auto"/>
        <w:tabs>
          <w:tab w:leader="none" w:pos="1246"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shall notify the Administrative Agent by telephone (confirmed by hand delivery or facsimile) or in writing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Class of Borrowing to be prepaid, the Borrowing or Borrowings to be prepaid and the principal amount of each such Borrowing or portion thereof to be prepaid;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notice of optional prepayment of Borrowings may state that such notice is conditioned upon the occurrence of one or more events specified therein, in which case such notice may be revoked by the Company (by notice to the Administrative Agent on or prior to the specified date of prepayment) if such condition is not satisfied.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(x) a Borrowing of Term Loans shall be applied ratably to the Loans included in the prepaid Borrowing and (y) a Borrowing of 5-Year Tranche Term Loans</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000"/>
          </w:cols>
          <w:pgMar w:left="440" w:top="270" w:right="459" w:bottom="1440" w:gutter="0" w:footer="0" w:header="0"/>
        </w:sectPr>
      </w:pPr>
    </w:p>
    <w:bookmarkStart w:id="57" w:name="page58"/>
    <w:bookmarkEnd w:id="57"/>
    <w:p>
      <w:pPr>
        <w:ind w:right="2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be applied ratably to the scheduled installments of principal set forth in Section 2.07(a)(ii) above. Prepayments shall be accompanied by accrued interest to the extent required by Section 2.10. Any prepayment of Term Loans pursuant to this Section 2.08 may be applied, at the Company’s discretion, to one or more Classes of Loans as specified by the Company.</w:t>
      </w:r>
    </w:p>
    <w:p>
      <w:pPr>
        <w:spacing w:after="0" w:line="176"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2.09. </w:t>
      </w:r>
      <w:r>
        <w:rPr>
          <w:rFonts w:ascii="Times New Roman" w:cs="Times New Roman" w:eastAsia="Times New Roman" w:hAnsi="Times New Roman"/>
          <w:sz w:val="18"/>
          <w:szCs w:val="18"/>
          <w:u w:val="single" w:color="auto"/>
          <w:color w:val="auto"/>
        </w:rPr>
        <w:t>Fees</w:t>
      </w:r>
      <w:r>
        <w:rPr>
          <w:rFonts w:ascii="Times New Roman" w:cs="Times New Roman" w:eastAsia="Times New Roman" w:hAnsi="Times New Roman"/>
          <w:sz w:val="18"/>
          <w:szCs w:val="18"/>
          <w:color w:val="auto"/>
        </w:rPr>
        <w:t>. (a) The Company agrees to pay to the Administrative Agent for the account of each Term Lender a ticking fee (the “</w:t>
      </w:r>
      <w:r>
        <w:rPr>
          <w:rFonts w:ascii="Times New Roman" w:cs="Times New Roman" w:eastAsia="Times New Roman" w:hAnsi="Times New Roman"/>
          <w:sz w:val="18"/>
          <w:szCs w:val="18"/>
          <w:u w:val="single" w:color="auto"/>
          <w:color w:val="auto"/>
        </w:rPr>
        <w:t>Term Ticking Fee</w:t>
      </w:r>
      <w:r>
        <w:rPr>
          <w:rFonts w:ascii="Times New Roman" w:cs="Times New Roman" w:eastAsia="Times New Roman" w:hAnsi="Times New Roman"/>
          <w:sz w:val="18"/>
          <w:szCs w:val="18"/>
          <w:color w:val="auto"/>
        </w:rPr>
        <w:t>”), which shall accrue at the applicable Term Ticking Fee Rate on the daily amount of the applicable Commitment of such Lender during the period (the “</w:t>
      </w:r>
      <w:r>
        <w:rPr>
          <w:rFonts w:ascii="Times New Roman" w:cs="Times New Roman" w:eastAsia="Times New Roman" w:hAnsi="Times New Roman"/>
          <w:sz w:val="18"/>
          <w:szCs w:val="18"/>
          <w:u w:val="single" w:color="auto"/>
          <w:color w:val="auto"/>
        </w:rPr>
        <w:t>Term Ticking Fee Accrual Period</w:t>
      </w:r>
      <w:r>
        <w:rPr>
          <w:rFonts w:ascii="Times New Roman" w:cs="Times New Roman" w:eastAsia="Times New Roman" w:hAnsi="Times New Roman"/>
          <w:sz w:val="18"/>
          <w:szCs w:val="18"/>
          <w:color w:val="auto"/>
        </w:rPr>
        <w:t>”) that (i) commences on the date that is 90 days after the Signing Date and (ii) ends on the earlier of (A) the Term Funding Date and (B) the date on which the applicable Commitment of such Lender terminates or expires. Accrued Term Ticking Fees shall be payable in arrears on the last day of the Term Ticking Fee Accrual Period. All Term Ticking Fees shall be computed on the basis of a year of 360 days and shall be payable for the actual number of days elapsed (including the first day but excluding the last day).</w:t>
      </w:r>
    </w:p>
    <w:p>
      <w:pPr>
        <w:spacing w:after="0" w:line="187" w:lineRule="exact"/>
        <w:rPr>
          <w:sz w:val="20"/>
          <w:szCs w:val="20"/>
          <w:color w:val="auto"/>
        </w:rPr>
      </w:pPr>
    </w:p>
    <w:p>
      <w:pPr>
        <w:ind w:right="180" w:firstLine="987"/>
        <w:spacing w:after="0" w:line="282" w:lineRule="auto"/>
        <w:tabs>
          <w:tab w:leader="none" w:pos="1246"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agrees to pay to the Administrative Agent, for its own account, fees payable in the amounts and at the times separately agreed upon between the Company and the Administrative Agent.</w:t>
      </w:r>
    </w:p>
    <w:p>
      <w:pPr>
        <w:spacing w:after="0" w:line="161" w:lineRule="exact"/>
        <w:rPr>
          <w:rFonts w:ascii="Times New Roman" w:cs="Times New Roman" w:eastAsia="Times New Roman" w:hAnsi="Times New Roman"/>
          <w:sz w:val="18"/>
          <w:szCs w:val="18"/>
          <w:color w:val="auto"/>
        </w:rPr>
      </w:pPr>
    </w:p>
    <w:p>
      <w:pPr>
        <w:ind w:right="100" w:firstLine="987"/>
        <w:spacing w:after="0" w:line="266" w:lineRule="auto"/>
        <w:tabs>
          <w:tab w:leader="none" w:pos="1236"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fees payable hereunder shall be paid on the dates due, in immediately available funds, to (i) in the case of the Term Ticking Fees, the Administrative Agent for distribution to the Term Lenders entitled thereto and (ii) in the case of any fees payable to the Administrative Agent for its own account, to the Administrative Agent. Fees paid shall not be refundable under any circumstances.</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2.10. </w:t>
      </w:r>
      <w:r>
        <w:rPr>
          <w:rFonts w:ascii="Times New Roman" w:cs="Times New Roman" w:eastAsia="Times New Roman" w:hAnsi="Times New Roman"/>
          <w:sz w:val="18"/>
          <w:szCs w:val="18"/>
          <w:u w:val="single" w:color="auto"/>
          <w:color w:val="auto"/>
        </w:rPr>
        <w:t>Interest</w:t>
      </w:r>
      <w:r>
        <w:rPr>
          <w:rFonts w:ascii="Times New Roman" w:cs="Times New Roman" w:eastAsia="Times New Roman" w:hAnsi="Times New Roman"/>
          <w:sz w:val="18"/>
          <w:szCs w:val="18"/>
          <w:color w:val="auto"/>
        </w:rPr>
        <w:t>. (a) The Loans comprising each ABR Borrowing shall bear interest at the Alternate Base Rate plus the Applicable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Rate.</w:t>
      </w:r>
    </w:p>
    <w:p>
      <w:pPr>
        <w:spacing w:after="0" w:line="207" w:lineRule="exact"/>
        <w:rPr>
          <w:sz w:val="20"/>
          <w:szCs w:val="20"/>
          <w:color w:val="auto"/>
        </w:rPr>
      </w:pPr>
    </w:p>
    <w:p>
      <w:pPr>
        <w:ind w:right="140" w:firstLine="987"/>
        <w:spacing w:after="0" w:line="282" w:lineRule="auto"/>
        <w:tabs>
          <w:tab w:leader="none" w:pos="1246"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Loans comprising each Eurocurrency Borrowing shall bear interest at the Adjusted LIBO Rate for the Interest Period in effect for such Borrowing plus the Applicable Rate.</w:t>
      </w:r>
    </w:p>
    <w:p>
      <w:pPr>
        <w:spacing w:after="0" w:line="161" w:lineRule="exact"/>
        <w:rPr>
          <w:rFonts w:ascii="Times New Roman" w:cs="Times New Roman" w:eastAsia="Times New Roman" w:hAnsi="Times New Roman"/>
          <w:sz w:val="18"/>
          <w:szCs w:val="18"/>
          <w:color w:val="auto"/>
        </w:rPr>
      </w:pPr>
    </w:p>
    <w:p>
      <w:pPr>
        <w:ind w:right="40" w:firstLine="987"/>
        <w:spacing w:after="0" w:line="255" w:lineRule="auto"/>
        <w:tabs>
          <w:tab w:leader="none" w:pos="1236"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Commitment, 2.00% per annum plus the rate applicable to ABR Loans that are of the same Class as the Class of such Loan or Commitment, as provided in paragraph (a) of this Section, or (ii) in the case of any other amount, 2.00% per annum plus the rate applicable to ABR Loans, as provided in paragraph (a) of this Section.</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020"/>
          </w:cols>
          <w:pgMar w:left="440" w:top="270" w:right="439" w:bottom="1440" w:gutter="0" w:footer="0" w:header="0"/>
        </w:sectPr>
      </w:pPr>
    </w:p>
    <w:bookmarkStart w:id="58" w:name="page59"/>
    <w:bookmarkEnd w:id="58"/>
    <w:p>
      <w:pPr>
        <w:ind w:right="80" w:firstLine="987"/>
        <w:spacing w:after="0" w:line="258" w:lineRule="auto"/>
        <w:tabs>
          <w:tab w:leader="none" w:pos="1246"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Accrued interest on each Loan shall be payable in arrears on each Interest Payment Date for such Loan;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interest accrued pursuant to paragraph (c) of this Section shall be payable on demand, (ii) in the event of any repayment or prepayment of any Loan,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183" w:lineRule="exact"/>
        <w:rPr>
          <w:rFonts w:ascii="Times New Roman" w:cs="Times New Roman" w:eastAsia="Times New Roman" w:hAnsi="Times New Roman"/>
          <w:sz w:val="18"/>
          <w:szCs w:val="18"/>
          <w:color w:val="auto"/>
        </w:rPr>
      </w:pPr>
    </w:p>
    <w:p>
      <w:pPr>
        <w:jc w:val="both"/>
        <w:ind w:right="60" w:firstLine="987"/>
        <w:spacing w:after="0" w:line="258" w:lineRule="auto"/>
        <w:tabs>
          <w:tab w:leader="none" w:pos="1236"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Administrative Agent, and such determination shall be conclusive absent manifest error.</w:t>
      </w:r>
    </w:p>
    <w:p>
      <w:pPr>
        <w:spacing w:after="0" w:line="183" w:lineRule="exact"/>
        <w:rPr>
          <w:sz w:val="20"/>
          <w:szCs w:val="20"/>
          <w:color w:val="auto"/>
        </w:rPr>
      </w:pPr>
    </w:p>
    <w:p>
      <w:pPr>
        <w:ind w:right="9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u w:val="single" w:color="auto"/>
          <w:color w:val="auto"/>
        </w:rPr>
        <w:t>Alternate Rate of Interest</w:t>
      </w:r>
      <w:r>
        <w:rPr>
          <w:rFonts w:ascii="Times New Roman" w:cs="Times New Roman" w:eastAsia="Times New Roman" w:hAnsi="Times New Roman"/>
          <w:sz w:val="18"/>
          <w:szCs w:val="18"/>
          <w:color w:val="auto"/>
        </w:rPr>
        <w:t>. (a) Subject to clauses (b), (c), (d), (e), (f) and (g) of this Section 2.11, if prior to the commencement of any Interest Period for a Eurocurrency Borrowing of any Class:</w:t>
      </w:r>
    </w:p>
    <w:p>
      <w:pPr>
        <w:spacing w:after="0" w:line="54" w:lineRule="exact"/>
        <w:rPr>
          <w:sz w:val="20"/>
          <w:szCs w:val="20"/>
          <w:color w:val="auto"/>
        </w:rPr>
      </w:pPr>
    </w:p>
    <w:p>
      <w:pPr>
        <w:ind w:left="440" w:right="140" w:firstLine="525"/>
        <w:spacing w:after="0" w:line="266" w:lineRule="auto"/>
        <w:tabs>
          <w:tab w:leader="none" w:pos="1183"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Administrative Agent determines (which determination shall be conclusive absent manifest error) that adequate and reasonable means do not exist for ascertaining the Adjusted LIBO Rate for such Interest Period (including because the LIBO Screen Rate is not available or published on a current basis) for such Interest Period;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Benchmark Transition Event shall have occurred at such time; or</w:t>
      </w:r>
    </w:p>
    <w:p>
      <w:pPr>
        <w:spacing w:after="0" w:line="67" w:lineRule="exact"/>
        <w:rPr>
          <w:rFonts w:ascii="Times New Roman" w:cs="Times New Roman" w:eastAsia="Times New Roman" w:hAnsi="Times New Roman"/>
          <w:sz w:val="18"/>
          <w:szCs w:val="18"/>
          <w:color w:val="auto"/>
        </w:rPr>
      </w:pPr>
    </w:p>
    <w:p>
      <w:pPr>
        <w:ind w:left="440" w:right="60" w:firstLine="525"/>
        <w:spacing w:after="0" w:line="266" w:lineRule="auto"/>
        <w:tabs>
          <w:tab w:leader="none" w:pos="1233"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is advised by a Majority in Interest of the Lenders of such Class that the Adjusted LIBO Rate for such Interest Period will not adequately and fairly reflect the cost to such Lenders of making or maintaining their Loans included in such Eurocurrency Borrowing for such Interest Period;</w:t>
      </w:r>
    </w:p>
    <w:p>
      <w:pPr>
        <w:spacing w:after="0" w:line="176"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then the Administrative Agent shall give notice (which may be telephonic) thereof to the Company and the Lenders of such Class as promptly as practicable and, until the Administrative Agent notifies the Company and the Lenders of such Class that the circumstances giving rise to such notice no longer exist, (A) any Interest Election Request that requests the conversion of any Borrowing of such Class to, or continuation of any Borrowing of such Class as, a Eurocurrency Borrowing shall be ineffective, and such Borrowing shall be continued as an ABR Borrowing, and (B) any Borrowing Request for a Eurocurrency Borrowing of such Class shall be treated as a request for an ABR Borrowing.</w:t>
      </w:r>
    </w:p>
    <w:p>
      <w:pPr>
        <w:spacing w:after="0" w:line="183" w:lineRule="exact"/>
        <w:rPr>
          <w:sz w:val="20"/>
          <w:szCs w:val="20"/>
          <w:color w:val="auto"/>
        </w:rPr>
      </w:pPr>
    </w:p>
    <w:p>
      <w:pPr>
        <w:ind w:right="160" w:firstLine="987"/>
        <w:spacing w:after="0" w:line="282" w:lineRule="auto"/>
        <w:tabs>
          <w:tab w:leader="none" w:pos="1246"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herein or in any other Loan Document, if a Benchmark Transition Event or an Early Opt-in Election, as applicable, and its related Benchmark Replacement Date have occurred prior to the Reference Time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0980"/>
          </w:cols>
          <w:pgMar w:left="440" w:top="270" w:right="479" w:bottom="1440" w:gutter="0" w:footer="0" w:header="0"/>
        </w:sectPr>
      </w:pPr>
    </w:p>
    <w:bookmarkStart w:id="59" w:name="page60"/>
    <w:bookmarkEnd w:id="59"/>
    <w:p>
      <w:pPr>
        <w:ind w:right="8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respect of any setting of the then-current Benchmark, then (x) if a Benchmark Replacement is determined in accordance with clause (1) or (2) of the definition of “Benchmark Replacement” for such Benchmark Replacement Date, such Benchmark Replacement will replace such Benchmark for all purposes hereunder and under any Loan Document in respect of such Benchmark setting and subsequent Benchmark settings without any amendment to, or further action or consent of any other party to, this Agreement or any other Loan Document and (y) if a Benchmark Replacement is determined in accordance with clause (3) of the definition of “Benchmark Replacement” for such Benchmark Replacement Date, such Benchmark Replacement will replace such Benchmark for all purposes hereunder and under any Loan Document in respect of any Benchmark setting at or after 5:00 p.m. (New York City time) on the fifth (5th) Business Day after the date notice of such Benchmark Replacement is provided to the Lenders without any amendment to, or further action or consent of any other party to, this Agreement or any other Loan Document so long as the Administrative Agent has not received, by such time, written notice of objection to such Benchmark Replacement from Lenders comprising the Required Lenders of each Class.</w:t>
      </w:r>
    </w:p>
    <w:p>
      <w:pPr>
        <w:spacing w:after="0" w:line="188" w:lineRule="exact"/>
        <w:rPr>
          <w:sz w:val="20"/>
          <w:szCs w:val="20"/>
          <w:color w:val="auto"/>
        </w:rPr>
      </w:pPr>
    </w:p>
    <w:p>
      <w:pPr>
        <w:ind w:right="40" w:firstLine="987"/>
        <w:spacing w:after="0" w:line="255" w:lineRule="auto"/>
        <w:tabs>
          <w:tab w:leader="none" w:pos="1236"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herein or in any other Loan Document and subject to the proviso below in this paragraph, if a Term SOFR Transition Event and its related Benchmark Replacement Date have occurred prior to the Reference Time in respect of any setting of the then-current Benchmark, then the applicable Benchmark Replacement will replace the then-current Benchmark for all purposes hereunder or under any Loan Document in respect of such Benchmark setting and subsequent Benchmark settings, without any amendment to, or further action or consent of any other party to, this Agreement or any other Loan Document; provided that, this clause (c) shall not be effective unless the Administrative Agent has delivered to the Lenders and the Company a Term SOFR Notice. For the avoidance of doubt, the Administrative Agent shall not be required to deliver a Term SOFR Notice after a Term SOFR Transition Event and may do so in its sole discretion.</w:t>
      </w:r>
    </w:p>
    <w:p>
      <w:pPr>
        <w:spacing w:after="0" w:line="188" w:lineRule="exact"/>
        <w:rPr>
          <w:rFonts w:ascii="Times New Roman" w:cs="Times New Roman" w:eastAsia="Times New Roman" w:hAnsi="Times New Roman"/>
          <w:sz w:val="18"/>
          <w:szCs w:val="18"/>
          <w:color w:val="auto"/>
        </w:rPr>
      </w:pPr>
    </w:p>
    <w:p>
      <w:pPr>
        <w:ind w:firstLine="987"/>
        <w:spacing w:after="0" w:line="261" w:lineRule="auto"/>
        <w:tabs>
          <w:tab w:leader="none" w:pos="1246"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implementation of a Benchmark Replacement, the Administrative Agent will have the right to make Benchmark Replacement Conforming Changes from time to time and, notwithstanding anything to the contrary herein or in any other Loan Document, any amendments implementing such Benchmark Replacement Conforming Changes will become effective without any further action or consent of any other party to this Agreement or any other Loan Document.</w:t>
      </w:r>
    </w:p>
    <w:p>
      <w:pPr>
        <w:spacing w:after="0" w:line="179" w:lineRule="exact"/>
        <w:rPr>
          <w:rFonts w:ascii="Times New Roman" w:cs="Times New Roman" w:eastAsia="Times New Roman" w:hAnsi="Times New Roman"/>
          <w:sz w:val="18"/>
          <w:szCs w:val="18"/>
          <w:color w:val="auto"/>
        </w:rPr>
      </w:pPr>
    </w:p>
    <w:p>
      <w:pPr>
        <w:ind w:right="20" w:firstLine="987"/>
        <w:spacing w:after="0" w:line="256" w:lineRule="auto"/>
        <w:tabs>
          <w:tab w:leader="none" w:pos="1236"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will promptly notify the Company and the Lenders of (i) any occurrence of a Benchmark Transition Event, a Term SOFR Transition Event or an Early Opt-in Election, as applicable, and its related Benchmark Replacement Date, (ii) the implementation of any Benchmark Replacement, (iii) the effectiveness of any Benchmark Replacement Conforming Changes, (iv) the removal or reinstatement of any tenor of a Benchmark pursuant to clause (f) below and (v) the commencement or conclusion of any Benchmark Unavailability Period. Any determination, decision or election that may be made by the Administrative Agent or, if applicable, any Lender (or group of Lenders) pursuant to this Section 2.11, including any determination with respect to a tenor, rate or adjustment or of the occurrence or non-occurrence of an event,</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00"/>
          </w:cols>
          <w:pgMar w:left="440" w:top="270" w:right="459" w:bottom="1440" w:gutter="0" w:footer="0" w:header="0"/>
        </w:sectPr>
      </w:pPr>
    </w:p>
    <w:bookmarkStart w:id="60" w:name="page61"/>
    <w:bookmarkEnd w:id="60"/>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circumstance or date and any decision to take or refrain from taking any action or any selection, will be conclusive and binding absent manifest error and may be made in its or their sole discretion and without consent from any other party to this Agreement or any other Loan Document, except, in each case, as expressly required pursuant to this Section 2.11.</w:t>
      </w:r>
    </w:p>
    <w:p>
      <w:pPr>
        <w:spacing w:after="0" w:line="176" w:lineRule="exact"/>
        <w:rPr>
          <w:sz w:val="20"/>
          <w:szCs w:val="20"/>
          <w:color w:val="auto"/>
        </w:rPr>
      </w:pPr>
    </w:p>
    <w:p>
      <w:pPr>
        <w:ind w:firstLine="987"/>
        <w:spacing w:after="0" w:line="253" w:lineRule="auto"/>
        <w:tabs>
          <w:tab w:leader="none" w:pos="1216"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herein or in any other Loan Document, at any time (including in connection with the implementation of a Benchmark Replacement), (i) if the then-current Benchmark is a term rate (including Term SOFR or LIBO Rate) and either (A) any tenor for such Benchmark is not displayed on a screen or other information service that publishes such rate from time to time as selected by the Administrative Agent in its reasonable discretion or (B) the regulatory supervisor for the administrator of such Benchmark has provided a public statement or publication of information announcing that any tenor for such Benchmark is or will be no longer representative, then the Administrative Agent may modify the definition of “Interest Period” for any Benchmark settings at or after such time to remove such unavailable or non-representative tenor and (ii) if a tenor that was removed pursuant to clause (i) above either (A) is subsequently displayed on a screen or information service for a Benchmark (including a Benchmark Replacement) or (B) is not, or is no longer, subject to an announcement that it is or will no longer be representative for a Benchmark (including a Benchmark Replacement), then the Administrative Agent may modify the definition of “Interest Period” for all Benchmark settings at or after such time to reinstate such previously removed tenor.</w:t>
      </w:r>
    </w:p>
    <w:p>
      <w:pPr>
        <w:spacing w:after="0" w:line="194" w:lineRule="exact"/>
        <w:rPr>
          <w:rFonts w:ascii="Times New Roman" w:cs="Times New Roman" w:eastAsia="Times New Roman" w:hAnsi="Times New Roman"/>
          <w:sz w:val="18"/>
          <w:szCs w:val="18"/>
          <w:color w:val="auto"/>
        </w:rPr>
      </w:pPr>
    </w:p>
    <w:p>
      <w:pPr>
        <w:ind w:right="20" w:firstLine="987"/>
        <w:spacing w:after="0" w:line="256" w:lineRule="auto"/>
        <w:tabs>
          <w:tab w:leader="none" w:pos="1246"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Company’s receipt of notice of the commencement of a Benchmark Unavailability Period, the Company may revoke any request for a Eurocurrency Borrowing of, conversion to or continuation of Eurocurrency Loans to be made, converted or continued during any Benchmark Unavailability Period and, failing that, the Company will be deemed to have converted any such request into a request for a Borrowing of or conversion to ABR Loans. During any Benchmark Unavailability Period or at any time that a tenor for the then-current Benchmark is not an Available Tenor, the component of ABR based upon the then-current Benchmark or such tenor for such Benchmark, as applicable, will not be used in any determination of ABR.</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u w:val="single" w:color="auto"/>
          <w:color w:val="auto"/>
        </w:rPr>
        <w:t>Increased Costs; Illegality</w:t>
      </w:r>
      <w:r>
        <w:rPr>
          <w:rFonts w:ascii="Times New Roman" w:cs="Times New Roman" w:eastAsia="Times New Roman" w:hAnsi="Times New Roman"/>
          <w:sz w:val="18"/>
          <w:szCs w:val="18"/>
          <w:color w:val="auto"/>
        </w:rPr>
        <w:t>. (a) If any Change in Law shall:</w:t>
      </w:r>
    </w:p>
    <w:p>
      <w:pPr>
        <w:spacing w:after="0" w:line="117" w:lineRule="exact"/>
        <w:rPr>
          <w:sz w:val="20"/>
          <w:szCs w:val="20"/>
          <w:color w:val="auto"/>
        </w:rPr>
      </w:pPr>
    </w:p>
    <w:p>
      <w:pPr>
        <w:ind w:left="440" w:firstLine="525"/>
        <w:spacing w:after="0" w:line="266" w:lineRule="auto"/>
        <w:tabs>
          <w:tab w:leader="none" w:pos="1183"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67" w:lineRule="exact"/>
        <w:rPr>
          <w:rFonts w:ascii="Times New Roman" w:cs="Times New Roman" w:eastAsia="Times New Roman" w:hAnsi="Times New Roman"/>
          <w:sz w:val="18"/>
          <w:szCs w:val="18"/>
          <w:color w:val="auto"/>
        </w:rPr>
      </w:pPr>
    </w:p>
    <w:p>
      <w:pPr>
        <w:ind w:left="440" w:firstLine="525"/>
        <w:spacing w:after="0" w:line="282" w:lineRule="auto"/>
        <w:tabs>
          <w:tab w:leader="none" w:pos="1233"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on any Lender or the London interbank market any other condition, cost or expense (other than Taxes) affecting this Agreement or the Loans made by such Lender; or</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0980"/>
          </w:cols>
          <w:pgMar w:left="440" w:top="270" w:right="479" w:bottom="1440" w:gutter="0" w:footer="0" w:header="0"/>
        </w:sectPr>
      </w:pPr>
    </w:p>
    <w:bookmarkStart w:id="61" w:name="page62"/>
    <w:bookmarkEnd w:id="61"/>
    <w:p>
      <w:pPr>
        <w:ind w:left="440" w:right="240" w:firstLine="525"/>
        <w:spacing w:after="0" w:line="266" w:lineRule="auto"/>
        <w:tabs>
          <w:tab w:leader="none" w:pos="1283"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76"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192" w:lineRule="exact"/>
        <w:rPr>
          <w:sz w:val="20"/>
          <w:szCs w:val="20"/>
          <w:color w:val="auto"/>
        </w:rPr>
      </w:pPr>
    </w:p>
    <w:p>
      <w:pPr>
        <w:ind w:firstLine="987"/>
        <w:spacing w:after="0" w:line="254" w:lineRule="auto"/>
        <w:tabs>
          <w:tab w:leader="none" w:pos="1246"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188" w:lineRule="exact"/>
        <w:rPr>
          <w:rFonts w:ascii="Times New Roman" w:cs="Times New Roman" w:eastAsia="Times New Roman" w:hAnsi="Times New Roman"/>
          <w:sz w:val="18"/>
          <w:szCs w:val="18"/>
          <w:color w:val="auto"/>
        </w:rPr>
      </w:pPr>
    </w:p>
    <w:p>
      <w:pPr>
        <w:jc w:val="both"/>
        <w:ind w:right="240" w:firstLine="987"/>
        <w:spacing w:after="0" w:line="261" w:lineRule="auto"/>
        <w:tabs>
          <w:tab w:leader="none" w:pos="1236"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179" w:lineRule="exact"/>
        <w:rPr>
          <w:rFonts w:ascii="Times New Roman" w:cs="Times New Roman" w:eastAsia="Times New Roman" w:hAnsi="Times New Roman"/>
          <w:sz w:val="18"/>
          <w:szCs w:val="18"/>
          <w:color w:val="auto"/>
        </w:rPr>
      </w:pPr>
    </w:p>
    <w:p>
      <w:pPr>
        <w:ind w:right="540" w:firstLine="987"/>
        <w:spacing w:after="0" w:line="282" w:lineRule="auto"/>
        <w:tabs>
          <w:tab w:leader="none" w:pos="1246"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or delay on the part of any Lender to demand compensation pursuant to this Section shall not constitute a waiver of such Lender’s right to demand such compensation; provided that the Company shall not be required to compensate a</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000"/>
          </w:cols>
          <w:pgMar w:left="440" w:top="270" w:right="459" w:bottom="1440" w:gutter="0" w:footer="0" w:header="0"/>
        </w:sectPr>
      </w:pPr>
    </w:p>
    <w:bookmarkStart w:id="62" w:name="page63"/>
    <w:bookmarkEnd w:id="62"/>
    <w:p>
      <w:pPr>
        <w:ind w:right="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provided further that if the Change in Law giving rise to such increased costs, expenses or reductions is retroactive, then the 180-day period referred to above shall be extended to include the period of retroactive effect thereof.</w:t>
      </w:r>
    </w:p>
    <w:p>
      <w:pPr>
        <w:spacing w:after="0" w:line="180" w:lineRule="exact"/>
        <w:rPr>
          <w:sz w:val="20"/>
          <w:szCs w:val="20"/>
          <w:color w:val="auto"/>
        </w:rPr>
      </w:pPr>
    </w:p>
    <w:p>
      <w:pPr>
        <w:ind w:right="60" w:firstLine="987"/>
        <w:spacing w:after="0" w:line="252" w:lineRule="auto"/>
        <w:tabs>
          <w:tab w:leader="none" w:pos="1236"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and the Administrative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Administrative Agent without reference to the Adjusted LIBO Rate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Eurocurrency Loans of such Lender to ABR Loans (the interest rate on which ABR Loans of such Lender shall, if necessary to avoid such illegality, be determined by the Administrative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Administrative Agent shall during the period of such suspension compute the Alternate Base Rate applicable to such Lender without reference to the Adjusted LIBO Rate component thereof until the Administrative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89" w:lineRule="exact"/>
        <w:rPr>
          <w:sz w:val="20"/>
          <w:szCs w:val="20"/>
          <w:color w:val="auto"/>
        </w:rPr>
      </w:pPr>
    </w:p>
    <w:p>
      <w:pPr>
        <w:jc w:val="both"/>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2.13. </w:t>
      </w:r>
      <w:r>
        <w:rPr>
          <w:rFonts w:ascii="Times New Roman" w:cs="Times New Roman" w:eastAsia="Times New Roman" w:hAnsi="Times New Roman"/>
          <w:sz w:val="18"/>
          <w:szCs w:val="18"/>
          <w:u w:val="single" w:color="auto"/>
          <w:color w:val="auto"/>
        </w:rPr>
        <w:t>Break Funding Payments</w:t>
      </w:r>
      <w:r>
        <w:rPr>
          <w:rFonts w:ascii="Times New Roman" w:cs="Times New Roman" w:eastAsia="Times New Roman" w:hAnsi="Times New Roman"/>
          <w:sz w:val="18"/>
          <w:szCs w:val="18"/>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1000"/>
          </w:cols>
          <w:pgMar w:left="440" w:top="270" w:right="459" w:bottom="1440" w:gutter="0" w:footer="0" w:header="0"/>
        </w:sectPr>
      </w:pPr>
    </w:p>
    <w:bookmarkStart w:id="63" w:name="page64"/>
    <w:bookmarkEnd w:id="63"/>
    <w:p>
      <w:pPr>
        <w:ind w:left="4" w:right="60"/>
        <w:spacing w:after="0" w:line="267"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w:t>
      </w:r>
    </w:p>
    <w:p>
      <w:pPr>
        <w:spacing w:after="0" w:line="4" w:lineRule="exact"/>
        <w:rPr>
          <w:sz w:val="20"/>
          <w:szCs w:val="20"/>
          <w:color w:val="auto"/>
        </w:rPr>
      </w:pPr>
    </w:p>
    <w:p>
      <w:pPr>
        <w:ind w:left="4" w:right="20" w:hanging="4"/>
        <w:spacing w:after="0" w:line="253" w:lineRule="auto"/>
        <w:tabs>
          <w:tab w:leader="none" w:pos="269"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87" w:lineRule="exact"/>
        <w:rPr>
          <w:sz w:val="20"/>
          <w:szCs w:val="20"/>
          <w:color w:val="auto"/>
        </w:rPr>
      </w:pPr>
    </w:p>
    <w:p>
      <w:pPr>
        <w:ind w:left="4"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2.14.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xml:space="preserve">. (a) </w:t>
      </w:r>
      <w:r>
        <w:rPr>
          <w:rFonts w:ascii="Times New Roman" w:cs="Times New Roman" w:eastAsia="Times New Roman" w:hAnsi="Times New Roman"/>
          <w:sz w:val="18"/>
          <w:szCs w:val="18"/>
          <w:u w:val="single" w:color="auto"/>
          <w:color w:val="auto"/>
        </w:rPr>
        <w:t>Payments Free of Taxes</w:t>
      </w:r>
      <w:r>
        <w:rPr>
          <w:rFonts w:ascii="Times New Roman" w:cs="Times New Roman" w:eastAsia="Times New Roman" w:hAnsi="Times New Roman"/>
          <w:sz w:val="18"/>
          <w:szCs w:val="18"/>
          <w:color w:val="auto"/>
        </w:rPr>
        <w:t>. Any and all payments by or on account of any obligation of the Company or any Guarantor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or such Guarantor, as applicable,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192" w:lineRule="exact"/>
        <w:rPr>
          <w:sz w:val="20"/>
          <w:szCs w:val="20"/>
          <w:color w:val="auto"/>
        </w:rPr>
      </w:pPr>
    </w:p>
    <w:p>
      <w:pPr>
        <w:ind w:left="4" w:right="160" w:firstLine="987"/>
        <w:spacing w:after="0" w:line="266" w:lineRule="auto"/>
        <w:tabs>
          <w:tab w:leader="none" w:pos="125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Payment of Other Taxes by the Company</w:t>
      </w:r>
      <w:r>
        <w:rPr>
          <w:rFonts w:ascii="Times New Roman" w:cs="Times New Roman" w:eastAsia="Times New Roman" w:hAnsi="Times New Roman"/>
          <w:sz w:val="18"/>
          <w:szCs w:val="18"/>
          <w:color w:val="auto"/>
        </w:rPr>
        <w:t>. The Company and the Guarantors shall timely pay to the relevant Governmental Authority in accordance with applicable law, or at the option of the Administrative Agent, timely reimburse the Administrative Agent for the payment of, any Other Taxes.</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004"/>
          </w:cols>
          <w:pgMar w:left="436" w:top="270" w:right="459" w:bottom="1440" w:gutter="0" w:footer="0" w:header="0"/>
        </w:sectPr>
      </w:pPr>
    </w:p>
    <w:bookmarkStart w:id="64" w:name="page65"/>
    <w:bookmarkEnd w:id="64"/>
    <w:p>
      <w:pPr>
        <w:ind w:right="80" w:firstLine="987"/>
        <w:spacing w:after="0" w:line="261" w:lineRule="auto"/>
        <w:tabs>
          <w:tab w:leader="none" w:pos="1236"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Evidence of Payment</w:t>
      </w:r>
      <w:r>
        <w:rPr>
          <w:rFonts w:ascii="Times New Roman" w:cs="Times New Roman" w:eastAsia="Times New Roman" w:hAnsi="Times New Roman"/>
          <w:sz w:val="18"/>
          <w:szCs w:val="18"/>
          <w:color w:val="auto"/>
        </w:rPr>
        <w:t>. As soon as practicable after any payment of Taxes by the Company or a Guarantor to a Governmental Authority pursuant to this Section, the Company or such Guarantor, as applicable,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79" w:lineRule="exact"/>
        <w:rPr>
          <w:rFonts w:ascii="Times New Roman" w:cs="Times New Roman" w:eastAsia="Times New Roman" w:hAnsi="Times New Roman"/>
          <w:sz w:val="18"/>
          <w:szCs w:val="18"/>
          <w:color w:val="auto"/>
        </w:rPr>
      </w:pPr>
    </w:p>
    <w:p>
      <w:pPr>
        <w:ind w:right="240" w:firstLine="987"/>
        <w:spacing w:after="0" w:line="256" w:lineRule="auto"/>
        <w:tabs>
          <w:tab w:leader="none" w:pos="1246"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Indemnification by the Company</w:t>
      </w:r>
      <w:r>
        <w:rPr>
          <w:rFonts w:ascii="Times New Roman" w:cs="Times New Roman" w:eastAsia="Times New Roman" w:hAnsi="Times New Roman"/>
          <w:sz w:val="18"/>
          <w:szCs w:val="18"/>
          <w:color w:val="auto"/>
        </w:rPr>
        <w:t>. The Company and the Guarantors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187" w:lineRule="exact"/>
        <w:rPr>
          <w:rFonts w:ascii="Times New Roman" w:cs="Times New Roman" w:eastAsia="Times New Roman" w:hAnsi="Times New Roman"/>
          <w:sz w:val="18"/>
          <w:szCs w:val="18"/>
          <w:color w:val="auto"/>
        </w:rPr>
      </w:pPr>
    </w:p>
    <w:p>
      <w:pPr>
        <w:ind w:firstLine="987"/>
        <w:spacing w:after="0" w:line="253" w:lineRule="auto"/>
        <w:tabs>
          <w:tab w:leader="none" w:pos="1236"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Indemnification by the Lenders</w:t>
      </w:r>
      <w:r>
        <w:rPr>
          <w:rFonts w:ascii="Times New Roman" w:cs="Times New Roman" w:eastAsia="Times New Roman" w:hAnsi="Times New Roman"/>
          <w:sz w:val="18"/>
          <w:szCs w:val="18"/>
          <w:color w:val="auto"/>
        </w:rPr>
        <w:t>. Each Lender shall severally indemnify within 10 days after demand therefor (i) the Administrative Agent for any Indemnified Taxes attributable to such Lender (but only to the extent that the Company or a Guarantor has not already indemnified the Administrative Agent for such Indemnified Taxes and without limiting the obligation of the Company or the Guarantors to do so), (ii) the Administrative Agent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the Administrative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94" w:lineRule="exact"/>
        <w:rPr>
          <w:rFonts w:ascii="Times New Roman" w:cs="Times New Roman" w:eastAsia="Times New Roman" w:hAnsi="Times New Roman"/>
          <w:sz w:val="18"/>
          <w:szCs w:val="18"/>
          <w:color w:val="auto"/>
        </w:rPr>
      </w:pPr>
    </w:p>
    <w:p>
      <w:pPr>
        <w:ind w:right="60" w:firstLine="987"/>
        <w:spacing w:after="0" w:line="258" w:lineRule="auto"/>
        <w:tabs>
          <w:tab w:leader="none" w:pos="1216"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Status of Lenders</w:t>
      </w:r>
      <w:r>
        <w:rPr>
          <w:rFonts w:ascii="Times New Roman" w:cs="Times New Roman" w:eastAsia="Times New Roman" w:hAnsi="Times New Roman"/>
          <w:sz w:val="18"/>
          <w:szCs w:val="18"/>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 of withholding. In addition, any Lender, if reasonably requested by the Company or the Administrative Agent, shall deliver such other documentation prescribed</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020"/>
          </w:cols>
          <w:pgMar w:left="440" w:top="270" w:right="439" w:bottom="1440" w:gutter="0" w:footer="0" w:header="0"/>
        </w:sectPr>
      </w:pPr>
    </w:p>
    <w:bookmarkStart w:id="65" w:name="page66"/>
    <w:bookmarkEnd w:id="65"/>
    <w:p>
      <w:pPr>
        <w:ind w:right="2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w:t>
      </w:r>
    </w:p>
    <w:p>
      <w:pPr>
        <w:spacing w:after="0" w:line="1" w:lineRule="exact"/>
        <w:rPr>
          <w:sz w:val="20"/>
          <w:szCs w:val="20"/>
          <w:color w:val="auto"/>
        </w:rPr>
      </w:pPr>
    </w:p>
    <w:p>
      <w:pPr>
        <w:ind w:right="40"/>
        <w:spacing w:after="0" w:line="260" w:lineRule="auto"/>
        <w:rPr>
          <w:sz w:val="20"/>
          <w:szCs w:val="20"/>
          <w:color w:val="auto"/>
        </w:rPr>
      </w:pPr>
      <w:r>
        <w:rPr>
          <w:rFonts w:ascii="Times New Roman" w:cs="Times New Roman" w:eastAsia="Times New Roman" w:hAnsi="Times New Roman"/>
          <w:sz w:val="18"/>
          <w:szCs w:val="18"/>
          <w:color w:val="auto"/>
        </w:rPr>
        <w:t>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181" w:lineRule="exact"/>
        <w:rPr>
          <w:sz w:val="20"/>
          <w:szCs w:val="20"/>
          <w:color w:val="auto"/>
        </w:rPr>
      </w:pPr>
    </w:p>
    <w:p>
      <w:pPr>
        <w:ind w:firstLine="987"/>
        <w:spacing w:after="0" w:line="254" w:lineRule="auto"/>
        <w:tabs>
          <w:tab w:leader="none" w:pos="1256"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192" w:lineRule="exact"/>
        <w:rPr>
          <w:sz w:val="20"/>
          <w:szCs w:val="20"/>
          <w:color w:val="auto"/>
        </w:rPr>
      </w:pPr>
    </w:p>
    <w:p>
      <w:pPr>
        <w:ind w:right="340" w:firstLine="991"/>
        <w:spacing w:after="0" w:line="282" w:lineRule="auto"/>
        <w:rPr>
          <w:sz w:val="20"/>
          <w:szCs w:val="20"/>
          <w:color w:val="auto"/>
        </w:rPr>
      </w:pPr>
      <w:r>
        <w:rPr>
          <w:rFonts w:ascii="Times New Roman" w:cs="Times New Roman" w:eastAsia="Times New Roman" w:hAnsi="Times New Roman"/>
          <w:sz w:val="18"/>
          <w:szCs w:val="18"/>
          <w:color w:val="auto"/>
        </w:rPr>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162" w:lineRule="exact"/>
        <w:rPr>
          <w:sz w:val="20"/>
          <w:szCs w:val="20"/>
          <w:color w:val="auto"/>
        </w:rPr>
      </w:pPr>
    </w:p>
    <w:p>
      <w:pPr>
        <w:ind w:firstLine="987"/>
        <w:spacing w:after="0" w:line="253" w:lineRule="auto"/>
        <w:tabs>
          <w:tab w:leader="none" w:pos="1246"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Treatment of Certain Refunds</w:t>
      </w:r>
      <w:r>
        <w:rPr>
          <w:rFonts w:ascii="Times New Roman" w:cs="Times New Roman" w:eastAsia="Times New Roman" w:hAnsi="Times New Roman"/>
          <w:sz w:val="18"/>
          <w:szCs w:val="18"/>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w:t>
      </w:r>
    </w:p>
    <w:p>
      <w:pPr>
        <w:spacing w:after="0" w:line="1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0980"/>
          </w:cols>
          <w:pgMar w:left="440" w:top="270" w:right="479" w:bottom="1440" w:gutter="0" w:footer="0" w:header="0"/>
        </w:sectPr>
      </w:pPr>
    </w:p>
    <w:bookmarkStart w:id="66" w:name="page67"/>
    <w:bookmarkEnd w:id="66"/>
    <w:p>
      <w:pPr>
        <w:jc w:val="both"/>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(h) For purposes of this Section, the term “applicable law” includes FATCA.</w:t>
      </w:r>
    </w:p>
    <w:p>
      <w:pPr>
        <w:spacing w:after="0" w:line="225" w:lineRule="exact"/>
        <w:rPr>
          <w:sz w:val="20"/>
          <w:szCs w:val="20"/>
          <w:color w:val="auto"/>
        </w:rPr>
      </w:pPr>
    </w:p>
    <w:p>
      <w:pPr>
        <w:ind w:right="8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2.15. </w:t>
      </w:r>
      <w:r>
        <w:rPr>
          <w:rFonts w:ascii="Times New Roman" w:cs="Times New Roman" w:eastAsia="Times New Roman" w:hAnsi="Times New Roman"/>
          <w:sz w:val="18"/>
          <w:szCs w:val="18"/>
          <w:u w:val="single" w:color="auto"/>
          <w:color w:val="auto"/>
        </w:rPr>
        <w:t>Payments Generally; Pro Rata Treatment; Sharing of Setoffs</w:t>
      </w:r>
      <w:r>
        <w:rPr>
          <w:rFonts w:ascii="Times New Roman" w:cs="Times New Roman" w:eastAsia="Times New Roman" w:hAnsi="Times New Roman"/>
          <w:sz w:val="18"/>
          <w:szCs w:val="18"/>
          <w:color w:val="auto"/>
        </w:rPr>
        <w:t>. (a) The Company shall make each payment or prepayment required to be made by it hereunder or under any other Loan Document prior to the time required hereunder or under such other Loan Document for such payment (or, if no such time is expressly required, prior to 1:00 p.m., New York City time), on the date when due or the date fixed for any prepayment hereunder,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92" w:lineRule="exact"/>
        <w:rPr>
          <w:sz w:val="20"/>
          <w:szCs w:val="20"/>
          <w:color w:val="auto"/>
        </w:rPr>
      </w:pPr>
    </w:p>
    <w:p>
      <w:pPr>
        <w:jc w:val="both"/>
        <w:ind w:right="20" w:firstLine="987"/>
        <w:spacing w:after="0" w:line="266" w:lineRule="auto"/>
        <w:tabs>
          <w:tab w:leader="none" w:pos="1246"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75" w:lineRule="exact"/>
        <w:rPr>
          <w:rFonts w:ascii="Times New Roman" w:cs="Times New Roman" w:eastAsia="Times New Roman" w:hAnsi="Times New Roman"/>
          <w:sz w:val="18"/>
          <w:szCs w:val="18"/>
          <w:color w:val="auto"/>
        </w:rPr>
      </w:pPr>
    </w:p>
    <w:p>
      <w:pPr>
        <w:ind w:right="20" w:firstLine="987"/>
        <w:spacing w:after="0" w:line="254" w:lineRule="auto"/>
        <w:tabs>
          <w:tab w:leader="none" w:pos="1236"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w:t>
      </w:r>
    </w:p>
    <w:p>
      <w:pPr>
        <w:spacing w:after="0" w:line="12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0980"/>
          </w:cols>
          <w:pgMar w:left="440" w:top="270" w:right="479" w:bottom="1440" w:gutter="0" w:footer="0" w:header="0"/>
        </w:sectPr>
      </w:pPr>
    </w:p>
    <w:bookmarkStart w:id="67" w:name="page68"/>
    <w:bookmarkEnd w:id="67"/>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183" w:lineRule="exact"/>
        <w:rPr>
          <w:sz w:val="20"/>
          <w:szCs w:val="20"/>
          <w:color w:val="auto"/>
        </w:rPr>
      </w:pPr>
    </w:p>
    <w:p>
      <w:pPr>
        <w:ind w:right="40" w:firstLine="987"/>
        <w:spacing w:after="0" w:line="255" w:lineRule="auto"/>
        <w:tabs>
          <w:tab w:leader="none" w:pos="1246"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188" w:lineRule="exact"/>
        <w:rPr>
          <w:rFonts w:ascii="Times New Roman" w:cs="Times New Roman" w:eastAsia="Times New Roman" w:hAnsi="Times New Roman"/>
          <w:sz w:val="18"/>
          <w:szCs w:val="18"/>
          <w:color w:val="auto"/>
        </w:rPr>
      </w:pPr>
    </w:p>
    <w:p>
      <w:pPr>
        <w:ind w:right="300" w:firstLine="987"/>
        <w:spacing w:after="0" w:line="261" w:lineRule="auto"/>
        <w:tabs>
          <w:tab w:leader="none" w:pos="1236"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80"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2.16. </w:t>
      </w:r>
      <w:r>
        <w:rPr>
          <w:rFonts w:ascii="Times New Roman" w:cs="Times New Roman" w:eastAsia="Times New Roman" w:hAnsi="Times New Roman"/>
          <w:sz w:val="18"/>
          <w:szCs w:val="18"/>
          <w:u w:val="single" w:color="auto"/>
          <w:color w:val="auto"/>
        </w:rPr>
        <w:t>Mitigation Obligations; Replacement of Lenders</w:t>
      </w:r>
      <w:r>
        <w:rPr>
          <w:rFonts w:ascii="Times New Roman" w:cs="Times New Roman" w:eastAsia="Times New Roman" w:hAnsi="Times New Roman"/>
          <w:sz w:val="18"/>
          <w:szCs w:val="18"/>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000"/>
          </w:cols>
          <w:pgMar w:left="440" w:top="270" w:right="459" w:bottom="1440" w:gutter="0" w:footer="0" w:header="0"/>
        </w:sectPr>
      </w:pPr>
    </w:p>
    <w:bookmarkStart w:id="68" w:name="page69"/>
    <w:bookmarkEnd w:id="68"/>
    <w:p>
      <w:pPr>
        <w:ind w:firstLine="987"/>
        <w:spacing w:after="0" w:line="251" w:lineRule="auto"/>
        <w:tabs>
          <w:tab w:leader="none" w:pos="1246"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If (i) any Lender requests compensation under Section 2.12, (ii) any Lender delivers a notice under Section 2.12(e), (iii) the Company is required to pay any Indemnified Taxes or additional amounts to any Lender or any Governmental Authority for the account of any Lender pursuant to Section 2.14, (iv) any Lender has become a Defaulting Lender or (v) any Lender has failed to consent to a proposed amendment, waiver, discharge or termination that under Section 9.02 requires the consent of all the Lenders (or all the affected Lenders or all the Lenders of the affected Class) and with respect to which the Required Lenders (or, in circumstances where Section 9.02 does not require the consent of the Required Lenders, a Majority in Interest of the Lenders of the affected Class) shall have granted their consent, then the Company may, at its sole expense and effort, 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of a particular Class) to an Eligible Assignee that shall assume such obligations (which may be another Lender, if a Lender accepts such assignment and delegation);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the Company shall have received the prior written consent of the Administrative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of a particular Class)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204"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2.17. </w:t>
      </w:r>
      <w:r>
        <w:rPr>
          <w:rFonts w:ascii="Times New Roman" w:cs="Times New Roman" w:eastAsia="Times New Roman" w:hAnsi="Times New Roman"/>
          <w:sz w:val="18"/>
          <w:szCs w:val="18"/>
          <w:u w:val="single" w:color="auto"/>
          <w:color w:val="auto"/>
        </w:rPr>
        <w:t>Defaulting Lenders</w:t>
      </w:r>
      <w:r>
        <w:rPr>
          <w:rFonts w:ascii="Times New Roman" w:cs="Times New Roman" w:eastAsia="Times New Roman" w:hAnsi="Times New Roman"/>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1000"/>
          </w:cols>
          <w:pgMar w:left="440" w:top="270" w:right="459" w:bottom="1440" w:gutter="0" w:footer="0" w:header="0"/>
        </w:sectPr>
      </w:pPr>
    </w:p>
    <w:bookmarkStart w:id="69" w:name="page70"/>
    <w:bookmarkEnd w:id="69"/>
    <w:p>
      <w:pPr>
        <w:ind w:left="1200" w:hanging="235"/>
        <w:spacing w:after="0"/>
        <w:tabs>
          <w:tab w:leader="none" w:pos="120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applicable Term Ticking Fees shall cease to accrue on the daily amount of the applicable Class of Commitments of such Defaulting</w:t>
      </w:r>
    </w:p>
    <w:p>
      <w:pPr>
        <w:spacing w:after="0" w:line="27" w:lineRule="exact"/>
        <w:rPr>
          <w:rFonts w:ascii="Times New Roman" w:cs="Times New Roman" w:eastAsia="Times New Roman" w:hAnsi="Times New Roman"/>
          <w:sz w:val="18"/>
          <w:szCs w:val="18"/>
          <w:color w:val="auto"/>
        </w:rPr>
      </w:pPr>
    </w:p>
    <w:p>
      <w:pPr>
        <w:ind w:left="4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Lender;</w:t>
      </w:r>
    </w:p>
    <w:p>
      <w:pPr>
        <w:spacing w:after="0" w:line="98" w:lineRule="exact"/>
        <w:rPr>
          <w:rFonts w:ascii="Times New Roman" w:cs="Times New Roman" w:eastAsia="Times New Roman" w:hAnsi="Times New Roman"/>
          <w:sz w:val="18"/>
          <w:szCs w:val="18"/>
          <w:color w:val="auto"/>
        </w:rPr>
      </w:pPr>
    </w:p>
    <w:p>
      <w:pPr>
        <w:ind w:left="440" w:right="80" w:firstLine="525"/>
        <w:spacing w:after="0" w:line="258" w:lineRule="auto"/>
        <w:tabs>
          <w:tab w:leader="none" w:pos="1223"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Commitment and the Term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75" w:lineRule="exact"/>
        <w:rPr>
          <w:rFonts w:ascii="Times New Roman" w:cs="Times New Roman" w:eastAsia="Times New Roman" w:hAnsi="Times New Roman"/>
          <w:sz w:val="18"/>
          <w:szCs w:val="18"/>
          <w:color w:val="auto"/>
        </w:rPr>
      </w:pPr>
    </w:p>
    <w:p>
      <w:pPr>
        <w:ind w:left="440" w:firstLine="525"/>
        <w:spacing w:after="0" w:line="252" w:lineRule="auto"/>
        <w:tabs>
          <w:tab w:leader="none" w:pos="1213"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Times New Roman" w:cs="Times New Roman" w:eastAsia="Times New Roman" w:hAnsi="Times New Roman"/>
          <w:sz w:val="18"/>
          <w:szCs w:val="18"/>
          <w:i w:val="1"/>
          <w:iCs w:val="1"/>
          <w:color w:val="auto"/>
        </w:rPr>
        <w:t>first</w:t>
      </w:r>
      <w:r>
        <w:rPr>
          <w:rFonts w:ascii="Times New Roman" w:cs="Times New Roman" w:eastAsia="Times New Roman" w:hAnsi="Times New Roman"/>
          <w:sz w:val="18"/>
          <w:szCs w:val="18"/>
          <w:color w:val="auto"/>
        </w:rPr>
        <w:t xml:space="preserve">, to the payment of any amounts owing by such Defaulting Lender to the Administrative Agent hereunder; </w:t>
      </w:r>
      <w:r>
        <w:rPr>
          <w:rFonts w:ascii="Times New Roman" w:cs="Times New Roman" w:eastAsia="Times New Roman" w:hAnsi="Times New Roman"/>
          <w:sz w:val="18"/>
          <w:szCs w:val="18"/>
          <w:i w:val="1"/>
          <w:iCs w:val="1"/>
          <w:color w:val="auto"/>
        </w:rPr>
        <w:t>second</w:t>
      </w:r>
      <w:r>
        <w:rPr>
          <w:rFonts w:ascii="Times New Roman" w:cs="Times New Roman" w:eastAsia="Times New Roman" w:hAnsi="Times New Roman"/>
          <w:sz w:val="18"/>
          <w:szCs w:val="18"/>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Times New Roman" w:cs="Times New Roman" w:eastAsia="Times New Roman" w:hAnsi="Times New Roman"/>
          <w:sz w:val="18"/>
          <w:szCs w:val="18"/>
          <w:i w:val="1"/>
          <w:iCs w:val="1"/>
          <w:color w:val="auto"/>
        </w:rPr>
        <w:t>third</w:t>
      </w:r>
      <w:r>
        <w:rPr>
          <w:rFonts w:ascii="Times New Roman" w:cs="Times New Roman" w:eastAsia="Times New Roman" w:hAnsi="Times New Roman"/>
          <w:sz w:val="18"/>
          <w:szCs w:val="18"/>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Times New Roman" w:cs="Times New Roman" w:eastAsia="Times New Roman" w:hAnsi="Times New Roman"/>
          <w:sz w:val="18"/>
          <w:szCs w:val="18"/>
          <w:i w:val="1"/>
          <w:iCs w:val="1"/>
          <w:color w:val="auto"/>
        </w:rPr>
        <w:t>fourth</w:t>
      </w:r>
      <w:r>
        <w:rPr>
          <w:rFonts w:ascii="Times New Roman" w:cs="Times New Roman" w:eastAsia="Times New Roman" w:hAnsi="Times New Roman"/>
          <w:sz w:val="18"/>
          <w:szCs w:val="18"/>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Times New Roman" w:cs="Times New Roman" w:eastAsia="Times New Roman" w:hAnsi="Times New Roman"/>
          <w:sz w:val="18"/>
          <w:szCs w:val="18"/>
          <w:i w:val="1"/>
          <w:iCs w:val="1"/>
          <w:color w:val="auto"/>
        </w:rPr>
        <w:t>fifth</w:t>
      </w:r>
      <w:r>
        <w:rPr>
          <w:rFonts w:ascii="Times New Roman" w:cs="Times New Roman" w:eastAsia="Times New Roman" w:hAnsi="Times New Roman"/>
          <w:sz w:val="18"/>
          <w:szCs w:val="18"/>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Times New Roman" w:cs="Times New Roman" w:eastAsia="Times New Roman" w:hAnsi="Times New Roman"/>
          <w:sz w:val="18"/>
          <w:szCs w:val="18"/>
          <w:i w:val="1"/>
          <w:iCs w:val="1"/>
          <w:color w:val="auto"/>
        </w:rPr>
        <w:t>sixth</w:t>
      </w:r>
      <w:r>
        <w:rPr>
          <w:rFonts w:ascii="Times New Roman" w:cs="Times New Roman" w:eastAsia="Times New Roman" w:hAnsi="Times New Roman"/>
          <w:sz w:val="18"/>
          <w:szCs w:val="18"/>
          <w:color w:val="auto"/>
        </w:rPr>
        <w:t xml:space="preserve">, to such Defaulting Lender or as otherwise directed by a court of competent jurisdiction;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payment is a payment of the principal amount of any Loans of any Class in respect of which such Defaulting Lender has not fully funded its appropriate share, such payment shall be applied solely to pay the Loans of the applicable Class of all non-Defaulting Lenders of such Class on a pro rata basis prior to being applied to the payment of any Loans of such Defaulting Lender until such time as all Loans of such Class are held by the Lenders pro rata in accordance with the Commitments of such Class.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92" w:lineRule="exact"/>
        <w:rPr>
          <w:sz w:val="20"/>
          <w:szCs w:val="20"/>
          <w:color w:val="auto"/>
        </w:rPr>
      </w:pPr>
    </w:p>
    <w:p>
      <w:pPr>
        <w:ind w:right="380"/>
        <w:spacing w:after="0" w:line="282" w:lineRule="auto"/>
        <w:rPr>
          <w:sz w:val="20"/>
          <w:szCs w:val="20"/>
          <w:color w:val="auto"/>
        </w:rPr>
      </w:pPr>
      <w:r>
        <w:rPr>
          <w:rFonts w:ascii="Times New Roman" w:cs="Times New Roman" w:eastAsia="Times New Roman" w:hAnsi="Times New Roman"/>
          <w:sz w:val="18"/>
          <w:szCs w:val="18"/>
          <w:color w:val="auto"/>
        </w:rPr>
        <w:t>In the event that the Administrative Agent and the Company each agree that a Defaulting Lender that is a Term Lender has adequately remedied all matters that caused such Term</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0980"/>
          </w:cols>
          <w:pgMar w:left="440" w:top="270" w:right="479" w:bottom="1440" w:gutter="0" w:footer="0" w:header="0"/>
        </w:sectPr>
      </w:pPr>
    </w:p>
    <w:bookmarkStart w:id="70" w:name="page71"/>
    <w:bookmarkEnd w:id="70"/>
    <w:p>
      <w:pPr>
        <w:ind w:right="3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to be a Defaulting Lender, then on such date such Term Lender shall take such actions as the Administrative Agent may determine to be appropriate in connection with such Term Lender ceasing to be a Defaulting Lender, and such Term Lender shall thereupon cease to be a Defaulting Lender (but shall not be entitled to receive any Term Ticking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83"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2.18. </w:t>
      </w:r>
      <w:r>
        <w:rPr>
          <w:rFonts w:ascii="Times New Roman" w:cs="Times New Roman" w:eastAsia="Times New Roman" w:hAnsi="Times New Roman"/>
          <w:sz w:val="18"/>
          <w:szCs w:val="18"/>
          <w:u w:val="single" w:color="auto"/>
          <w:color w:val="auto"/>
        </w:rPr>
        <w:t>Certain Permitted Amendments.</w:t>
      </w:r>
    </w:p>
    <w:p>
      <w:pPr>
        <w:spacing w:after="0" w:line="225" w:lineRule="exact"/>
        <w:rPr>
          <w:sz w:val="20"/>
          <w:szCs w:val="20"/>
          <w:color w:val="auto"/>
        </w:rPr>
      </w:pPr>
    </w:p>
    <w:p>
      <w:pPr>
        <w:ind w:right="60" w:firstLine="987"/>
        <w:spacing w:after="0" w:line="252" w:lineRule="auto"/>
        <w:tabs>
          <w:tab w:leader="none" w:pos="1236"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may, by written notice to the Administrative Agent from time to time beginning on the date that is 18 months after the Effective Date, but not more than three times during the term of this Agreement (and with no more than one such offer outstanding at any one time), make one or more offers (each, a “</w:t>
      </w:r>
      <w:r>
        <w:rPr>
          <w:rFonts w:ascii="Times New Roman" w:cs="Times New Roman" w:eastAsia="Times New Roman" w:hAnsi="Times New Roman"/>
          <w:sz w:val="18"/>
          <w:szCs w:val="18"/>
          <w:u w:val="single" w:color="auto"/>
          <w:color w:val="auto"/>
        </w:rPr>
        <w:t>Loan Modification Offer</w:t>
      </w:r>
      <w:r>
        <w:rPr>
          <w:rFonts w:ascii="Times New Roman" w:cs="Times New Roman" w:eastAsia="Times New Roman" w:hAnsi="Times New Roman"/>
          <w:sz w:val="18"/>
          <w:szCs w:val="18"/>
          <w:color w:val="auto"/>
        </w:rPr>
        <w:t>”) to all the Lenders to make one or more Permitted Amendments pursuant to procedures reasonably specified by the Administrative Agent and reasonably acceptable to the Company. Such notice shall set forth (i) the terms and conditions of the requested Permitted Amendment and (ii) the date on which such Permitted Amendment is requested to become effective. Notwithstanding anything to the contrary in Section 9.02, each Permitted Amendment shall only require the consent of the Company, the Administrative Agent and those Lenders that accept the applicable Loan Modification Offer (such Lenders, the “</w:t>
      </w:r>
      <w:r>
        <w:rPr>
          <w:rFonts w:ascii="Times New Roman" w:cs="Times New Roman" w:eastAsia="Times New Roman" w:hAnsi="Times New Roman"/>
          <w:sz w:val="18"/>
          <w:szCs w:val="18"/>
          <w:u w:val="single" w:color="auto"/>
          <w:color w:val="auto"/>
        </w:rPr>
        <w:t>Accepting Lenders</w:t>
      </w:r>
      <w:r>
        <w:rPr>
          <w:rFonts w:ascii="Times New Roman" w:cs="Times New Roman" w:eastAsia="Times New Roman" w:hAnsi="Times New Roman"/>
          <w:sz w:val="18"/>
          <w:szCs w:val="18"/>
          <w:color w:val="auto"/>
        </w:rPr>
        <w:t>”), and each Permitted Amendment shall become effective only with respect to the Loans (or Class of Loans) of the Accepting Lenders. In connection with any Loan Modification Offer, the Company may, at its sole option, with respect to one or more of the Lenders that are not Accepting Lenders (each, a “</w:t>
      </w:r>
      <w:r>
        <w:rPr>
          <w:rFonts w:ascii="Times New Roman" w:cs="Times New Roman" w:eastAsia="Times New Roman" w:hAnsi="Times New Roman"/>
          <w:sz w:val="18"/>
          <w:szCs w:val="18"/>
          <w:u w:val="single" w:color="auto"/>
          <w:color w:val="auto"/>
        </w:rPr>
        <w:t>Non-Accepting Lender</w:t>
      </w:r>
      <w:r>
        <w:rPr>
          <w:rFonts w:ascii="Times New Roman" w:cs="Times New Roman" w:eastAsia="Times New Roman" w:hAnsi="Times New Roman"/>
          <w:sz w:val="18"/>
          <w:szCs w:val="18"/>
          <w:color w:val="auto"/>
        </w:rPr>
        <w:t>”) replace such Non-Accepting Lender pursuant to Section 2.16(b). Upon the effectiveness of any Permitted Amendment and any assignment of any Non-Accepting Lender’s Loans pursuant to Section 2.16(b), subject to the payment of applicable amounts pursuant to Section 2.13 in connection therewith, the Company shall be deemed to have made such borrowings and repayments of the Loans (or Class of Loans), and the Lenders shall make such adjustments of outstanding Loans (or Class of Loans) between and among them, as shall be necessary to effect the reallocation of the Loans (or Class of Loans) such that, after giving effect thereto, the Loans (or Class of Loans) shall be held by the Lenders (including the Eligible Assignees as the new Lenders) ratably in accordance with their Applicable Percentages.</w:t>
      </w:r>
    </w:p>
    <w:p>
      <w:pPr>
        <w:spacing w:after="0" w:line="195" w:lineRule="exact"/>
        <w:rPr>
          <w:rFonts w:ascii="Times New Roman" w:cs="Times New Roman" w:eastAsia="Times New Roman" w:hAnsi="Times New Roman"/>
          <w:sz w:val="18"/>
          <w:szCs w:val="18"/>
          <w:color w:val="auto"/>
        </w:rPr>
      </w:pPr>
    </w:p>
    <w:p>
      <w:pPr>
        <w:jc w:val="both"/>
        <w:ind w:firstLine="987"/>
        <w:spacing w:after="0" w:line="261" w:lineRule="auto"/>
        <w:tabs>
          <w:tab w:leader="none" w:pos="1246"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Accepting Lender shall execute and deliver to the Administrative Agent a Loan Modification Agreement and such other documentation as the Administrative Agent shall reasonably specify to evidence the acceptance of the Permitted Amendments and the terms and conditions thereof. The Administrative Agent shall promptly notify each Lender as to the effectiveness of each Loan Modification Agreement. Each of the parties hereto hereby agrees that, upon the effectiveness of any</w:t>
      </w:r>
    </w:p>
    <w:p>
      <w:pPr>
        <w:spacing w:after="0" w:line="1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0960"/>
          </w:cols>
          <w:pgMar w:left="440" w:top="270" w:right="499" w:bottom="1440" w:gutter="0" w:footer="0" w:header="0"/>
        </w:sectPr>
      </w:pPr>
    </w:p>
    <w:bookmarkStart w:id="71" w:name="page72"/>
    <w:bookmarkEnd w:id="71"/>
    <w:p>
      <w:pPr>
        <w:ind w:left="4" w:right="16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Loan Modification Agreement, this Agreement shall be deemed amended to the extent (but only to the extent) necessary to reflect the existence and terms of the Permitted Amendment evidenced thereby and only with respect to the Loans (or Class of Loans) of the Accepting Lenders, including any amendments necessary to treat the applicable Loans of the Accepting Lenders as a new “Class” or “Tranche” of loans hereunder. Notwithstanding the foregoing, no Permitted Amendment shall become effective unless the Administrative Agent, to the extent reasonably requested by the Administrative Agent, shall have received legal opinions, board resolutions, officer’s and secretary’s certificates and other documentation consistent with those delivered on the Effective Date under this Agreement.</w:t>
      </w:r>
    </w:p>
    <w:p>
      <w:pPr>
        <w:spacing w:after="0" w:line="187" w:lineRule="exact"/>
        <w:rPr>
          <w:sz w:val="20"/>
          <w:szCs w:val="20"/>
          <w:color w:val="auto"/>
        </w:rPr>
      </w:pPr>
    </w:p>
    <w:p>
      <w:pPr>
        <w:jc w:val="both"/>
        <w:ind w:left="4" w:right="260" w:firstLine="987"/>
        <w:spacing w:after="0" w:line="276" w:lineRule="auto"/>
        <w:tabs>
          <w:tab w:leader="none" w:pos="1240" w:val="left"/>
        </w:tabs>
        <w:numPr>
          <w:ilvl w:val="1"/>
          <w:numId w:val="6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Permitted Amendments</w:t>
      </w:r>
      <w:r>
        <w:rPr>
          <w:rFonts w:ascii="Times New Roman" w:cs="Times New Roman" w:eastAsia="Times New Roman" w:hAnsi="Times New Roman"/>
          <w:sz w:val="17"/>
          <w:szCs w:val="17"/>
          <w:color w:val="auto"/>
        </w:rPr>
        <w:t>” means any or all of the following: (i) an extension of the Maturity Date applicable solely to the Loans (or Class of Loans) of the Accepting Lenders, (ii) an increase in the interest rate with respect to the Loans (or Class of Loans) of the Accepting Lenders,</w:t>
      </w:r>
    </w:p>
    <w:p>
      <w:pPr>
        <w:ind w:left="4" w:hanging="4"/>
        <w:spacing w:after="0" w:line="251" w:lineRule="auto"/>
        <w:tabs>
          <w:tab w:leader="none" w:pos="319"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inclusion of additional fees to be payable to the Accepting Lenders in connection with the Permitted Amendment (including any commitment fees and upfront fees), (iv) a decrease in the scheduled amortization pursuant to Section 2.07 with respect to the Loans (or Class of Loans) of the Accepting Lenders, (v) such amendments to this Agreement and the other Loan Documents as shall be appropriate, in the reasonable judgment of the Administrative Agent, to provide the rights and benefits of this Agreement and other Loan Documents to each new “Class” or “Tranche” of loans and/or commitments resulting therefrom;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payments of principal and interest on Loans (including Loans (or Class of Loans) of Accepting Lenders) shall continue to be shared pro rata in accordance with Section 2.15, except that notwithstanding Section 2.15 the Loans (or Class of Loans) of the Non-Accepting Lenders may be repaid and terminated on their applicable Maturity Date, without any pro rata reduction of the commitments and repayment of Loans (or Class of Loans) of Accepting Lenders with a different Maturity Date and (vi) such other amendments to this Agreement and the other Loan Documents as shall be appropriate, in the reasonable judgment of the Administrative Agent, to give effect to the foregoing Permitted Amendments.</w:t>
      </w:r>
    </w:p>
    <w:p>
      <w:pPr>
        <w:spacing w:after="0" w:line="192" w:lineRule="exact"/>
        <w:rPr>
          <w:rFonts w:ascii="Times New Roman" w:cs="Times New Roman" w:eastAsia="Times New Roman" w:hAnsi="Times New Roman"/>
          <w:sz w:val="18"/>
          <w:szCs w:val="18"/>
          <w:color w:val="auto"/>
        </w:rPr>
      </w:pPr>
    </w:p>
    <w:p>
      <w:pPr>
        <w:jc w:val="both"/>
        <w:ind w:left="4" w:right="220" w:firstLine="987"/>
        <w:spacing w:after="0" w:line="266" w:lineRule="auto"/>
        <w:tabs>
          <w:tab w:leader="none" w:pos="1250" w:val="left"/>
        </w:tabs>
        <w:numPr>
          <w:ilvl w:val="1"/>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Section 2.18 shall supersede any provision in Section 9.02 to the contrary. Notwithstanding any reallocation into extending and non-extending “Classes” or “Tranches” in connection with a Permitted Amendment, all Loans to the Company under this Agreement shall rank pari-passu in right of payment.</w:t>
      </w:r>
    </w:p>
    <w:p>
      <w:pPr>
        <w:spacing w:after="0" w:line="392"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ARTICLE III</w:t>
      </w:r>
    </w:p>
    <w:p>
      <w:pPr>
        <w:spacing w:after="0" w:line="225"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u w:val="single" w:color="auto"/>
          <w:color w:val="auto"/>
        </w:rPr>
        <w:t>Representations and Warranties</w:t>
      </w:r>
    </w:p>
    <w:p>
      <w:pPr>
        <w:spacing w:after="0" w:line="225" w:lineRule="exact"/>
        <w:rPr>
          <w:sz w:val="20"/>
          <w:szCs w:val="20"/>
          <w:color w:val="auto"/>
        </w:rPr>
      </w:pPr>
    </w:p>
    <w:p>
      <w:pPr>
        <w:ind w:left="4" w:right="400" w:firstLine="991"/>
        <w:spacing w:after="0" w:line="282" w:lineRule="auto"/>
        <w:rPr>
          <w:sz w:val="20"/>
          <w:szCs w:val="20"/>
          <w:color w:val="auto"/>
        </w:rPr>
      </w:pPr>
      <w:r>
        <w:rPr>
          <w:rFonts w:ascii="Times New Roman" w:cs="Times New Roman" w:eastAsia="Times New Roman" w:hAnsi="Times New Roman"/>
          <w:sz w:val="18"/>
          <w:szCs w:val="18"/>
          <w:color w:val="auto"/>
        </w:rPr>
        <w:t>The Company represents and warrants to the Lenders, on the Effective Date, the Term Funding Date and on each other date on which representations and warranties are required to be, or are deemed to be, made under the Loan Documents, that:</w:t>
      </w:r>
    </w:p>
    <w:p>
      <w:pPr>
        <w:spacing w:after="0" w:line="162" w:lineRule="exact"/>
        <w:rPr>
          <w:sz w:val="20"/>
          <w:szCs w:val="20"/>
          <w:color w:val="auto"/>
        </w:rPr>
      </w:pPr>
    </w:p>
    <w:p>
      <w:pPr>
        <w:ind w:left="4" w:right="5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3.01. </w:t>
      </w:r>
      <w:r>
        <w:rPr>
          <w:rFonts w:ascii="Times New Roman" w:cs="Times New Roman" w:eastAsia="Times New Roman" w:hAnsi="Times New Roman"/>
          <w:sz w:val="18"/>
          <w:szCs w:val="18"/>
          <w:u w:val="single" w:color="auto"/>
          <w:color w:val="auto"/>
        </w:rPr>
        <w:t>Organization; Powers</w:t>
      </w:r>
      <w:r>
        <w:rPr>
          <w:rFonts w:ascii="Times New Roman" w:cs="Times New Roman" w:eastAsia="Times New Roman" w:hAnsi="Times New Roman"/>
          <w:sz w:val="18"/>
          <w:szCs w:val="18"/>
          <w:color w:val="auto"/>
        </w:rPr>
        <w:t>. The Company and each Subsidiary is duly organized, validly existing and (to the extent the concept is applicable</w:t>
      </w:r>
    </w:p>
    <w:p>
      <w:pPr>
        <w:spacing w:after="0" w:line="94"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0984"/>
          </w:cols>
          <w:pgMar w:left="436" w:top="270" w:right="479" w:bottom="1440" w:gutter="0" w:footer="0" w:header="0"/>
        </w:sectPr>
      </w:pPr>
    </w:p>
    <w:bookmarkStart w:id="72" w:name="page73"/>
    <w:bookmarkEnd w:id="72"/>
    <w:p>
      <w:pPr>
        <w:ind w:right="2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80"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3.02. </w:t>
      </w:r>
      <w:r>
        <w:rPr>
          <w:rFonts w:ascii="Times New Roman" w:cs="Times New Roman" w:eastAsia="Times New Roman" w:hAnsi="Times New Roman"/>
          <w:sz w:val="18"/>
          <w:szCs w:val="18"/>
          <w:u w:val="single" w:color="auto"/>
          <w:color w:val="auto"/>
        </w:rPr>
        <w:t>Authorization; Enforceability</w:t>
      </w:r>
      <w:r>
        <w:rPr>
          <w:rFonts w:ascii="Times New Roman" w:cs="Times New Roman" w:eastAsia="Times New Roman" w:hAnsi="Times New Roman"/>
          <w:sz w:val="18"/>
          <w:szCs w:val="18"/>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87"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3.03. </w:t>
      </w:r>
      <w:r>
        <w:rPr>
          <w:rFonts w:ascii="Times New Roman" w:cs="Times New Roman" w:eastAsia="Times New Roman" w:hAnsi="Times New Roman"/>
          <w:sz w:val="18"/>
          <w:szCs w:val="18"/>
          <w:u w:val="single" w:color="auto"/>
          <w:color w:val="auto"/>
        </w:rPr>
        <w:t>Governmental Approvals; Absence of Conflicts</w:t>
      </w:r>
      <w:r>
        <w:rPr>
          <w:rFonts w:ascii="Times New Roman" w:cs="Times New Roman" w:eastAsia="Times New Roman" w:hAnsi="Times New Roman"/>
          <w:sz w:val="18"/>
          <w:szCs w:val="18"/>
          <w:color w:val="auto"/>
        </w:rPr>
        <w:t>. The Transactions (a) do not require any consent or approval of, registration or filing with or any other action by any Governmental Authority, except such as have been or, in the case of filings relating to the consummation of the Inphi Acquisition, substantially contemporaneously with the funding of Term Loans on the Term Funding Date will be, obtained or made and are (or will so be) in full force and effect, (b) will not violate any applicable law, including any order of any Governmental Authority, except to the extent any such violations, individually or in the aggregate, would not reasonably be expected to result in a Material Adverse Effect, (c) do not require consent or approval, except such as have been or, in the case of member or shareholder approvals relating to the consummation of the Inphi Acquisition, prior to or substantially contemporaneously with the funding of Term Loans on the Term Funding Date will be, obtained and are (or will so be) in full force and effect, under, and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for the Refinancing and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97"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3.04. </w:t>
      </w:r>
      <w:r>
        <w:rPr>
          <w:rFonts w:ascii="Times New Roman" w:cs="Times New Roman" w:eastAsia="Times New Roman" w:hAnsi="Times New Roman"/>
          <w:sz w:val="18"/>
          <w:szCs w:val="18"/>
          <w:u w:val="single" w:color="auto"/>
          <w:color w:val="auto"/>
        </w:rPr>
        <w:t>Financial Condition; No Material Adverse Change</w:t>
      </w:r>
      <w:r>
        <w:rPr>
          <w:rFonts w:ascii="Times New Roman" w:cs="Times New Roman" w:eastAsia="Times New Roman" w:hAnsi="Times New Roman"/>
          <w:sz w:val="18"/>
          <w:szCs w:val="18"/>
          <w:color w:val="auto"/>
        </w:rPr>
        <w:t>. (a) The Company has heretofore furnished to the Lenders its consolidated balance sheet and related consolidated statements of operations, shareholders’ equity and cash flows (a) as of and for the fiscal year ended February 1, 2020, audited by and accompanied by the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1000"/>
          </w:cols>
          <w:pgMar w:left="440" w:top="270" w:right="459" w:bottom="1440" w:gutter="0" w:footer="0" w:header="0"/>
        </w:sectPr>
      </w:pPr>
    </w:p>
    <w:bookmarkStart w:id="73" w:name="page74"/>
    <w:bookmarkEnd w:id="73"/>
    <w:p>
      <w:pPr>
        <w:ind w:left="4" w:right="1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opinion of Deloitte &amp; Touche LLP, and (b) as of and for the fiscal quarter and the portion of the fiscal year ended October 31, 2020. Such financial statements present fairly, in all material respects, the financial position, results of operations and cash flows of the Company and its consolidated Subsidiaries as of such dates and for such periods in accordance with GAAP, subject to normal year-end audit adjustments and the absence of footnotes in the case of the statements referred to in clause (b) above.</w:t>
      </w:r>
    </w:p>
    <w:p>
      <w:pPr>
        <w:spacing w:after="0" w:line="180" w:lineRule="exact"/>
        <w:rPr>
          <w:sz w:val="20"/>
          <w:szCs w:val="20"/>
          <w:color w:val="auto"/>
        </w:rPr>
      </w:pPr>
    </w:p>
    <w:p>
      <w:pPr>
        <w:ind w:left="4" w:right="80" w:firstLine="987"/>
        <w:spacing w:after="0" w:line="282" w:lineRule="auto"/>
        <w:tabs>
          <w:tab w:leader="none" w:pos="1250"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February 1, 2020,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62" w:lineRule="exact"/>
        <w:rPr>
          <w:sz w:val="20"/>
          <w:szCs w:val="20"/>
          <w:color w:val="auto"/>
        </w:rPr>
      </w:pPr>
    </w:p>
    <w:p>
      <w:pPr>
        <w:ind w:left="4"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3.05. </w:t>
      </w:r>
      <w:r>
        <w:rPr>
          <w:rFonts w:ascii="Times New Roman" w:cs="Times New Roman" w:eastAsia="Times New Roman" w:hAnsi="Times New Roman"/>
          <w:sz w:val="18"/>
          <w:szCs w:val="18"/>
          <w:u w:val="single" w:color="auto"/>
          <w:color w:val="auto"/>
        </w:rPr>
        <w:t>Properties</w:t>
      </w:r>
      <w:r>
        <w:rPr>
          <w:rFonts w:ascii="Times New Roman" w:cs="Times New Roman" w:eastAsia="Times New Roman" w:hAnsi="Times New Roman"/>
          <w:sz w:val="18"/>
          <w:szCs w:val="18"/>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180" w:lineRule="exact"/>
        <w:rPr>
          <w:sz w:val="20"/>
          <w:szCs w:val="20"/>
          <w:color w:val="auto"/>
        </w:rPr>
      </w:pPr>
    </w:p>
    <w:p>
      <w:pPr>
        <w:ind w:left="4" w:right="20" w:firstLine="987"/>
        <w:spacing w:after="0" w:line="254" w:lineRule="auto"/>
        <w:tabs>
          <w:tab w:leader="none" w:pos="125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misappropriates or otherwise violates the rights of any other Person, except for any such infringements, misappropriations or other violations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88" w:lineRule="exact"/>
        <w:rPr>
          <w:sz w:val="20"/>
          <w:szCs w:val="20"/>
          <w:color w:val="auto"/>
        </w:rPr>
      </w:pPr>
    </w:p>
    <w:p>
      <w:pPr>
        <w:ind w:left="4" w:right="120"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3.06. </w:t>
      </w:r>
      <w:r>
        <w:rPr>
          <w:rFonts w:ascii="Times New Roman" w:cs="Times New Roman" w:eastAsia="Times New Roman" w:hAnsi="Times New Roman"/>
          <w:sz w:val="17"/>
          <w:szCs w:val="17"/>
          <w:u w:val="single" w:color="auto"/>
          <w:color w:val="auto"/>
        </w:rPr>
        <w:t>Litigation and Environmental Matters</w:t>
      </w:r>
      <w:r>
        <w:rPr>
          <w:rFonts w:ascii="Times New Roman" w:cs="Times New Roman" w:eastAsia="Times New Roman" w:hAnsi="Times New Roman"/>
          <w:sz w:val="17"/>
          <w:szCs w:val="17"/>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w:t>
      </w:r>
    </w:p>
    <w:p>
      <w:pPr>
        <w:spacing w:after="0" w:line="2" w:lineRule="exact"/>
        <w:rPr>
          <w:sz w:val="20"/>
          <w:szCs w:val="20"/>
          <w:color w:val="auto"/>
        </w:rPr>
      </w:pPr>
    </w:p>
    <w:p>
      <w:pPr>
        <w:ind w:left="264" w:hanging="264"/>
        <w:spacing w:after="0"/>
        <w:tabs>
          <w:tab w:leader="none" w:pos="264"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involve any of the Loan Documents.</w:t>
      </w:r>
    </w:p>
    <w:p>
      <w:pPr>
        <w:spacing w:after="0" w:line="206" w:lineRule="exact"/>
        <w:rPr>
          <w:rFonts w:ascii="Times New Roman" w:cs="Times New Roman" w:eastAsia="Times New Roman" w:hAnsi="Times New Roman"/>
          <w:sz w:val="18"/>
          <w:szCs w:val="18"/>
          <w:color w:val="auto"/>
        </w:rPr>
      </w:pPr>
    </w:p>
    <w:p>
      <w:pPr>
        <w:ind w:left="4" w:right="480" w:firstLine="987"/>
        <w:spacing w:after="0" w:line="282" w:lineRule="auto"/>
        <w:tabs>
          <w:tab w:leader="none" w:pos="1250" w:val="left"/>
        </w:tabs>
        <w:numPr>
          <w:ilvl w:val="1"/>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with respect to any matters that, individually or in the aggregate, would not reasonably be expected to result in a Material Adverse Effect, neither the Company nor any Subsidiary (i) has failed to comply with any Environmental</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1004"/>
          </w:cols>
          <w:pgMar w:left="436" w:top="270" w:right="459" w:bottom="1440" w:gutter="0" w:footer="0" w:header="0"/>
        </w:sectPr>
      </w:pPr>
    </w:p>
    <w:bookmarkStart w:id="74" w:name="page75"/>
    <w:bookmarkEnd w:id="74"/>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176" w:lineRule="exact"/>
        <w:rPr>
          <w:sz w:val="20"/>
          <w:szCs w:val="20"/>
          <w:color w:val="auto"/>
        </w:rPr>
      </w:pPr>
    </w:p>
    <w:p>
      <w:pPr>
        <w:ind w:right="100" w:firstLine="987"/>
        <w:spacing w:after="0" w:line="282" w:lineRule="auto"/>
        <w:tabs>
          <w:tab w:leader="none" w:pos="1236"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62"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3.07.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176" w:lineRule="exact"/>
        <w:rPr>
          <w:sz w:val="20"/>
          <w:szCs w:val="20"/>
          <w:color w:val="auto"/>
        </w:rPr>
      </w:pPr>
    </w:p>
    <w:p>
      <w:pPr>
        <w:ind w:right="80" w:firstLine="987"/>
        <w:spacing w:after="0" w:line="273" w:lineRule="auto"/>
        <w:tabs>
          <w:tab w:leader="none" w:pos="1246" w:val="left"/>
        </w:tabs>
        <w:numPr>
          <w:ilvl w:val="0"/>
          <w:numId w:val="6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the USA PATRIOT Act or applicable Sanctions.</w:t>
      </w:r>
    </w:p>
    <w:p>
      <w:pPr>
        <w:spacing w:after="0" w:line="171" w:lineRule="exact"/>
        <w:rPr>
          <w:sz w:val="20"/>
          <w:szCs w:val="20"/>
          <w:color w:val="auto"/>
        </w:rPr>
      </w:pPr>
    </w:p>
    <w:p>
      <w:pPr>
        <w:ind w:right="1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3.08. </w:t>
      </w:r>
      <w:r>
        <w:rPr>
          <w:rFonts w:ascii="Times New Roman" w:cs="Times New Roman" w:eastAsia="Times New Roman" w:hAnsi="Times New Roman"/>
          <w:sz w:val="18"/>
          <w:szCs w:val="18"/>
          <w:u w:val="single" w:color="auto"/>
          <w:color w:val="auto"/>
        </w:rPr>
        <w:t>Investment Company Status</w:t>
      </w:r>
      <w:r>
        <w:rPr>
          <w:rFonts w:ascii="Times New Roman" w:cs="Times New Roman" w:eastAsia="Times New Roman" w:hAnsi="Times New Roman"/>
          <w:sz w:val="18"/>
          <w:szCs w:val="18"/>
          <w:color w:val="auto"/>
        </w:rPr>
        <w:t>. The Company is not an “investment company” as defined in, or subject to regulation under, the Investment Company Act of 1940.</w:t>
      </w:r>
    </w:p>
    <w:p>
      <w:pPr>
        <w:spacing w:after="0" w:line="162"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3.09.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87" w:lineRule="exact"/>
        <w:rPr>
          <w:sz w:val="20"/>
          <w:szCs w:val="20"/>
          <w:color w:val="auto"/>
        </w:rPr>
      </w:pPr>
    </w:p>
    <w:p>
      <w:pPr>
        <w:ind w:right="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3.10. </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1000"/>
          </w:cols>
          <w:pgMar w:left="440" w:top="270" w:right="459" w:bottom="1440" w:gutter="0" w:footer="0" w:header="0"/>
        </w:sectPr>
      </w:pPr>
    </w:p>
    <w:bookmarkStart w:id="75" w:name="page76"/>
    <w:bookmarkEnd w:id="75"/>
    <w:p>
      <w:pPr>
        <w:ind w:right="2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89"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3.11. </w:t>
      </w:r>
      <w:r>
        <w:rPr>
          <w:rFonts w:ascii="Times New Roman" w:cs="Times New Roman" w:eastAsia="Times New Roman" w:hAnsi="Times New Roman"/>
          <w:sz w:val="18"/>
          <w:szCs w:val="18"/>
          <w:u w:val="single" w:color="auto"/>
          <w:color w:val="auto"/>
        </w:rPr>
        <w:t>Solvency</w:t>
      </w:r>
      <w:r>
        <w:rPr>
          <w:rFonts w:ascii="Times New Roman" w:cs="Times New Roman" w:eastAsia="Times New Roman" w:hAnsi="Times New Roman"/>
          <w:sz w:val="18"/>
          <w:szCs w:val="18"/>
          <w:color w:val="auto"/>
        </w:rPr>
        <w:t>. On the Effective Date and on the Term Funding Date, in each case, immediately after giving effect to the consummation of the Transactions to occur on such date, including the making of the Loans and the application of the proceeds thereof, (i) the fair value of the assets of the Company and the Subsidiaries on a consolidated basis, at a fair valuation on a going concern basis, will exceed the debts and liabilities, direct, subordinated, contingent or otherwise, of the Company and the Subsidiaries on a consolidated basis; (ii) the present fair saleable value of the property of the Company and the Subsidiaries on a consolidated and going concern basis will be greater than the amount that will be required to pay the probable liability of the Company and the Subsidiaries on a consolidated basis on their debts and other liabilities, direct, subordinated, contingent or otherwise, as such debts and other liabilities become absolute and matured in the ordinary course of business; (iii) the Company and the Subsidiaries on a consolidated basis will be able to pay their debts and liabilities, direct, subordinated, contingent or otherwise, as such debts and liabilities become absolute and matured in the ordinary course of business; and (iv) the Company and the Subsidiaries on a consolidated basis will not have unreasonably small capital with which to conduct the businesses in which they are engaged as such businesses are now conducted and are proposed to be conducted following the Term Funding Date.</w:t>
      </w:r>
    </w:p>
    <w:p>
      <w:pPr>
        <w:spacing w:after="0" w:line="192" w:lineRule="exact"/>
        <w:rPr>
          <w:sz w:val="20"/>
          <w:szCs w:val="20"/>
          <w:color w:val="auto"/>
        </w:rPr>
      </w:pPr>
    </w:p>
    <w:p>
      <w:pPr>
        <w:ind w:right="2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3.12. </w:t>
      </w:r>
      <w:r>
        <w:rPr>
          <w:rFonts w:ascii="Times New Roman" w:cs="Times New Roman" w:eastAsia="Times New Roman" w:hAnsi="Times New Roman"/>
          <w:sz w:val="18"/>
          <w:szCs w:val="18"/>
          <w:u w:val="single" w:color="auto"/>
          <w:color w:val="auto"/>
        </w:rPr>
        <w:t>Disclosure</w:t>
      </w:r>
      <w:r>
        <w:rPr>
          <w:rFonts w:ascii="Times New Roman" w:cs="Times New Roman" w:eastAsia="Times New Roman" w:hAnsi="Times New Roman"/>
          <w:sz w:val="18"/>
          <w:szCs w:val="18"/>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the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 or on behalf of the Company or any Subsidiary to the Administrative Agent, the Arranger or any Lender in connection with the negotiation of this Agreement or any other Loan Document have been prepared in good faith based upon assumptions that are believed by</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440" w:top="270" w:right="459" w:bottom="1440" w:gutter="0" w:footer="0" w:header="0"/>
        </w:sectPr>
      </w:pPr>
    </w:p>
    <w:bookmarkStart w:id="76" w:name="page77"/>
    <w:bookmarkEnd w:id="76"/>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to be reasonable at the time such financial projections or other forward-looking information are furnished to the Administrative Agent, the Arranger or any Lender, it being understood and agreed that financial projections and other forward-looking information are as to future events and are not to be viewed as facts, are subject to significant uncertainties and contingencies, many of which are out of the Company’s, Inphi’s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187" w:lineRule="exact"/>
        <w:rPr>
          <w:sz w:val="20"/>
          <w:szCs w:val="20"/>
          <w:color w:val="auto"/>
        </w:rPr>
      </w:pPr>
    </w:p>
    <w:p>
      <w:pPr>
        <w:ind w:right="20" w:firstLine="987"/>
        <w:spacing w:after="0" w:line="261" w:lineRule="auto"/>
        <w:tabs>
          <w:tab w:leader="none" w:pos="1246"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Beneficial Ownership Certification is required to be delivered pursuant to Section 4.01(d), then, as of the Effective Date, the information set forth in such Beneficial Ownership Certification is true and correct in all respects. If a Beneficial Ownership Certification is required to be delivered pursuant to Section 6.04(a), then, as of the date of the delivery thereof, the information set forth in such Beneficial Ownership Certification is true and correct in all respects.</w:t>
      </w:r>
    </w:p>
    <w:p>
      <w:pPr>
        <w:spacing w:after="0" w:line="180"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3.13. </w:t>
      </w:r>
      <w:r>
        <w:rPr>
          <w:rFonts w:ascii="Times New Roman" w:cs="Times New Roman" w:eastAsia="Times New Roman" w:hAnsi="Times New Roman"/>
          <w:sz w:val="18"/>
          <w:szCs w:val="18"/>
          <w:u w:val="single" w:color="auto"/>
          <w:color w:val="auto"/>
        </w:rPr>
        <w:t>Federal Reserve Regulations</w:t>
      </w:r>
      <w:r>
        <w:rPr>
          <w:rFonts w:ascii="Times New Roman" w:cs="Times New Roman" w:eastAsia="Times New Roman" w:hAnsi="Times New Roman"/>
          <w:sz w:val="18"/>
          <w:szCs w:val="18"/>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83" w:lineRule="exact"/>
        <w:rPr>
          <w:sz w:val="20"/>
          <w:szCs w:val="20"/>
          <w:color w:val="auto"/>
        </w:rPr>
      </w:pPr>
    </w:p>
    <w:p>
      <w:pPr>
        <w:ind w:right="4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3.14.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The Company will use the proceeds of the Terms Loans solely to finance, in part, the Inphi Acquisition, the Refinancing and the payment of fees and expenses related to the Transactions.</w:t>
      </w:r>
    </w:p>
    <w:p>
      <w:pPr>
        <w:spacing w:after="0" w:line="162"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3.15. </w:t>
      </w:r>
      <w:r>
        <w:rPr>
          <w:rFonts w:ascii="Times New Roman" w:cs="Times New Roman" w:eastAsia="Times New Roman" w:hAnsi="Times New Roman"/>
          <w:sz w:val="18"/>
          <w:szCs w:val="18"/>
          <w:u w:val="single" w:color="auto"/>
          <w:color w:val="auto"/>
        </w:rPr>
        <w:t>Ranking of Obligations</w:t>
      </w:r>
      <w:r>
        <w:rPr>
          <w:rFonts w:ascii="Times New Roman" w:cs="Times New Roman" w:eastAsia="Times New Roman" w:hAnsi="Times New Roman"/>
          <w:sz w:val="18"/>
          <w:szCs w:val="18"/>
          <w:color w:val="auto"/>
        </w:rPr>
        <w:t>. The obligations of the Company under the Loan Documents rank at least equally with all of the unsubordinated unsecured Indebtedness of the Company, and ahead of all subordinated Indebtedness, if any, of the Company.</w:t>
      </w:r>
    </w:p>
    <w:p>
      <w:pPr>
        <w:spacing w:after="0" w:line="162" w:lineRule="exact"/>
        <w:rPr>
          <w:sz w:val="20"/>
          <w:szCs w:val="20"/>
          <w:color w:val="auto"/>
        </w:rPr>
      </w:pPr>
    </w:p>
    <w:p>
      <w:pPr>
        <w:ind w:right="8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3.16. </w:t>
      </w:r>
      <w:r>
        <w:rPr>
          <w:rFonts w:ascii="Times New Roman" w:cs="Times New Roman" w:eastAsia="Times New Roman" w:hAnsi="Times New Roman"/>
          <w:sz w:val="18"/>
          <w:szCs w:val="18"/>
          <w:u w:val="single" w:color="auto"/>
          <w:color w:val="auto"/>
        </w:rPr>
        <w:t>Choice of Law Provisions</w:t>
      </w:r>
      <w:r>
        <w:rPr>
          <w:rFonts w:ascii="Times New Roman" w:cs="Times New Roman" w:eastAsia="Times New Roman" w:hAnsi="Times New Roman"/>
          <w:sz w:val="18"/>
          <w:szCs w:val="18"/>
          <w:color w:val="auto"/>
        </w:rPr>
        <w:t>. The choice of law provisions set forth in Section 9.09 are legal, valid and binding under the laws of Bermuda, and Marvell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Marvell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0960"/>
          </w:cols>
          <w:pgMar w:left="440" w:top="270" w:right="499" w:bottom="1440" w:gutter="0" w:footer="0" w:header="0"/>
        </w:sectPr>
      </w:pPr>
    </w:p>
    <w:bookmarkStart w:id="77" w:name="page78"/>
    <w:bookmarkEnd w:id="77"/>
    <w:p>
      <w:pPr>
        <w:ind w:right="1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waiver by Marvell of any immunity and any objection to the venue of the proceedings in such State or Federal court are legal, valid and binding obligations of Marvell , and Marvell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80" w:lineRule="exact"/>
        <w:rPr>
          <w:sz w:val="20"/>
          <w:szCs w:val="20"/>
          <w:color w:val="auto"/>
        </w:rPr>
      </w:pPr>
    </w:p>
    <w:p>
      <w:pPr>
        <w:ind w:right="10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3.17. </w:t>
      </w:r>
      <w:r>
        <w:rPr>
          <w:rFonts w:ascii="Times New Roman" w:cs="Times New Roman" w:eastAsia="Times New Roman" w:hAnsi="Times New Roman"/>
          <w:sz w:val="18"/>
          <w:szCs w:val="18"/>
          <w:u w:val="single" w:color="auto"/>
          <w:color w:val="auto"/>
        </w:rPr>
        <w:t>No Immunity</w:t>
      </w:r>
      <w:r>
        <w:rPr>
          <w:rFonts w:ascii="Times New Roman" w:cs="Times New Roman" w:eastAsia="Times New Roman" w:hAnsi="Times New Roman"/>
          <w:sz w:val="18"/>
          <w:szCs w:val="18"/>
          <w:color w:val="auto"/>
        </w:rPr>
        <w:t>. Marvell is subject to civil and commercial laws with respect to its obligations under the Loan Documents, and the execution, delivery and performance by Marvell of any Loan Document constitute and will constitute private and commercial acts and not public or governmental acts. Neither Marvell nor any of its properties has any immunity from jurisdiction of any court or from any legal process (whether through service or notice, attachment prior to judgment, attachment in aid of execution, execution or otherwise) under the laws of the jurisdiction in which Marvell is organized in respect of its obligations under any Loan Document.</w:t>
      </w:r>
    </w:p>
    <w:p>
      <w:pPr>
        <w:spacing w:after="0" w:line="183"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3.18. </w:t>
      </w:r>
      <w:r>
        <w:rPr>
          <w:rFonts w:ascii="Times New Roman" w:cs="Times New Roman" w:eastAsia="Times New Roman" w:hAnsi="Times New Roman"/>
          <w:sz w:val="18"/>
          <w:szCs w:val="18"/>
          <w:u w:val="single" w:color="auto"/>
          <w:color w:val="auto"/>
        </w:rPr>
        <w:t>Proper Form; No Recordation</w:t>
      </w:r>
      <w:r>
        <w:rPr>
          <w:rFonts w:ascii="Times New Roman" w:cs="Times New Roman" w:eastAsia="Times New Roman" w:hAnsi="Times New Roman"/>
          <w:sz w:val="18"/>
          <w:szCs w:val="18"/>
          <w:color w:val="auto"/>
        </w:rPr>
        <w:t>. Each Loan Document is in proper legal form under the laws of Bermuda for the enforcement thereof against Marvell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Marvell.</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3.19. </w:t>
      </w:r>
      <w:r>
        <w:rPr>
          <w:rFonts w:ascii="Times New Roman" w:cs="Times New Roman" w:eastAsia="Times New Roman" w:hAnsi="Times New Roman"/>
          <w:sz w:val="18"/>
          <w:szCs w:val="18"/>
          <w:u w:val="single" w:color="auto"/>
          <w:color w:val="auto"/>
        </w:rPr>
        <w:t>Affected Financial Institutions</w:t>
      </w:r>
      <w:r>
        <w:rPr>
          <w:rFonts w:ascii="Times New Roman" w:cs="Times New Roman" w:eastAsia="Times New Roman" w:hAnsi="Times New Roman"/>
          <w:sz w:val="18"/>
          <w:szCs w:val="18"/>
          <w:color w:val="auto"/>
        </w:rPr>
        <w:t>. The Company is not an Affected Financial Institution.</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Conditions</w:t>
      </w:r>
    </w:p>
    <w:p>
      <w:pPr>
        <w:spacing w:after="0" w:line="225"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4.01. </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54" w:lineRule="exact"/>
        <w:rPr>
          <w:sz w:val="20"/>
          <w:szCs w:val="20"/>
          <w:color w:val="auto"/>
        </w:rPr>
      </w:pPr>
    </w:p>
    <w:p>
      <w:pPr>
        <w:ind w:left="440" w:right="320" w:firstLine="525"/>
        <w:spacing w:after="0" w:line="266" w:lineRule="auto"/>
        <w:tabs>
          <w:tab w:leader="none" w:pos="1213"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counterpart of this Agreement executed by each party hereto (which, subject to Section 9.06(b), may include any Electronic Signatures transmitted by telecopy, emailed pdf. or any other electronic means that reproduces an image of an actual executed signature page).</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0980"/>
          </w:cols>
          <w:pgMar w:left="440" w:top="270" w:right="479" w:bottom="1440" w:gutter="0" w:footer="0" w:header="0"/>
        </w:sectPr>
      </w:pPr>
    </w:p>
    <w:bookmarkStart w:id="78" w:name="page79"/>
    <w:bookmarkEnd w:id="78"/>
    <w:p>
      <w:pPr>
        <w:jc w:val="both"/>
        <w:ind w:left="440" w:right="120" w:firstLine="525"/>
        <w:spacing w:after="0" w:line="266" w:lineRule="auto"/>
        <w:tabs>
          <w:tab w:leader="none" w:pos="1223"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shall have received written opinions (addressed to the Administrative Agent and the Lenders and dated the Effective Date) of Hogan Lovells US LLP and Appleby (Bermuda) Limited, in each case, in form and substance customary for financings of this type.</w:t>
      </w:r>
    </w:p>
    <w:p>
      <w:pPr>
        <w:spacing w:after="0" w:line="67" w:lineRule="exact"/>
        <w:rPr>
          <w:rFonts w:ascii="Times New Roman" w:cs="Times New Roman" w:eastAsia="Times New Roman" w:hAnsi="Times New Roman"/>
          <w:sz w:val="18"/>
          <w:szCs w:val="18"/>
          <w:color w:val="auto"/>
        </w:rPr>
      </w:pPr>
    </w:p>
    <w:p>
      <w:pPr>
        <w:ind w:left="440" w:firstLine="525"/>
        <w:spacing w:after="0" w:line="254" w:lineRule="auto"/>
        <w:tabs>
          <w:tab w:leader="none" w:pos="1213"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certificate of each of Marvell and Maui Topco, dated the Effective Date and executed by the secretary, an assistant secretary or a director of Marvell or Maui Topco, as applicable, attaching (i) a copy of each organizational document of Marvell or Maui Topco, as applicable, which shall, to the extent applicable, be certified as of the Effective Date or a recent date prior thereto by the appropriate Governmental Authority, (ii) signature and incumbency certificates of the officers of Marvell or Maui Topco, as applicable executing each Loan Document, (iii) resolutions of the board of directors of Marvell or Maui Topco, as applicable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by the Secretary of State of Delaware or a certificate of compliance from the Registrar of Companies of Bermuda, as applicable, dated the Effective Date or a recent date prior thereto, in each case, in form and substance customary for financings of this type.</w:t>
      </w:r>
    </w:p>
    <w:p>
      <w:pPr>
        <w:spacing w:after="0" w:line="80" w:lineRule="exact"/>
        <w:rPr>
          <w:rFonts w:ascii="Times New Roman" w:cs="Times New Roman" w:eastAsia="Times New Roman" w:hAnsi="Times New Roman"/>
          <w:sz w:val="18"/>
          <w:szCs w:val="18"/>
          <w:color w:val="auto"/>
        </w:rPr>
      </w:pPr>
    </w:p>
    <w:p>
      <w:pPr>
        <w:ind w:left="440" w:right="80" w:firstLine="525"/>
        <w:spacing w:after="0" w:line="258" w:lineRule="auto"/>
        <w:tabs>
          <w:tab w:leader="none" w:pos="1223"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Lenders shall have received at least three Business Days prior to the Effective Date, to the extent reasonably requested by the Administrative Agent or any Lender at least ten Business Days prior to the Effective Date, all documentation and other information required by regulatory authorities under applicable “know your customer” and anti-money laundering rules and regulations, including, without limitation, the USA PATRIOT Act and the Beneficial Ownership Regulation, including, to each Lender that so requests, a Beneficial Ownership Certification to the extent the Company qualifies as a “legal entity” customer under the Beneficial Ownership Regulation</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Administrative Agent shall notify the Company and the Lenders of the Effective Date, and such notice shall be conclusive and binding.</w:t>
      </w:r>
    </w:p>
    <w:p>
      <w:pPr>
        <w:spacing w:after="0" w:line="225" w:lineRule="exact"/>
        <w:rPr>
          <w:sz w:val="20"/>
          <w:szCs w:val="20"/>
          <w:color w:val="auto"/>
        </w:rPr>
      </w:pPr>
    </w:p>
    <w:p>
      <w:pPr>
        <w:jc w:val="both"/>
        <w:ind w:right="4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4.02. </w:t>
      </w:r>
      <w:r>
        <w:rPr>
          <w:rFonts w:ascii="Times New Roman" w:cs="Times New Roman" w:eastAsia="Times New Roman" w:hAnsi="Times New Roman"/>
          <w:sz w:val="18"/>
          <w:szCs w:val="18"/>
          <w:u w:val="single" w:color="auto"/>
          <w:color w:val="auto"/>
        </w:rPr>
        <w:t>Term Funding Date</w:t>
      </w:r>
      <w:r>
        <w:rPr>
          <w:rFonts w:ascii="Times New Roman" w:cs="Times New Roman" w:eastAsia="Times New Roman" w:hAnsi="Times New Roman"/>
          <w:sz w:val="18"/>
          <w:szCs w:val="18"/>
          <w:color w:val="auto"/>
        </w:rPr>
        <w:t>. The obligations of the Term Lenders to make Term Loans hereunder are subject to the occurrence of the Effective Date, receipt by the Administrative Agent of a Borrowing Request therefor in accordance with Section 2.03 and the satisfaction (or waiver in accordance with Section 9.02) of the following conditions:</w:t>
      </w:r>
    </w:p>
    <w:p>
      <w:pPr>
        <w:spacing w:after="0" w:line="68" w:lineRule="exact"/>
        <w:rPr>
          <w:sz w:val="20"/>
          <w:szCs w:val="20"/>
          <w:color w:val="auto"/>
        </w:rPr>
      </w:pPr>
    </w:p>
    <w:p>
      <w:pPr>
        <w:ind w:left="440" w:firstLine="525"/>
        <w:spacing w:after="0" w:line="261" w:lineRule="auto"/>
        <w:tabs>
          <w:tab w:leader="none" w:pos="1213"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Acquisition shall be consummated substantially concurrently with the initial funding under the Term Facility in accordance with the Inphi Acquisition Agreement and the Inphi Acquisition Agreement shall not have been amended or modified, and no condition shall have been waived or consent granted, in any respect that is materially adverse to the Term Lenders or the Arranger without the Arranger’s prior written consent; provided that (i)</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0980"/>
          </w:cols>
          <w:pgMar w:left="440" w:top="270" w:right="479" w:bottom="1440" w:gutter="0" w:footer="0" w:header="0"/>
        </w:sectPr>
      </w:pPr>
    </w:p>
    <w:bookmarkStart w:id="79" w:name="page80"/>
    <w:bookmarkEnd w:id="79"/>
    <w:p>
      <w:pPr>
        <w:ind w:left="4" w:right="120"/>
        <w:spacing w:after="0" w:line="276"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increases in the stock consideration for the Inphi Acquisition and, if funded with equity, increases in cash consideration for the Inphi Acquisition shall not be deemed to be materially adverse to the interests of the Lenders and the Arranger and shall not require the consent of the Arranger,</w:t>
      </w:r>
    </w:p>
    <w:p>
      <w:pPr>
        <w:spacing w:after="0" w:line="1" w:lineRule="exact"/>
        <w:rPr>
          <w:sz w:val="20"/>
          <w:szCs w:val="20"/>
          <w:color w:val="auto"/>
        </w:rPr>
      </w:pPr>
    </w:p>
    <w:p>
      <w:pPr>
        <w:ind w:left="4" w:hanging="4"/>
        <w:spacing w:after="0" w:line="251" w:lineRule="auto"/>
        <w:tabs>
          <w:tab w:leader="none" w:pos="268"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decreases of less than 10% in the acquisition consideration shall not be deemed to be materially adverse to the interests of the Term Lenders or the Arranger and shall not require the consent of the Arranger so long as any such reduction in cash consideration for the Inphi Acquisition shall reduce dollar-for-dollar the Commitments, (iii) decreases of more than 10% in the acquisition consideration shall be deemed to be materially adverse to the interests of the Lenders or the Arranger and shall require the consent of the Arranger; and (iv) any amendment to the definition of “Material Adverse Effect on the Company” as defined in the Inphi Acquisition Agreement (as in effect on the Signing Date) shall be deemed to be materially adverse to the interests of the Term Lenders and the Arranger;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further that, for the avoidance of doubt, any increases or decreases in the amount of newly issued shares of common stock of Maui Topco received by the existing equity holders of Inphi as stock consideration that result in accordance with the application of the Exchange Ratio (as in effect and defined in the Inphi Acquisition Agreement on the Signing Date and without any amendment, modification or waiver thereof), shall not be materially adverse to the interest of the Term Lenders and the Arranger and shall not require the consent of the Arranger.</w:t>
      </w:r>
    </w:p>
    <w:p>
      <w:pPr>
        <w:spacing w:after="0" w:line="84" w:lineRule="exact"/>
        <w:rPr>
          <w:rFonts w:ascii="Times New Roman" w:cs="Times New Roman" w:eastAsia="Times New Roman" w:hAnsi="Times New Roman"/>
          <w:sz w:val="18"/>
          <w:szCs w:val="18"/>
          <w:color w:val="auto"/>
        </w:rPr>
      </w:pPr>
    </w:p>
    <w:p>
      <w:pPr>
        <w:ind w:left="784" w:hanging="255"/>
        <w:spacing w:after="0"/>
        <w:tabs>
          <w:tab w:leader="none" w:pos="784" w:val="left"/>
        </w:tabs>
        <w:numPr>
          <w:ilvl w:val="1"/>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Signing Date, there shall not have occurred any Material Adverse Effect on the Acquired Companies.</w:t>
      </w:r>
    </w:p>
    <w:p>
      <w:pPr>
        <w:spacing w:after="0" w:line="117" w:lineRule="exact"/>
        <w:rPr>
          <w:rFonts w:ascii="Times New Roman" w:cs="Times New Roman" w:eastAsia="Times New Roman" w:hAnsi="Times New Roman"/>
          <w:sz w:val="18"/>
          <w:szCs w:val="18"/>
          <w:color w:val="auto"/>
        </w:rPr>
      </w:pPr>
    </w:p>
    <w:p>
      <w:pPr>
        <w:ind w:left="4" w:right="80" w:firstLine="525"/>
        <w:spacing w:after="0" w:line="261" w:lineRule="auto"/>
        <w:tabs>
          <w:tab w:leader="none" w:pos="777" w:val="left"/>
        </w:tabs>
        <w:numPr>
          <w:ilvl w:val="1"/>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time of and upon giving effect to the borrowing of the Term Loans and the application of proceeds thereof on the Term Funding Date, (i) the Inphi Business Representations shall be true and correct, (ii) the Specified Representations shall be true and correct in all material respects and (iii) there shall not exist any Event of Default under clause (a), (b), (h), (i) or, solely with respect to failure to comply with Section 6.04, (e) of Section 7.01.</w:t>
      </w:r>
    </w:p>
    <w:p>
      <w:pPr>
        <w:spacing w:after="0" w:line="71" w:lineRule="exact"/>
        <w:rPr>
          <w:rFonts w:ascii="Times New Roman" w:cs="Times New Roman" w:eastAsia="Times New Roman" w:hAnsi="Times New Roman"/>
          <w:sz w:val="18"/>
          <w:szCs w:val="18"/>
          <w:color w:val="auto"/>
        </w:rPr>
      </w:pPr>
    </w:p>
    <w:p>
      <w:pPr>
        <w:ind w:left="4" w:firstLine="525"/>
        <w:spacing w:after="0" w:line="258" w:lineRule="auto"/>
        <w:tabs>
          <w:tab w:leader="none" w:pos="787" w:val="left"/>
        </w:tabs>
        <w:numPr>
          <w:ilvl w:val="1"/>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costs, expenses (including reasonable and documented legal fees and expenses) and fees contemplated by the Loan Documents, or otherwise agreed by the Company with the Arranger to be reimbursable or payable by or on behalf of the Company to the Arranger (or its Affiliates), the Administrative Agent or the Lenders shall have been paid on or prior to the Term Funding Date, in each case, to the extent required to be paid on or prior to the Term Funding Date and, in the case of costs and expenses, invoiced at least three (3) days prior to the Term Funding Date.</w:t>
      </w:r>
    </w:p>
    <w:p>
      <w:pPr>
        <w:spacing w:after="0" w:line="75" w:lineRule="exact"/>
        <w:rPr>
          <w:rFonts w:ascii="Times New Roman" w:cs="Times New Roman" w:eastAsia="Times New Roman" w:hAnsi="Times New Roman"/>
          <w:sz w:val="18"/>
          <w:szCs w:val="18"/>
          <w:color w:val="auto"/>
        </w:rPr>
      </w:pPr>
    </w:p>
    <w:p>
      <w:pPr>
        <w:ind w:left="4" w:right="80" w:firstLine="525"/>
        <w:spacing w:after="0" w:line="312" w:lineRule="auto"/>
        <w:tabs>
          <w:tab w:leader="none" w:pos="777" w:val="left"/>
        </w:tabs>
        <w:numPr>
          <w:ilvl w:val="1"/>
          <w:numId w:val="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Administrative Agent shall have received a certificate, dated the Term Funding Date and signed by the chief executive officer or the chief financial officer of the Company, certifying that the conditions set forth in paragraphs (a), (b) and (c) of this Section have been satisfied.</w:t>
      </w:r>
    </w:p>
    <w:p>
      <w:pPr>
        <w:spacing w:after="0" w:line="72" w:lineRule="exact"/>
        <w:rPr>
          <w:sz w:val="20"/>
          <w:szCs w:val="20"/>
          <w:color w:val="auto"/>
        </w:rPr>
      </w:pPr>
    </w:p>
    <w:p>
      <w:pPr>
        <w:jc w:val="center"/>
        <w:ind w:right="396"/>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0544"/>
          </w:cols>
          <w:pgMar w:left="876" w:top="270" w:right="479" w:bottom="1440" w:gutter="0" w:footer="0" w:header="0"/>
        </w:sectPr>
      </w:pPr>
    </w:p>
    <w:bookmarkStart w:id="80" w:name="page81"/>
    <w:bookmarkEnd w:id="80"/>
    <w:p>
      <w:pPr>
        <w:ind w:right="580" w:firstLine="525"/>
        <w:spacing w:after="0" w:line="282" w:lineRule="auto"/>
        <w:tabs>
          <w:tab w:leader="none" w:pos="753"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Administrative Agent shall have received a solvency certificate in the form of Exhibit E from the Company, dated the Term Funding Date and signed by its chief financial officer.</w:t>
      </w:r>
    </w:p>
    <w:p>
      <w:pPr>
        <w:spacing w:after="0" w:line="53" w:lineRule="exact"/>
        <w:rPr>
          <w:rFonts w:ascii="Times New Roman" w:cs="Times New Roman" w:eastAsia="Times New Roman" w:hAnsi="Times New Roman"/>
          <w:sz w:val="18"/>
          <w:szCs w:val="18"/>
          <w:color w:val="auto"/>
        </w:rPr>
      </w:pPr>
    </w:p>
    <w:p>
      <w:pPr>
        <w:ind w:firstLine="525"/>
        <w:spacing w:after="0" w:line="253" w:lineRule="auto"/>
        <w:tabs>
          <w:tab w:leader="none" w:pos="783"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Administrative Agent shall have received for each of Marvell (which such statements may be of Maui Topco) and Inphi (a) GAAP audited consolidated balance sheets and related statements of income (and/or operations), stockholders’ (or shareholders’) equity and cash flows for the three most recent fiscal years ended at least 60 days prior to the Term Funding Date and (b) GAAP unaudited consolidated balance sheets and related statements of income (and/or operation), stockholders’ (or shareholders’) equity and cash flows for each subsequent fiscal quarter ended at least 40 days before the Term Funding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Marvell’s (or Maui Topco’s) and the Target’s public filing of any required financial statements with the SEC shall constitute delivery of such financial statements to the Administrative Agent. The Administrative Agent acknowledges receipt of (i) the audited financial statements of Marvell for the fiscal years ended February 3, 2018, February 2, 2019 and February 1, 2020, (ii) the audited financial statements of Inphi for the fiscal years ended December 31, 2017, December 31, 2018 and December 31, 2019, (iii) the unaudited consolidated balance sheets and related statements of income (and/or operation), stockholders’ (or shareholders’) equity and cash flows of (x) Marvell for each fiscal quarter through October 31, 2020 and (y) Target for each fiscal quarter through September 30, 2020.</w:t>
      </w:r>
    </w:p>
    <w:p>
      <w:pPr>
        <w:spacing w:after="0" w:line="79" w:lineRule="exact"/>
        <w:rPr>
          <w:rFonts w:ascii="Times New Roman" w:cs="Times New Roman" w:eastAsia="Times New Roman" w:hAnsi="Times New Roman"/>
          <w:sz w:val="18"/>
          <w:szCs w:val="18"/>
          <w:color w:val="auto"/>
        </w:rPr>
      </w:pPr>
    </w:p>
    <w:p>
      <w:pPr>
        <w:ind w:right="60" w:firstLine="525"/>
        <w:spacing w:after="0" w:line="271" w:lineRule="auto"/>
        <w:tabs>
          <w:tab w:leader="none" w:pos="783" w:val="left"/>
        </w:tabs>
        <w:numPr>
          <w:ilvl w:val="0"/>
          <w:numId w:val="7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Administrative Agent shall have received a pro forma consolidated balance sheet of Marvell and Inphi as of the last day of the most recently completed fiscal quarter period of Marvell for which financial statements have been delivered pursuant to clause (g) above and pro forma consolidated income (and/or operations) statements for the most recent fiscal year and most recent interim period, in each case, of Marvell, delivered pursuant to clause (g)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Marvell’s (or Maui Topco’s) and Inphi’s public filing of any required pro forma financial statements with the SEC shall constitute delivery of such financial statements to the Administrative Agent.</w:t>
      </w:r>
    </w:p>
    <w:p>
      <w:pPr>
        <w:spacing w:after="0" w:line="106"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0540"/>
          </w:cols>
          <w:pgMar w:left="880" w:top="270" w:right="479" w:bottom="1440" w:gutter="0" w:footer="0" w:header="0"/>
        </w:sectPr>
      </w:pPr>
    </w:p>
    <w:bookmarkStart w:id="81" w:name="page82"/>
    <w:bookmarkEnd w:id="81"/>
    <w:p>
      <w:pPr>
        <w:ind w:left="440" w:firstLine="525"/>
        <w:spacing w:after="0" w:line="261" w:lineRule="auto"/>
        <w:tabs>
          <w:tab w:leader="none" w:pos="1183"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extent not received prior to the Effective Date, the Lenders shall have received at least three Business Days prior to the Term Funding Date, to the extent reasonably requested by the Administrative Agent or any Lender at least ten Business Days prior to the Term Funding Date, all documentation and other information required by regulatory authorities under applicable “know your customer” and anti-money laundering rules and regulations, including, without limitation, the USA PATRIOT Act and the Beneficial Ownership Regulation.</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Administrative Agent shall notify the Company and the Lenders of the Term Funding Date, and such notice shall be conclusive and binding.</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ARTICLE V</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Affirmative Covenants</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5.01. </w:t>
      </w:r>
      <w:r>
        <w:rPr>
          <w:rFonts w:ascii="Times New Roman" w:cs="Times New Roman" w:eastAsia="Times New Roman" w:hAnsi="Times New Roman"/>
          <w:sz w:val="18"/>
          <w:szCs w:val="18"/>
          <w:u w:val="single" w:color="auto"/>
          <w:color w:val="auto"/>
        </w:rPr>
        <w:t>Financial Statements and Other Information</w:t>
      </w:r>
      <w:r>
        <w:rPr>
          <w:rFonts w:ascii="Times New Roman" w:cs="Times New Roman" w:eastAsia="Times New Roman" w:hAnsi="Times New Roman"/>
          <w:sz w:val="18"/>
          <w:szCs w:val="18"/>
          <w:color w:val="auto"/>
        </w:rPr>
        <w:t>. The Company will furnish to the Administrative Agent, on behalf of each</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Lender:</w:t>
      </w:r>
    </w:p>
    <w:p>
      <w:pPr>
        <w:spacing w:after="0" w:line="99" w:lineRule="exact"/>
        <w:rPr>
          <w:sz w:val="20"/>
          <w:szCs w:val="20"/>
          <w:color w:val="auto"/>
        </w:rPr>
      </w:pPr>
    </w:p>
    <w:p>
      <w:pPr>
        <w:ind w:left="440" w:firstLine="525"/>
        <w:spacing w:after="0" w:line="254" w:lineRule="auto"/>
        <w:tabs>
          <w:tab w:leader="none" w:pos="1213"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90 days after the end of each fiscal year of the Company, commencing with the fiscal year ending January 30, 2021,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80" w:lineRule="exact"/>
        <w:rPr>
          <w:rFonts w:ascii="Times New Roman" w:cs="Times New Roman" w:eastAsia="Times New Roman" w:hAnsi="Times New Roman"/>
          <w:sz w:val="18"/>
          <w:szCs w:val="18"/>
          <w:color w:val="auto"/>
        </w:rPr>
      </w:pPr>
    </w:p>
    <w:p>
      <w:pPr>
        <w:ind w:left="440" w:right="80" w:firstLine="525"/>
        <w:spacing w:after="0" w:line="258" w:lineRule="auto"/>
        <w:tabs>
          <w:tab w:leader="none" w:pos="1223"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w:t>
      </w:r>
    </w:p>
    <w:p>
      <w:pPr>
        <w:spacing w:after="0" w:line="116"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0940"/>
          </w:cols>
          <w:pgMar w:left="440" w:top="270" w:right="519" w:bottom="1440" w:gutter="0" w:footer="0" w:header="0"/>
        </w:sectPr>
      </w:pPr>
    </w:p>
    <w:bookmarkStart w:id="82" w:name="page83"/>
    <w:bookmarkEnd w:id="82"/>
    <w:p>
      <w:pPr>
        <w:ind w:left="440" w:right="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68" w:lineRule="exact"/>
        <w:rPr>
          <w:sz w:val="20"/>
          <w:szCs w:val="20"/>
          <w:color w:val="auto"/>
        </w:rPr>
      </w:pPr>
    </w:p>
    <w:p>
      <w:pPr>
        <w:ind w:left="440" w:right="60" w:firstLine="525"/>
        <w:spacing w:after="0" w:line="254" w:lineRule="auto"/>
        <w:tabs>
          <w:tab w:leader="none" w:pos="1213"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3" w:lineRule="exact"/>
        <w:rPr>
          <w:rFonts w:ascii="Times New Roman" w:cs="Times New Roman" w:eastAsia="Times New Roman" w:hAnsi="Times New Roman"/>
          <w:sz w:val="18"/>
          <w:szCs w:val="18"/>
          <w:color w:val="auto"/>
        </w:rPr>
      </w:pPr>
    </w:p>
    <w:p>
      <w:pPr>
        <w:ind w:left="440" w:right="160" w:firstLine="525"/>
        <w:spacing w:after="0" w:line="282" w:lineRule="auto"/>
        <w:tabs>
          <w:tab w:leader="none" w:pos="1223"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53" w:lineRule="exact"/>
        <w:rPr>
          <w:rFonts w:ascii="Times New Roman" w:cs="Times New Roman" w:eastAsia="Times New Roman" w:hAnsi="Times New Roman"/>
          <w:sz w:val="18"/>
          <w:szCs w:val="18"/>
          <w:color w:val="auto"/>
        </w:rPr>
      </w:pPr>
    </w:p>
    <w:p>
      <w:pPr>
        <w:ind w:left="440" w:right="480" w:firstLine="525"/>
        <w:spacing w:after="0" w:line="261" w:lineRule="auto"/>
        <w:tabs>
          <w:tab w:leader="none" w:pos="1213"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any request therefor, such other information regarding the operations, business affairs, assets, liabilities (including contingent liabilities) and financial condition of the Company or any Subsidiary (subject to the limitations described in the last sentence of Section 5.07), or compliance with the terms of any Loan Document, as the Administrative Agent or any Lender (through the Administrative Agent) may reasonably request in writing.</w:t>
      </w:r>
    </w:p>
    <w:p>
      <w:pPr>
        <w:spacing w:after="0" w:line="180"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Information required to be delivered pursuant to clause (a), (b) or (d)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5.02. </w:t>
      </w:r>
      <w:r>
        <w:rPr>
          <w:rFonts w:ascii="Times New Roman" w:cs="Times New Roman" w:eastAsia="Times New Roman" w:hAnsi="Times New Roman"/>
          <w:sz w:val="18"/>
          <w:szCs w:val="18"/>
          <w:u w:val="single" w:color="auto"/>
          <w:color w:val="auto"/>
        </w:rPr>
        <w:t>Notices of Material Events</w:t>
      </w:r>
      <w:r>
        <w:rPr>
          <w:rFonts w:ascii="Times New Roman" w:cs="Times New Roman" w:eastAsia="Times New Roman" w:hAnsi="Times New Roman"/>
          <w:sz w:val="18"/>
          <w:szCs w:val="18"/>
          <w:color w:val="auto"/>
        </w:rPr>
        <w:t>. Promptly after any Responsible Officer of the Company obtains actual knowledge thereof,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will furnish to the Administrative Agent written notice of the following:</w:t>
      </w:r>
    </w:p>
    <w:p>
      <w:pPr>
        <w:spacing w:after="0" w:line="99" w:lineRule="exact"/>
        <w:rPr>
          <w:sz w:val="20"/>
          <w:szCs w:val="20"/>
          <w:color w:val="auto"/>
        </w:rPr>
      </w:pPr>
    </w:p>
    <w:p>
      <w:pPr>
        <w:ind w:left="5420" w:right="2040" w:hanging="4455"/>
        <w:spacing w:after="0" w:line="454" w:lineRule="auto"/>
        <w:tabs>
          <w:tab w:leader="none" w:pos="1216"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or receipt by the Company of any written notice claiming the occurrence of, any Default; 71</w:t>
      </w:r>
    </w:p>
    <w:p>
      <w:pPr>
        <w:sectPr>
          <w:pgSz w:w="11900" w:h="16838" w:orient="portrait"/>
          <w:cols w:equalWidth="0" w:num="1">
            <w:col w:w="11000"/>
          </w:cols>
          <w:pgMar w:left="440" w:top="270" w:right="459" w:bottom="1440" w:gutter="0" w:footer="0" w:header="0"/>
        </w:sectPr>
      </w:pPr>
    </w:p>
    <w:bookmarkStart w:id="83" w:name="page84"/>
    <w:bookmarkEnd w:id="83"/>
    <w:p>
      <w:pPr>
        <w:ind w:left="440" w:right="160" w:firstLine="525"/>
        <w:spacing w:after="0" w:line="261" w:lineRule="auto"/>
        <w:tabs>
          <w:tab w:leader="none" w:pos="1223"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71" w:lineRule="exact"/>
        <w:rPr>
          <w:rFonts w:ascii="Times New Roman" w:cs="Times New Roman" w:eastAsia="Times New Roman" w:hAnsi="Times New Roman"/>
          <w:sz w:val="18"/>
          <w:szCs w:val="18"/>
          <w:color w:val="auto"/>
        </w:rPr>
      </w:pPr>
    </w:p>
    <w:p>
      <w:pPr>
        <w:ind w:left="440" w:right="500" w:firstLine="525"/>
        <w:spacing w:after="0" w:line="282" w:lineRule="auto"/>
        <w:tabs>
          <w:tab w:leader="none" w:pos="1213"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any ERISA Event that, alone or together with any other ERISA Events that have occurred would reasonably be expected to result in a Material Adverse Effect;</w:t>
      </w:r>
    </w:p>
    <w:p>
      <w:pPr>
        <w:spacing w:after="0" w:line="53" w:lineRule="exact"/>
        <w:rPr>
          <w:rFonts w:ascii="Times New Roman" w:cs="Times New Roman" w:eastAsia="Times New Roman" w:hAnsi="Times New Roman"/>
          <w:sz w:val="18"/>
          <w:szCs w:val="18"/>
          <w:color w:val="auto"/>
        </w:rPr>
      </w:pPr>
    </w:p>
    <w:p>
      <w:pPr>
        <w:ind w:left="440" w:right="100" w:firstLine="525"/>
        <w:spacing w:after="0" w:line="282" w:lineRule="auto"/>
        <w:tabs>
          <w:tab w:leader="none" w:pos="1223"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53" w:lineRule="exact"/>
        <w:rPr>
          <w:rFonts w:ascii="Times New Roman" w:cs="Times New Roman" w:eastAsia="Times New Roman" w:hAnsi="Times New Roman"/>
          <w:sz w:val="18"/>
          <w:szCs w:val="18"/>
          <w:color w:val="auto"/>
        </w:rPr>
      </w:pPr>
    </w:p>
    <w:p>
      <w:pPr>
        <w:ind w:left="1200" w:hanging="235"/>
        <w:spacing w:after="0"/>
        <w:tabs>
          <w:tab w:leader="none" w:pos="120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62" w:lineRule="exact"/>
        <w:rPr>
          <w:sz w:val="20"/>
          <w:szCs w:val="20"/>
          <w:color w:val="auto"/>
        </w:rPr>
      </w:pPr>
    </w:p>
    <w:p>
      <w:pPr>
        <w:ind w:right="18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5.03. </w:t>
      </w:r>
      <w:r>
        <w:rPr>
          <w:rFonts w:ascii="Times New Roman" w:cs="Times New Roman" w:eastAsia="Times New Roman" w:hAnsi="Times New Roman"/>
          <w:sz w:val="18"/>
          <w:szCs w:val="18"/>
          <w:u w:val="single" w:color="auto"/>
          <w:color w:val="auto"/>
        </w:rPr>
        <w:t>Existence; Conduct of Business</w:t>
      </w:r>
      <w:r>
        <w:rPr>
          <w:rFonts w:ascii="Times New Roman" w:cs="Times New Roman" w:eastAsia="Times New Roman" w:hAnsi="Times New Roman"/>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83"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5.04. </w:t>
      </w:r>
      <w:r>
        <w:rPr>
          <w:rFonts w:ascii="Times New Roman" w:cs="Times New Roman" w:eastAsia="Times New Roman" w:hAnsi="Times New Roman"/>
          <w:sz w:val="18"/>
          <w:szCs w:val="18"/>
          <w:u w:val="single" w:color="auto"/>
          <w:color w:val="auto"/>
        </w:rPr>
        <w:t>Payment of Taxes</w:t>
      </w:r>
      <w:r>
        <w:rPr>
          <w:rFonts w:ascii="Times New Roman" w:cs="Times New Roman" w:eastAsia="Times New Roman" w:hAnsi="Times New Roman"/>
          <w:sz w:val="18"/>
          <w:szCs w:val="18"/>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83" w:lineRule="exact"/>
        <w:rPr>
          <w:sz w:val="20"/>
          <w:szCs w:val="20"/>
          <w:color w:val="auto"/>
        </w:rPr>
      </w:pPr>
    </w:p>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5.05. </w:t>
      </w:r>
      <w:r>
        <w:rPr>
          <w:rFonts w:ascii="Times New Roman" w:cs="Times New Roman" w:eastAsia="Times New Roman" w:hAnsi="Times New Roman"/>
          <w:sz w:val="18"/>
          <w:szCs w:val="18"/>
          <w:u w:val="single" w:color="auto"/>
          <w:color w:val="auto"/>
        </w:rPr>
        <w:t>Maintenance of Properties and Rights</w:t>
      </w:r>
      <w:r>
        <w:rPr>
          <w:rFonts w:ascii="Times New Roman" w:cs="Times New Roman" w:eastAsia="Times New Roman" w:hAnsi="Times New Roman"/>
          <w:sz w:val="18"/>
          <w:szCs w:val="18"/>
          <w:color w:val="auto"/>
        </w:rPr>
        <w:t>. The Company will, and will cause each Subsidiary to, keep and maintain all property material to the conduct of its business in good working order and condition, ordinary wear and tear and casualty and condemnation excepted, and will take all actions reasonably necessary to maintain and protect all patents, trademarks, copyrights, licenses, technology, software, domain names and other intellectual property rights necessary to the conduct of its</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000"/>
          </w:cols>
          <w:pgMar w:left="440" w:top="270" w:right="459" w:bottom="1440" w:gutter="0" w:footer="0" w:header="0"/>
        </w:sectPr>
      </w:pPr>
    </w:p>
    <w:bookmarkStart w:id="84" w:name="page85"/>
    <w:bookmarkEnd w:id="84"/>
    <w:p>
      <w:pPr>
        <w:ind w:right="4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business as currently conducted and proposed to be conducted, except in each case where the failure to take any such actions,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76"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5.06.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0"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5.07. </w:t>
      </w:r>
      <w:r>
        <w:rPr>
          <w:rFonts w:ascii="Times New Roman" w:cs="Times New Roman" w:eastAsia="Times New Roman" w:hAnsi="Times New Roman"/>
          <w:sz w:val="18"/>
          <w:szCs w:val="18"/>
          <w:u w:val="single" w:color="auto"/>
          <w:color w:val="auto"/>
        </w:rPr>
        <w:t>Books and Records; Inspection and Audit Rights</w:t>
      </w:r>
      <w:r>
        <w:rPr>
          <w:rFonts w:ascii="Times New Roman" w:cs="Times New Roman" w:eastAsia="Times New Roman" w:hAnsi="Times New Roman"/>
          <w:sz w:val="18"/>
          <w:szCs w:val="18"/>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collectively may not exercise such rights more often than once during any calendar year and unless an Event of Default exists, the costs and expenses of such a visitation or inspection shall be the responsibility of the inspecting party or parties;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xml:space="preserve">, that when an Event of Default exists, the Administrative Agent (or any of their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the Company shall (x) use commercially reasonable efforts to communicate, to the extent permitted, the applicable information in a way that would not violate the applicable law or agreement, and (y) to the extent the Company is unable to disclose any such information, the Company shall notify the Administrative Agent if any such information is being withheld as a result of any such obligation of confidentiality (but solely if providing such notice would not violate such confidentiality obligation).</w:t>
      </w:r>
    </w:p>
    <w:p>
      <w:pPr>
        <w:spacing w:after="0" w:line="12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1000"/>
          </w:cols>
          <w:pgMar w:left="440" w:top="270" w:right="459" w:bottom="1440" w:gutter="0" w:footer="0" w:header="0"/>
        </w:sectPr>
      </w:pPr>
    </w:p>
    <w:bookmarkStart w:id="85" w:name="page86"/>
    <w:bookmarkEnd w:id="85"/>
    <w:p>
      <w:pPr>
        <w:ind w:left="4" w:right="120"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5.08.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3" w:lineRule="exact"/>
        <w:rPr>
          <w:sz w:val="20"/>
          <w:szCs w:val="20"/>
          <w:color w:val="auto"/>
        </w:rPr>
      </w:pPr>
    </w:p>
    <w:p>
      <w:pPr>
        <w:ind w:left="4" w:right="8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5.09.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(a) The proceeds of the Term Loans will be used solely to finance, in part, the Inphi Acquisition and the Refinancing and to pay costs and expenses incurred in connection with the Transactions.</w:t>
      </w:r>
    </w:p>
    <w:p>
      <w:pPr>
        <w:spacing w:after="0" w:line="162" w:lineRule="exact"/>
        <w:rPr>
          <w:sz w:val="20"/>
          <w:szCs w:val="20"/>
          <w:color w:val="auto"/>
        </w:rPr>
      </w:pPr>
    </w:p>
    <w:p>
      <w:pPr>
        <w:ind w:left="4" w:right="140" w:firstLine="987"/>
        <w:spacing w:after="0" w:line="255" w:lineRule="auto"/>
        <w:tabs>
          <w:tab w:leader="none" w:pos="1250" w:val="left"/>
        </w:tabs>
        <w:numPr>
          <w:ilvl w:val="1"/>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w:t>
      </w:r>
    </w:p>
    <w:p>
      <w:pPr>
        <w:spacing w:after="0" w:line="2" w:lineRule="exact"/>
        <w:rPr>
          <w:rFonts w:ascii="Times New Roman" w:cs="Times New Roman" w:eastAsia="Times New Roman" w:hAnsi="Times New Roman"/>
          <w:sz w:val="18"/>
          <w:szCs w:val="18"/>
          <w:color w:val="auto"/>
        </w:rPr>
      </w:pPr>
    </w:p>
    <w:p>
      <w:pPr>
        <w:ind w:left="4" w:right="40" w:hanging="4"/>
        <w:spacing w:after="0" w:line="255" w:lineRule="auto"/>
        <w:tabs>
          <w:tab w:leader="none" w:pos="319"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any manner that would result in the violation of any Sanctions applicable to any party hereto, or (iv) directly or indirectly, to purchase or carry margin stock or to extend credit to others for the purpose of purchasing or carrying margin stock or for any other purpose that would result in a violation of Regulations T, U and X of the Board of Governors.</w:t>
      </w:r>
    </w:p>
    <w:p>
      <w:pPr>
        <w:spacing w:after="0" w:line="186" w:lineRule="exact"/>
        <w:rPr>
          <w:sz w:val="20"/>
          <w:szCs w:val="20"/>
          <w:color w:val="auto"/>
        </w:rPr>
      </w:pPr>
    </w:p>
    <w:p>
      <w:pPr>
        <w:ind w:left="4"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5.10. </w:t>
      </w:r>
      <w:r>
        <w:rPr>
          <w:rFonts w:ascii="Times New Roman" w:cs="Times New Roman" w:eastAsia="Times New Roman" w:hAnsi="Times New Roman"/>
          <w:sz w:val="18"/>
          <w:szCs w:val="18"/>
          <w:u w:val="single" w:color="auto"/>
          <w:color w:val="auto"/>
        </w:rPr>
        <w:t>Guaranty</w:t>
      </w:r>
      <w:r>
        <w:rPr>
          <w:rFonts w:ascii="Times New Roman" w:cs="Times New Roman" w:eastAsia="Times New Roman" w:hAnsi="Times New Roman"/>
          <w:sz w:val="18"/>
          <w:szCs w:val="18"/>
          <w:color w:val="auto"/>
        </w:rPr>
        <w:t>. (a) On and after the Term Funding Date (following consummation of the Permitted Reorganization on the Term Funding Date), the payment and performance of the Obligations of the Company shall be unconditionally guaranteed by (x) Marvell, so long as Marvell is the issuer, borrower or guarantor of Indebtedness of the type contemplated by clauses (a) and (b) of the definition thereof (including, for the avoidance of doubt, the Marvell 2018 Senior Unsecured Notes) in an aggregate outstanding principal amount in excess of $100,000,000 and/or (y) Inphi, so long as Inphi is the issuer, borrower or guarantor of Indebtedness of the type contemplated by clauses (a) and (b) of the definition thereof (including, solely to the extent outstanding on or after the date that is 90 days following the Term Funding Date, the Inphi Convertible Notes) in an aggregate outstanding principal amount in excess of $100,000,000, in each case, pursuant to Article X hereof or pursuant to one or more supplements hereto or other guaranty agreements in form and substance reasonably acceptable to the Administrative Agent, as the same may be amended, modified or supplemented from time to time (individually a “</w:t>
      </w:r>
      <w:r>
        <w:rPr>
          <w:rFonts w:ascii="Times New Roman" w:cs="Times New Roman" w:eastAsia="Times New Roman" w:hAnsi="Times New Roman"/>
          <w:sz w:val="18"/>
          <w:szCs w:val="18"/>
          <w:u w:val="single" w:color="auto"/>
          <w:color w:val="auto"/>
        </w:rPr>
        <w:t>Subsidiary Guaranty</w:t>
      </w:r>
      <w:r>
        <w:rPr>
          <w:rFonts w:ascii="Times New Roman" w:cs="Times New Roman" w:eastAsia="Times New Roman" w:hAnsi="Times New Roman"/>
          <w:sz w:val="18"/>
          <w:szCs w:val="18"/>
          <w:color w:val="auto"/>
        </w:rPr>
        <w:t>” and collectively the “</w:t>
      </w:r>
      <w:r>
        <w:rPr>
          <w:rFonts w:ascii="Times New Roman" w:cs="Times New Roman" w:eastAsia="Times New Roman" w:hAnsi="Times New Roman"/>
          <w:sz w:val="18"/>
          <w:szCs w:val="18"/>
          <w:u w:val="single" w:color="auto"/>
          <w:color w:val="auto"/>
        </w:rPr>
        <w:t>Subsidiary Guaranties</w:t>
      </w:r>
      <w:r>
        <w:rPr>
          <w:rFonts w:ascii="Times New Roman" w:cs="Times New Roman" w:eastAsia="Times New Roman" w:hAnsi="Times New Roman"/>
          <w:sz w:val="18"/>
          <w:szCs w:val="18"/>
          <w:color w:val="auto"/>
        </w:rPr>
        <w:t>”; and each of Marvell and Inphi, upon the execution and delivery of a Guarantee, a “</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and collectively the “</w:t>
      </w:r>
      <w:r>
        <w:rPr>
          <w:rFonts w:ascii="Times New Roman" w:cs="Times New Roman" w:eastAsia="Times New Roman" w:hAnsi="Times New Roman"/>
          <w:sz w:val="18"/>
          <w:szCs w:val="18"/>
          <w:u w:val="single" w:color="auto"/>
          <w:color w:val="auto"/>
        </w:rPr>
        <w:t>Guarantors</w:t>
      </w:r>
      <w:r>
        <w:rPr>
          <w:rFonts w:ascii="Times New Roman" w:cs="Times New Roman" w:eastAsia="Times New Roman" w:hAnsi="Times New Roman"/>
          <w:sz w:val="18"/>
          <w:szCs w:val="18"/>
          <w:color w:val="auto"/>
        </w:rPr>
        <w:t>”).</w:t>
      </w:r>
    </w:p>
    <w:p>
      <w:pPr>
        <w:spacing w:after="0" w:line="12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1004"/>
          </w:cols>
          <w:pgMar w:left="436" w:top="270" w:right="459" w:bottom="1440" w:gutter="0" w:footer="0" w:header="0"/>
        </w:sectPr>
      </w:pPr>
    </w:p>
    <w:bookmarkStart w:id="86" w:name="page87"/>
    <w:bookmarkEnd w:id="86"/>
    <w:p>
      <w:pPr>
        <w:ind w:right="180" w:firstLine="987"/>
        <w:spacing w:after="0" w:line="255" w:lineRule="auto"/>
        <w:tabs>
          <w:tab w:leader="none" w:pos="1246"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the event that Marvell or Inphi are required, pursuant to the terms of Section 5.10(a) above, or any Subsidiary otherwise elects, to become a Guarantor hereunder, the Company shall cause such person to execute and deliver to the Administrative Agent an Additional Guarantor Supplement substantially in the form attached as Exhibit F or such other form reasonably acceptable to the Administrative Agent (or, in the case of Marvell, shall automatically and immediately be bound by the terms of Article X hereof without further required action by any Person), and the Company shall also deliver to the Administrative Agent, or cause such person to deliver to the Administrative Agent, at the Company’s cost and expense, such other instruments, documents, certificates and opinions of the type delivered on the Effective Date pursuant to Section 4.01(b), 4.01(c) and 4.01(d), to the extent reasonably required by the Administrative Agent in connection therewith.</w:t>
      </w:r>
    </w:p>
    <w:p>
      <w:pPr>
        <w:spacing w:after="0" w:line="188" w:lineRule="exact"/>
        <w:rPr>
          <w:rFonts w:ascii="Times New Roman" w:cs="Times New Roman" w:eastAsia="Times New Roman" w:hAnsi="Times New Roman"/>
          <w:sz w:val="18"/>
          <w:szCs w:val="18"/>
          <w:color w:val="auto"/>
        </w:rPr>
      </w:pPr>
    </w:p>
    <w:p>
      <w:pPr>
        <w:ind w:firstLine="987"/>
        <w:spacing w:after="0" w:line="256" w:lineRule="auto"/>
        <w:tabs>
          <w:tab w:leader="none" w:pos="1236"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delivery of written notice to the Administrative Agent by a Responsible Officer of the Company certifying that, as to a particular Guarantor, (i) such Guarantor is electing to be released from its Guarantee hereunder and (ii) the conditions set forth in clause (a) that would require such Guarantor to remain a Guarantor do not apply or, after giving effect to any substantially concurrent transactions, including any repayment of Indebtedness or release of a guaranty, will not apply, such Guarantor shall be automatically released from its obligations (including its Subsidiary Guaranty) hereunder without further required action by any Person. The Administrative Agent, at the Company’s expense, shall execute and deliver to the applicable Guarantor any documents or instruments as such Guarantor may reasonably request to evidence the release of such Subsidiary Guaranty.</w:t>
      </w:r>
    </w:p>
    <w:p>
      <w:pPr>
        <w:spacing w:after="0" w:line="187" w:lineRule="exact"/>
        <w:rPr>
          <w:rFonts w:ascii="Times New Roman" w:cs="Times New Roman" w:eastAsia="Times New Roman" w:hAnsi="Times New Roman"/>
          <w:sz w:val="18"/>
          <w:szCs w:val="18"/>
          <w:color w:val="auto"/>
        </w:rPr>
      </w:pPr>
    </w:p>
    <w:p>
      <w:pPr>
        <w:jc w:val="both"/>
        <w:ind w:firstLine="987"/>
        <w:spacing w:after="0" w:line="266" w:lineRule="auto"/>
        <w:tabs>
          <w:tab w:leader="none" w:pos="1246"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 avoidance of doubt, in the event any Guarantor is released from its Guarantee pursuant to clause (c) above, the requirements of Section 5.10(a) shall no longer apply going forward with respect to such former Guarantor (and Section 5.10(a) shall not cause any springing Guarantee with respect to such released Guarantor after such release occurs).</w:t>
      </w:r>
    </w:p>
    <w:p>
      <w:pPr>
        <w:spacing w:after="0" w:line="39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ARTICLE VI</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Negative Covenants</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6.01. </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The Company will not permit any Subsidiary to create, incur, assume or permit to exist any Indebtedness,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other than:</w:t>
      </w:r>
    </w:p>
    <w:p>
      <w:pPr>
        <w:spacing w:after="0" w:line="99" w:lineRule="exact"/>
        <w:rPr>
          <w:sz w:val="20"/>
          <w:szCs w:val="20"/>
          <w:color w:val="auto"/>
        </w:rPr>
      </w:pPr>
    </w:p>
    <w:p>
      <w:pPr>
        <w:ind w:left="440" w:right="380" w:firstLine="525"/>
        <w:spacing w:after="0" w:line="282" w:lineRule="auto"/>
        <w:tabs>
          <w:tab w:leader="none" w:pos="1213"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existing on the Effective Date that either is set forth on Schedule 6.01 or has a committed or principal amount of not greater than $25,000,000 individually or $50,000,000 in the aggregate, and any renewals,</w:t>
      </w:r>
    </w:p>
    <w:p>
      <w:pPr>
        <w:spacing w:after="0" w:line="9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0940"/>
          </w:cols>
          <w:pgMar w:left="440" w:top="270" w:right="519" w:bottom="1440" w:gutter="0" w:footer="0" w:header="0"/>
        </w:sectPr>
      </w:pPr>
    </w:p>
    <w:bookmarkStart w:id="87" w:name="page88"/>
    <w:bookmarkEnd w:id="87"/>
    <w:p>
      <w:pPr>
        <w:ind w:left="4"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68" w:lineRule="exact"/>
        <w:rPr>
          <w:sz w:val="20"/>
          <w:szCs w:val="20"/>
          <w:color w:val="auto"/>
        </w:rPr>
      </w:pPr>
    </w:p>
    <w:p>
      <w:pPr>
        <w:ind w:left="4" w:right="340" w:firstLine="525"/>
        <w:spacing w:after="0" w:line="282" w:lineRule="auto"/>
        <w:tabs>
          <w:tab w:leader="none" w:pos="787" w:val="left"/>
        </w:tabs>
        <w:numPr>
          <w:ilvl w:val="1"/>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Subsidiary owed to the Company or any other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shall not have been transferred to any Person other than the Company or a Subsidiary;</w:t>
      </w:r>
    </w:p>
    <w:p>
      <w:pPr>
        <w:spacing w:after="0" w:line="53" w:lineRule="exact"/>
        <w:rPr>
          <w:rFonts w:ascii="Times New Roman" w:cs="Times New Roman" w:eastAsia="Times New Roman" w:hAnsi="Times New Roman"/>
          <w:sz w:val="18"/>
          <w:szCs w:val="18"/>
          <w:color w:val="auto"/>
        </w:rPr>
      </w:pPr>
    </w:p>
    <w:p>
      <w:pPr>
        <w:ind w:left="4" w:right="580" w:firstLine="525"/>
        <w:spacing w:after="0" w:line="312" w:lineRule="auto"/>
        <w:tabs>
          <w:tab w:leader="none" w:pos="777" w:val="left"/>
        </w:tabs>
        <w:numPr>
          <w:ilvl w:val="1"/>
          <w:numId w:val="8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Guarantees by any Subsidiary of Indebtedness of any other Subsidiary;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that a Subsidiary shall not Guarantee any Indebtedness of any other Subsidiary that it would not have been permitted to incur under this Section if it were a primary obligor thereon;</w:t>
      </w:r>
    </w:p>
    <w:p>
      <w:pPr>
        <w:spacing w:after="0" w:line="31" w:lineRule="exact"/>
        <w:rPr>
          <w:rFonts w:ascii="Times New Roman" w:cs="Times New Roman" w:eastAsia="Times New Roman" w:hAnsi="Times New Roman"/>
          <w:sz w:val="17"/>
          <w:szCs w:val="17"/>
          <w:color w:val="auto"/>
        </w:rPr>
      </w:pPr>
    </w:p>
    <w:p>
      <w:pPr>
        <w:ind w:left="4" w:firstLine="525"/>
        <w:spacing w:after="0" w:line="255" w:lineRule="auto"/>
        <w:tabs>
          <w:tab w:leader="none" w:pos="787" w:val="left"/>
        </w:tabs>
        <w:numPr>
          <w:ilvl w:val="1"/>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Subsidiary (i) incurred to finance the acquisition, construction or improvement of any fixed or capital assets, including Capital Lease Obligations,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0" w:lineRule="exact"/>
        <w:rPr>
          <w:rFonts w:ascii="Times New Roman" w:cs="Times New Roman" w:eastAsia="Times New Roman" w:hAnsi="Times New Roman"/>
          <w:sz w:val="18"/>
          <w:szCs w:val="18"/>
          <w:color w:val="auto"/>
        </w:rPr>
      </w:pPr>
    </w:p>
    <w:p>
      <w:pPr>
        <w:ind w:left="4" w:firstLine="525"/>
        <w:spacing w:after="0" w:line="254" w:lineRule="auto"/>
        <w:tabs>
          <w:tab w:leader="none" w:pos="777" w:val="left"/>
        </w:tabs>
        <w:numPr>
          <w:ilvl w:val="1"/>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Person that becomes a Subsidiary (or of any Person not previously a Subsidiary that is merged, amalgamated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exists at the time such Person becomes a Subsidiary (or is so merged, amalgamated or consolidated) or such assets are acquired and is not created in contemplation of or in connection with such Person becoming a Subsidiary (or such merger, amalgamation or consolidation) or such assets being acquired, and any renewals, extensions and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3" w:lineRule="exact"/>
        <w:rPr>
          <w:rFonts w:ascii="Times New Roman" w:cs="Times New Roman" w:eastAsia="Times New Roman" w:hAnsi="Times New Roman"/>
          <w:sz w:val="18"/>
          <w:szCs w:val="18"/>
          <w:color w:val="auto"/>
        </w:rPr>
      </w:pPr>
    </w:p>
    <w:p>
      <w:pPr>
        <w:jc w:val="both"/>
        <w:ind w:left="4" w:right="400" w:firstLine="525"/>
        <w:spacing w:after="0" w:line="261" w:lineRule="auto"/>
        <w:tabs>
          <w:tab w:leader="none" w:pos="757" w:val="left"/>
        </w:tabs>
        <w:numPr>
          <w:ilvl w:val="1"/>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360" w:hanging="4"/>
        <w:spacing w:after="0" w:line="260" w:lineRule="auto"/>
        <w:tabs>
          <w:tab w:leader="none" w:pos="268"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114" w:lineRule="exact"/>
        <w:rPr>
          <w:sz w:val="20"/>
          <w:szCs w:val="20"/>
          <w:color w:val="auto"/>
        </w:rPr>
      </w:pPr>
    </w:p>
    <w:p>
      <w:pPr>
        <w:jc w:val="center"/>
        <w:ind w:right="416"/>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0564"/>
          </w:cols>
          <w:pgMar w:left="876" w:top="270" w:right="459" w:bottom="1440" w:gutter="0" w:footer="0" w:header="0"/>
        </w:sectPr>
      </w:pPr>
    </w:p>
    <w:bookmarkStart w:id="88" w:name="page89"/>
    <w:bookmarkEnd w:id="88"/>
    <w:p>
      <w:pPr>
        <w:ind w:left="440" w:right="60" w:firstLine="525"/>
        <w:spacing w:after="0" w:line="266" w:lineRule="auto"/>
        <w:tabs>
          <w:tab w:leader="none" w:pos="122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67" w:lineRule="exact"/>
        <w:rPr>
          <w:rFonts w:ascii="Times New Roman" w:cs="Times New Roman" w:eastAsia="Times New Roman" w:hAnsi="Times New Roman"/>
          <w:sz w:val="18"/>
          <w:szCs w:val="18"/>
          <w:color w:val="auto"/>
        </w:rPr>
      </w:pPr>
    </w:p>
    <w:p>
      <w:pPr>
        <w:ind w:left="440" w:right="420" w:firstLine="525"/>
        <w:spacing w:after="0" w:line="282" w:lineRule="auto"/>
        <w:tabs>
          <w:tab w:leader="none" w:pos="122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the form of purchase price adjustments and earn-outs incurred in connection with any Acquisition or joint venture investment not prohibited hereunder;</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Lease Obligations arising under any Sale/Leaseback Transaction set forth on Schedule 6.03;</w:t>
      </w:r>
    </w:p>
    <w:p>
      <w:pPr>
        <w:spacing w:after="0" w:line="117" w:lineRule="exact"/>
        <w:rPr>
          <w:rFonts w:ascii="Times New Roman" w:cs="Times New Roman" w:eastAsia="Times New Roman" w:hAnsi="Times New Roman"/>
          <w:sz w:val="18"/>
          <w:szCs w:val="18"/>
          <w:color w:val="auto"/>
        </w:rPr>
      </w:pPr>
    </w:p>
    <w:p>
      <w:pPr>
        <w:ind w:left="440" w:right="320" w:firstLine="525"/>
        <w:spacing w:after="0" w:line="282" w:lineRule="auto"/>
        <w:tabs>
          <w:tab w:leader="none" w:pos="118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owing to any insurance company in connection with the financing of insurance premiums permitted by such insurance company in the ordinary course of business;</w:t>
      </w:r>
    </w:p>
    <w:p>
      <w:pPr>
        <w:spacing w:after="0" w:line="53" w:lineRule="exact"/>
        <w:rPr>
          <w:rFonts w:ascii="Times New Roman" w:cs="Times New Roman" w:eastAsia="Times New Roman" w:hAnsi="Times New Roman"/>
          <w:sz w:val="18"/>
          <w:szCs w:val="18"/>
          <w:color w:val="auto"/>
        </w:rPr>
      </w:pPr>
    </w:p>
    <w:p>
      <w:pPr>
        <w:ind w:left="440" w:right="100" w:firstLine="525"/>
        <w:spacing w:after="0" w:line="256" w:lineRule="auto"/>
        <w:tabs>
          <w:tab w:leader="none" w:pos="122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(x) prior to the Term Funding Date, the greater of $300,000,000 and 15% of Consolidated Net Tangible Assets and (y) on and after the Term Funding Date, the greater of $400,000,000 and 15% of Consolidated Net Tangible Assets;</w:t>
      </w:r>
    </w:p>
    <w:p>
      <w:pPr>
        <w:spacing w:after="0" w:line="79"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2018 Senior Unsecured Notes and the Inphi Convertible Notes;</w:t>
      </w:r>
    </w:p>
    <w:p>
      <w:pPr>
        <w:spacing w:after="0" w:line="117" w:lineRule="exact"/>
        <w:rPr>
          <w:rFonts w:ascii="Times New Roman" w:cs="Times New Roman" w:eastAsia="Times New Roman" w:hAnsi="Times New Roman"/>
          <w:sz w:val="18"/>
          <w:szCs w:val="18"/>
          <w:color w:val="auto"/>
        </w:rPr>
      </w:pPr>
    </w:p>
    <w:p>
      <w:pPr>
        <w:ind w:left="440" w:right="700" w:firstLine="525"/>
        <w:spacing w:after="0" w:line="282" w:lineRule="auto"/>
        <w:tabs>
          <w:tab w:leader="none" w:pos="127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Guarantees by any Subsidiary of any Indebtedness solely to the extent such Subsidiary also Guarantees the Obligations of the Company on a pari passu basis in accordance with, and otherwise complies with the applicable requirements of, Section 5.10(b); and</w:t>
      </w:r>
    </w:p>
    <w:p>
      <w:pPr>
        <w:spacing w:after="0" w:line="53" w:lineRule="exact"/>
        <w:rPr>
          <w:rFonts w:ascii="Times New Roman" w:cs="Times New Roman" w:eastAsia="Times New Roman" w:hAnsi="Times New Roman"/>
          <w:sz w:val="18"/>
          <w:szCs w:val="18"/>
          <w:color w:val="auto"/>
        </w:rPr>
      </w:pPr>
    </w:p>
    <w:p>
      <w:pPr>
        <w:jc w:val="both"/>
        <w:ind w:left="440" w:right="260" w:firstLine="525"/>
        <w:spacing w:after="0" w:line="266" w:lineRule="auto"/>
        <w:tabs>
          <w:tab w:leader="none" w:pos="1223"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Term Funding Date and the date of the consummation of the Inphi Acquisition, Acquisition Indebtedness of Maui Topco constituting Inphi Acquisition Indebtedness, including any senior unsecured notes that rank (or will rank on the Term Funding Date) pari passu with the Obligations of the Company.</w:t>
      </w:r>
    </w:p>
    <w:p>
      <w:pPr>
        <w:spacing w:after="0" w:line="176"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6.01, if any item of Indebtedness meets the criteria of more than one of the categories of Indebtedness described in clauses (a) through (m) above, the Company shall, in its sole discretion, classify such item of Indebtedness (or any portion thereof) and may include the amount and type of such Indebtedness in one or more of the above clauses, and the Company may</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000"/>
          </w:cols>
          <w:pgMar w:left="440" w:top="270" w:right="459" w:bottom="1440" w:gutter="0" w:footer="0" w:header="0"/>
        </w:sectPr>
      </w:pPr>
    </w:p>
    <w:bookmarkStart w:id="89" w:name="page90"/>
    <w:bookmarkEnd w:id="89"/>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later reclassify such item of Indebtedness (or any portion thereof) and include it in another of such clauses in which it could have been included at the time it was incurred (but, except as set forth below with respect to clauses (k) and (m), not into any clause under which it could not have been included at the time it was incurred) or, solely in the case of clauses (k) and (m) above, at the time of such reclassification.</w:t>
      </w:r>
    </w:p>
    <w:p>
      <w:pPr>
        <w:spacing w:after="0" w:line="176"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u w:val="single" w:color="auto"/>
          <w:color w:val="auto"/>
        </w:rPr>
        <w:t>Liens</w:t>
      </w:r>
      <w:r>
        <w:rPr>
          <w:rFonts w:ascii="Times New Roman" w:cs="Times New Roman" w:eastAsia="Times New Roman" w:hAnsi="Times New Roman"/>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68" w:lineRule="exact"/>
        <w:rPr>
          <w:sz w:val="20"/>
          <w:szCs w:val="20"/>
          <w:color w:val="auto"/>
        </w:rPr>
      </w:pPr>
    </w:p>
    <w:p>
      <w:pPr>
        <w:ind w:left="1640" w:hanging="252"/>
        <w:spacing w:after="0"/>
        <w:tabs>
          <w:tab w:leader="none" w:pos="1640" w:val="left"/>
        </w:tabs>
        <w:numPr>
          <w:ilvl w:val="1"/>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Permitted Liens;</w:t>
      </w:r>
    </w:p>
    <w:p>
      <w:pPr>
        <w:spacing w:after="0" w:line="117" w:lineRule="exact"/>
        <w:rPr>
          <w:rFonts w:ascii="Times New Roman" w:cs="Times New Roman" w:eastAsia="Times New Roman" w:hAnsi="Times New Roman"/>
          <w:sz w:val="18"/>
          <w:szCs w:val="18"/>
          <w:color w:val="auto"/>
        </w:rPr>
      </w:pPr>
    </w:p>
    <w:p>
      <w:pPr>
        <w:ind w:left="440" w:right="120" w:firstLine="525"/>
        <w:spacing w:after="0" w:line="255" w:lineRule="auto"/>
        <w:tabs>
          <w:tab w:leader="none" w:pos="1223"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Lien on any asset of the Company or any Subsidiary existing on the Effective Date and that either is set forth on Schedule 6.02 or encumbers property or assets with a fair market value, and securing obligations having a committed or principal amount, in each case, of not greater than $25,000,000 individually or $50,000,000 in the aggregate;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0" w:lineRule="exact"/>
        <w:rPr>
          <w:rFonts w:ascii="Times New Roman" w:cs="Times New Roman" w:eastAsia="Times New Roman" w:hAnsi="Times New Roman"/>
          <w:sz w:val="18"/>
          <w:szCs w:val="18"/>
          <w:color w:val="auto"/>
        </w:rPr>
      </w:pPr>
    </w:p>
    <w:p>
      <w:pPr>
        <w:ind w:left="440" w:right="20" w:firstLine="525"/>
        <w:spacing w:after="0" w:line="271" w:lineRule="auto"/>
        <w:tabs>
          <w:tab w:leader="none" w:pos="1213" w:val="left"/>
        </w:tabs>
        <w:numPr>
          <w:ilvl w:val="0"/>
          <w:numId w:val="8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Liens on fixed or capital assets acquired, constructed or improved by the Company or any Subsidiary securing Indebtedness, including Capital Lease Obligations,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Times New Roman" w:cs="Times New Roman" w:eastAsia="Times New Roman" w:hAnsi="Times New Roman"/>
          <w:sz w:val="17"/>
          <w:szCs w:val="17"/>
          <w:u w:val="single" w:color="auto"/>
          <w:color w:val="auto"/>
        </w:rPr>
        <w:t>provided further</w:t>
      </w:r>
      <w:r>
        <w:rPr>
          <w:rFonts w:ascii="Times New Roman" w:cs="Times New Roman" w:eastAsia="Times New Roman" w:hAnsi="Times New Roman"/>
          <w:sz w:val="17"/>
          <w:szCs w:val="17"/>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65" w:lineRule="exact"/>
        <w:rPr>
          <w:rFonts w:ascii="Times New Roman" w:cs="Times New Roman" w:eastAsia="Times New Roman" w:hAnsi="Times New Roman"/>
          <w:sz w:val="17"/>
          <w:szCs w:val="17"/>
          <w:color w:val="auto"/>
        </w:rPr>
      </w:pPr>
    </w:p>
    <w:p>
      <w:pPr>
        <w:ind w:left="440" w:firstLine="525"/>
        <w:spacing w:after="0" w:line="266" w:lineRule="auto"/>
        <w:tabs>
          <w:tab w:leader="none" w:pos="1223"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Lien on any asset acquired by the Company or any Subsidiary after the Effective Date existing at the time of the acquisition thereof or existing on any asset of any Person that becomes a Subsidiary (or of any Person not previously a Subsidiary that is merged, amalgamated or consolidated with or into</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0980"/>
          </w:cols>
          <w:pgMar w:left="440" w:top="270" w:right="479" w:bottom="1440" w:gutter="0" w:footer="0" w:header="0"/>
        </w:sectPr>
      </w:pPr>
    </w:p>
    <w:bookmarkStart w:id="90" w:name="page91"/>
    <w:bookmarkEnd w:id="90"/>
    <w:p>
      <w:pPr>
        <w:ind w:left="4"/>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or a Subsidiary in a transaction permitted hereunder) after the Effective Date and prior to the time such Person becomes a Subsidiary (or is so merged, amalgamated or consolidated),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such Lien is not created in contemplation of or in connection with such acquisition or such Person becoming a Subsidiary (or such merger, amalgamation or consolidation), as the case may be, (ii) such Lien shall not apply to any other assets of the Company or any Subsidiary (other than improvements or accessions thereto and the proceeds thereof) and</w:t>
      </w:r>
    </w:p>
    <w:p>
      <w:pPr>
        <w:spacing w:after="0" w:line="3" w:lineRule="exact"/>
        <w:rPr>
          <w:sz w:val="20"/>
          <w:szCs w:val="20"/>
          <w:color w:val="auto"/>
        </w:rPr>
      </w:pPr>
    </w:p>
    <w:p>
      <w:pPr>
        <w:ind w:left="4" w:hanging="4"/>
        <w:spacing w:after="0" w:line="253" w:lineRule="auto"/>
        <w:tabs>
          <w:tab w:leader="none" w:pos="318"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Lien shall secure only those obligations that it secures on the date of such acquisition or the date such Person becomes a Subsidiary (or is so merged, amalgamated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0" w:lineRule="exact"/>
        <w:rPr>
          <w:rFonts w:ascii="Times New Roman" w:cs="Times New Roman" w:eastAsia="Times New Roman" w:hAnsi="Times New Roman"/>
          <w:sz w:val="18"/>
          <w:szCs w:val="18"/>
          <w:color w:val="auto"/>
        </w:rPr>
      </w:pPr>
    </w:p>
    <w:p>
      <w:pPr>
        <w:ind w:left="4" w:right="200" w:firstLine="525"/>
        <w:spacing w:after="0" w:line="282" w:lineRule="auto"/>
        <w:tabs>
          <w:tab w:leader="none" w:pos="777" w:val="left"/>
        </w:tabs>
        <w:numPr>
          <w:ilvl w:val="1"/>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53" w:lineRule="exact"/>
        <w:rPr>
          <w:rFonts w:ascii="Times New Roman" w:cs="Times New Roman" w:eastAsia="Times New Roman" w:hAnsi="Times New Roman"/>
          <w:sz w:val="18"/>
          <w:szCs w:val="18"/>
          <w:color w:val="auto"/>
        </w:rPr>
      </w:pPr>
    </w:p>
    <w:p>
      <w:pPr>
        <w:ind w:left="4" w:right="100" w:firstLine="525"/>
        <w:spacing w:after="0" w:line="289" w:lineRule="auto"/>
        <w:tabs>
          <w:tab w:leader="none" w:pos="757" w:val="left"/>
        </w:tabs>
        <w:numPr>
          <w:ilvl w:val="1"/>
          <w:numId w:val="9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9" w:lineRule="exact"/>
        <w:rPr>
          <w:rFonts w:ascii="Times New Roman" w:cs="Times New Roman" w:eastAsia="Times New Roman" w:hAnsi="Times New Roman"/>
          <w:sz w:val="17"/>
          <w:szCs w:val="17"/>
          <w:color w:val="auto"/>
        </w:rPr>
      </w:pPr>
    </w:p>
    <w:p>
      <w:pPr>
        <w:ind w:left="4" w:right="760" w:firstLine="525"/>
        <w:spacing w:after="0" w:line="312" w:lineRule="auto"/>
        <w:tabs>
          <w:tab w:leader="none" w:pos="787" w:val="left"/>
        </w:tabs>
        <w:numPr>
          <w:ilvl w:val="1"/>
          <w:numId w:val="9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31" w:lineRule="exact"/>
        <w:rPr>
          <w:rFonts w:ascii="Times New Roman" w:cs="Times New Roman" w:eastAsia="Times New Roman" w:hAnsi="Times New Roman"/>
          <w:sz w:val="17"/>
          <w:szCs w:val="17"/>
          <w:color w:val="auto"/>
        </w:rPr>
      </w:pPr>
    </w:p>
    <w:p>
      <w:pPr>
        <w:ind w:left="784" w:hanging="255"/>
        <w:spacing w:after="0"/>
        <w:tabs>
          <w:tab w:leader="none" w:pos="784" w:val="left"/>
        </w:tabs>
        <w:numPr>
          <w:ilvl w:val="1"/>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deemed to exist in connection with Sale/Leaseback Transactions set forth on Schedule 6.03 or permitted by Section 6.03(a);</w:t>
      </w:r>
    </w:p>
    <w:p>
      <w:pPr>
        <w:spacing w:after="0" w:line="117" w:lineRule="exact"/>
        <w:rPr>
          <w:rFonts w:ascii="Times New Roman" w:cs="Times New Roman" w:eastAsia="Times New Roman" w:hAnsi="Times New Roman"/>
          <w:sz w:val="18"/>
          <w:szCs w:val="18"/>
          <w:color w:val="auto"/>
        </w:rPr>
      </w:pPr>
    </w:p>
    <w:p>
      <w:pPr>
        <w:ind w:left="4" w:right="440" w:firstLine="525"/>
        <w:spacing w:after="0" w:line="266" w:lineRule="auto"/>
        <w:tabs>
          <w:tab w:leader="none" w:pos="747" w:val="left"/>
        </w:tabs>
        <w:numPr>
          <w:ilvl w:val="1"/>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67" w:lineRule="exact"/>
        <w:rPr>
          <w:rFonts w:ascii="Times New Roman" w:cs="Times New Roman" w:eastAsia="Times New Roman" w:hAnsi="Times New Roman"/>
          <w:sz w:val="18"/>
          <w:szCs w:val="18"/>
          <w:color w:val="auto"/>
        </w:rPr>
      </w:pPr>
    </w:p>
    <w:p>
      <w:pPr>
        <w:ind w:left="4" w:right="80" w:firstLine="525"/>
        <w:spacing w:after="0" w:line="282" w:lineRule="auto"/>
        <w:tabs>
          <w:tab w:leader="none" w:pos="747" w:val="left"/>
        </w:tabs>
        <w:numPr>
          <w:ilvl w:val="1"/>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the net cash proceeds of any Acquisition Indebtedness held in escrow by a third party escrow agent prior to the release thereof from escrow; and</w:t>
      </w:r>
    </w:p>
    <w:p>
      <w:pPr>
        <w:spacing w:after="0" w:line="53" w:lineRule="exact"/>
        <w:rPr>
          <w:rFonts w:ascii="Times New Roman" w:cs="Times New Roman" w:eastAsia="Times New Roman" w:hAnsi="Times New Roman"/>
          <w:sz w:val="18"/>
          <w:szCs w:val="18"/>
          <w:color w:val="auto"/>
        </w:rPr>
      </w:pPr>
    </w:p>
    <w:p>
      <w:pPr>
        <w:ind w:left="4" w:right="40" w:firstLine="525"/>
        <w:spacing w:after="0" w:line="266" w:lineRule="auto"/>
        <w:tabs>
          <w:tab w:leader="none" w:pos="787" w:val="left"/>
        </w:tabs>
        <w:numPr>
          <w:ilvl w:val="1"/>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Liens,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w:t>
      </w:r>
    </w:p>
    <w:p>
      <w:pPr>
        <w:spacing w:after="0" w:line="108" w:lineRule="exact"/>
        <w:rPr>
          <w:sz w:val="20"/>
          <w:szCs w:val="20"/>
          <w:color w:val="auto"/>
        </w:rPr>
      </w:pPr>
    </w:p>
    <w:p>
      <w:pPr>
        <w:jc w:val="center"/>
        <w:ind w:right="416"/>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0564"/>
          </w:cols>
          <w:pgMar w:left="876" w:top="270" w:right="459" w:bottom="1440" w:gutter="0" w:footer="0" w:header="0"/>
        </w:sectPr>
      </w:pPr>
    </w:p>
    <w:bookmarkStart w:id="91" w:name="page92"/>
    <w:bookmarkEnd w:id="91"/>
    <w:p>
      <w:pPr>
        <w:ind w:left="440" w:right="1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Liens permitted by this clause (k), (ii) the aggregate outstanding principal amount of Indebtedness of Subsidiaries permitted by Section 6.01(k) and (iii) the Attributable Debt in respect of all outstanding Sale/Leaseback Transactions permitted by Section 6.03(b) does not exceed (x) prior to the Term Funding Date, the greater of $300,000,000 and 15% of Consolidated Net Tangible Assets and (y) on and after the Term Funding Date, the greater of $400,000,000 and 15% of Consolidated Net Tangible Assets.</w:t>
      </w:r>
    </w:p>
    <w:p>
      <w:pPr>
        <w:spacing w:after="0" w:line="180"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87"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u w:val="single" w:color="auto"/>
          <w:color w:val="auto"/>
        </w:rPr>
        <w:t>Sale/Leaseback Transactions</w:t>
      </w:r>
      <w:r>
        <w:rPr>
          <w:rFonts w:ascii="Times New Roman" w:cs="Times New Roman" w:eastAsia="Times New Roman" w:hAnsi="Times New Roman"/>
          <w:sz w:val="18"/>
          <w:szCs w:val="18"/>
          <w:color w:val="auto"/>
        </w:rPr>
        <w:t>. The Company will not, and will not permit any Subsidiary to, enter into any Sale/Leaseback Transaction, except Sale/Leaseback Transactions set forth on Schedule 6.03 and the following:</w:t>
      </w:r>
    </w:p>
    <w:p>
      <w:pPr>
        <w:spacing w:after="0" w:line="54" w:lineRule="exact"/>
        <w:rPr>
          <w:sz w:val="20"/>
          <w:szCs w:val="20"/>
          <w:color w:val="auto"/>
        </w:rPr>
      </w:pPr>
    </w:p>
    <w:p>
      <w:pPr>
        <w:jc w:val="both"/>
        <w:ind w:left="440" w:right="60" w:firstLine="525"/>
        <w:spacing w:after="0" w:line="261" w:lineRule="auto"/>
        <w:tabs>
          <w:tab w:leader="none" w:pos="1213"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Sale/Leaseback Transaction entered into to finance the acquisition or construction of any fixed or capital assets by the Company or any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71" w:lineRule="exact"/>
        <w:rPr>
          <w:rFonts w:ascii="Times New Roman" w:cs="Times New Roman" w:eastAsia="Times New Roman" w:hAnsi="Times New Roman"/>
          <w:sz w:val="18"/>
          <w:szCs w:val="18"/>
          <w:color w:val="auto"/>
        </w:rPr>
      </w:pPr>
    </w:p>
    <w:p>
      <w:pPr>
        <w:ind w:left="440" w:right="40" w:firstLine="525"/>
        <w:spacing w:after="0" w:line="256" w:lineRule="auto"/>
        <w:tabs>
          <w:tab w:leader="none" w:pos="1223"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Sale/Leaseback Transactions,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(x) prior to the Term Funding Date, the greater of $300,000,000 and 15% of Consolidated Net Tangible Assets and (y) on and after the Term Funding Date, the greater of $400,000,000 and 15% of Consolidated Net Tangible Assets.</w:t>
      </w:r>
    </w:p>
    <w:p>
      <w:pPr>
        <w:spacing w:after="0" w:line="187"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6.04. </w:t>
      </w:r>
      <w:r>
        <w:rPr>
          <w:rFonts w:ascii="Times New Roman" w:cs="Times New Roman" w:eastAsia="Times New Roman" w:hAnsi="Times New Roman"/>
          <w:sz w:val="18"/>
          <w:szCs w:val="18"/>
          <w:u w:val="single" w:color="auto"/>
          <w:color w:val="auto"/>
        </w:rPr>
        <w:t>Fundamental Changes; Business Activities</w:t>
      </w:r>
      <w:r>
        <w:rPr>
          <w:rFonts w:ascii="Times New Roman" w:cs="Times New Roman" w:eastAsia="Times New Roman" w:hAnsi="Times New Roman"/>
          <w:sz w:val="18"/>
          <w:szCs w:val="18"/>
          <w:color w:val="auto"/>
        </w:rPr>
        <w:t>. (a) The Company will not, and will not permit any Subsidiary to, amalgamate with, merge into or consolidate with any other Person, or permit any other Person to amalgamate with, merge into or consolidate with it, or liquidate or dissolve, except that (i) the Inphi Acquisition and the Permitted Reorganization may be consummated and (ii) if at the time thereof and immediately after giving effect thereto no Event of Default shall have occurred and be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1000"/>
          </w:cols>
          <w:pgMar w:left="440" w:top="270" w:right="459" w:bottom="1440" w:gutter="0" w:footer="0" w:header="0"/>
        </w:sectPr>
      </w:pPr>
    </w:p>
    <w:bookmarkStart w:id="92" w:name="page93"/>
    <w:bookmarkEnd w:id="92"/>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continuing and, in the case of clause (D) below, the Company shall be in compliance on a pro forma basis with the covenant set forth in Section 6.06,</w:t>
      </w:r>
    </w:p>
    <w:p>
      <w:pPr>
        <w:spacing w:after="0" w:line="27" w:lineRule="exact"/>
        <w:rPr>
          <w:sz w:val="20"/>
          <w:szCs w:val="20"/>
          <w:color w:val="auto"/>
        </w:rPr>
      </w:pPr>
    </w:p>
    <w:p>
      <w:pPr>
        <w:ind w:left="4" w:right="20" w:hanging="4"/>
        <w:spacing w:after="0" w:line="250" w:lineRule="auto"/>
        <w:tabs>
          <w:tab w:leader="none" w:pos="299"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Person may amalgamate, merge or consolidate with the Company in a transaction in which the Company is the surviving entity, (B) the Company may amalgamate, merge or consolidate with any Person (including the Permitted Reorganization Merger Subsidiary) in a transaction in which such Person is the surviving entity,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(1) such Person is a corporation organized under the laws of the State of Delaware, (2) prior to or substantially concurrently with the consummation of such amalgamation, merger or consolidation, (x) such Person shall execute and deliver to the Administrative Agent an assumption agreement (the “</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in form and substance reasonably satisfactory to the Administrative Agent, pursuant to which such Person shall assume all of the obligations of the Company under this Agreement and the other Loan Documents, and</w:t>
      </w:r>
    </w:p>
    <w:p>
      <w:pPr>
        <w:spacing w:after="0" w:line="2" w:lineRule="exact"/>
        <w:rPr>
          <w:rFonts w:ascii="Times New Roman" w:cs="Times New Roman" w:eastAsia="Times New Roman" w:hAnsi="Times New Roman"/>
          <w:sz w:val="18"/>
          <w:szCs w:val="18"/>
          <w:color w:val="auto"/>
        </w:rPr>
      </w:pPr>
    </w:p>
    <w:p>
      <w:pPr>
        <w:ind w:left="4"/>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 such Person shall deliver to the Administrative Agent such documents, certificates and opinions as the Administrative Agent may reasonably request relating to such Person, such amalgamation, merger or consolidation or the Assumption Agreement, all in form and substance reasonably satisfactory to the Administrative Agent, and (3) the Lenders shall have received, at least five Business Days prior to the date of the consummation of such amalgamation,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90" w:lineRule="exact"/>
        <w:rPr>
          <w:rFonts w:ascii="Times New Roman" w:cs="Times New Roman" w:eastAsia="Times New Roman" w:hAnsi="Times New Roman"/>
          <w:sz w:val="18"/>
          <w:szCs w:val="18"/>
          <w:color w:val="auto"/>
        </w:rPr>
      </w:pPr>
    </w:p>
    <w:p>
      <w:pPr>
        <w:ind w:left="4" w:right="200" w:firstLine="987"/>
        <w:spacing w:after="0" w:line="289" w:lineRule="auto"/>
        <w:tabs>
          <w:tab w:leader="none" w:pos="1250" w:val="left"/>
        </w:tabs>
        <w:numPr>
          <w:ilvl w:val="1"/>
          <w:numId w:val="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its Subsidiaries (whether now owned or hereafter acquired), taken as a whole.</w:t>
      </w:r>
    </w:p>
    <w:p>
      <w:pPr>
        <w:spacing w:after="0" w:line="9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0984"/>
          </w:cols>
          <w:pgMar w:left="436" w:top="270" w:right="479" w:bottom="1440" w:gutter="0" w:footer="0" w:header="0"/>
        </w:sectPr>
      </w:pPr>
    </w:p>
    <w:bookmarkStart w:id="93" w:name="page94"/>
    <w:bookmarkEnd w:id="93"/>
    <w:p>
      <w:pPr>
        <w:ind w:firstLine="987"/>
        <w:spacing w:after="0" w:line="266" w:lineRule="auto"/>
        <w:tabs>
          <w:tab w:leader="none" w:pos="1236"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 including the business of Inphi and its subsidiaries conducted by them on the Effective Date.</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6.05. </w:t>
      </w:r>
      <w:r>
        <w:rPr>
          <w:rFonts w:ascii="Times New Roman" w:cs="Times New Roman" w:eastAsia="Times New Roman" w:hAnsi="Times New Roman"/>
          <w:sz w:val="18"/>
          <w:szCs w:val="18"/>
          <w:u w:val="single" w:color="auto"/>
          <w:color w:val="auto"/>
        </w:rPr>
        <w:t>[Reserved]</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6.06. </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The Company will not permit the Leverage Ratio on the last day of any fiscal quarter of the Company to exceed, commencing with the first fiscal quarter ended after the Term Funding Date, (i) initially, 4.75 to 1.00, (ii) from and after the fiscal quarter ending on or about April 30, 2022, 4.50 to 1.00, (iii) from and after the fiscal quarter ending on or about October 31, 2022, 4.25 to 1.00, (iv) from and after the fiscal quarter ending on or about April 30, 2023, 4.00 to 1.00, (v) from and after the fiscal quarter ending on or about October 31, 2023, 3.50 to 1.00 and (vi) from and after the fiscal quarter ending on or about April 30, 2024 and thereafter, 3.25 to 1.00.</w:t>
      </w:r>
    </w:p>
    <w:p>
      <w:pPr>
        <w:spacing w:after="0" w:line="39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VII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7.01. </w:t>
      </w:r>
      <w:r>
        <w:rPr>
          <w:rFonts w:ascii="Times New Roman" w:cs="Times New Roman" w:eastAsia="Times New Roman" w:hAnsi="Times New Roman"/>
          <w:sz w:val="18"/>
          <w:szCs w:val="18"/>
          <w:u w:val="single" w:color="auto"/>
          <w:color w:val="auto"/>
        </w:rPr>
        <w:t>Events of Default; Remedies</w:t>
      </w:r>
      <w:r>
        <w:rPr>
          <w:rFonts w:ascii="Times New Roman" w:cs="Times New Roman" w:eastAsia="Times New Roman" w:hAnsi="Times New Roman"/>
          <w:sz w:val="18"/>
          <w:szCs w:val="18"/>
          <w:color w:val="auto"/>
        </w:rPr>
        <w:t>. If any of the following events (“</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shall occur:</w:t>
      </w:r>
    </w:p>
    <w:p>
      <w:pPr>
        <w:spacing w:after="0" w:line="117" w:lineRule="exact"/>
        <w:rPr>
          <w:sz w:val="20"/>
          <w:szCs w:val="20"/>
          <w:color w:val="auto"/>
        </w:rPr>
      </w:pPr>
    </w:p>
    <w:p>
      <w:pPr>
        <w:ind w:left="440" w:right="200" w:firstLine="525"/>
        <w:spacing w:after="0" w:line="282" w:lineRule="auto"/>
        <w:tabs>
          <w:tab w:leader="none" w:pos="1213"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principal of any Loan when and as the same shall become due and payable, whether at the due date thereof or at a date fixed for prepayment thereof or otherwise;</w:t>
      </w:r>
    </w:p>
    <w:p>
      <w:pPr>
        <w:spacing w:after="0" w:line="53" w:lineRule="exact"/>
        <w:rPr>
          <w:rFonts w:ascii="Times New Roman" w:cs="Times New Roman" w:eastAsia="Times New Roman" w:hAnsi="Times New Roman"/>
          <w:sz w:val="18"/>
          <w:szCs w:val="18"/>
          <w:color w:val="auto"/>
        </w:rPr>
      </w:pPr>
    </w:p>
    <w:p>
      <w:pPr>
        <w:ind w:left="440" w:right="40" w:firstLine="525"/>
        <w:spacing w:after="0" w:line="266" w:lineRule="auto"/>
        <w:tabs>
          <w:tab w:leader="none" w:pos="1223"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67" w:lineRule="exact"/>
        <w:rPr>
          <w:rFonts w:ascii="Times New Roman" w:cs="Times New Roman" w:eastAsia="Times New Roman" w:hAnsi="Times New Roman"/>
          <w:sz w:val="18"/>
          <w:szCs w:val="18"/>
          <w:color w:val="auto"/>
        </w:rPr>
      </w:pPr>
    </w:p>
    <w:p>
      <w:pPr>
        <w:ind w:left="440" w:right="180" w:firstLine="525"/>
        <w:spacing w:after="0" w:line="289" w:lineRule="auto"/>
        <w:tabs>
          <w:tab w:leader="none" w:pos="1213" w:val="left"/>
        </w:tabs>
        <w:numPr>
          <w:ilvl w:val="0"/>
          <w:numId w:val="9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49" w:lineRule="exact"/>
        <w:rPr>
          <w:rFonts w:ascii="Times New Roman" w:cs="Times New Roman" w:eastAsia="Times New Roman" w:hAnsi="Times New Roman"/>
          <w:sz w:val="17"/>
          <w:szCs w:val="17"/>
          <w:color w:val="auto"/>
        </w:rPr>
      </w:pPr>
    </w:p>
    <w:p>
      <w:pPr>
        <w:ind w:left="440" w:right="160" w:firstLine="525"/>
        <w:spacing w:after="0" w:line="282" w:lineRule="auto"/>
        <w:tabs>
          <w:tab w:leader="none" w:pos="1223"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observe or perform any covenant, condition or agreement contained in Section 5.02(a), 5.03 (with respect to the existence of the Company) or 5.09 or in Article VI;</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020"/>
          </w:cols>
          <w:pgMar w:left="440" w:top="270" w:right="439" w:bottom="1440" w:gutter="0" w:footer="0" w:header="0"/>
        </w:sectPr>
      </w:pPr>
    </w:p>
    <w:bookmarkStart w:id="94" w:name="page95"/>
    <w:bookmarkEnd w:id="94"/>
    <w:p>
      <w:pPr>
        <w:ind w:left="4" w:right="120" w:firstLine="525"/>
        <w:spacing w:after="0" w:line="261" w:lineRule="auto"/>
        <w:tabs>
          <w:tab w:leader="none" w:pos="777" w:val="left"/>
        </w:tabs>
        <w:numPr>
          <w:ilvl w:val="1"/>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the Administrative Agent in the case of any such notice from a Lender);</w:t>
      </w:r>
    </w:p>
    <w:p>
      <w:pPr>
        <w:spacing w:after="0" w:line="71" w:lineRule="exact"/>
        <w:rPr>
          <w:rFonts w:ascii="Times New Roman" w:cs="Times New Roman" w:eastAsia="Times New Roman" w:hAnsi="Times New Roman"/>
          <w:sz w:val="18"/>
          <w:szCs w:val="18"/>
          <w:color w:val="auto"/>
        </w:rPr>
      </w:pPr>
    </w:p>
    <w:p>
      <w:pPr>
        <w:ind w:left="4" w:right="220" w:firstLine="525"/>
        <w:spacing w:after="0" w:line="282" w:lineRule="auto"/>
        <w:tabs>
          <w:tab w:leader="none" w:pos="757" w:val="left"/>
        </w:tabs>
        <w:numPr>
          <w:ilvl w:val="1"/>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53" w:lineRule="exact"/>
        <w:rPr>
          <w:rFonts w:ascii="Times New Roman" w:cs="Times New Roman" w:eastAsia="Times New Roman" w:hAnsi="Times New Roman"/>
          <w:sz w:val="18"/>
          <w:szCs w:val="18"/>
          <w:color w:val="auto"/>
        </w:rPr>
      </w:pPr>
    </w:p>
    <w:p>
      <w:pPr>
        <w:ind w:left="4" w:firstLine="525"/>
        <w:spacing w:after="0" w:line="253" w:lineRule="auto"/>
        <w:tabs>
          <w:tab w:leader="none" w:pos="787" w:val="left"/>
        </w:tabs>
        <w:numPr>
          <w:ilvl w:val="1"/>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provided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83" w:lineRule="exact"/>
        <w:rPr>
          <w:rFonts w:ascii="Times New Roman" w:cs="Times New Roman" w:eastAsia="Times New Roman" w:hAnsi="Times New Roman"/>
          <w:sz w:val="18"/>
          <w:szCs w:val="18"/>
          <w:color w:val="auto"/>
        </w:rPr>
      </w:pPr>
    </w:p>
    <w:p>
      <w:pPr>
        <w:ind w:left="4" w:right="120" w:firstLine="525"/>
        <w:spacing w:after="0" w:line="272" w:lineRule="auto"/>
        <w:tabs>
          <w:tab w:leader="none" w:pos="787" w:val="left"/>
        </w:tabs>
        <w:numPr>
          <w:ilvl w:val="1"/>
          <w:numId w:val="9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1" w:lineRule="exact"/>
        <w:rPr>
          <w:rFonts w:ascii="Times New Roman" w:cs="Times New Roman" w:eastAsia="Times New Roman" w:hAnsi="Times New Roman"/>
          <w:sz w:val="17"/>
          <w:szCs w:val="17"/>
          <w:color w:val="auto"/>
        </w:rPr>
      </w:pPr>
    </w:p>
    <w:p>
      <w:pPr>
        <w:ind w:left="4" w:right="300" w:hanging="4"/>
        <w:spacing w:after="0" w:line="255" w:lineRule="auto"/>
        <w:tabs>
          <w:tab w:leader="none" w:pos="268"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77" w:lineRule="exact"/>
        <w:rPr>
          <w:rFonts w:ascii="Times New Roman" w:cs="Times New Roman" w:eastAsia="Times New Roman" w:hAnsi="Times New Roman"/>
          <w:sz w:val="18"/>
          <w:szCs w:val="18"/>
          <w:color w:val="auto"/>
        </w:rPr>
      </w:pPr>
    </w:p>
    <w:p>
      <w:pPr>
        <w:ind w:left="4" w:right="660" w:firstLine="525"/>
        <w:spacing w:after="0" w:line="282" w:lineRule="auto"/>
        <w:tabs>
          <w:tab w:leader="none" w:pos="747" w:val="left"/>
        </w:tabs>
        <w:numPr>
          <w:ilvl w:val="1"/>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(i) voluntarily commence any proceeding or file any petition seeking liquidation, reorganization, winding-up or other relief under any United States (Federal or state) or foreign</w:t>
      </w:r>
    </w:p>
    <w:p>
      <w:pPr>
        <w:spacing w:after="0" w:line="94" w:lineRule="exact"/>
        <w:rPr>
          <w:sz w:val="20"/>
          <w:szCs w:val="20"/>
          <w:color w:val="auto"/>
        </w:rPr>
      </w:pPr>
    </w:p>
    <w:p>
      <w:pPr>
        <w:jc w:val="center"/>
        <w:ind w:right="436"/>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0584"/>
          </w:cols>
          <w:pgMar w:left="876" w:top="270" w:right="439" w:bottom="1440" w:gutter="0" w:footer="0" w:header="0"/>
        </w:sectPr>
      </w:pPr>
    </w:p>
    <w:bookmarkStart w:id="95" w:name="page96"/>
    <w:bookmarkEnd w:id="95"/>
    <w:p>
      <w:pPr>
        <w:ind w:left="440"/>
        <w:spacing w:after="0" w:line="273"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bankruptcy, insolvency, receivership, winding-up or similar law now or hereafter in effect (other than, in the case of any Subsidiary, a voluntary liquidation or dissolution permitted by Section 6.04(a)(ii)(E)),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63" w:lineRule="exact"/>
        <w:rPr>
          <w:sz w:val="20"/>
          <w:szCs w:val="20"/>
          <w:color w:val="auto"/>
        </w:rPr>
      </w:pPr>
    </w:p>
    <w:p>
      <w:pPr>
        <w:ind w:left="440" w:right="380" w:firstLine="525"/>
        <w:spacing w:after="0" w:line="282" w:lineRule="auto"/>
        <w:tabs>
          <w:tab w:leader="none" w:pos="1183"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become unable, admit in writing its inability or fail generally to pay its debts as they become due;</w:t>
      </w:r>
    </w:p>
    <w:p>
      <w:pPr>
        <w:spacing w:after="0" w:line="53" w:lineRule="exact"/>
        <w:rPr>
          <w:rFonts w:ascii="Times New Roman" w:cs="Times New Roman" w:eastAsia="Times New Roman" w:hAnsi="Times New Roman"/>
          <w:sz w:val="18"/>
          <w:szCs w:val="18"/>
          <w:color w:val="auto"/>
        </w:rPr>
      </w:pPr>
    </w:p>
    <w:p>
      <w:pPr>
        <w:ind w:left="440" w:firstLine="525"/>
        <w:spacing w:after="0" w:line="256" w:lineRule="auto"/>
        <w:tabs>
          <w:tab w:leader="none" w:pos="1223"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79" w:lineRule="exact"/>
        <w:rPr>
          <w:rFonts w:ascii="Times New Roman" w:cs="Times New Roman" w:eastAsia="Times New Roman" w:hAnsi="Times New Roman"/>
          <w:sz w:val="18"/>
          <w:szCs w:val="18"/>
          <w:color w:val="auto"/>
        </w:rPr>
      </w:pPr>
    </w:p>
    <w:p>
      <w:pPr>
        <w:ind w:left="440" w:right="520" w:firstLine="525"/>
        <w:spacing w:after="0" w:line="282" w:lineRule="auto"/>
        <w:tabs>
          <w:tab w:leader="none" w:pos="1183"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ERISA Events shall have occurred that, individually or in the aggregate, would reasonably be expected to result in a Material Adverse Effect;</w:t>
      </w:r>
    </w:p>
    <w:p>
      <w:pPr>
        <w:spacing w:after="0" w:line="53"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Change in Control shall occur; or</w:t>
      </w:r>
    </w:p>
    <w:p>
      <w:pPr>
        <w:spacing w:after="0" w:line="117" w:lineRule="exact"/>
        <w:rPr>
          <w:rFonts w:ascii="Times New Roman" w:cs="Times New Roman" w:eastAsia="Times New Roman" w:hAnsi="Times New Roman"/>
          <w:sz w:val="18"/>
          <w:szCs w:val="18"/>
          <w:color w:val="auto"/>
        </w:rPr>
      </w:pPr>
    </w:p>
    <w:p>
      <w:pPr>
        <w:ind w:left="440" w:firstLine="525"/>
        <w:spacing w:after="0" w:line="258" w:lineRule="auto"/>
        <w:tabs>
          <w:tab w:leader="none" w:pos="1223"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Subsidiary Guaranty, at any time after its execution and delivery and for any reason other than as expressly permitted hereunder or thereunder or satisfaction in full of all the Obligations (other than contingent obligations that survive the termination of this Agreement), ceases to be in full force and effect; or the Company or any Guarantor contests in writing the validity or enforceability of any Subsidiary Guaranty; or the Company or any Guarantor denies in writing that it has any or further liability or obligation under any Subsidiary Guaranty, or in writing purports to revoke, terminate or rescind any Subsidiary Guaranty for any reason other than as expressly permitted hereunder or thereunder;</w:t>
      </w:r>
    </w:p>
    <w:p>
      <w:pPr>
        <w:spacing w:after="0" w:line="183"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then, and in every such event (other than an event with respect to the Company described in clause (h) or (i) of this Section), and at any time thereafter during the continuance of such event, the Administrative Agent may, and at the request of the Required Lenders</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0980"/>
          </w:cols>
          <w:pgMar w:left="440" w:top="270" w:right="479" w:bottom="1440" w:gutter="0" w:footer="0" w:header="0"/>
        </w:sectPr>
      </w:pPr>
    </w:p>
    <w:bookmarkStart w:id="96" w:name="page97"/>
    <w:bookmarkEnd w:id="96"/>
    <w:p>
      <w:pPr>
        <w:ind w:left="4"/>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by notice to the Company, take any or all of the following actions, at the same or different times: (A) subject to the next succeeding paragraph, terminate the Commitments, and thereupon the Commitments shall terminate immediately, and (B) declare the Loans then outstanding to be due and payable in whole (or in part (but ratably as among the Classes of Loans and the Loans of each Class at the time outstanding),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94" w:lineRule="exact"/>
        <w:rPr>
          <w:sz w:val="20"/>
          <w:szCs w:val="20"/>
          <w:color w:val="auto"/>
        </w:rPr>
      </w:pPr>
    </w:p>
    <w:p>
      <w:pPr>
        <w:ind w:left="4"/>
        <w:spacing w:after="0" w:line="266" w:lineRule="auto"/>
        <w:rPr>
          <w:sz w:val="20"/>
          <w:szCs w:val="20"/>
          <w:color w:val="auto"/>
        </w:rPr>
      </w:pPr>
      <w:r>
        <w:rPr>
          <w:rFonts w:ascii="Times New Roman" w:cs="Times New Roman" w:eastAsia="Times New Roman" w:hAnsi="Times New Roman"/>
          <w:sz w:val="17"/>
          <w:szCs w:val="17"/>
          <w:color w:val="auto"/>
        </w:rPr>
        <w:t xml:space="preserve">During the period from and including the Effective Date to and including the earlier of the borrowing of the Term Loans on the Term Funding Date and the termination or expiration of all the Commitments, and notwithstanding (I) any failure by the Company or any Subsidiary to observe or perform the covenants set forth in Article V or VI hereof (other than failure to observe or perform any covenant contained in Section 6.04), (II) the occurrence of any Default or Event of Default (other than any Event of Default under clause (a), (b), (h), (i) or, with respect to failure to observe or perform any covenant contained in Section 6.04, clause (d) of this Section) or (III) subject to the parenthetical provisions in clauses (I) and (II) above, any provision to the contrary in this Agreement, none of the Administrative Agent or any Term Lender shall be entitled to (1) rescind, terminate or cancel the Term Facility or any of the Commitments hereunder, or exercise any right or remedy under this Agreement or any other Loan Document to the extent that to do so would prevent, limit or delay the making by any Term Lender of its Term Loan on the Term Funding Date, (2) in the case of any Term Lender, refuse to make its Term Loan on the Term Funding Date or (3) in the case of any Term Lender, exercise any right of set-off or counterclaim in respect of its Term Loan to the extent that to do so would prevent, limit or delay the making of its Term Loan on the Term Funding Date;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for the avoidance of doubt, the borrowing of the Term Loans on the Term Funding Date shall be subject to the satisfaction (or waiver in accordance with Section 9.02) of the conditions precedent set forth in Section 4.02. For the avoidance of doubt, (x) the rights, remedies and entitlements of the Administrative Agent and the Term Lenders with respect to any condition precedent set forth in Section 4.02 shall not be limited in the event that any such condition is not satisfied on the Term Funding Date, (y) after the funding of the Term Loans on the Term Funding Date, all of the rights, remedies and entitlements of the Administrative Agent and the Term Lenders under this Agreement and the other Loan Documents shall be available and may be exercised by them notwithstanding that such rights, remedies or entitlements were not available prior to such time as a result of the provisions of this paragraph and</w:t>
      </w:r>
    </w:p>
    <w:p>
      <w:pPr>
        <w:spacing w:after="0" w:line="8" w:lineRule="exact"/>
        <w:rPr>
          <w:sz w:val="20"/>
          <w:szCs w:val="20"/>
          <w:color w:val="auto"/>
        </w:rPr>
      </w:pPr>
    </w:p>
    <w:p>
      <w:pPr>
        <w:ind w:left="5424" w:right="2500" w:hanging="5424"/>
        <w:spacing w:after="0" w:line="433" w:lineRule="auto"/>
        <w:tabs>
          <w:tab w:leader="none" w:pos="251"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this paragraph shall affect the rights, remedies or entitlements (or the ability to exercise the same) of the 85</w:t>
      </w:r>
    </w:p>
    <w:p>
      <w:pPr>
        <w:sectPr>
          <w:pgSz w:w="11900" w:h="16838" w:orient="portrait"/>
          <w:cols w:equalWidth="0" w:num="1">
            <w:col w:w="11004"/>
          </w:cols>
          <w:pgMar w:left="436" w:top="270" w:right="459" w:bottom="1440" w:gutter="0" w:footer="0" w:header="0"/>
        </w:sectPr>
      </w:pPr>
    </w:p>
    <w:bookmarkStart w:id="97" w:name="page98"/>
    <w:bookmarkEnd w:id="97"/>
    <w:p>
      <w:pPr>
        <w:ind w:right="3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Administrative Agent or the Term Lenders with respect to any Event of Default under clause (a), (b), (h), (i) or, with respect to failure to observe or perform any covenant contained in Section 6.04, clause (d) of this Section, including any such rights, remedies or entitlements set forth in the immediately preceding paragraph.</w:t>
      </w:r>
    </w:p>
    <w:p>
      <w:pPr>
        <w:spacing w:after="0" w:line="39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ARTICLE VIII</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The Administrative Agent</w:t>
      </w:r>
    </w:p>
    <w:p>
      <w:pPr>
        <w:spacing w:after="0" w:line="225"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Each of the Lenders hereby irrevocably appoints the entity named as the Administrative Agent in the heading of this Agreement and its successors to serve in the applicable capacity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80" w:lineRule="exact"/>
        <w:rPr>
          <w:sz w:val="20"/>
          <w:szCs w:val="20"/>
          <w:color w:val="auto"/>
        </w:rPr>
      </w:pPr>
    </w:p>
    <w:p>
      <w:pPr>
        <w:ind w:right="140" w:firstLine="991"/>
        <w:spacing w:after="0" w:line="258" w:lineRule="auto"/>
        <w:rPr>
          <w:sz w:val="20"/>
          <w:szCs w:val="20"/>
          <w:color w:val="auto"/>
        </w:rPr>
      </w:pPr>
      <w:r>
        <w:rPr>
          <w:rFonts w:ascii="Times New Roman" w:cs="Times New Roman" w:eastAsia="Times New Roman" w:hAnsi="Times New Roman"/>
          <w:sz w:val="18"/>
          <w:szCs w:val="18"/>
          <w:color w:val="auto"/>
        </w:rPr>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3"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The Administrative Agent shall not have any duties or obligations except those expressly set forth in the Loan Documents with respect to the Administrative Agent, and the Administrative Agent’s duties hereunder shall be administrative in nature. Without limiting the generality of the foregoing, (a) the Administrative Agent shall not be subject to any fiduciary or other implied duties, regardless of whether a Default has occurred and is continuing (and it is understood and agreed that the use of the term “agent” herein or in any other Loan 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the Administrative Agent shall not have any duty to take any discretionary action or to exercise any discretionary power, except discretionary rights and powers expressly contemplated by the Loan Documents that the Administrative Agent is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shall not be required to take any action that, in its opinion, could expose the Administrative Agent to liability or be contrary to any Loan Document or applicable law, and (c) except as expressly set forth in the Loan Documents, the Administrative Agent shall not have any duty to disclose, and the Administrative Agent shall not be liable for the failure to disclose, any information relating to the Company,</w:t>
      </w:r>
    </w:p>
    <w:p>
      <w:pPr>
        <w:spacing w:after="0" w:line="12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0940"/>
          </w:cols>
          <w:pgMar w:left="440" w:top="270" w:right="519" w:bottom="1440" w:gutter="0" w:footer="0" w:header="0"/>
        </w:sectPr>
      </w:pPr>
    </w:p>
    <w:bookmarkStart w:id="98" w:name="page99"/>
    <w:bookmarkEnd w:id="98"/>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Subsidiary or any other Affiliate thereof that is communicated to or obtained by the Person serving as the Administrative Agent or any of its Affiliates in any capacity. The Administrative Agent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The Administrative Agent shall be deemed not to have knowledge of any Default unless and until written notice thereof (stating that it is a “notice of default”) is given to the Administrative Agent by the Company or any Lender, and the Administrative Agent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(including, for the avoidance of doubt, in connection with the Administrative Agent’s reliance on any Electronic Signature transmitted by telecopy, emailed pdf. or any other electronic means that reproduces an image of an actual executed signature page),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19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1000"/>
          </w:cols>
          <w:pgMar w:left="440" w:top="270" w:right="459" w:bottom="1440" w:gutter="0" w:footer="0" w:header="0"/>
        </w:sectPr>
      </w:pPr>
    </w:p>
    <w:bookmarkStart w:id="99" w:name="page100"/>
    <w:bookmarkEnd w:id="99"/>
    <w:p>
      <w:pPr>
        <w:ind w:right="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liability arising from, or be responsible for any loss, cost or expense suffered on account of, (i) any errors or omissions in the records maintained by the Administrative Agent as contemplated by Section 9.04(b)(iv) or (ii)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80" w:lineRule="exact"/>
        <w:rPr>
          <w:sz w:val="20"/>
          <w:szCs w:val="20"/>
          <w:color w:val="auto"/>
        </w:rPr>
      </w:pPr>
    </w:p>
    <w:p>
      <w:pPr>
        <w:ind w:right="120" w:firstLine="991"/>
        <w:spacing w:after="0" w:line="254" w:lineRule="auto"/>
        <w:rPr>
          <w:sz w:val="20"/>
          <w:szCs w:val="20"/>
          <w:color w:val="auto"/>
        </w:rPr>
      </w:pPr>
      <w:r>
        <w:rPr>
          <w:rFonts w:ascii="Times New Roman" w:cs="Times New Roman" w:eastAsia="Times New Roman" w:hAnsi="Times New Roman"/>
          <w:sz w:val="18"/>
          <w:szCs w:val="18"/>
          <w:color w:val="auto"/>
        </w:rPr>
        <w:t>The Administrative Agent may perform any of and all its duties and exercise its rights and powers hereunder or under any other Loan Document by or through any one or more sub-agents appointed by the Administrative Agent. The Administrative Agent and any such sub-agent may perform any of and all their duties and exercise their rights and powers through their respective Related Parties. The exculpatory provisions of this Article shall apply to any such sub-agent and to the Related Parties of the Administrative Agent and any such sub-agent, and shall apply to their respective activities in connection with the syndication of the credit facilities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92"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the Administrative Agent is a Defaulting Lender pursuant to clause (d) of the definition thereof, the Required Lenders may, to the extent permitted by applicable law, by notice in writing to the Company and such Person remove such Person as the Administrative Agent and, subject to the consent of the Company (not to be unreasonably withheld, conditioned or delayed) so long as no Event of Default under clause (a), (b), (h) or (i) of Section 7.01 shall have occurred and be continuing, appoint a successor. Upon the acceptance of its appointment as the Administrative Agent hereunder by a successor, such successor shall succeed to and become vested with all the rights, powers, privileges and duties of the retiring or removed Administrative Agent, and the retiring or removed Administrative Agent shall be discharged from its duties and obligations hereunder and under the other Loan Documents. The fees payable by the Company to a successor Administrative Agent shall be the same as those payable to its predecessor unless otherwise agreed by the Company and such successor. Notwithstanding the foregoing, in the event no successor Administrative Agent shall have been so appointed and shall have</w:t>
      </w:r>
    </w:p>
    <w:p>
      <w:pPr>
        <w:spacing w:after="0" w:line="1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88</w:t>
      </w:r>
    </w:p>
    <w:p>
      <w:pPr>
        <w:sectPr>
          <w:pgSz w:w="11900" w:h="16838" w:orient="portrait"/>
          <w:cols w:equalWidth="0" w:num="1">
            <w:col w:w="10960"/>
          </w:cols>
          <w:pgMar w:left="440" w:top="270" w:right="499" w:bottom="1440" w:gutter="0" w:footer="0" w:header="0"/>
        </w:sectPr>
      </w:pPr>
    </w:p>
    <w:bookmarkStart w:id="100" w:name="page101"/>
    <w:bookmarkEnd w:id="100"/>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such appointment within 30 days after the retiring Administrative Agent gives notice of its intent to resign, the retiring Administrative Agent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may give notice of the effectiveness of its resignation to the Lenders and the Company, whereupon, on the date of effectiveness of such resignation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stated in such notice, (a) the retiring Administrative Agent shall be discharged from its duties and obligations hereunder and under the other Loan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Documents, and (b) the Required Lenders shall succeed to and become vested with all the rights, powers, privileges and duties of the retiring</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all payments required to be made hereunder or under any other Loan Document to the retiring Administrative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Agent for the account of any Person other than the retiring Administrative Agent shall be made directly to such Person and (ii) all notices and other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communications required or contemplated to be given or made to the retiring Administrative Agent shall also directly be given or made to each Lender.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Following the effectiveness of the Administrative Agent’s resignation or removal from its capacity as such, the provisions of this Article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9.03, as well as any exculpatory, reimbursement and indemnification provisions set forth in any other Loan Document, shall continue in effect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the benefit of such retiring or removed Administrative Agent, its sub-agents and their respective Related Parties in respect of any actions taken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omitted to be taken by any of them while it was acting as the Administrative Agent.</w:t>
      </w:r>
    </w:p>
    <w:p>
      <w:pPr>
        <w:spacing w:after="0" w:line="207"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Each Lender acknowledges that it has, independently and without reliance upon the Administrative Agent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 reliance upon the Administrative Agent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87" w:lineRule="exact"/>
        <w:rPr>
          <w:sz w:val="20"/>
          <w:szCs w:val="20"/>
          <w:color w:val="auto"/>
        </w:rPr>
      </w:pPr>
    </w:p>
    <w:p>
      <w:pPr>
        <w:ind w:right="160" w:firstLine="991"/>
        <w:spacing w:after="0" w:line="281" w:lineRule="auto"/>
        <w:rPr>
          <w:sz w:val="20"/>
          <w:szCs w:val="20"/>
          <w:color w:val="auto"/>
        </w:rPr>
      </w:pPr>
      <w:r>
        <w:rPr>
          <w:rFonts w:ascii="Times New Roman" w:cs="Times New Roman" w:eastAsia="Times New Roman" w:hAnsi="Times New Roman"/>
          <w:sz w:val="17"/>
          <w:szCs w:val="17"/>
          <w:color w:val="auto"/>
        </w:rPr>
        <w:t>Each Lender acknowledges and agrees that the Administrative Agent or one or more of its Affiliates may (but is not obligated to) act as administrative agent or a similar representative for the holders of any Inphi Acquisition Indebtedness. Each Lender and the Company waives any conflict of interest, now contemplated or arising hereafter, in connection therewith and agrees not to assert against the Administrative Agent, any of its Affiliates or any Related Party of any of the foregoing any claims, causes of action, damages or liabilities of whatever kind or nature relating thereto.</w:t>
      </w:r>
    </w:p>
    <w:p>
      <w:pPr>
        <w:spacing w:after="0" w:line="164"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Effective Date or the Term Funding Date.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1000"/>
          </w:cols>
          <w:pgMar w:left="440" w:top="270" w:right="459" w:bottom="1440" w:gutter="0" w:footer="0" w:header="0"/>
        </w:sectPr>
      </w:pPr>
    </w:p>
    <w:bookmarkStart w:id="101" w:name="page102"/>
    <w:bookmarkEnd w:id="101"/>
    <w:p>
      <w:pPr>
        <w:ind w:left="4" w:right="160" w:firstLine="991"/>
        <w:spacing w:after="0" w:line="281"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56" w:lineRule="exact"/>
        <w:rPr>
          <w:sz w:val="20"/>
          <w:szCs w:val="20"/>
          <w:color w:val="auto"/>
        </w:rPr>
      </w:pPr>
    </w:p>
    <w:p>
      <w:pPr>
        <w:ind w:left="444" w:right="300" w:firstLine="525"/>
        <w:spacing w:after="0" w:line="266" w:lineRule="auto"/>
        <w:tabs>
          <w:tab w:leader="none" w:pos="1217"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67" w:lineRule="exact"/>
        <w:rPr>
          <w:rFonts w:ascii="Times New Roman" w:cs="Times New Roman" w:eastAsia="Times New Roman" w:hAnsi="Times New Roman"/>
          <w:sz w:val="18"/>
          <w:szCs w:val="18"/>
          <w:color w:val="auto"/>
        </w:rPr>
      </w:pPr>
    </w:p>
    <w:p>
      <w:pPr>
        <w:ind w:left="1224" w:hanging="255"/>
        <w:spacing w:after="0"/>
        <w:tabs>
          <w:tab w:leader="none" w:pos="1224"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ind w:left="4" w:right="200"/>
        <w:spacing w:after="0" w:line="261" w:lineRule="auto"/>
        <w:rPr>
          <w:sz w:val="20"/>
          <w:szCs w:val="20"/>
          <w:color w:val="auto"/>
        </w:rPr>
      </w:pPr>
      <w:r>
        <w:rPr>
          <w:rFonts w:ascii="Times New Roman" w:cs="Times New Roman" w:eastAsia="Times New Roman" w:hAnsi="Times New Roman"/>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80" w:lineRule="exact"/>
        <w:rPr>
          <w:sz w:val="20"/>
          <w:szCs w:val="20"/>
          <w:color w:val="auto"/>
        </w:rPr>
      </w:pPr>
    </w:p>
    <w:p>
      <w:pPr>
        <w:ind w:left="4" w:firstLine="440"/>
        <w:spacing w:after="0" w:line="252" w:lineRule="auto"/>
        <w:rPr>
          <w:sz w:val="20"/>
          <w:szCs w:val="20"/>
          <w:color w:val="auto"/>
        </w:rPr>
      </w:pPr>
      <w:r>
        <w:rPr>
          <w:rFonts w:ascii="Times New Roman" w:cs="Times New Roman" w:eastAsia="Times New Roman" w:hAnsi="Times New Roman"/>
          <w:sz w:val="18"/>
          <w:szCs w:val="18"/>
          <w:color w:val="auto"/>
        </w:rPr>
        <w:t>Each Lender (x) represents and warrants, as of the date such Person became a Lender party hereto, to, and (y) covenants, from the date such Person became a Lender party hereto to the date such Person ceases being a Lender party hereto, for the benefit of, the Administrative Agent, the Arranger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w:t>
      </w:r>
    </w:p>
    <w:p>
      <w:pPr>
        <w:spacing w:after="0" w:line="2" w:lineRule="exact"/>
        <w:rPr>
          <w:sz w:val="20"/>
          <w:szCs w:val="20"/>
          <w:color w:val="auto"/>
        </w:rPr>
      </w:pPr>
    </w:p>
    <w:p>
      <w:pPr>
        <w:ind w:left="4" w:right="100" w:hanging="4"/>
        <w:spacing w:after="0" w:line="260" w:lineRule="auto"/>
        <w:tabs>
          <w:tab w:leader="none" w:pos="289"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entrance into, participation in, administration of and performance of the Loans, the Commitments and this Agreement satisfies the requirements of sub-sections (b) through (g) of Part I of PTE 84-14 and (D) to the best knowledge of such Lender, the requirements of subsection (a)</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1004"/>
          </w:cols>
          <w:pgMar w:left="436" w:top="270" w:right="459" w:bottom="1440" w:gutter="0" w:footer="0" w:header="0"/>
        </w:sectPr>
      </w:pPr>
    </w:p>
    <w:bookmarkStart w:id="102" w:name="page103"/>
    <w:bookmarkEnd w:id="102"/>
    <w:p>
      <w:pPr>
        <w:jc w:val="both"/>
        <w:ind w:right="30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Part I of PTE 84-14 are satisfied with respect to such Lender’s entrance into, participation in, administration of and performance of the Loans, the Commitments and this Agreement or (iv) such other representation, warranty and covenant as may be agreed in writing between the Administrative Agent and such Lender.</w:t>
      </w:r>
    </w:p>
    <w:p>
      <w:pPr>
        <w:spacing w:after="0" w:line="176"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In addition, unless clause (i) of the immediately preceding paragraph is true with respect to a Lender or such Lender has not provided another representation, 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Administrative Agent, the Arranger and their Affiliates, and not, for the avoidance of doubt, to or for the benefit of the Company, that: none of the Administrative Agent, the Arranger or any of their Affiliates is a fiduciary with respect to the assets of such Lender (including in connection with the reservation or exercise of any rights by the Administrative Agent under this Agreement, any Loan Document or any documents related hereto or thereto).</w:t>
      </w:r>
    </w:p>
    <w:p>
      <w:pPr>
        <w:spacing w:after="0" w:line="189"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t>The Administrative Agent and the Arranger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Commitments and this Agreement, (b) may recognize a gain if it extended the Loans or the Commitments for an amount less than the amount being paid for an interest in the Loans or the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92"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Notwithstanding anything herein to the contrary, the Arranger shall not have any duties or obligations under this Agreement or any other Loan Document (except in its capacity, as applicable, as an Administrative Agent or a Lender), but all such Persons shall have the benefit of the indemnities and exculpatory provisions provided for hereunder or thereunder.</w:t>
      </w:r>
    </w:p>
    <w:p>
      <w:pPr>
        <w:spacing w:after="0" w:line="176"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The Lenders irrevocably authorize and direct the release of any Guarantor from its obligations under its Subsidiary Guaranty automatically as set forth in Section 5.10(c) and authorize and direct the Administrative Agent to, at the Company’s expense, execute and deliver to the applicable Guarantor any documents or instruments as such Guarantor may reasonably request to evidence the release of such Subsidiary Guaranty.</w:t>
      </w:r>
    </w:p>
    <w:p>
      <w:pPr>
        <w:spacing w:after="0" w:line="176"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The provisions of this Article are solely for the benefit of the Administrative Agent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0980"/>
          </w:cols>
          <w:pgMar w:left="440" w:top="270" w:right="479" w:bottom="1440" w:gutter="0" w:footer="0" w:header="0"/>
        </w:sectPr>
      </w:pPr>
    </w:p>
    <w:bookmarkStart w:id="103" w:name="page104"/>
    <w:bookmarkEnd w:id="103"/>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right="2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9.01. </w:t>
      </w:r>
      <w:r>
        <w:rPr>
          <w:rFonts w:ascii="Times New Roman" w:cs="Times New Roman" w:eastAsia="Times New Roman" w:hAnsi="Times New Roman"/>
          <w:sz w:val="18"/>
          <w:szCs w:val="18"/>
          <w:u w:val="single" w:color="auto"/>
          <w:color w:val="auto"/>
        </w:rPr>
        <w:t>Notices</w:t>
      </w:r>
      <w:r>
        <w:rPr>
          <w:rFonts w:ascii="Times New Roman" w:cs="Times New Roman" w:eastAsia="Times New Roman" w:hAnsi="Times New Roman"/>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68" w:lineRule="exact"/>
        <w:rPr>
          <w:sz w:val="20"/>
          <w:szCs w:val="20"/>
          <w:color w:val="auto"/>
        </w:rPr>
      </w:pPr>
    </w:p>
    <w:p>
      <w:pPr>
        <w:ind w:left="440" w:firstLine="525"/>
        <w:spacing w:after="0" w:line="282" w:lineRule="auto"/>
        <w:tabs>
          <w:tab w:leader="none" w:pos="1183"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Company, to Marvell Technology Group Ltd. (or Maui HoldCo, Inc., as applicable), 5488 Marvell Lane, Santa Clara, California 95054, Attention of Jean Hu, Chief Financial Officer (Fax No. 408-222-1917, Email: jeanhu@marvell.com);</w:t>
      </w:r>
    </w:p>
    <w:p>
      <w:pPr>
        <w:spacing w:after="0" w:line="53" w:lineRule="exact"/>
        <w:rPr>
          <w:rFonts w:ascii="Times New Roman" w:cs="Times New Roman" w:eastAsia="Times New Roman" w:hAnsi="Times New Roman"/>
          <w:sz w:val="18"/>
          <w:szCs w:val="18"/>
          <w:color w:val="auto"/>
        </w:rPr>
      </w:pPr>
    </w:p>
    <w:p>
      <w:pPr>
        <w:ind w:left="440" w:right="280" w:firstLine="525"/>
        <w:spacing w:after="0" w:line="282" w:lineRule="auto"/>
        <w:tabs>
          <w:tab w:leader="none" w:pos="1233"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Administrative Agent, to JPMorgan Chase Bank, N.A., JPMorgan Loan Services, 500 Stanton Christiana Road, NCC 5, 1st Floor Newark, DE 19713, Attention of Chris Bickert (christopher.bickert@chase.com); and</w:t>
      </w:r>
    </w:p>
    <w:p>
      <w:pPr>
        <w:spacing w:after="0" w:line="53"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360" w:firstLine="991"/>
        <w:spacing w:after="0" w:line="261" w:lineRule="auto"/>
        <w:rPr>
          <w:sz w:val="20"/>
          <w:szCs w:val="20"/>
          <w:color w:val="auto"/>
        </w:rPr>
      </w:pPr>
      <w:r>
        <w:rPr>
          <w:rFonts w:ascii="Times New Roman" w:cs="Times New Roman" w:eastAsia="Times New Roman" w:hAnsi="Times New Roman"/>
          <w:sz w:val="18"/>
          <w:szCs w:val="18"/>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80" w:lineRule="exact"/>
        <w:rPr>
          <w:sz w:val="20"/>
          <w:szCs w:val="20"/>
          <w:color w:val="auto"/>
        </w:rPr>
      </w:pPr>
    </w:p>
    <w:p>
      <w:pPr>
        <w:ind w:right="20" w:firstLine="987"/>
        <w:spacing w:after="0" w:line="254" w:lineRule="auto"/>
        <w:tabs>
          <w:tab w:leader="none" w:pos="1246"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1000"/>
          </w:cols>
          <w:pgMar w:left="440" w:top="270" w:right="459" w:bottom="1440" w:gutter="0" w:footer="0" w:header="0"/>
        </w:sectPr>
      </w:pPr>
    </w:p>
    <w:bookmarkStart w:id="104" w:name="page105"/>
    <w:bookmarkEnd w:id="104"/>
    <w:p>
      <w:pPr>
        <w:ind w:right="4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acknowledgment);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83" w:lineRule="exact"/>
        <w:rPr>
          <w:sz w:val="20"/>
          <w:szCs w:val="20"/>
          <w:color w:val="auto"/>
        </w:rPr>
      </w:pPr>
    </w:p>
    <w:p>
      <w:pPr>
        <w:ind w:firstLine="987"/>
        <w:spacing w:after="0" w:line="282" w:lineRule="auto"/>
        <w:tabs>
          <w:tab w:leader="none" w:pos="1236"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party hereto may change its address, fax number or email address for notices and other communications hereunder by notice to the other parties hereto.</w:t>
      </w:r>
    </w:p>
    <w:p>
      <w:pPr>
        <w:spacing w:after="0" w:line="161" w:lineRule="exact"/>
        <w:rPr>
          <w:rFonts w:ascii="Times New Roman" w:cs="Times New Roman" w:eastAsia="Times New Roman" w:hAnsi="Times New Roman"/>
          <w:sz w:val="18"/>
          <w:szCs w:val="18"/>
          <w:color w:val="auto"/>
        </w:rPr>
      </w:pPr>
    </w:p>
    <w:p>
      <w:pPr>
        <w:ind w:firstLine="987"/>
        <w:spacing w:after="0" w:line="254" w:lineRule="auto"/>
        <w:tabs>
          <w:tab w:leader="none" w:pos="1246"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may, but shall not be obligated to, make any Communication by posting such Communication on Debt Domain, IntraLinks, SyndTrak or a similar electronic transmission system (the “Platform”). The Platform is provided “as is” and “as available”. None of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188"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9.02. </w:t>
      </w:r>
      <w:r>
        <w:rPr>
          <w:rFonts w:ascii="Times New Roman" w:cs="Times New Roman" w:eastAsia="Times New Roman" w:hAnsi="Times New Roman"/>
          <w:sz w:val="18"/>
          <w:szCs w:val="18"/>
          <w:u w:val="single" w:color="auto"/>
          <w:color w:val="auto"/>
        </w:rPr>
        <w:t>Waivers; Amendments</w:t>
      </w:r>
      <w:r>
        <w:rPr>
          <w:rFonts w:ascii="Times New Roman" w:cs="Times New Roman" w:eastAsia="Times New Roman" w:hAnsi="Times New Roman"/>
          <w:sz w:val="18"/>
          <w:szCs w:val="18"/>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0980"/>
          </w:cols>
          <w:pgMar w:left="440" w:top="270" w:right="479" w:bottom="1440" w:gutter="0" w:footer="0" w:header="0"/>
        </w:sectPr>
      </w:pPr>
    </w:p>
    <w:bookmarkStart w:id="105" w:name="page106"/>
    <w:bookmarkEnd w:id="105"/>
    <w:p>
      <w:pPr>
        <w:ind w:left="4" w:firstLine="987"/>
        <w:spacing w:after="0" w:line="251" w:lineRule="auto"/>
        <w:tabs>
          <w:tab w:leader="none" w:pos="1250" w:val="left"/>
        </w:tabs>
        <w:numPr>
          <w:ilvl w:val="2"/>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Subject to Section 2.11(b), (c) and (d) and Section 9.02(c) below,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provided that no such agreement shall (i) increase the Commitment of any Lender without the written consent of such Lender, (ii) reduce the principal amount of any Loan or reduce the rate of interest thereon or reduce any fees payable hereunder, without the written consent of each Lender directly and adversely affected thereby (other than any waiver of or amendment to any default interest applicable pursuant to Section 2.10(c)), (iii) postpone the scheduled maturity date of any Loan, or any date for the payment of any principal (other than voluntary prepayments), interest or fees payable hereunder, or reduce the amount of, waive or excuse any such payment, or postpone the scheduled date of expiration of any Commitment, without the written consent of each Lender directly and adversely affected thereby (subject to an extension of the Maturity Date, and/or decrease of any scheduled amortization, in respect of the Loans of any Lender, in each case, in accordance with Section 2.18), (iv) change Section 2.08, 2.15(b) or 2.15(c) in a manner that would alter the pro rata sharing of payments required thereby without the written consent of each Lender, (v) change any of the provisions of this paragraph or the percentage set forth in the definition of the term “Required Lenders” or any other provision of any Loan Document specifying the number or percentage of Lenders (or Lenders of any Class) required to waive, amend or modify any rights thereunder or make any determination or grant any consent thereunder, without the written consent of each Lender (or each Lender of such Class, as the case may be), provided that, with the consent of the Required Lenders, the provisions of this paragraph and the definition of the term “Required Lenders” may be amended to include references to any new class of loans created under this Agreement (or to lenders extending such loans), (vi) release any Guarantor from its obligations under the Loan Documents without the written consent of each Lender (except as otherwise provided for in Section 5.01(c) or otherwise in the Loan Documents) or</w:t>
      </w:r>
    </w:p>
    <w:p>
      <w:pPr>
        <w:spacing w:after="0" w:line="9" w:lineRule="exact"/>
        <w:rPr>
          <w:rFonts w:ascii="Times New Roman" w:cs="Times New Roman" w:eastAsia="Times New Roman" w:hAnsi="Times New Roman"/>
          <w:sz w:val="18"/>
          <w:szCs w:val="18"/>
          <w:color w:val="auto"/>
        </w:rPr>
      </w:pPr>
    </w:p>
    <w:p>
      <w:pPr>
        <w:ind w:left="4" w:right="20" w:hanging="4"/>
        <w:spacing w:after="0" w:line="253" w:lineRule="auto"/>
        <w:tabs>
          <w:tab w:leader="none" w:pos="359"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 any provisions of this Agreement in a manner that by its terms adversely affects the rights in respect of payments due to Lenders holding Loans of any Class differently than those holding Loans of any other Class, without the written consent of Lenders representing a Majority in Interest of each differently affected Class; provided further that no such agreement shall amend, modify, extend or otherwise affect the rights or obligations of the Administrative Agent without the written consent of the Administrative Agent.</w:t>
      </w:r>
    </w:p>
    <w:p>
      <w:pPr>
        <w:spacing w:after="0" w:line="188" w:lineRule="exact"/>
        <w:rPr>
          <w:rFonts w:ascii="Times New Roman" w:cs="Times New Roman" w:eastAsia="Times New Roman" w:hAnsi="Times New Roman"/>
          <w:sz w:val="18"/>
          <w:szCs w:val="18"/>
          <w:color w:val="auto"/>
        </w:rPr>
      </w:pPr>
    </w:p>
    <w:p>
      <w:pPr>
        <w:ind w:left="1244" w:hanging="253"/>
        <w:spacing w:after="0"/>
        <w:tabs>
          <w:tab w:leader="none" w:pos="1244" w:val="left"/>
        </w:tabs>
        <w:numPr>
          <w:ilvl w:val="2"/>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in paragraph (b) of this Section:</w:t>
      </w:r>
    </w:p>
    <w:p>
      <w:pPr>
        <w:spacing w:after="0" w:line="117" w:lineRule="exact"/>
        <w:rPr>
          <w:rFonts w:ascii="Times New Roman" w:cs="Times New Roman" w:eastAsia="Times New Roman" w:hAnsi="Times New Roman"/>
          <w:sz w:val="18"/>
          <w:szCs w:val="18"/>
          <w:color w:val="auto"/>
        </w:rPr>
      </w:pPr>
    </w:p>
    <w:p>
      <w:pPr>
        <w:ind w:left="444" w:right="40" w:firstLine="525"/>
        <w:spacing w:after="0" w:line="281" w:lineRule="auto"/>
        <w:tabs>
          <w:tab w:leader="none" w:pos="1187" w:val="left"/>
        </w:tabs>
        <w:numPr>
          <w:ilvl w:val="1"/>
          <w:numId w:val="10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97"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94</w:t>
      </w:r>
    </w:p>
    <w:p>
      <w:pPr>
        <w:sectPr>
          <w:pgSz w:w="11900" w:h="16838" w:orient="portrait"/>
          <w:cols w:equalWidth="0" w:num="1">
            <w:col w:w="10984"/>
          </w:cols>
          <w:pgMar w:left="436" w:top="270" w:right="479" w:bottom="1440" w:gutter="0" w:footer="0" w:header="0"/>
        </w:sectPr>
      </w:pPr>
    </w:p>
    <w:bookmarkStart w:id="106" w:name="page107"/>
    <w:bookmarkEnd w:id="106"/>
    <w:p>
      <w:pPr>
        <w:ind w:left="420" w:right="20" w:firstLine="525"/>
        <w:spacing w:after="0" w:line="261" w:lineRule="auto"/>
        <w:tabs>
          <w:tab w:leader="none" w:pos="1213"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71" w:lineRule="exact"/>
        <w:rPr>
          <w:rFonts w:ascii="Times New Roman" w:cs="Times New Roman" w:eastAsia="Times New Roman" w:hAnsi="Times New Roman"/>
          <w:sz w:val="18"/>
          <w:szCs w:val="18"/>
          <w:color w:val="auto"/>
        </w:rPr>
      </w:pPr>
    </w:p>
    <w:p>
      <w:pPr>
        <w:ind w:left="420" w:right="20" w:firstLine="525"/>
        <w:spacing w:after="0" w:line="258" w:lineRule="auto"/>
        <w:tabs>
          <w:tab w:leader="none" w:pos="1263"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w:t>
      </w:r>
    </w:p>
    <w:p>
      <w:pPr>
        <w:spacing w:after="0" w:line="75" w:lineRule="exact"/>
        <w:rPr>
          <w:rFonts w:ascii="Times New Roman" w:cs="Times New Roman" w:eastAsia="Times New Roman" w:hAnsi="Times New Roman"/>
          <w:sz w:val="18"/>
          <w:szCs w:val="18"/>
          <w:color w:val="auto"/>
        </w:rPr>
      </w:pPr>
    </w:p>
    <w:p>
      <w:pPr>
        <w:ind w:left="420" w:firstLine="525"/>
        <w:spacing w:after="0" w:line="258" w:lineRule="auto"/>
        <w:tabs>
          <w:tab w:leader="none" w:pos="1253"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amendment, waiver or other modification of this Agreement or any other Loan Document that by its terms affects the rights or duties hereunder or thereunder of the Lenders of one or more Classes (but not the Lenders of any other Class) may be effected by an agreement or agreements in writing entered into by the Company, the Administrative Agent and the requisite number or percentage in interest of each affected Class of Lenders that would be required to consent thereto under this Section if such Class of Lenders were the only Class of Lenders hereunder at the time;</w:t>
      </w:r>
    </w:p>
    <w:p>
      <w:pPr>
        <w:spacing w:after="0" w:line="75" w:lineRule="exact"/>
        <w:rPr>
          <w:rFonts w:ascii="Times New Roman" w:cs="Times New Roman" w:eastAsia="Times New Roman" w:hAnsi="Times New Roman"/>
          <w:sz w:val="18"/>
          <w:szCs w:val="18"/>
          <w:color w:val="auto"/>
        </w:rPr>
      </w:pPr>
    </w:p>
    <w:p>
      <w:pPr>
        <w:ind w:left="1200" w:hanging="255"/>
        <w:spacing w:after="0"/>
        <w:tabs>
          <w:tab w:leader="none" w:pos="120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Agreement and the other Loan Documents may be amended in the manner provided in Sections 2.11, 2.18 and 9.19;</w:t>
      </w:r>
    </w:p>
    <w:p>
      <w:pPr>
        <w:spacing w:after="0" w:line="117" w:lineRule="exact"/>
        <w:rPr>
          <w:rFonts w:ascii="Times New Roman" w:cs="Times New Roman" w:eastAsia="Times New Roman" w:hAnsi="Times New Roman"/>
          <w:sz w:val="18"/>
          <w:szCs w:val="18"/>
          <w:color w:val="auto"/>
        </w:rPr>
      </w:pPr>
    </w:p>
    <w:p>
      <w:pPr>
        <w:ind w:left="420" w:right="160" w:firstLine="525"/>
        <w:spacing w:after="0" w:line="266" w:lineRule="auto"/>
        <w:tabs>
          <w:tab w:leader="none" w:pos="1253"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amendment to this Agreement contemplated by the last sentence of the definition of the term “Applicable Rate” or “Term Ticking Fee Rate” may be made pursuant to an agreement or agreements in writing entered into by the Company, the Administrative Agent and the Required Lenders; and</w:t>
      </w:r>
    </w:p>
    <w:p>
      <w:pPr>
        <w:spacing w:after="0" w:line="67" w:lineRule="exact"/>
        <w:rPr>
          <w:rFonts w:ascii="Times New Roman" w:cs="Times New Roman" w:eastAsia="Times New Roman" w:hAnsi="Times New Roman"/>
          <w:sz w:val="18"/>
          <w:szCs w:val="18"/>
          <w:color w:val="auto"/>
        </w:rPr>
      </w:pPr>
    </w:p>
    <w:p>
      <w:pPr>
        <w:ind w:left="1300" w:hanging="355"/>
        <w:spacing w:after="0"/>
        <w:tabs>
          <w:tab w:leader="none" w:pos="130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Fee Letter may be amended, or rights or privileges thereunder waived, in a writing executed only by the parties thereto.</w:t>
      </w:r>
    </w:p>
    <w:p>
      <w:pPr>
        <w:spacing w:after="0" w:line="225" w:lineRule="exact"/>
        <w:rPr>
          <w:sz w:val="20"/>
          <w:szCs w:val="20"/>
          <w:color w:val="auto"/>
        </w:rPr>
      </w:pPr>
    </w:p>
    <w:p>
      <w:pPr>
        <w:jc w:val="both"/>
        <w:ind w:left="-20" w:right="140" w:firstLine="987"/>
        <w:spacing w:after="0" w:line="266" w:lineRule="auto"/>
        <w:tabs>
          <w:tab w:leader="none" w:pos="1226"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0960"/>
          </w:cols>
          <w:pgMar w:left="460" w:top="270" w:right="479" w:bottom="1440" w:gutter="0" w:footer="0" w:header="0"/>
        </w:sectPr>
      </w:pPr>
    </w:p>
    <w:bookmarkStart w:id="107" w:name="page108"/>
    <w:bookmarkEnd w:id="107"/>
    <w:p>
      <w:pPr>
        <w:ind w:left="4" w:right="80" w:firstLine="987"/>
        <w:spacing w:after="0" w:line="255" w:lineRule="auto"/>
        <w:tabs>
          <w:tab w:leader="none" w:pos="124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Notwithstanding the foregoing, this Agreement may be amended (or amended and restated) with the written consent of the Required Lenders, the Administrative Agent and the Company (i) to add one or more additional credit facilities to this Agreement, to permit the extensions of credit from time to time outstanding hereunder and the accrued interest and fees in respect thereof to share ratably in the benefits of this Agreement and the other Loan Documents with the Loans and the accrued interest and fees in respect thereof and to include appropriately the Lenders holding such credit facilities in any determination of the Required Lenders and (ii) to change, modify or alter Section 2.15 or any other provision hereof relating to pro rata sharing of payments among the Lenders to the extent necessary to effectuate any of the amendments (or amendments and restatements) enumerated in clause (e)(i) above.</w:t>
      </w:r>
    </w:p>
    <w:p>
      <w:pPr>
        <w:spacing w:after="0" w:line="189" w:lineRule="exact"/>
        <w:rPr>
          <w:sz w:val="20"/>
          <w:szCs w:val="20"/>
          <w:color w:val="auto"/>
        </w:rPr>
      </w:pPr>
    </w:p>
    <w:p>
      <w:pPr>
        <w:ind w:left="4" w:firstLine="991"/>
        <w:spacing w:after="0" w:line="268" w:lineRule="auto"/>
        <w:rPr>
          <w:sz w:val="20"/>
          <w:szCs w:val="20"/>
          <w:color w:val="auto"/>
        </w:rPr>
      </w:pPr>
      <w:r>
        <w:rPr>
          <w:rFonts w:ascii="Times New Roman" w:cs="Times New Roman" w:eastAsia="Times New Roman" w:hAnsi="Times New Roman"/>
          <w:sz w:val="17"/>
          <w:szCs w:val="17"/>
          <w:color w:val="auto"/>
        </w:rPr>
        <w:t xml:space="preserve">SECTION 9.03. </w:t>
      </w:r>
      <w:r>
        <w:rPr>
          <w:rFonts w:ascii="Times New Roman" w:cs="Times New Roman" w:eastAsia="Times New Roman" w:hAnsi="Times New Roman"/>
          <w:sz w:val="17"/>
          <w:szCs w:val="17"/>
          <w:u w:val="single" w:color="auto"/>
          <w:color w:val="auto"/>
        </w:rPr>
        <w:t>Expenses; Indemnity; Damage Waiver</w:t>
      </w:r>
      <w:r>
        <w:rPr>
          <w:rFonts w:ascii="Times New Roman" w:cs="Times New Roman" w:eastAsia="Times New Roman" w:hAnsi="Times New Roman"/>
          <w:sz w:val="17"/>
          <w:szCs w:val="17"/>
          <w:color w:val="auto"/>
        </w:rPr>
        <w:t>. (a) The Company shall pay (i) all reasonable and documented out-of-pocket expenses incurred by the Administrative Agent, the Arranger and their Affiliates, including the reasonable and documented fees, charges and disbursements of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 and their Affiliates taken as a whole, in connection with the structuring, arrangement and syndication of the credit facilities provided for herein, including the preparation, execution and delivery of the Commitment Letter and the Fee Letter, as well as the preparation, execution, delivery and administration of this Agreement, the other Loan Documents or any amendments, modifications or waivers of the provisions hereof or thereof (whether or not the transactions contemplated hereby or thereby shall be consummated), and</w:t>
      </w:r>
    </w:p>
    <w:p>
      <w:pPr>
        <w:ind w:left="4" w:hanging="4"/>
        <w:spacing w:after="0" w:line="251" w:lineRule="auto"/>
        <w:tabs>
          <w:tab w:leader="none" w:pos="269"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reasonable and documented out-of-pocket expenses incurred by the Administrative Agent, the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 and the Lenders, taken as a whole and, in the case of an actual or perceived conflict of interest, where the party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such affected Person).</w:t>
      </w:r>
    </w:p>
    <w:p>
      <w:pPr>
        <w:spacing w:after="0" w:line="1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004"/>
          </w:cols>
          <w:pgMar w:left="436" w:top="270" w:right="459" w:bottom="1440" w:gutter="0" w:footer="0" w:header="0"/>
        </w:sectPr>
      </w:pPr>
    </w:p>
    <w:bookmarkStart w:id="108" w:name="page109"/>
    <w:bookmarkEnd w:id="108"/>
    <w:p>
      <w:pPr>
        <w:ind w:left="4" w:firstLine="987"/>
        <w:spacing w:after="0" w:line="267" w:lineRule="auto"/>
        <w:tabs>
          <w:tab w:leader="none" w:pos="1250" w:val="left"/>
        </w:tabs>
        <w:numPr>
          <w:ilvl w:val="1"/>
          <w:numId w:val="11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indemnify the Administrative Agent (and any sub-agent thereof), the Arranger, the Syndication Agents, each Lender and each Related Party of any of the foregoing (each such Person being called an “</w:t>
      </w:r>
      <w:r>
        <w:rPr>
          <w:rFonts w:ascii="Times New Roman" w:cs="Times New Roman" w:eastAsia="Times New Roman" w:hAnsi="Times New Roman"/>
          <w:sz w:val="17"/>
          <w:szCs w:val="17"/>
          <w:u w:val="single" w:color="auto"/>
          <w:color w:val="auto"/>
        </w:rPr>
        <w:t>Indemnitee</w:t>
      </w:r>
      <w:r>
        <w:rPr>
          <w:rFonts w:ascii="Times New Roman" w:cs="Times New Roman" w:eastAsia="Times New Roman" w:hAnsi="Times New Roman"/>
          <w:sz w:val="17"/>
          <w:szCs w:val="17"/>
          <w:color w:val="auto"/>
        </w:rPr>
        <w:t xml:space="preserve">”) against, and hold each Indemnitee harmless from, any and all Liabilities and related expenses, including the fees, charges and disbursements of any counsel for any Indemnitee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 this Agreement, the other Loan Documents or any other agreement or instrument contemplated hereby or thereby, the performance by the parties to the Commitment Letter, the Fee Letter,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or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 this Agreement or any other Loan Document, any Affiliate of any of the foregoing or any third party (and regardless of whether any Indemnitee is a party thereto);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indemnity shall not, as to any Indemnitee, be available to the extent that such losses, claims, damages, penalties, liabilities or related expenses</w:t>
      </w:r>
    </w:p>
    <w:p>
      <w:pPr>
        <w:spacing w:after="0" w:line="206" w:lineRule="exact"/>
        <w:rPr>
          <w:rFonts w:ascii="Times New Roman" w:cs="Times New Roman" w:eastAsia="Times New Roman" w:hAnsi="Times New Roman"/>
          <w:sz w:val="17"/>
          <w:szCs w:val="17"/>
          <w:color w:val="auto"/>
        </w:rPr>
      </w:pPr>
    </w:p>
    <w:p>
      <w:pPr>
        <w:ind w:left="4" w:hanging="4"/>
        <w:spacing w:after="0" w:line="251" w:lineRule="auto"/>
        <w:tabs>
          <w:tab w:leader="none" w:pos="299"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the Arranger or Syndication Agents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Liabilities or expenses to the extent such Indemnitee is subsequently determined, by a court of competent jurisdiction by final and nonappealable judgment, to not be entitled to payment of such amounts in</w:t>
      </w:r>
    </w:p>
    <w:p>
      <w:pPr>
        <w:spacing w:after="0" w:line="12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97</w:t>
      </w:r>
    </w:p>
    <w:p>
      <w:pPr>
        <w:sectPr>
          <w:pgSz w:w="11900" w:h="16838" w:orient="portrait"/>
          <w:cols w:equalWidth="0" w:num="1">
            <w:col w:w="10984"/>
          </w:cols>
          <w:pgMar w:left="436" w:top="270" w:right="479" w:bottom="1440" w:gutter="0" w:footer="0" w:header="0"/>
        </w:sectPr>
      </w:pPr>
    </w:p>
    <w:bookmarkStart w:id="109" w:name="page110"/>
    <w:bookmarkEnd w:id="109"/>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accordance with the terms of this paragraph. This paragraph shall not apply with respect to Taxes other than any Taxes that represent losses, claims or damages arising from any non-Tax claim. Notwithstanding that Maui Topco does not constitute the “Company” prior to the consummation of the Permitted Reorganization, Maui Topco hereby agrees to pay or cause to paid, and to be jointly and severally liable with Marvell for, any fees payable by and other payment obligations of the Company under any Loan Document on or prior to the Permitted Reorganization, as if Maui Topco was named as the “Company” during such time.</w:t>
      </w:r>
    </w:p>
    <w:p>
      <w:pPr>
        <w:spacing w:after="0" w:line="183" w:lineRule="exact"/>
        <w:rPr>
          <w:sz w:val="20"/>
          <w:szCs w:val="20"/>
          <w:color w:val="auto"/>
        </w:rPr>
      </w:pPr>
    </w:p>
    <w:p>
      <w:pPr>
        <w:ind w:right="60" w:firstLine="987"/>
        <w:spacing w:after="0" w:line="254" w:lineRule="auto"/>
        <w:tabs>
          <w:tab w:leader="none" w:pos="1236"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unreimbursed expense or indemnified loss, claim, damage, liability or related expense, as the case may be, was incurred by or asserted against the Administrative Agent (or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Term Loans (or, prior to the funding of the Term Loans on the Term Funding Date, Commitments) at the time outstanding or in effect (or most recently outstanding or in effect, if none of the foregoing shall be outstanding or in effect at such time).</w:t>
      </w:r>
    </w:p>
    <w:p>
      <w:pPr>
        <w:spacing w:after="0" w:line="188" w:lineRule="exact"/>
        <w:rPr>
          <w:rFonts w:ascii="Times New Roman" w:cs="Times New Roman" w:eastAsia="Times New Roman" w:hAnsi="Times New Roman"/>
          <w:sz w:val="18"/>
          <w:szCs w:val="18"/>
          <w:color w:val="auto"/>
        </w:rPr>
      </w:pPr>
    </w:p>
    <w:p>
      <w:pPr>
        <w:ind w:right="20" w:firstLine="987"/>
        <w:spacing w:after="0" w:line="254" w:lineRule="auto"/>
        <w:tabs>
          <w:tab w:leader="none" w:pos="1246"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fullest extent permitted by applicable law, the Company shall not assert, or permit any of its Affiliates or Related Parties to assert, and the Company hereby waives, any claim against the Administrative Agent (and any sub-agent thereof), the Arranger, the Syndication Agents, each Lender and each Related Party of any of the foregoing (each such Person being called a “</w:t>
      </w:r>
      <w:r>
        <w:rPr>
          <w:rFonts w:ascii="Times New Roman" w:cs="Times New Roman" w:eastAsia="Times New Roman" w:hAnsi="Times New Roman"/>
          <w:sz w:val="18"/>
          <w:szCs w:val="18"/>
          <w:u w:val="single" w:color="auto"/>
          <w:color w:val="auto"/>
        </w:rPr>
        <w:t>Lender-Related Person</w:t>
      </w:r>
      <w:r>
        <w:rPr>
          <w:rFonts w:ascii="Times New Roman" w:cs="Times New Roman" w:eastAsia="Times New Roman" w:hAnsi="Times New Roman"/>
          <w:sz w:val="18"/>
          <w:szCs w:val="18"/>
          <w:color w:val="auto"/>
        </w:rPr>
        <w:t>”) (i) for any damages arising from the use by others of information or other materials obtained through telecommunications, electronic or other information transmission systems (including the Internet) other than for direct, actual damages resulting from the gross negligence or willful misconduct of such Lender-Related Person as determined by a final, non-appealable judgment of a court of competent jurisdiction,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91" w:lineRule="exact"/>
        <w:rPr>
          <w:rFonts w:ascii="Times New Roman" w:cs="Times New Roman" w:eastAsia="Times New Roman" w:hAnsi="Times New Roman"/>
          <w:sz w:val="18"/>
          <w:szCs w:val="18"/>
          <w:color w:val="auto"/>
        </w:rPr>
      </w:pPr>
    </w:p>
    <w:p>
      <w:pPr>
        <w:ind w:firstLine="987"/>
        <w:spacing w:after="0" w:line="261" w:lineRule="auto"/>
        <w:tabs>
          <w:tab w:leader="none" w:pos="1236"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fullest extent permitted by applicable law, the Administrative Agent, the Arranger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98</w:t>
      </w:r>
    </w:p>
    <w:p>
      <w:pPr>
        <w:sectPr>
          <w:pgSz w:w="11900" w:h="16838" w:orient="portrait"/>
          <w:cols w:equalWidth="0" w:num="1">
            <w:col w:w="11000"/>
          </w:cols>
          <w:pgMar w:left="440" w:top="270" w:right="459" w:bottom="1440" w:gutter="0" w:footer="0" w:header="0"/>
        </w:sectPr>
      </w:pPr>
    </w:p>
    <w:bookmarkStart w:id="110" w:name="page111"/>
    <w:bookmarkEnd w:id="110"/>
    <w:p>
      <w:pPr>
        <w:ind w:left="4" w:right="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contemplated hereby or thereby, the Transactions, any Loan or the use of the proceeds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nothing in this paragraph (e) shall limit the Company’s indemnity and reimbursement obligations set forth in this Section or separately agreed.</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(f) All amounts due under this Section shall be payable promptly after written demand therefor.</w:t>
      </w:r>
    </w:p>
    <w:p>
      <w:pPr>
        <w:spacing w:after="0" w:line="225" w:lineRule="exact"/>
        <w:rPr>
          <w:sz w:val="20"/>
          <w:szCs w:val="20"/>
          <w:color w:val="auto"/>
        </w:rPr>
      </w:pPr>
    </w:p>
    <w:p>
      <w:pPr>
        <w:ind w:left="4" w:right="4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9.04. </w:t>
      </w:r>
      <w:r>
        <w:rPr>
          <w:rFonts w:ascii="Times New Roman" w:cs="Times New Roman" w:eastAsia="Times New Roman" w:hAnsi="Times New Roman"/>
          <w:sz w:val="18"/>
          <w:szCs w:val="18"/>
          <w:u w:val="single" w:color="auto"/>
          <w:color w:val="auto"/>
        </w:rPr>
        <w:t>Successors and Assigns</w:t>
      </w:r>
      <w:r>
        <w:rPr>
          <w:rFonts w:ascii="Times New Roman" w:cs="Times New Roman" w:eastAsia="Times New Roman" w:hAnsi="Times New Roman"/>
          <w:sz w:val="18"/>
          <w:szCs w:val="18"/>
          <w:color w:val="auto"/>
        </w:rPr>
        <w:t>. (a) The provisions of this Agreement shall be binding upon and inure to the benefit of the parties hereto and their respective successors and assigns permitted hereby, except that (i) other than as expressly provided in Section 6.04(a)(ii)(B) and Section 9.19, the Company may not assign or otherwise transfer any of its rights or obligations hereunder without the prior written consent of the Administrative Agent and each Lender (and any attempted assignment or transfer by the Company without such consent shall be null and void) and</w:t>
      </w:r>
    </w:p>
    <w:p>
      <w:pPr>
        <w:spacing w:after="0" w:line="3" w:lineRule="exact"/>
        <w:rPr>
          <w:sz w:val="20"/>
          <w:szCs w:val="20"/>
          <w:color w:val="auto"/>
        </w:rPr>
      </w:pPr>
    </w:p>
    <w:p>
      <w:pPr>
        <w:ind w:left="4" w:right="60" w:hanging="4"/>
        <w:spacing w:after="0" w:line="273" w:lineRule="auto"/>
        <w:tabs>
          <w:tab w:leader="none" w:pos="269" w:val="left"/>
        </w:tabs>
        <w:numPr>
          <w:ilvl w:val="0"/>
          <w:numId w:val="11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 and, to the extent expressly contemplated hereby, the Related Parties of the foregoing) any legal or equitable right, remedy or claim under or by reason of this Agreement.</w:t>
      </w:r>
    </w:p>
    <w:p>
      <w:pPr>
        <w:spacing w:after="0" w:line="172" w:lineRule="exact"/>
        <w:rPr>
          <w:rFonts w:ascii="Times New Roman" w:cs="Times New Roman" w:eastAsia="Times New Roman" w:hAnsi="Times New Roman"/>
          <w:sz w:val="17"/>
          <w:szCs w:val="17"/>
          <w:color w:val="auto"/>
        </w:rPr>
      </w:pPr>
    </w:p>
    <w:p>
      <w:pPr>
        <w:ind w:left="4" w:right="120" w:firstLine="987"/>
        <w:spacing w:after="0" w:line="266" w:lineRule="auto"/>
        <w:tabs>
          <w:tab w:leader="none" w:pos="1250" w:val="left"/>
        </w:tabs>
        <w:numPr>
          <w:ilvl w:val="2"/>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67" w:lineRule="exact"/>
        <w:rPr>
          <w:rFonts w:ascii="Times New Roman" w:cs="Times New Roman" w:eastAsia="Times New Roman" w:hAnsi="Times New Roman"/>
          <w:sz w:val="18"/>
          <w:szCs w:val="18"/>
          <w:color w:val="auto"/>
        </w:rPr>
      </w:pPr>
    </w:p>
    <w:p>
      <w:pPr>
        <w:ind w:left="1684" w:hanging="292"/>
        <w:spacing w:after="0"/>
        <w:tabs>
          <w:tab w:leader="none" w:pos="1684" w:val="left"/>
        </w:tabs>
        <w:numPr>
          <w:ilvl w:val="3"/>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Company shall be required (x) for an assignment to a Specified Permitted Lender,</w:t>
      </w:r>
    </w:p>
    <w:p>
      <w:pPr>
        <w:spacing w:after="0" w:line="27" w:lineRule="exact"/>
        <w:rPr>
          <w:rFonts w:ascii="Times New Roman" w:cs="Times New Roman" w:eastAsia="Times New Roman" w:hAnsi="Times New Roman"/>
          <w:sz w:val="18"/>
          <w:szCs w:val="18"/>
          <w:color w:val="auto"/>
        </w:rPr>
      </w:pPr>
    </w:p>
    <w:p>
      <w:pPr>
        <w:ind w:left="984" w:firstLine="7"/>
        <w:spacing w:after="0" w:line="253" w:lineRule="auto"/>
        <w:tabs>
          <w:tab w:leader="none" w:pos="1239" w:val="left"/>
        </w:tabs>
        <w:numPr>
          <w:ilvl w:val="2"/>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after the Term Funding Date, for an assignment to a Lender, an Affiliate of a Lender or an Approved Fund or (z) after the Term Funding Date, if an Event of Default under clause (a), (b), (h) or (i) of Section 7.01 shall have occurred and be continuing;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80" w:lineRule="exact"/>
        <w:rPr>
          <w:rFonts w:ascii="Times New Roman" w:cs="Times New Roman" w:eastAsia="Times New Roman" w:hAnsi="Times New Roman"/>
          <w:sz w:val="18"/>
          <w:szCs w:val="18"/>
          <w:color w:val="auto"/>
        </w:rPr>
      </w:pPr>
    </w:p>
    <w:p>
      <w:pPr>
        <w:ind w:left="984" w:right="100" w:firstLine="408"/>
        <w:spacing w:after="0" w:line="282" w:lineRule="auto"/>
        <w:tabs>
          <w:tab w:leader="none" w:pos="1670" w:val="left"/>
        </w:tabs>
        <w:numPr>
          <w:ilvl w:val="3"/>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Administrative Agent shall be required for an assignment to a Lender, an Affiliate of a Lender or an Approved Fund.</w:t>
      </w:r>
    </w:p>
    <w:p>
      <w:pPr>
        <w:spacing w:after="0" w:line="53" w:lineRule="exact"/>
        <w:rPr>
          <w:rFonts w:ascii="Times New Roman" w:cs="Times New Roman" w:eastAsia="Times New Roman" w:hAnsi="Times New Roman"/>
          <w:sz w:val="18"/>
          <w:szCs w:val="18"/>
          <w:color w:val="auto"/>
        </w:rPr>
      </w:pPr>
    </w:p>
    <w:p>
      <w:pPr>
        <w:ind w:left="1224" w:hanging="255"/>
        <w:spacing w:after="0"/>
        <w:tabs>
          <w:tab w:leader="none" w:pos="1224"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Assignments shall be subject to the following additional conditions:</w:t>
      </w:r>
    </w:p>
    <w:p>
      <w:pPr>
        <w:spacing w:after="0" w:line="117" w:lineRule="exact"/>
        <w:rPr>
          <w:rFonts w:ascii="Times New Roman" w:cs="Times New Roman" w:eastAsia="Times New Roman" w:hAnsi="Times New Roman"/>
          <w:sz w:val="18"/>
          <w:szCs w:val="18"/>
          <w:color w:val="auto"/>
        </w:rPr>
      </w:pPr>
    </w:p>
    <w:p>
      <w:pPr>
        <w:ind w:left="984" w:right="360" w:firstLine="408"/>
        <w:spacing w:after="0" w:line="282" w:lineRule="auto"/>
        <w:tabs>
          <w:tab w:leader="none" w:pos="1680" w:val="left"/>
        </w:tabs>
        <w:numPr>
          <w:ilvl w:val="3"/>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in the case of an assignment to a Lender, an Affiliate of a Lender or an Approved Fund or an assignment of the entire remaining amount of the assigning Lender’s Commitment or Loans of any Class, the</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99</w:t>
      </w:r>
    </w:p>
    <w:p>
      <w:pPr>
        <w:sectPr>
          <w:pgSz w:w="11900" w:h="16838" w:orient="portrait"/>
          <w:cols w:equalWidth="0" w:num="1">
            <w:col w:w="11004"/>
          </w:cols>
          <w:pgMar w:left="436" w:top="270" w:right="459" w:bottom="1440" w:gutter="0" w:footer="0" w:header="0"/>
        </w:sectPr>
      </w:pPr>
    </w:p>
    <w:bookmarkStart w:id="111" w:name="page112"/>
    <w:bookmarkEnd w:id="111"/>
    <w:p>
      <w:pPr>
        <w:ind w:left="540" w:right="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amount of the Commitment or Loans of the assigning Lender subject to each such assignment (determined as of the date the Assignment and Assumption with respect to such assignment is delivered to the Administrative Agent) shall not be less than $1,000,000 unless each of the Company and the Administrative Agent otherwise consents;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(1) no such consent of the Company shall be required if an Event of Default under clause (a), (b), (h) or (i) of Section 7.01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79" w:lineRule="exact"/>
        <w:rPr>
          <w:sz w:val="20"/>
          <w:szCs w:val="20"/>
          <w:color w:val="auto"/>
        </w:rPr>
      </w:pPr>
    </w:p>
    <w:p>
      <w:pPr>
        <w:ind w:left="540" w:right="60" w:firstLine="408"/>
        <w:spacing w:after="0" w:line="266" w:lineRule="auto"/>
        <w:tabs>
          <w:tab w:leader="none" w:pos="1226" w:val="left"/>
        </w:tabs>
        <w:numPr>
          <w:ilvl w:val="1"/>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each partial assignment shall be made as an assignment of a proportionate part of all the assigning Lender’s rights and obligations under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this clause (B) shall not be construed to prohibit the assignment of a proportionate part of all the assigning Lender’s rights and obligations in respect of one Class of Commitments or Loans;</w:t>
      </w:r>
    </w:p>
    <w:p>
      <w:pPr>
        <w:spacing w:after="0" w:line="67" w:lineRule="exact"/>
        <w:rPr>
          <w:rFonts w:ascii="Times New Roman" w:cs="Times New Roman" w:eastAsia="Times New Roman" w:hAnsi="Times New Roman"/>
          <w:sz w:val="18"/>
          <w:szCs w:val="18"/>
          <w:color w:val="auto"/>
        </w:rPr>
      </w:pPr>
    </w:p>
    <w:p>
      <w:pPr>
        <w:jc w:val="both"/>
        <w:ind w:left="540" w:right="420" w:firstLine="408"/>
        <w:spacing w:after="0" w:line="261" w:lineRule="auto"/>
        <w:tabs>
          <w:tab w:leader="none" w:pos="1226" w:val="left"/>
        </w:tabs>
        <w:numPr>
          <w:ilvl w:val="1"/>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71" w:lineRule="exact"/>
        <w:rPr>
          <w:rFonts w:ascii="Times New Roman" w:cs="Times New Roman" w:eastAsia="Times New Roman" w:hAnsi="Times New Roman"/>
          <w:sz w:val="18"/>
          <w:szCs w:val="18"/>
          <w:color w:val="auto"/>
        </w:rPr>
      </w:pPr>
    </w:p>
    <w:p>
      <w:pPr>
        <w:ind w:left="540" w:firstLine="408"/>
        <w:spacing w:after="0" w:line="261" w:lineRule="auto"/>
        <w:tabs>
          <w:tab w:leader="none" w:pos="1236" w:val="left"/>
        </w:tabs>
        <w:numPr>
          <w:ilvl w:val="1"/>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assignee, if it shall not already be a Lender of the applicable Class, shall deliver to the Administrative Agent an 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71" w:lineRule="exact"/>
        <w:rPr>
          <w:rFonts w:ascii="Times New Roman" w:cs="Times New Roman" w:eastAsia="Times New Roman" w:hAnsi="Times New Roman"/>
          <w:sz w:val="18"/>
          <w:szCs w:val="18"/>
          <w:color w:val="auto"/>
        </w:rPr>
      </w:pPr>
    </w:p>
    <w:p>
      <w:pPr>
        <w:ind w:firstLine="525"/>
        <w:spacing w:after="0" w:line="256" w:lineRule="auto"/>
        <w:tabs>
          <w:tab w:leader="none" w:pos="843"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w:t>
      </w:r>
    </w:p>
    <w:p>
      <w:pPr>
        <w:spacing w:after="0" w:line="120"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100</w:t>
      </w:r>
    </w:p>
    <w:p>
      <w:pPr>
        <w:sectPr>
          <w:pgSz w:w="11900" w:h="16838" w:orient="portrait"/>
          <w:cols w:equalWidth="0" w:num="1">
            <w:col w:w="10540"/>
          </w:cols>
          <w:pgMar w:left="880" w:top="270" w:right="479" w:bottom="1440" w:gutter="0" w:footer="0" w:header="0"/>
        </w:sectPr>
      </w:pPr>
    </w:p>
    <w:bookmarkStart w:id="112" w:name="page113"/>
    <w:bookmarkEnd w:id="112"/>
    <w:p>
      <w:pPr>
        <w:jc w:val="both"/>
        <w:ind w:right="6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this Agreement, such Lender shall cease to be a party hereto but shall continue to be entitled to the benefits of Sections 2.12, 2.13, 2.14, 9.03 and 9.17);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75" w:lineRule="exact"/>
        <w:rPr>
          <w:sz w:val="20"/>
          <w:szCs w:val="20"/>
          <w:color w:val="auto"/>
        </w:rPr>
      </w:pPr>
    </w:p>
    <w:p>
      <w:pPr>
        <w:ind w:firstLine="525"/>
        <w:spacing w:after="0" w:line="254" w:lineRule="auto"/>
        <w:tabs>
          <w:tab w:leader="none" w:pos="833"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acting solely for this purpose as a non-fiduciary agent of the Company, shall maintain at one of its offices a copy of each Assignment and Assumption with respect to the Term Facility delivered to it and records of the names and addresses of the Lenders of the applicable Class, and the Commitments of, and principal amount (and stated interest) of the Loans owing to, each Lender of the applicable Class pursuant to the terms hereof from time to time (the “</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the Administrative Agent and, as to entries pertaining to it, any Lender, at any reasonable time and from time to time upon reasonable prior notice.</w:t>
      </w:r>
    </w:p>
    <w:p>
      <w:pPr>
        <w:spacing w:after="0" w:line="83" w:lineRule="exact"/>
        <w:rPr>
          <w:rFonts w:ascii="Times New Roman" w:cs="Times New Roman" w:eastAsia="Times New Roman" w:hAnsi="Times New Roman"/>
          <w:sz w:val="18"/>
          <w:szCs w:val="18"/>
          <w:color w:val="auto"/>
        </w:rPr>
      </w:pPr>
    </w:p>
    <w:p>
      <w:pPr>
        <w:ind w:right="20" w:firstLine="525"/>
        <w:spacing w:after="0" w:line="253" w:lineRule="auto"/>
        <w:tabs>
          <w:tab w:leader="none" w:pos="783"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of the applicable Class hereunder) and the processing and recordation fee referred to in this Section, the Administrative Agent shall accept such Assignment and Assumption and record the information contained therein in the Register;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w:t>
      </w:r>
    </w:p>
    <w:p>
      <w:pPr>
        <w:spacing w:after="0" w:line="120"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101</w:t>
      </w:r>
    </w:p>
    <w:p>
      <w:pPr>
        <w:sectPr>
          <w:pgSz w:w="11900" w:h="16838" w:orient="portrait"/>
          <w:cols w:equalWidth="0" w:num="1">
            <w:col w:w="10560"/>
          </w:cols>
          <w:pgMar w:left="880" w:top="270" w:right="459" w:bottom="1440" w:gutter="0" w:footer="0" w:header="0"/>
        </w:sectPr>
      </w:pPr>
    </w:p>
    <w:bookmarkStart w:id="113" w:name="page114"/>
    <w:bookmarkEnd w:id="113"/>
    <w:p>
      <w:pPr>
        <w:ind w:left="440" w:right="16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183" w:lineRule="exact"/>
        <w:rPr>
          <w:sz w:val="20"/>
          <w:szCs w:val="20"/>
          <w:color w:val="auto"/>
        </w:rPr>
      </w:pPr>
    </w:p>
    <w:p>
      <w:pPr>
        <w:ind w:firstLine="987"/>
        <w:spacing w:after="0" w:line="252" w:lineRule="auto"/>
        <w:tabs>
          <w:tab w:leader="none" w:pos="1236"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Any Lender may, without the consent of the Company or the Administrative Agent, sell participations to one or more Eligible Assignees (“</w:t>
      </w:r>
      <w:r>
        <w:rPr>
          <w:rFonts w:ascii="Times New Roman" w:cs="Times New Roman" w:eastAsia="Times New Roman" w:hAnsi="Times New Roman"/>
          <w:sz w:val="18"/>
          <w:szCs w:val="18"/>
          <w:u w:val="single" w:color="auto"/>
          <w:color w:val="auto"/>
        </w:rPr>
        <w:t>Participants</w:t>
      </w:r>
      <w:r>
        <w:rPr>
          <w:rFonts w:ascii="Times New Roman" w:cs="Times New Roman" w:eastAsia="Times New Roman" w:hAnsi="Times New Roman"/>
          <w:sz w:val="18"/>
          <w:szCs w:val="18"/>
          <w:color w:val="auto"/>
        </w:rPr>
        <w:t xml:space="preserve">”) in all or a portion of such Lender’s rights and/or obligations under this Agreement (including all or a portion of its Commitments and Loans of any Class);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Participant (x) agrees to be subject to the provisions of Sections 2.15 and 2.16 as if it were an assignee under paragraph (b) of this Section and (y) 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Participant agrees to be subject to Section 2.15(c) as though it were a Lender.</w:t>
      </w:r>
    </w:p>
    <w:p>
      <w:pPr>
        <w:spacing w:after="0" w:line="82" w:lineRule="exact"/>
        <w:rPr>
          <w:rFonts w:ascii="Times New Roman" w:cs="Times New Roman" w:eastAsia="Times New Roman" w:hAnsi="Times New Roman"/>
          <w:sz w:val="18"/>
          <w:szCs w:val="18"/>
          <w:color w:val="auto"/>
        </w:rPr>
      </w:pPr>
    </w:p>
    <w:p>
      <w:pPr>
        <w:ind w:left="440" w:right="80" w:firstLine="525"/>
        <w:spacing w:after="0" w:line="266" w:lineRule="auto"/>
        <w:tabs>
          <w:tab w:leader="none" w:pos="1233"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Lender</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102</w:t>
      </w:r>
    </w:p>
    <w:p>
      <w:pPr>
        <w:sectPr>
          <w:pgSz w:w="11900" w:h="16838" w:orient="portrait"/>
          <w:cols w:equalWidth="0" w:num="1">
            <w:col w:w="11000"/>
          </w:cols>
          <w:pgMar w:left="440" w:top="270" w:right="459" w:bottom="1440" w:gutter="0" w:footer="0" w:header="0"/>
        </w:sectPr>
      </w:pPr>
    </w:p>
    <w:bookmarkStart w:id="114" w:name="page115"/>
    <w:bookmarkEnd w:id="114"/>
    <w:p>
      <w:pPr>
        <w:ind w:left="440" w:right="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 except to the extent that such disclosure is necessary to establish that any such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the Administrative Agent (in its capacity as the Administrative Agent) shall not have any responsibility for maintaining a Participant Register.</w:t>
      </w:r>
    </w:p>
    <w:p>
      <w:pPr>
        <w:spacing w:after="0" w:line="189" w:lineRule="exact"/>
        <w:rPr>
          <w:sz w:val="20"/>
          <w:szCs w:val="20"/>
          <w:color w:val="auto"/>
        </w:rPr>
      </w:pPr>
    </w:p>
    <w:p>
      <w:pPr>
        <w:ind w:right="20" w:firstLine="987"/>
        <w:spacing w:after="0" w:line="261" w:lineRule="auto"/>
        <w:tabs>
          <w:tab w:leader="none" w:pos="1246"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pledge or grant of a security interest shall release a Lender from any of its obligations hereunder or substitute any such pledgee or assignee for such Lender as a party hereto.</w:t>
      </w:r>
    </w:p>
    <w:p>
      <w:pPr>
        <w:spacing w:after="0" w:line="180" w:lineRule="exact"/>
        <w:rPr>
          <w:sz w:val="20"/>
          <w:szCs w:val="20"/>
          <w:color w:val="auto"/>
        </w:rPr>
      </w:pPr>
    </w:p>
    <w:p>
      <w:pPr>
        <w:ind w:firstLine="991"/>
        <w:spacing w:after="0" w:line="267" w:lineRule="auto"/>
        <w:rPr>
          <w:sz w:val="20"/>
          <w:szCs w:val="20"/>
          <w:color w:val="auto"/>
        </w:rPr>
      </w:pPr>
      <w:r>
        <w:rPr>
          <w:rFonts w:ascii="Times New Roman" w:cs="Times New Roman" w:eastAsia="Times New Roman" w:hAnsi="Times New Roman"/>
          <w:sz w:val="17"/>
          <w:szCs w:val="17"/>
          <w:color w:val="auto"/>
        </w:rPr>
        <w:t xml:space="preserve">SECTION 9.05. </w:t>
      </w:r>
      <w:r>
        <w:rPr>
          <w:rFonts w:ascii="Times New Roman" w:cs="Times New Roman" w:eastAsia="Times New Roman" w:hAnsi="Times New Roman"/>
          <w:sz w:val="17"/>
          <w:szCs w:val="17"/>
          <w:u w:val="single" w:color="auto"/>
          <w:color w:val="auto"/>
        </w:rPr>
        <w:t>Survival</w:t>
      </w:r>
      <w:r>
        <w:rPr>
          <w:rFonts w:ascii="Times New Roman" w:cs="Times New Roman" w:eastAsia="Times New Roman" w:hAnsi="Times New Roman"/>
          <w:sz w:val="17"/>
          <w:szCs w:val="17"/>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Administrative Agent, the Arranger, the Syndication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w:t>
      </w:r>
    </w:p>
    <w:p>
      <w:pPr>
        <w:spacing w:after="0" w:line="5" w:lineRule="exact"/>
        <w:rPr>
          <w:sz w:val="20"/>
          <w:szCs w:val="20"/>
          <w:color w:val="auto"/>
        </w:rPr>
      </w:pPr>
    </w:p>
    <w:p>
      <w:pPr>
        <w:jc w:val="both"/>
        <w:ind w:right="40"/>
        <w:spacing w:after="0" w:line="290" w:lineRule="auto"/>
        <w:rPr>
          <w:sz w:val="20"/>
          <w:szCs w:val="20"/>
          <w:color w:val="auto"/>
        </w:rPr>
      </w:pPr>
      <w:r>
        <w:rPr>
          <w:rFonts w:ascii="Times New Roman" w:cs="Times New Roman" w:eastAsia="Times New Roman" w:hAnsi="Times New Roman"/>
          <w:sz w:val="17"/>
          <w:szCs w:val="17"/>
          <w:color w:val="auto"/>
        </w:rPr>
        <w:t>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157" w:lineRule="exact"/>
        <w:rPr>
          <w:sz w:val="20"/>
          <w:szCs w:val="20"/>
          <w:color w:val="auto"/>
        </w:rPr>
      </w:pPr>
    </w:p>
    <w:p>
      <w:pPr>
        <w:ind w:right="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9.06. </w:t>
      </w:r>
      <w:r>
        <w:rPr>
          <w:rFonts w:ascii="Times New Roman" w:cs="Times New Roman" w:eastAsia="Times New Roman" w:hAnsi="Times New Roman"/>
          <w:sz w:val="18"/>
          <w:szCs w:val="18"/>
          <w:u w:val="single" w:color="auto"/>
          <w:color w:val="auto"/>
        </w:rPr>
        <w:t>Counterparts; Integration; Effectiveness; Electronic Execution</w:t>
      </w:r>
      <w:r>
        <w:rPr>
          <w:rFonts w:ascii="Times New Roman" w:cs="Times New Roman" w:eastAsia="Times New Roman" w:hAnsi="Times New Roman"/>
          <w:sz w:val="18"/>
          <w:szCs w:val="18"/>
          <w:color w:val="auto"/>
        </w:rPr>
        <w:t>. (a) This Agreement may be executed in counterparts (and by different parties hereto on different counterparts), each of which shall constitute an original, but all of which when taken together shall constitute a single contract. This Agreement and the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103</w:t>
      </w:r>
    </w:p>
    <w:p>
      <w:pPr>
        <w:sectPr>
          <w:pgSz w:w="11900" w:h="16838" w:orient="portrait"/>
          <w:cols w:equalWidth="0" w:num="1">
            <w:col w:w="11000"/>
          </w:cols>
          <w:pgMar w:left="440" w:top="270" w:right="459" w:bottom="1440" w:gutter="0" w:footer="0" w:header="0"/>
        </w:sectPr>
      </w:pPr>
    </w:p>
    <w:bookmarkStart w:id="115" w:name="page116"/>
    <w:bookmarkEnd w:id="115"/>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Term Facility under the Commitment Letter and any commitment advices with respect to the Term Facility submitted by any Lender (but do not supersede any other provisions of the Commitment Letter or the Fee Letter that do not by the terms of such documents terminate upon the effectiveness of this Agreement, all of which provisions shall remain in full force and effect). Except as provided in Section 4.01,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w:t>
      </w:r>
    </w:p>
    <w:p>
      <w:pPr>
        <w:spacing w:after="0" w:line="192" w:lineRule="exact"/>
        <w:rPr>
          <w:sz w:val="20"/>
          <w:szCs w:val="20"/>
          <w:color w:val="auto"/>
        </w:rPr>
      </w:pPr>
    </w:p>
    <w:p>
      <w:pPr>
        <w:ind w:firstLine="987"/>
        <w:spacing w:after="0" w:line="252" w:lineRule="auto"/>
        <w:tabs>
          <w:tab w:leader="none" w:pos="1246" w:val="left"/>
        </w:tabs>
        <w:numPr>
          <w:ilvl w:val="0"/>
          <w:numId w:val="1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of an executed counterpart of a signature page of (x) this Agreement, (y) any other Loan Document and/or (z) any document, amendment, approval, consent, information, notice (including, for the avoidance of doubt, any notice delivered pursuant to Section 9.01), certificate, request, statement, disclosure or authorization related to this Agreement, any other Loan Document and/or the transactions contemplated hereby and/or thereby (each an “</w:t>
      </w:r>
      <w:r>
        <w:rPr>
          <w:rFonts w:ascii="Times New Roman" w:cs="Times New Roman" w:eastAsia="Times New Roman" w:hAnsi="Times New Roman"/>
          <w:sz w:val="18"/>
          <w:szCs w:val="18"/>
          <w:u w:val="single" w:color="auto"/>
          <w:color w:val="auto"/>
        </w:rPr>
        <w:t>Ancillary Document</w:t>
      </w:r>
      <w:r>
        <w:rPr>
          <w:rFonts w:ascii="Times New Roman" w:cs="Times New Roman" w:eastAsia="Times New Roman" w:hAnsi="Times New Roman"/>
          <w:sz w:val="18"/>
          <w:szCs w:val="18"/>
          <w:color w:val="auto"/>
        </w:rPr>
        <w:t xml:space="preserve">”) that is an Electronic Signature transmitted by telecopy, emailed pdf. or any other electronic means that reproduces an image of an actual executed signature page shall be effective as delivery of a manually executed counterpart of this Agreement, such other Loan Document or such Ancillary Document, as applicable. The words “execution,” “signed,” “signature,” “delivery,” and words of like import in or relating to this Agreement, any other Loan Document and/or any Ancillary Document shall be deemed to include Electronic Signatures, deliveries or the keeping of records in any electronic form (including deliveries by telecopy, emailed pdf. or any other electronic means that reproduces an image of an actual executed signature page), each of which shall be of the same legal effect, validity or enforceability as a manually executed signature, physical delivery thereof or the use of a paper-based recordkeeping system, as the case may be;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nothing herein shall require the Administrative Agent to accept Electronic Signatures in any form or format without its prior written consent and pursuant to procedures approved by it; provided, further, without limiting the foregoing, (i) to the extent the Administrative Agent has agreed to accept any Electronic Signature, the Administrative Agent and each of the Lenders shall be entitled to rely on such Electronic Signature purportedly given by or on behalf of the Company without further verification thereof and without any obligation to review the appearance or form of any such Electronic Signature and (ii) upon the request of the Administrative Agent or any Lender, any Electronic Signature shall be promptly followed by a manually executed counterpart. Without limiting the generality of the foregoing, the Company hereby (i) agrees that, for all purposes, including without limitation, in connection with any workout, restructuring, enforcement of remedies, bankruptcy proceedings or litigation among the Administrative Agent, the Lenders, and the Company, Electronic Signatures transmitted by telecopy, emailed pdf. or any other electronic means that reproduces an image of an actual executed signature page and/or any electronic images of this Agreement, any other Loan Document and/or any Ancillary Document shall have the same legal effect, validity and</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104</w:t>
      </w:r>
    </w:p>
    <w:p>
      <w:pPr>
        <w:sectPr>
          <w:pgSz w:w="11900" w:h="16838" w:orient="portrait"/>
          <w:cols w:equalWidth="0" w:num="1">
            <w:col w:w="11000"/>
          </w:cols>
          <w:pgMar w:left="440" w:top="270" w:right="459" w:bottom="1440" w:gutter="0" w:footer="0" w:header="0"/>
        </w:sectPr>
      </w:pPr>
    </w:p>
    <w:bookmarkStart w:id="116" w:name="page117"/>
    <w:bookmarkEnd w:id="116"/>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enforceability as any paper original, (ii) the Administrative Agent and each of the Lenders may, at its option, create one or more copies of this Agreement, any other Loan Document and/or any Ancillary Document in the form of an imaged electronic record in any format, which shall be deemed created in the ordinary course of such Person’s business, and destroy the original paper document (and all such electronic records shall be considered an original for all purposes and shall have the same legal effect, validity and enforceability as a paper record), (iii) waives any argument, defense or right to contest the legal effect, validity or enforceability of this Agreement, any other Loan Document and/or any Ancillary Document based solely on the lack of paper original copies of this Agreement, such other Loan Document and/or such Ancillary Document, respectively, including with respect to any signature pages thereto and (iv) waives any claim against any Person for any Liabilities arising solely from the Administrative Agent’s and/or any Lender’s reliance on or use of Electronic Signatures and/or transmissions by telecopy, emailed pdf. or any other electronic means that reproduces an image of an actual executed signature page, including any Liabilities arising as a result of the failure of the Company to use any available security measures in connection with the execution, delivery or transmission of any Electronic Signature.</w:t>
      </w:r>
    </w:p>
    <w:p>
      <w:pPr>
        <w:spacing w:after="0" w:line="194"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9.07.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0" w:lineRule="exact"/>
        <w:rPr>
          <w:sz w:val="20"/>
          <w:szCs w:val="20"/>
          <w:color w:val="auto"/>
        </w:rPr>
      </w:pPr>
    </w:p>
    <w:p>
      <w:pPr>
        <w:ind w:right="40"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9.08. </w:t>
      </w:r>
      <w:r>
        <w:rPr>
          <w:rFonts w:ascii="Times New Roman" w:cs="Times New Roman" w:eastAsia="Times New Roman" w:hAnsi="Times New Roman"/>
          <w:sz w:val="18"/>
          <w:szCs w:val="18"/>
          <w:u w:val="single" w:color="auto"/>
          <w:color w:val="auto"/>
        </w:rPr>
        <w:t>Right of Setoff</w:t>
      </w:r>
      <w:r>
        <w:rPr>
          <w:rFonts w:ascii="Times New Roman" w:cs="Times New Roman" w:eastAsia="Times New Roman" w:hAnsi="Times New Roman"/>
          <w:sz w:val="18"/>
          <w:szCs w:val="18"/>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in the event that any Defaulting Lender shall exercise any such right of setoff, (x) all amounts so set off shall be paid over immediately to the Administrative Agent for further application in accordance with the provisions of Section 2.17 and, pending such payment, shall be segregated by such Defaulting Lender from its other funds and deemed held in trust for the benefit of the Administrative Agent and the Lenders and (y) the Defaulting Lender shall provide promptly to the Administrative Agent a statement describing in reasonable detail the Obligations owing to such Defaulting Lender as to which it exercised such right of setoff.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failure to give notice shall not affect the validity of such setoff and application.</w:t>
      </w:r>
    </w:p>
    <w:p>
      <w:pPr>
        <w:spacing w:after="0" w:line="13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105</w:t>
      </w:r>
    </w:p>
    <w:p>
      <w:pPr>
        <w:sectPr>
          <w:pgSz w:w="11900" w:h="16838" w:orient="portrait"/>
          <w:cols w:equalWidth="0" w:num="1">
            <w:col w:w="10980"/>
          </w:cols>
          <w:pgMar w:left="440" w:top="270" w:right="479" w:bottom="1440" w:gutter="0" w:footer="0" w:header="0"/>
        </w:sectPr>
      </w:pPr>
    </w:p>
    <w:bookmarkStart w:id="117" w:name="page118"/>
    <w:bookmarkEnd w:id="117"/>
    <w:p>
      <w:pPr>
        <w:ind w:left="4" w:firstLine="991"/>
        <w:spacing w:after="0" w:line="27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9.09. </w:t>
      </w:r>
      <w:r>
        <w:rPr>
          <w:rFonts w:ascii="Times New Roman" w:cs="Times New Roman" w:eastAsia="Times New Roman" w:hAnsi="Times New Roman"/>
          <w:sz w:val="17"/>
          <w:szCs w:val="17"/>
          <w:u w:val="single" w:color="auto"/>
          <w:color w:val="auto"/>
        </w:rPr>
        <w:t>Governing Law; Jurisdiction; Consent to Service of Process</w:t>
      </w:r>
      <w:r>
        <w:rPr>
          <w:rFonts w:ascii="Times New Roman" w:cs="Times New Roman" w:eastAsia="Times New Roman" w:hAnsi="Times New Roman"/>
          <w:sz w:val="17"/>
          <w:szCs w:val="17"/>
          <w:color w:val="auto"/>
        </w:rPr>
        <w:t xml:space="preserve">. (a) This Agreement shall be governed by, and construed in accordance with, the law of the State of New York;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 the interpretation of the definition of the term “Material Adverse Effect on the Acquired Companies” and whether or not a Material Adverse Effect on the Acquired Companies has occurred or would reasonably be expected to occur,</w:t>
      </w:r>
    </w:p>
    <w:p>
      <w:pPr>
        <w:spacing w:after="0" w:line="2" w:lineRule="exact"/>
        <w:rPr>
          <w:sz w:val="20"/>
          <w:szCs w:val="20"/>
          <w:color w:val="auto"/>
        </w:rPr>
      </w:pPr>
    </w:p>
    <w:p>
      <w:pPr>
        <w:ind w:left="264" w:hanging="264"/>
        <w:spacing w:after="0"/>
        <w:tabs>
          <w:tab w:leader="none" w:pos="264" w:val="left"/>
        </w:tabs>
        <w:numPr>
          <w:ilvl w:val="0"/>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determination of the accuracy of any Inphi Business Representations and whether as a result of any inaccuracy of any Inphi Business</w:t>
      </w:r>
    </w:p>
    <w:p>
      <w:pPr>
        <w:spacing w:after="0" w:line="9" w:lineRule="exact"/>
        <w:rPr>
          <w:rFonts w:ascii="Times New Roman" w:cs="Times New Roman" w:eastAsia="Times New Roman" w:hAnsi="Times New Roman"/>
          <w:sz w:val="18"/>
          <w:szCs w:val="18"/>
          <w:color w:val="auto"/>
        </w:rPr>
      </w:pPr>
    </w:p>
    <w:p>
      <w:pPr>
        <w:ind w:left="4" w:right="20"/>
        <w:spacing w:after="0" w:line="252"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Representations there has been a failure of a condition precedent to the Company’s (or any of its Affiliates’) obligation to consummate the Inphi Acquisition or such failure gives the Company the Company or any of its Affiliates the right to terminate its (or its Affiliates’) obligations under the Inphi Acquisition Agreement and (iii) the determination of whether the Inphi Acquisition has been consummated in accordance with the terms of the Inphi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188" w:lineRule="exact"/>
        <w:rPr>
          <w:rFonts w:ascii="Times New Roman" w:cs="Times New Roman" w:eastAsia="Times New Roman" w:hAnsi="Times New Roman"/>
          <w:sz w:val="18"/>
          <w:szCs w:val="18"/>
          <w:color w:val="auto"/>
        </w:rPr>
      </w:pPr>
    </w:p>
    <w:p>
      <w:pPr>
        <w:ind w:left="4" w:right="40" w:firstLine="987"/>
        <w:spacing w:after="0" w:line="253" w:lineRule="auto"/>
        <w:tabs>
          <w:tab w:leader="none" w:pos="1250" w:val="left"/>
        </w:tabs>
        <w:numPr>
          <w:ilvl w:val="1"/>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hereto hereby irrevocably and unconditionally submits, for itself and its property, to the jurisdiction of the United States District Court of the Southern District of New York (or if such court lacks subject matter jurisdiction,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194" w:lineRule="exact"/>
        <w:rPr>
          <w:rFonts w:ascii="Times New Roman" w:cs="Times New Roman" w:eastAsia="Times New Roman" w:hAnsi="Times New Roman"/>
          <w:sz w:val="18"/>
          <w:szCs w:val="18"/>
          <w:color w:val="auto"/>
        </w:rPr>
      </w:pPr>
    </w:p>
    <w:p>
      <w:pPr>
        <w:ind w:left="4" w:right="140" w:firstLine="987"/>
        <w:spacing w:after="0" w:line="261" w:lineRule="auto"/>
        <w:tabs>
          <w:tab w:leader="none" w:pos="1240" w:val="left"/>
        </w:tabs>
        <w:numPr>
          <w:ilvl w:val="1"/>
          <w:numId w:val="1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1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106</w:t>
      </w:r>
    </w:p>
    <w:p>
      <w:pPr>
        <w:sectPr>
          <w:pgSz w:w="11900" w:h="16838" w:orient="portrait"/>
          <w:cols w:equalWidth="0" w:num="1">
            <w:col w:w="11004"/>
          </w:cols>
          <w:pgMar w:left="436" w:top="270" w:right="459" w:bottom="1440" w:gutter="0" w:footer="0" w:header="0"/>
        </w:sectPr>
      </w:pPr>
    </w:p>
    <w:bookmarkStart w:id="118" w:name="page119"/>
    <w:bookmarkEnd w:id="118"/>
    <w:p>
      <w:pPr>
        <w:ind w:right="80" w:firstLine="987"/>
        <w:spacing w:after="0" w:line="266" w:lineRule="auto"/>
        <w:tabs>
          <w:tab w:leader="none" w:pos="1246" w:val="left"/>
        </w:tabs>
        <w:numPr>
          <w:ilvl w:val="0"/>
          <w:numId w:val="1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party to this Agreement (other than Marvell)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75" w:lineRule="exact"/>
        <w:rPr>
          <w:rFonts w:ascii="Times New Roman" w:cs="Times New Roman" w:eastAsia="Times New Roman" w:hAnsi="Times New Roman"/>
          <w:sz w:val="18"/>
          <w:szCs w:val="18"/>
          <w:color w:val="auto"/>
        </w:rPr>
      </w:pPr>
    </w:p>
    <w:p>
      <w:pPr>
        <w:ind w:right="280" w:firstLine="987"/>
        <w:spacing w:after="0" w:line="256" w:lineRule="auto"/>
        <w:tabs>
          <w:tab w:leader="none" w:pos="1236" w:val="left"/>
        </w:tabs>
        <w:numPr>
          <w:ilvl w:val="0"/>
          <w:numId w:val="1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SERVICE OF PROCESS (MARVELL). WITHOUT PREJUDICE TO ANY OTHER MODE OF SERVICE ALLOWED UNDER ANY RELEVANT LAW, MARVELL: (i) IRREVOCABLY APPOINTS MAUI TOPCO AS ITS AGENT FOR SERVICE OF PROCESS IN RELATION TO ANY PROCEEDINGS BEFORE THE COURTS OF THE STATE OF NEW YORK IN CONNECTION WITH ANY LOAN DOCUMENT AND (ii) AGREES THAT FAILURE BY A PROCESS AGENT TO NOTIFY MARVELL OF THE PROCESS WILL NOT INVALIDATE THE PROCEEDINGS CONCERNED. MARVELL EXPRESSLY AGREES AND CONSENTS TO THE PROVISIONS OF THIS SECTION 9.09(e).</w:t>
      </w:r>
    </w:p>
    <w:p>
      <w:pPr>
        <w:spacing w:after="0" w:line="187" w:lineRule="exact"/>
        <w:rPr>
          <w:rFonts w:ascii="Times New Roman" w:cs="Times New Roman" w:eastAsia="Times New Roman" w:hAnsi="Times New Roman"/>
          <w:sz w:val="18"/>
          <w:szCs w:val="18"/>
          <w:color w:val="auto"/>
        </w:rPr>
      </w:pPr>
    </w:p>
    <w:p>
      <w:pPr>
        <w:ind w:right="220" w:firstLine="987"/>
        <w:spacing w:after="0" w:line="261" w:lineRule="auto"/>
        <w:tabs>
          <w:tab w:leader="none" w:pos="1216" w:val="left"/>
        </w:tabs>
        <w:numPr>
          <w:ilvl w:val="0"/>
          <w:numId w:val="1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0" w:lineRule="exact"/>
        <w:rPr>
          <w:sz w:val="20"/>
          <w:szCs w:val="20"/>
          <w:color w:val="auto"/>
        </w:rPr>
      </w:pPr>
    </w:p>
    <w:p>
      <w:pPr>
        <w:ind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9.10. </w:t>
      </w:r>
      <w:r>
        <w:rPr>
          <w:rFonts w:ascii="Times New Roman" w:cs="Times New Roman" w:eastAsia="Times New Roman" w:hAnsi="Times New Roman"/>
          <w:sz w:val="17"/>
          <w:szCs w:val="17"/>
          <w:u w:val="single" w:color="auto"/>
          <w:color w:val="auto"/>
        </w:rPr>
        <w:t>WAIVER OF JURY TRIAL</w:t>
      </w:r>
      <w:r>
        <w:rPr>
          <w:rFonts w:ascii="Times New Roman" w:cs="Times New Roman" w:eastAsia="Times New Roman" w:hAnsi="Times New Roman"/>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2"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9.11. </w:t>
      </w:r>
      <w:r>
        <w:rPr>
          <w:rFonts w:ascii="Times New Roman" w:cs="Times New Roman" w:eastAsia="Times New Roman" w:hAnsi="Times New Roman"/>
          <w:sz w:val="18"/>
          <w:szCs w:val="18"/>
          <w:u w:val="single" w:color="auto"/>
          <w:color w:val="auto"/>
        </w:rPr>
        <w:t>Headings</w:t>
      </w:r>
      <w:r>
        <w:rPr>
          <w:rFonts w:ascii="Times New Roman" w:cs="Times New Roman" w:eastAsia="Times New Roman" w:hAnsi="Times New Roman"/>
          <w:sz w:val="18"/>
          <w:szCs w:val="18"/>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62"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9.12. </w:t>
      </w:r>
      <w:r>
        <w:rPr>
          <w:rFonts w:ascii="Times New Roman" w:cs="Times New Roman" w:eastAsia="Times New Roman" w:hAnsi="Times New Roman"/>
          <w:sz w:val="18"/>
          <w:szCs w:val="18"/>
          <w:u w:val="single" w:color="auto"/>
          <w:color w:val="auto"/>
        </w:rPr>
        <w:t>Confidentiality</w:t>
      </w:r>
      <w:r>
        <w:rPr>
          <w:rFonts w:ascii="Times New Roman" w:cs="Times New Roman" w:eastAsia="Times New Roman" w:hAnsi="Times New Roman"/>
          <w:sz w:val="18"/>
          <w:szCs w:val="18"/>
          <w:color w:val="auto"/>
        </w:rPr>
        <w:t>. Each of the Administrative Agent and the Lenders agrees to maintain the confidentiality of, and not disclose, the Information (as defined below), except that Information may be disclosed (a) to its Related Parties, including accountants, legal counsel and other agents and advisors, it being understood that the Persons to whom such disclosure is made either are informed of the confidential</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107</w:t>
      </w:r>
    </w:p>
    <w:p>
      <w:pPr>
        <w:sectPr>
          <w:pgSz w:w="11900" w:h="16838" w:orient="portrait"/>
          <w:cols w:equalWidth="0" w:num="1">
            <w:col w:w="10880"/>
          </w:cols>
          <w:pgMar w:left="440" w:top="270" w:right="579" w:bottom="1440" w:gutter="0" w:footer="0" w:header="0"/>
        </w:sectPr>
      </w:pPr>
    </w:p>
    <w:bookmarkStart w:id="119" w:name="page120"/>
    <w:bookmarkEnd w:id="119"/>
    <w:p>
      <w:pPr>
        <w:ind w:left="4"/>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nature of such Information and instructed to keep such Information confidential or are subject to customary confidentiality obligations of employment or professional practice,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w:t>
      </w:r>
    </w:p>
    <w:p>
      <w:pPr>
        <w:spacing w:after="0" w:line="5" w:lineRule="exact"/>
        <w:rPr>
          <w:sz w:val="20"/>
          <w:szCs w:val="20"/>
          <w:color w:val="auto"/>
        </w:rPr>
      </w:pPr>
    </w:p>
    <w:p>
      <w:pPr>
        <w:ind w:left="4" w:right="80" w:hanging="4"/>
        <w:spacing w:after="0" w:line="265" w:lineRule="auto"/>
        <w:tabs>
          <w:tab w:leader="none" w:pos="249" w:val="left"/>
        </w:tabs>
        <w:numPr>
          <w:ilvl w:val="0"/>
          <w:numId w:val="1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w:t>
      </w:r>
    </w:p>
    <w:p>
      <w:pPr>
        <w:spacing w:after="0" w:line="1" w:lineRule="exact"/>
        <w:rPr>
          <w:rFonts w:ascii="Times New Roman" w:cs="Times New Roman" w:eastAsia="Times New Roman" w:hAnsi="Times New Roman"/>
          <w:sz w:val="17"/>
          <w:szCs w:val="17"/>
          <w:color w:val="auto"/>
        </w:rPr>
      </w:pPr>
    </w:p>
    <w:p>
      <w:pPr>
        <w:ind w:left="264" w:hanging="264"/>
        <w:spacing w:after="0"/>
        <w:tabs>
          <w:tab w:leader="none" w:pos="264" w:val="left"/>
        </w:tabs>
        <w:numPr>
          <w:ilvl w:val="0"/>
          <w:numId w:val="12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on a confidential basis to (i) any rating agency in connection with rating the Company or its Subsidiaries or the credit facilities provided for herein or</w:t>
      </w:r>
    </w:p>
    <w:p>
      <w:pPr>
        <w:spacing w:after="0" w:line="20" w:lineRule="exact"/>
        <w:rPr>
          <w:rFonts w:ascii="Times New Roman" w:cs="Times New Roman" w:eastAsia="Times New Roman" w:hAnsi="Times New Roman"/>
          <w:sz w:val="17"/>
          <w:szCs w:val="17"/>
          <w:color w:val="auto"/>
        </w:rPr>
      </w:pPr>
    </w:p>
    <w:p>
      <w:pPr>
        <w:ind w:left="4" w:right="40" w:hanging="4"/>
        <w:spacing w:after="0" w:line="251" w:lineRule="auto"/>
        <w:tabs>
          <w:tab w:leader="none" w:pos="269" w:val="left"/>
        </w:tabs>
        <w:numPr>
          <w:ilvl w:val="0"/>
          <w:numId w:val="1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information is limited to the information about this Agreement and the other Loan Documents, (j) to the extent such Information (i) becomes publicly available other than as a result of a breach of this Section, (ii) becomes available to the Administrative Agent, any Lender or any Affiliate of any of the foregoing on a nonconfidential basis from a source other than the Company or any Subsidiary that is not known by the Administrative Agent, Lender or Affiliate to be prohibited from disclosing such Information to such Person by a legal, contractual, or fiduciary obligation owed to the Company or any of its Subsidiaries or (iii) is independently developed by the Administrative Agent, any Lender or any Affiliate of the foregoing, or (k) to any credit insurance provider relating to the Company and its Obligations. For purposes of this Section, “</w:t>
      </w:r>
      <w:r>
        <w:rPr>
          <w:rFonts w:ascii="Times New Roman" w:cs="Times New Roman" w:eastAsia="Times New Roman" w:hAnsi="Times New Roman"/>
          <w:sz w:val="18"/>
          <w:szCs w:val="18"/>
          <w:u w:val="single" w:color="auto"/>
          <w:color w:val="auto"/>
        </w:rPr>
        <w:t>Information</w:t>
      </w:r>
      <w:r>
        <w:rPr>
          <w:rFonts w:ascii="Times New Roman" w:cs="Times New Roman" w:eastAsia="Times New Roman" w:hAnsi="Times New Roman"/>
          <w:sz w:val="18"/>
          <w:szCs w:val="18"/>
          <w:color w:val="auto"/>
        </w:rPr>
        <w:t>” means all information received from the Company or any Subsidiary relating to the Company or any Subsidiary or its businesses (including information regarding Inphi and its subsidiaries), other than any such information that is available to the Administrative Agent, any Lender or any Affiliate of any of the foregoing on a nonconfidential basis</w:t>
      </w:r>
    </w:p>
    <w:p>
      <w:pPr>
        <w:spacing w:after="0" w:line="1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108</w:t>
      </w:r>
    </w:p>
    <w:p>
      <w:pPr>
        <w:sectPr>
          <w:pgSz w:w="11900" w:h="16838" w:orient="portrait"/>
          <w:cols w:equalWidth="0" w:num="1">
            <w:col w:w="11004"/>
          </w:cols>
          <w:pgMar w:left="436" w:top="270" w:right="459" w:bottom="1440" w:gutter="0" w:footer="0" w:header="0"/>
        </w:sectPr>
      </w:pPr>
    </w:p>
    <w:bookmarkStart w:id="120" w:name="page121"/>
    <w:bookmarkEnd w:id="120"/>
    <w:p>
      <w:pPr>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prior to disclosure by the Company or any Subsidiary. It is agreed that, notwithstanding the restrictions of any prior confidentiality agreement binding on the Administrative Agent or the Arranger, such Persons may disclose Information as provided in this Section.</w:t>
      </w:r>
    </w:p>
    <w:p>
      <w:pPr>
        <w:spacing w:after="0" w:line="162" w:lineRule="exact"/>
        <w:rPr>
          <w:sz w:val="20"/>
          <w:szCs w:val="20"/>
          <w:color w:val="auto"/>
        </w:rPr>
      </w:pPr>
    </w:p>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9.13. </w:t>
      </w:r>
      <w:r>
        <w:rPr>
          <w:rFonts w:ascii="Times New Roman" w:cs="Times New Roman" w:eastAsia="Times New Roman" w:hAnsi="Times New Roman"/>
          <w:sz w:val="18"/>
          <w:szCs w:val="18"/>
          <w:u w:val="single" w:color="auto"/>
          <w:color w:val="auto"/>
        </w:rPr>
        <w:t>Interest Rate Limitation</w:t>
      </w:r>
      <w:r>
        <w:rPr>
          <w:rFonts w:ascii="Times New Roman" w:cs="Times New Roman" w:eastAsia="Times New Roman" w:hAnsi="Times New Roman"/>
          <w:sz w:val="18"/>
          <w:szCs w:val="18"/>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shall exceed the maximum lawful rate (the “</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92"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9.14. </w:t>
      </w:r>
      <w:r>
        <w:rPr>
          <w:rFonts w:ascii="Times New Roman" w:cs="Times New Roman" w:eastAsia="Times New Roman" w:hAnsi="Times New Roman"/>
          <w:sz w:val="18"/>
          <w:szCs w:val="18"/>
          <w:u w:val="single" w:color="auto"/>
          <w:color w:val="auto"/>
        </w:rPr>
        <w:t>USA PATRIOT Act Notice</w:t>
      </w:r>
      <w:r>
        <w:rPr>
          <w:rFonts w:ascii="Times New Roman" w:cs="Times New Roman" w:eastAsia="Times New Roman" w:hAnsi="Times New Roman"/>
          <w:sz w:val="18"/>
          <w:szCs w:val="18"/>
          <w:color w:val="auto"/>
        </w:rPr>
        <w:t>. Each Lender and the Administrative Agent (for itself and not on behalf of any Lender) hereby notifies the Company that pursuant to the requirements of the USA PATRIOT Act and the Beneficial Ownership Regulation it is required to obtain, verify and record information that identifies Marvell and Maui Topco, which information includes the name and address of Marvell and Maui Topco and other information that will allow such Lender or the Administrative Agent, as applicable, to identify Marvell and Maui Topco in accordance with the USA PATRIOT Act and the Beneficial Ownership Regulation.</w:t>
      </w:r>
    </w:p>
    <w:p>
      <w:pPr>
        <w:spacing w:after="0" w:line="183" w:lineRule="exact"/>
        <w:rPr>
          <w:sz w:val="20"/>
          <w:szCs w:val="20"/>
          <w:color w:val="auto"/>
        </w:rPr>
      </w:pPr>
    </w:p>
    <w:p>
      <w:pPr>
        <w:ind w:right="4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9.15. </w:t>
      </w:r>
      <w:r>
        <w:rPr>
          <w:rFonts w:ascii="Times New Roman" w:cs="Times New Roman" w:eastAsia="Times New Roman" w:hAnsi="Times New Roman"/>
          <w:sz w:val="18"/>
          <w:szCs w:val="18"/>
          <w:u w:val="single" w:color="auto"/>
          <w:color w:val="auto"/>
        </w:rPr>
        <w:t>No Fiduciary Relationship</w:t>
      </w:r>
      <w:r>
        <w:rPr>
          <w:rFonts w:ascii="Times New Roman" w:cs="Times New Roman" w:eastAsia="Times New Roman" w:hAnsi="Times New Roman"/>
          <w:sz w:val="18"/>
          <w:szCs w:val="18"/>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 the Lenders and their Affiliates may be engaged, for their own accounts or the accounts of customers, in a broad range of transactions that involve interests that differ from those of the Company and its Affiliates, and none of the Administrative Agent, the Arranger,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 the Lenders or their Affiliates with respect to any breach or alleged breach of agency or fiduciary duty in connection with any aspect of any transaction contemplated hereby.</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109</w:t>
      </w:r>
    </w:p>
    <w:p>
      <w:pPr>
        <w:sectPr>
          <w:pgSz w:w="11900" w:h="16838" w:orient="portrait"/>
          <w:cols w:equalWidth="0" w:num="1">
            <w:col w:w="11000"/>
          </w:cols>
          <w:pgMar w:left="440" w:top="270" w:right="459" w:bottom="1440" w:gutter="0" w:footer="0" w:header="0"/>
        </w:sectPr>
      </w:pPr>
    </w:p>
    <w:bookmarkStart w:id="121" w:name="page122"/>
    <w:bookmarkEnd w:id="121"/>
    <w:p>
      <w:pPr>
        <w:ind w:left="4" w:right="200" w:firstLine="991"/>
        <w:spacing w:after="0" w:line="27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9.16. </w:t>
      </w:r>
      <w:r>
        <w:rPr>
          <w:rFonts w:ascii="Times New Roman" w:cs="Times New Roman" w:eastAsia="Times New Roman" w:hAnsi="Times New Roman"/>
          <w:sz w:val="17"/>
          <w:szCs w:val="17"/>
          <w:u w:val="single" w:color="auto"/>
          <w:color w:val="auto"/>
        </w:rPr>
        <w:t>Non-Public Information</w:t>
      </w:r>
      <w:r>
        <w:rPr>
          <w:rFonts w:ascii="Times New Roman" w:cs="Times New Roman" w:eastAsia="Times New Roman" w:hAnsi="Times New Roman"/>
          <w:sz w:val="17"/>
          <w:szCs w:val="17"/>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spacing w:after="0" w:line="2" w:lineRule="exact"/>
        <w:rPr>
          <w:sz w:val="20"/>
          <w:szCs w:val="20"/>
          <w:color w:val="auto"/>
        </w:rPr>
      </w:pPr>
    </w:p>
    <w:p>
      <w:pPr>
        <w:ind w:left="4" w:right="100" w:hanging="4"/>
        <w:spacing w:after="0" w:line="253" w:lineRule="auto"/>
        <w:tabs>
          <w:tab w:leader="none" w:pos="219" w:val="left"/>
        </w:tabs>
        <w:numPr>
          <w:ilvl w:val="0"/>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88" w:lineRule="exact"/>
        <w:rPr>
          <w:rFonts w:ascii="Times New Roman" w:cs="Times New Roman" w:eastAsia="Times New Roman" w:hAnsi="Times New Roman"/>
          <w:sz w:val="18"/>
          <w:szCs w:val="18"/>
          <w:color w:val="auto"/>
        </w:rPr>
      </w:pPr>
    </w:p>
    <w:p>
      <w:pPr>
        <w:ind w:left="4" w:right="20" w:firstLine="987"/>
        <w:spacing w:after="0" w:line="254" w:lineRule="auto"/>
        <w:tabs>
          <w:tab w:leader="none" w:pos="1250" w:val="left"/>
        </w:tabs>
        <w:numPr>
          <w:ilvl w:val="1"/>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191" w:lineRule="exact"/>
        <w:rPr>
          <w:rFonts w:ascii="Times New Roman" w:cs="Times New Roman" w:eastAsia="Times New Roman" w:hAnsi="Times New Roman"/>
          <w:sz w:val="18"/>
          <w:szCs w:val="18"/>
          <w:color w:val="auto"/>
        </w:rPr>
      </w:pPr>
    </w:p>
    <w:p>
      <w:pPr>
        <w:ind w:left="4" w:right="20" w:firstLine="987"/>
        <w:spacing w:after="0" w:line="261" w:lineRule="auto"/>
        <w:tabs>
          <w:tab w:leader="none" w:pos="1240" w:val="left"/>
        </w:tabs>
        <w:numPr>
          <w:ilvl w:val="1"/>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79" w:lineRule="exact"/>
        <w:rPr>
          <w:rFonts w:ascii="Times New Roman" w:cs="Times New Roman" w:eastAsia="Times New Roman" w:hAnsi="Times New Roman"/>
          <w:sz w:val="18"/>
          <w:szCs w:val="18"/>
          <w:color w:val="auto"/>
        </w:rPr>
      </w:pPr>
    </w:p>
    <w:p>
      <w:pPr>
        <w:ind w:left="4" w:firstLine="987"/>
        <w:spacing w:after="0" w:line="266" w:lineRule="auto"/>
        <w:tabs>
          <w:tab w:leader="none" w:pos="1250" w:val="left"/>
        </w:tabs>
        <w:numPr>
          <w:ilvl w:val="1"/>
          <w:numId w:val="1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76" w:lineRule="exact"/>
        <w:rPr>
          <w:sz w:val="20"/>
          <w:szCs w:val="20"/>
          <w:color w:val="auto"/>
        </w:rPr>
      </w:pPr>
    </w:p>
    <w:p>
      <w:pPr>
        <w:ind w:left="4"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9.17.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12"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110</w:t>
      </w:r>
    </w:p>
    <w:p>
      <w:pPr>
        <w:sectPr>
          <w:pgSz w:w="11900" w:h="16838" w:orient="portrait"/>
          <w:cols w:equalWidth="0" w:num="1">
            <w:col w:w="10984"/>
          </w:cols>
          <w:pgMar w:left="436" w:top="270" w:right="479" w:bottom="1440" w:gutter="0" w:footer="0" w:header="0"/>
        </w:sectPr>
      </w:pPr>
    </w:p>
    <w:bookmarkStart w:id="122" w:name="page123"/>
    <w:bookmarkEnd w:id="122"/>
    <w:p>
      <w:pPr>
        <w:ind w:right="80" w:firstLine="987"/>
        <w:spacing w:after="0" w:line="255" w:lineRule="auto"/>
        <w:tabs>
          <w:tab w:leader="none" w:pos="1246" w:val="left"/>
        </w:tabs>
        <w:numPr>
          <w:ilvl w:val="0"/>
          <w:numId w:val="1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obligations of each party hereto in respect of any sum due to any other party hereto or any holder of the obligations owing hereunder (the “</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shall, notwithstanding any judgment in a currency (the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89"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9.18. </w:t>
      </w:r>
      <w:r>
        <w:rPr>
          <w:rFonts w:ascii="Times New Roman" w:cs="Times New Roman" w:eastAsia="Times New Roman" w:hAnsi="Times New Roman"/>
          <w:sz w:val="18"/>
          <w:szCs w:val="18"/>
          <w:u w:val="single" w:color="auto"/>
          <w:color w:val="auto"/>
        </w:rPr>
        <w:t>Acknowledgement and Consent to Bail-In of Affected Financial Institutions</w:t>
      </w:r>
      <w:r>
        <w:rPr>
          <w:rFonts w:ascii="Times New Roman" w:cs="Times New Roman" w:eastAsia="Times New Roman" w:hAnsi="Times New Roman"/>
          <w:sz w:val="18"/>
          <w:szCs w:val="18"/>
          <w:color w:val="auto"/>
        </w:rPr>
        <w:t>. Notwithstanding anything to the contrary in any Loan Document or in any other agreement, arrangement or understanding among any such parties, each party hereto acknowledges that any liability of any Affected Financial Institution arising under any Loan Document may be subject to the Write-Down and Conversion Powers of the applicable Resolution Authority and agrees and consents to, and acknowledges and agrees to be bound by:</w:t>
      </w:r>
    </w:p>
    <w:p>
      <w:pPr>
        <w:spacing w:after="0" w:line="72" w:lineRule="exact"/>
        <w:rPr>
          <w:sz w:val="20"/>
          <w:szCs w:val="20"/>
          <w:color w:val="auto"/>
        </w:rPr>
      </w:pPr>
    </w:p>
    <w:p>
      <w:pPr>
        <w:ind w:left="440" w:right="560" w:firstLine="525"/>
        <w:spacing w:after="0" w:line="282" w:lineRule="auto"/>
        <w:tabs>
          <w:tab w:leader="none" w:pos="1213"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application of any Write-Down and Conversion Powers by the applicable Resolution Authority to any such liabilities arising hereunder which may be payable to it by any party hereto that is an Affected Financial Institution; and</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effects of any Bail-In Action on any such liability, including, if applicable:</w:t>
      </w:r>
    </w:p>
    <w:p>
      <w:pPr>
        <w:spacing w:after="0" w:line="117" w:lineRule="exact"/>
        <w:rPr>
          <w:sz w:val="20"/>
          <w:szCs w:val="20"/>
          <w:color w:val="auto"/>
        </w:rPr>
      </w:pPr>
    </w:p>
    <w:p>
      <w:pPr>
        <w:ind w:left="1180" w:hanging="215"/>
        <w:spacing w:after="0"/>
        <w:tabs>
          <w:tab w:leader="none" w:pos="1180"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reduction in full or in part or cancellation of any such liability;</w:t>
      </w:r>
    </w:p>
    <w:p>
      <w:pPr>
        <w:spacing w:after="0" w:line="117" w:lineRule="exact"/>
        <w:rPr>
          <w:rFonts w:ascii="Times New Roman" w:cs="Times New Roman" w:eastAsia="Times New Roman" w:hAnsi="Times New Roman"/>
          <w:sz w:val="18"/>
          <w:szCs w:val="18"/>
          <w:color w:val="auto"/>
        </w:rPr>
      </w:pPr>
    </w:p>
    <w:p>
      <w:pPr>
        <w:ind w:left="440" w:firstLine="525"/>
        <w:spacing w:after="0" w:line="266" w:lineRule="auto"/>
        <w:tabs>
          <w:tab w:leader="none" w:pos="1233"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conversion of all, or a portion of, such liability into shares or other instruments of ownership in such Affected Financial Institution, its parent entity,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67" w:lineRule="exact"/>
        <w:rPr>
          <w:rFonts w:ascii="Times New Roman" w:cs="Times New Roman" w:eastAsia="Times New Roman" w:hAnsi="Times New Roman"/>
          <w:sz w:val="18"/>
          <w:szCs w:val="18"/>
          <w:color w:val="auto"/>
        </w:rPr>
      </w:pPr>
    </w:p>
    <w:p>
      <w:pPr>
        <w:ind w:left="440" w:right="40" w:firstLine="525"/>
        <w:spacing w:after="0" w:line="282" w:lineRule="auto"/>
        <w:tabs>
          <w:tab w:leader="none" w:pos="1283" w:val="left"/>
        </w:tabs>
        <w:numPr>
          <w:ilvl w:val="0"/>
          <w:numId w:val="1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variation of the terms of such liability in connection with the exercise of the Write-Down and Conversion Powers of the applicable Resolution Authority.</w:t>
      </w:r>
    </w:p>
    <w:p>
      <w:pPr>
        <w:spacing w:after="0" w:line="162" w:lineRule="exact"/>
        <w:rPr>
          <w:sz w:val="20"/>
          <w:szCs w:val="20"/>
          <w:color w:val="auto"/>
        </w:rPr>
      </w:pPr>
    </w:p>
    <w:p>
      <w:pPr>
        <w:ind w:right="16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9.19. </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Notwithstanding any other provision of this Agreement, concurrently with the consummation of the Inphi Acquisition on the Term Funding Date, Marvell shall become a wholly-owned subsidiary of Maui Topco by means of a merger of Marvell Acquisition Company Ltd., a Bermuda exempted company and wholly owned subsidiary of Maui Topco (the “</w:t>
      </w:r>
      <w:r>
        <w:rPr>
          <w:rFonts w:ascii="Times New Roman" w:cs="Times New Roman" w:eastAsia="Times New Roman" w:hAnsi="Times New Roman"/>
          <w:sz w:val="18"/>
          <w:szCs w:val="18"/>
          <w:u w:val="single" w:color="auto"/>
          <w:color w:val="auto"/>
        </w:rPr>
        <w:t>Permitted Reorganization Merger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with and into Marvell, with Marvell surviving as a Wholly-Owned Subsidiary of Maui Topco as contemplated by the Inphi Acquisition Agreement.</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111</w:t>
      </w:r>
    </w:p>
    <w:p>
      <w:pPr>
        <w:sectPr>
          <w:pgSz w:w="11900" w:h="16838" w:orient="portrait"/>
          <w:cols w:equalWidth="0" w:num="1">
            <w:col w:w="11000"/>
          </w:cols>
          <w:pgMar w:left="440" w:top="270" w:right="459" w:bottom="1440" w:gutter="0" w:footer="0" w:header="0"/>
        </w:sectPr>
      </w:pPr>
    </w:p>
    <w:bookmarkStart w:id="123" w:name="page124"/>
    <w:bookmarkEnd w:id="123"/>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X</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Guarantees</w:t>
      </w:r>
    </w:p>
    <w:p>
      <w:pPr>
        <w:spacing w:after="0" w:line="225"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10.01. </w:t>
      </w:r>
      <w:r>
        <w:rPr>
          <w:rFonts w:ascii="Times New Roman" w:cs="Times New Roman" w:eastAsia="Times New Roman" w:hAnsi="Times New Roman"/>
          <w:sz w:val="18"/>
          <w:szCs w:val="18"/>
          <w:u w:val="single" w:color="auto"/>
          <w:color w:val="auto"/>
        </w:rPr>
        <w:t>The Guarantees</w:t>
      </w:r>
      <w:r>
        <w:rPr>
          <w:rFonts w:ascii="Times New Roman" w:cs="Times New Roman" w:eastAsia="Times New Roman" w:hAnsi="Times New Roman"/>
          <w:sz w:val="18"/>
          <w:szCs w:val="18"/>
          <w:color w:val="auto"/>
        </w:rPr>
        <w:t>. To induce the Lenders to provide the Term Loans described herein and in consideration of benefits expected to accrue to the Company by reason of the Commitments and the Term Loans and for other good and valuable consideration, receipt of which is hereby acknowledged, each Guarantor party hereto (including any Subsidiary executing an Additional Guarantor Supplement in substantially the form attached hereto as Exhibit F (an “</w:t>
      </w:r>
      <w:r>
        <w:rPr>
          <w:rFonts w:ascii="Times New Roman" w:cs="Times New Roman" w:eastAsia="Times New Roman" w:hAnsi="Times New Roman"/>
          <w:sz w:val="18"/>
          <w:szCs w:val="18"/>
          <w:u w:val="single" w:color="auto"/>
          <w:color w:val="auto"/>
        </w:rPr>
        <w:t>Additional Guarantor Supplement</w:t>
      </w:r>
      <w:r>
        <w:rPr>
          <w:rFonts w:ascii="Times New Roman" w:cs="Times New Roman" w:eastAsia="Times New Roman" w:hAnsi="Times New Roman"/>
          <w:sz w:val="18"/>
          <w:szCs w:val="18"/>
          <w:color w:val="auto"/>
        </w:rPr>
        <w:t>”) or such other form reasonably acceptable to the Administrative Agent) hereby unconditionally and irrevocably guarantees jointly and severally to the Administrative Agent, for the ratable benefit of the Administrative Agent and the Lenders, the due and punctual payment of all present and future Obligations of the Company, in each case as and when the same shall become due and payable, whether at stated maturity, by acceleration, or otherwise, according to the terms hereof or any other applicable Loan Document (including all interest, costs, fees, and charges after the entry of an order for relief against the Company or such other obligor in a case under the United States Bankruptcy Code or any similar proceeding, whether or not such interest, costs, fees and charges would be an allowed claim against the Company or any such obligor in any such proceeding). In case of failure by the Company punctually to pay any Obligations guaranteed hereby, each Guarantor of the Company’s Obligations under this Section 10.01 hereby unconditionally agrees to make such payment or to cause such payment to be made punctually as and when the same shall become due and payable, whether at stated maturity, by acceleration, or otherwise, and as if such payment were made by the Company.</w:t>
      </w:r>
    </w:p>
    <w:p>
      <w:pPr>
        <w:spacing w:after="0" w:line="187" w:lineRule="exact"/>
        <w:rPr>
          <w:sz w:val="20"/>
          <w:szCs w:val="20"/>
          <w:color w:val="auto"/>
        </w:rPr>
      </w:pPr>
    </w:p>
    <w:p>
      <w:pPr>
        <w:ind w:right="3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10.02. </w:t>
      </w:r>
      <w:r>
        <w:rPr>
          <w:rFonts w:ascii="Times New Roman" w:cs="Times New Roman" w:eastAsia="Times New Roman" w:hAnsi="Times New Roman"/>
          <w:sz w:val="18"/>
          <w:szCs w:val="18"/>
          <w:u w:val="single" w:color="auto"/>
          <w:color w:val="auto"/>
        </w:rPr>
        <w:t>Guarantee Unconditional</w:t>
      </w:r>
      <w:r>
        <w:rPr>
          <w:rFonts w:ascii="Times New Roman" w:cs="Times New Roman" w:eastAsia="Times New Roman" w:hAnsi="Times New Roman"/>
          <w:sz w:val="18"/>
          <w:szCs w:val="18"/>
          <w:color w:val="auto"/>
        </w:rPr>
        <w:t>. The obligations of each Guarantor under this Article X shall be unconditional and absolute and, without limiting the generality of the foregoing, shall not be released, discharged, or otherwise affected by:</w:t>
      </w:r>
    </w:p>
    <w:p>
      <w:pPr>
        <w:spacing w:after="0" w:line="54" w:lineRule="exact"/>
        <w:rPr>
          <w:sz w:val="20"/>
          <w:szCs w:val="20"/>
          <w:color w:val="auto"/>
        </w:rPr>
      </w:pPr>
    </w:p>
    <w:p>
      <w:pPr>
        <w:ind w:left="980" w:right="180" w:firstLine="408"/>
        <w:spacing w:after="0" w:line="282" w:lineRule="auto"/>
        <w:tabs>
          <w:tab w:leader="none" w:pos="1625" w:val="left"/>
        </w:tabs>
        <w:numPr>
          <w:ilvl w:val="1"/>
          <w:numId w:val="1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extension, renewal, settlement, compromise, waiver, or release in respect of any obligation of the Company or other obligor or of any other guarantor under this Agreement or any other Loan Document or by operation of law or otherwise;</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modification or amendment of or supplement to this Agreement or any other Loan Document;</w:t>
      </w:r>
    </w:p>
    <w:p>
      <w:pPr>
        <w:spacing w:after="0" w:line="117" w:lineRule="exact"/>
        <w:rPr>
          <w:rFonts w:ascii="Times New Roman" w:cs="Times New Roman" w:eastAsia="Times New Roman" w:hAnsi="Times New Roman"/>
          <w:sz w:val="18"/>
          <w:szCs w:val="18"/>
          <w:color w:val="auto"/>
        </w:rPr>
      </w:pPr>
    </w:p>
    <w:p>
      <w:pPr>
        <w:ind w:left="440" w:right="160" w:firstLine="525"/>
        <w:spacing w:after="0" w:line="266" w:lineRule="auto"/>
        <w:tabs>
          <w:tab w:leader="none" w:pos="1213" w:val="left"/>
        </w:tabs>
        <w:numPr>
          <w:ilvl w:val="0"/>
          <w:numId w:val="1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change in the corporate existence, structure, or ownership of, or any insolvency, bankruptcy, reorganization, or other similar proceeding affecting, the Company or other obligor, any other guarantor, or any of their respective assets, or any resulting release or discharge of any obligation of the Company or other obligor or of any other guarantor contained in any Loan Document;</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112</w:t>
      </w:r>
    </w:p>
    <w:p>
      <w:pPr>
        <w:sectPr>
          <w:pgSz w:w="11900" w:h="16838" w:orient="portrait"/>
          <w:cols w:equalWidth="0" w:num="1">
            <w:col w:w="11020"/>
          </w:cols>
          <w:pgMar w:left="440" w:top="270" w:right="439" w:bottom="1440" w:gutter="0" w:footer="0" w:header="0"/>
        </w:sectPr>
      </w:pPr>
    </w:p>
    <w:bookmarkStart w:id="124" w:name="page125"/>
    <w:bookmarkEnd w:id="124"/>
    <w:p>
      <w:pPr>
        <w:ind w:left="440" w:right="360" w:firstLine="525"/>
        <w:spacing w:after="0" w:line="282" w:lineRule="auto"/>
        <w:tabs>
          <w:tab w:leader="none" w:pos="1223"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existence of any claim, set-off, or other rights which the Company or other obligor or any other guarantor may have at any time against the Administrative Agent, any Lender or any other Person, whether or not arising in connection herewith;</w:t>
      </w:r>
    </w:p>
    <w:p>
      <w:pPr>
        <w:spacing w:after="0" w:line="53" w:lineRule="exact"/>
        <w:rPr>
          <w:rFonts w:ascii="Times New Roman" w:cs="Times New Roman" w:eastAsia="Times New Roman" w:hAnsi="Times New Roman"/>
          <w:sz w:val="18"/>
          <w:szCs w:val="18"/>
          <w:color w:val="auto"/>
        </w:rPr>
      </w:pPr>
    </w:p>
    <w:p>
      <w:pPr>
        <w:ind w:left="440" w:right="220" w:firstLine="525"/>
        <w:spacing w:after="0" w:line="282" w:lineRule="auto"/>
        <w:tabs>
          <w:tab w:leader="none" w:pos="1213"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failure to assert, or any assertion of, any claim or demand or any exercise of, or failure to exercise, any rights or remedies against the Company or other obligor, any other guarantor, or any other Person or property such Person;</w:t>
      </w:r>
    </w:p>
    <w:p>
      <w:pPr>
        <w:spacing w:after="0" w:line="53" w:lineRule="exact"/>
        <w:rPr>
          <w:rFonts w:ascii="Times New Roman" w:cs="Times New Roman" w:eastAsia="Times New Roman" w:hAnsi="Times New Roman"/>
          <w:sz w:val="18"/>
          <w:szCs w:val="18"/>
          <w:color w:val="auto"/>
        </w:rPr>
      </w:pPr>
    </w:p>
    <w:p>
      <w:pPr>
        <w:ind w:left="440" w:right="180" w:firstLine="525"/>
        <w:spacing w:after="0" w:line="282" w:lineRule="auto"/>
        <w:tabs>
          <w:tab w:leader="none" w:pos="1193"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application of any sums by whomsoever paid or howsoever realized to any obligation of the Company or other obligor, regardless of what obligations of the Company or other obligor remain unpaid;</w:t>
      </w:r>
    </w:p>
    <w:p>
      <w:pPr>
        <w:spacing w:after="0" w:line="53" w:lineRule="exact"/>
        <w:rPr>
          <w:rFonts w:ascii="Times New Roman" w:cs="Times New Roman" w:eastAsia="Times New Roman" w:hAnsi="Times New Roman"/>
          <w:sz w:val="18"/>
          <w:szCs w:val="18"/>
          <w:color w:val="auto"/>
        </w:rPr>
      </w:pPr>
    </w:p>
    <w:p>
      <w:pPr>
        <w:ind w:left="440" w:right="20" w:firstLine="525"/>
        <w:spacing w:after="0" w:line="289" w:lineRule="auto"/>
        <w:tabs>
          <w:tab w:leader="none" w:pos="1223" w:val="left"/>
        </w:tabs>
        <w:numPr>
          <w:ilvl w:val="0"/>
          <w:numId w:val="13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invalidity or unenforceability relating to or against the Company or other obligor or any other guarantor for any reason of this Agreement or of any other Loan Document or any provision of applicable law or regulation purporting to prohibit the payment by the Company or other obligor or any other guarantor of the principal of or interest on any Term Loan or any other amount payable under the Loan Documents; or</w:t>
      </w:r>
    </w:p>
    <w:p>
      <w:pPr>
        <w:spacing w:after="0" w:line="49" w:lineRule="exact"/>
        <w:rPr>
          <w:rFonts w:ascii="Times New Roman" w:cs="Times New Roman" w:eastAsia="Times New Roman" w:hAnsi="Times New Roman"/>
          <w:sz w:val="17"/>
          <w:szCs w:val="17"/>
          <w:color w:val="auto"/>
        </w:rPr>
      </w:pPr>
    </w:p>
    <w:p>
      <w:pPr>
        <w:ind w:left="440" w:right="340" w:firstLine="525"/>
        <w:spacing w:after="0" w:line="266" w:lineRule="auto"/>
        <w:tabs>
          <w:tab w:leader="none" w:pos="1223" w:val="left"/>
        </w:tabs>
        <w:numPr>
          <w:ilvl w:val="0"/>
          <w:numId w:val="1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act or omission to act or delay of any kind by the Administrative Agent, any Lender or any other Person or any other circumstance whatsoever that might, but for the provisions of this paragraph, constitute a legal or equitable discharge of the obligations of any Guarantor under this Article X.</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Each Subsidiary Guaranty hereunder shall be a guaranty of payment and not of collection.</w:t>
      </w:r>
    </w:p>
    <w:p>
      <w:pPr>
        <w:spacing w:after="0" w:line="225"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10.03. </w:t>
      </w:r>
      <w:r>
        <w:rPr>
          <w:rFonts w:ascii="Times New Roman" w:cs="Times New Roman" w:eastAsia="Times New Roman" w:hAnsi="Times New Roman"/>
          <w:sz w:val="18"/>
          <w:szCs w:val="18"/>
          <w:u w:val="single" w:color="auto"/>
          <w:color w:val="auto"/>
        </w:rPr>
        <w:t>Discharge Only upon Payment in Full; Reinstatement in Certain Circumstances</w:t>
      </w:r>
      <w:r>
        <w:rPr>
          <w:rFonts w:ascii="Times New Roman" w:cs="Times New Roman" w:eastAsia="Times New Roman" w:hAnsi="Times New Roman"/>
          <w:sz w:val="18"/>
          <w:szCs w:val="18"/>
          <w:color w:val="auto"/>
        </w:rPr>
        <w:t>. Except as set forth in Section 5.10 or the penultimate paragraph of Article VIII, each Guarantor’s obligations under this Article X shall remain in full force and effect until the Commitments are terminated and the principal of and interest on the Term Loans and all other amounts payable by the Company and Guarantors under this Agreement and all other Loan Documents (other than contingent obligations for which no claim has been made) have been paid in full in cash. If at any time any payment of the principal of or interest on any Term Loan or any other amount payable by the Company or other obligor or any Guarantor under the Loan Documents is rescinded or must be otherwise restored or returned upon the insolvency, bankruptcy, or reorganization of the Company or other obligor or of any guarantor, or otherwise, each Guarantor’s obligations under this Article X with respect to such payment shall be reinstated at such time as though such payment had become due but had not been made at such time.</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113</w:t>
      </w:r>
    </w:p>
    <w:p>
      <w:pPr>
        <w:sectPr>
          <w:pgSz w:w="11900" w:h="16838" w:orient="portrait"/>
          <w:cols w:equalWidth="0" w:num="1">
            <w:col w:w="11020"/>
          </w:cols>
          <w:pgMar w:left="440" w:top="270" w:right="439" w:bottom="1440" w:gutter="0" w:footer="0" w:header="0"/>
        </w:sectPr>
      </w:pPr>
    </w:p>
    <w:bookmarkStart w:id="125" w:name="page126"/>
    <w:bookmarkEnd w:id="125"/>
    <w:p>
      <w:pPr>
        <w:ind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10.04. </w:t>
      </w:r>
      <w:r>
        <w:rPr>
          <w:rFonts w:ascii="Times New Roman" w:cs="Times New Roman" w:eastAsia="Times New Roman" w:hAnsi="Times New Roman"/>
          <w:sz w:val="18"/>
          <w:szCs w:val="18"/>
          <w:u w:val="single" w:color="auto"/>
          <w:color w:val="auto"/>
        </w:rPr>
        <w:t>Subrogation</w:t>
      </w:r>
      <w:r>
        <w:rPr>
          <w:rFonts w:ascii="Times New Roman" w:cs="Times New Roman" w:eastAsia="Times New Roman" w:hAnsi="Times New Roman"/>
          <w:sz w:val="18"/>
          <w:szCs w:val="18"/>
          <w:color w:val="auto"/>
        </w:rPr>
        <w:t>. Each Guarantor agrees it will not exercise any rights which it may acquire by way of subrogation by any payment made hereunder, or otherwise, until all the Obligations shall have been paid in full subsequent to the termination of all the Commitments. If any amount shall be paid to a Guarantor on account of such subrogation rights at any time prior to the payment in full of the Obligations and all other amounts payable by the Company hereunder and the other Loan Documents (other than contingent obligations for which no claim has been made) and the termination of the Commitments, such amount shall be held in trust for the benefit of the Administrative Agent and the Lenders and shall forthwith be paid to the Administrative Agent for the benefit of the Lenders or be credited and applied upon the Obligations, whether matured or unmatured, in accordance with the terms of this Agreement.</w:t>
      </w:r>
    </w:p>
    <w:p>
      <w:pPr>
        <w:spacing w:after="0" w:line="189"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10.05. </w:t>
      </w:r>
      <w:r>
        <w:rPr>
          <w:rFonts w:ascii="Times New Roman" w:cs="Times New Roman" w:eastAsia="Times New Roman" w:hAnsi="Times New Roman"/>
          <w:sz w:val="18"/>
          <w:szCs w:val="18"/>
          <w:u w:val="single" w:color="auto"/>
          <w:color w:val="auto"/>
        </w:rPr>
        <w:t>Waivers</w:t>
      </w:r>
      <w:r>
        <w:rPr>
          <w:rFonts w:ascii="Times New Roman" w:cs="Times New Roman" w:eastAsia="Times New Roman" w:hAnsi="Times New Roman"/>
          <w:sz w:val="18"/>
          <w:szCs w:val="18"/>
          <w:color w:val="auto"/>
        </w:rPr>
        <w:t>. Each Guarantor irrevocably waives acceptance hereof, presentment, demand, protest, and any notice not provided for herein, as well as any requirement that at any time any action be taken by the Administrative Agent, any Lender or any other Person against the Company or other obligor, another guarantor, or any other Person.</w:t>
      </w:r>
    </w:p>
    <w:p>
      <w:pPr>
        <w:spacing w:after="0" w:line="176" w:lineRule="exact"/>
        <w:rPr>
          <w:sz w:val="20"/>
          <w:szCs w:val="20"/>
          <w:color w:val="auto"/>
        </w:rPr>
      </w:pPr>
    </w:p>
    <w:p>
      <w:pPr>
        <w:jc w:val="both"/>
        <w:ind w:right="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10.06. </w:t>
      </w:r>
      <w:r>
        <w:rPr>
          <w:rFonts w:ascii="Times New Roman" w:cs="Times New Roman" w:eastAsia="Times New Roman" w:hAnsi="Times New Roman"/>
          <w:sz w:val="18"/>
          <w:szCs w:val="18"/>
          <w:u w:val="single" w:color="auto"/>
          <w:color w:val="auto"/>
        </w:rPr>
        <w:t>Limit on Liability</w:t>
      </w:r>
      <w:r>
        <w:rPr>
          <w:rFonts w:ascii="Times New Roman" w:cs="Times New Roman" w:eastAsia="Times New Roman" w:hAnsi="Times New Roman"/>
          <w:sz w:val="18"/>
          <w:szCs w:val="18"/>
          <w:color w:val="auto"/>
        </w:rPr>
        <w:t>. The obligations of each Guarantor under this Article X shall be limited to an aggregate amount equal to the largest amount that would not render such Subsidiary Guaranty subject to avoidance under Section 548 of the United States Bankruptcy Code or any comparable provisions of applicable law.</w:t>
      </w:r>
    </w:p>
    <w:p>
      <w:pPr>
        <w:spacing w:after="0" w:line="176" w:lineRule="exact"/>
        <w:rPr>
          <w:sz w:val="20"/>
          <w:szCs w:val="20"/>
          <w:color w:val="auto"/>
        </w:rPr>
      </w:pPr>
    </w:p>
    <w:p>
      <w:pPr>
        <w:ind w:right="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10.07. </w:t>
      </w:r>
      <w:r>
        <w:rPr>
          <w:rFonts w:ascii="Times New Roman" w:cs="Times New Roman" w:eastAsia="Times New Roman" w:hAnsi="Times New Roman"/>
          <w:sz w:val="18"/>
          <w:szCs w:val="18"/>
          <w:u w:val="single" w:color="auto"/>
          <w:color w:val="auto"/>
        </w:rPr>
        <w:t>Stay of Acceleration</w:t>
      </w:r>
      <w:r>
        <w:rPr>
          <w:rFonts w:ascii="Times New Roman" w:cs="Times New Roman" w:eastAsia="Times New Roman" w:hAnsi="Times New Roman"/>
          <w:sz w:val="18"/>
          <w:szCs w:val="18"/>
          <w:color w:val="auto"/>
        </w:rPr>
        <w:t>. If acceleration of the time for payment of any amount payable by the Company or other obligor under this Agreement or any other Loan Document is stayed upon the insolvency, bankruptcy or reorganization of the Company or such obligor, all such amounts otherwise subject to acceleration under the terms of this Agreement or the other Loan Documents shall nonetheless be payable by the Guarantors hereunder forthwith on demand by the Administrative Agent made at the request of the Required Lenders.</w:t>
      </w:r>
    </w:p>
    <w:p>
      <w:pPr>
        <w:spacing w:after="0" w:line="180" w:lineRule="exact"/>
        <w:rPr>
          <w:sz w:val="20"/>
          <w:szCs w:val="20"/>
          <w:color w:val="auto"/>
        </w:rPr>
      </w:pPr>
    </w:p>
    <w:p>
      <w:pPr>
        <w:ind w:right="34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10.08. </w:t>
      </w:r>
      <w:r>
        <w:rPr>
          <w:rFonts w:ascii="Times New Roman" w:cs="Times New Roman" w:eastAsia="Times New Roman" w:hAnsi="Times New Roman"/>
          <w:sz w:val="18"/>
          <w:szCs w:val="18"/>
          <w:u w:val="single" w:color="auto"/>
          <w:color w:val="auto"/>
        </w:rPr>
        <w:t>Benefit to Guarantors</w:t>
      </w:r>
      <w:r>
        <w:rPr>
          <w:rFonts w:ascii="Times New Roman" w:cs="Times New Roman" w:eastAsia="Times New Roman" w:hAnsi="Times New Roman"/>
          <w:sz w:val="18"/>
          <w:szCs w:val="18"/>
          <w:color w:val="auto"/>
        </w:rPr>
        <w:t>. The Company and the Guarantors are engaged in related businesses and integrated to such an extent that the financial strength and flexibility of the Company has a direct impact on the success of each Guarantor. Each Guarantor will derive substantial direct and indirect benefit from the extensions of credit hereunder.</w:t>
      </w:r>
    </w:p>
    <w:p>
      <w:pPr>
        <w:spacing w:after="0" w:line="176" w:lineRule="exact"/>
        <w:rPr>
          <w:sz w:val="20"/>
          <w:szCs w:val="20"/>
          <w:color w:val="auto"/>
        </w:rPr>
      </w:pPr>
    </w:p>
    <w:p>
      <w:pPr>
        <w:ind w:right="100" w:firstLine="991"/>
        <w:spacing w:after="0" w:line="312" w:lineRule="auto"/>
        <w:rPr>
          <w:sz w:val="20"/>
          <w:szCs w:val="20"/>
          <w:color w:val="auto"/>
        </w:rPr>
      </w:pPr>
      <w:r>
        <w:rPr>
          <w:rFonts w:ascii="Times New Roman" w:cs="Times New Roman" w:eastAsia="Times New Roman" w:hAnsi="Times New Roman"/>
          <w:sz w:val="17"/>
          <w:szCs w:val="17"/>
          <w:color w:val="auto"/>
        </w:rPr>
        <w:t xml:space="preserve">SECTION 10.09. </w:t>
      </w:r>
      <w:r>
        <w:rPr>
          <w:rFonts w:ascii="Times New Roman" w:cs="Times New Roman" w:eastAsia="Times New Roman" w:hAnsi="Times New Roman"/>
          <w:sz w:val="17"/>
          <w:szCs w:val="17"/>
          <w:u w:val="single" w:color="auto"/>
          <w:color w:val="auto"/>
        </w:rPr>
        <w:t>Guarantor Covenants</w:t>
      </w:r>
      <w:r>
        <w:rPr>
          <w:rFonts w:ascii="Times New Roman" w:cs="Times New Roman" w:eastAsia="Times New Roman" w:hAnsi="Times New Roman"/>
          <w:sz w:val="17"/>
          <w:szCs w:val="17"/>
          <w:color w:val="auto"/>
        </w:rPr>
        <w:t>. Each Guarantor shall take such action as the Company is required by this Agreement to cause such Guarantor to take, and shall refrain from taking such action as the Company is required by this Agreement to prohibit such Guarantor from taking.</w:t>
      </w:r>
    </w:p>
    <w:p>
      <w:pPr>
        <w:spacing w:after="0" w:line="14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[Signature pages follow]</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114</w:t>
      </w:r>
    </w:p>
    <w:p>
      <w:pPr>
        <w:sectPr>
          <w:pgSz w:w="11900" w:h="16838" w:orient="portrait"/>
          <w:cols w:equalWidth="0" w:num="1">
            <w:col w:w="11000"/>
          </w:cols>
          <w:pgMar w:left="440" w:top="270" w:right="459" w:bottom="1440" w:gutter="0" w:footer="0" w:header="0"/>
        </w:sectPr>
      </w:pPr>
    </w:p>
    <w:bookmarkStart w:id="126" w:name="page127"/>
    <w:bookmarkEnd w:id="126"/>
    <w:p>
      <w:pPr>
        <w:ind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8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8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4592320</wp:posOffset>
            </wp:positionH>
            <wp:positionV relativeFrom="paragraph">
              <wp:posOffset>17145</wp:posOffset>
            </wp:positionV>
            <wp:extent cx="2400300" cy="825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400300" cy="8255"/>
                    </a:xfrm>
                    <a:prstGeom prst="rect">
                      <a:avLst/>
                    </a:prstGeom>
                    <a:noFill/>
                  </pic:spPr>
                </pic:pic>
              </a:graphicData>
            </a:graphic>
          </wp:anchor>
        </w:drawing>
      </w:r>
    </w:p>
    <w:p>
      <w:pPr>
        <w:spacing w:after="0" w:line="34"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Name: Jean Hu</w:t>
      </w:r>
    </w:p>
    <w:p>
      <w:pPr>
        <w:spacing w:after="0" w:line="9"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207" w:lineRule="exact"/>
        <w:rPr>
          <w:sz w:val="20"/>
          <w:szCs w:val="20"/>
          <w:color w:val="auto"/>
        </w:rPr>
      </w:pPr>
    </w:p>
    <w:p>
      <w:pPr>
        <w:jc w:val="center"/>
        <w:ind w:left="3920"/>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ind w:left="688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4592320</wp:posOffset>
            </wp:positionH>
            <wp:positionV relativeFrom="paragraph">
              <wp:posOffset>17145</wp:posOffset>
            </wp:positionV>
            <wp:extent cx="2400300" cy="825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400300" cy="8255"/>
                    </a:xfrm>
                    <a:prstGeom prst="rect">
                      <a:avLst/>
                    </a:prstGeom>
                    <a:noFill/>
                  </pic:spPr>
                </pic:pic>
              </a:graphicData>
            </a:graphic>
          </wp:anchor>
        </w:drawing>
      </w:r>
    </w:p>
    <w:p>
      <w:pPr>
        <w:spacing w:after="0" w:line="34"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Name: Jean Hu</w:t>
      </w:r>
    </w:p>
    <w:p>
      <w:pPr>
        <w:spacing w:after="0" w:line="9"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115</w:t>
      </w:r>
    </w:p>
    <w:p>
      <w:pPr>
        <w:sectPr>
          <w:pgSz w:w="11900" w:h="16838" w:orient="portrait"/>
          <w:cols w:equalWidth="0" w:num="1">
            <w:col w:w="10900"/>
          </w:cols>
          <w:pgMar w:left="440" w:top="270" w:right="559" w:bottom="1440" w:gutter="0" w:footer="0" w:header="0"/>
        </w:sectPr>
      </w:pPr>
    </w:p>
    <w:bookmarkStart w:id="127" w:name="page128"/>
    <w:bookmarkEnd w:id="127"/>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JPMORGAN CHASE BANK, N.A., as the</w:t>
      </w:r>
    </w:p>
    <w:p>
      <w:pPr>
        <w:spacing w:after="0" w:line="2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Administrative Agent and a Lender</w:t>
      </w:r>
    </w:p>
    <w:p>
      <w:pPr>
        <w:spacing w:after="0" w:line="182" w:lineRule="exact"/>
        <w:rPr>
          <w:sz w:val="20"/>
          <w:szCs w:val="20"/>
          <w:color w:val="auto"/>
        </w:rPr>
      </w:pPr>
    </w:p>
    <w:p>
      <w:pPr>
        <w:ind w:left="5920"/>
        <w:spacing w:after="0"/>
        <w:rPr>
          <w:sz w:val="20"/>
          <w:szCs w:val="20"/>
          <w:color w:val="auto"/>
        </w:rPr>
      </w:pPr>
      <w:r>
        <w:rPr>
          <w:rFonts w:ascii="Times New Roman" w:cs="Times New Roman" w:eastAsia="Times New Roman" w:hAnsi="Times New Roman"/>
          <w:sz w:val="22"/>
          <w:szCs w:val="22"/>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6320"/>
        <w:spacing w:after="0"/>
        <w:rPr>
          <w:sz w:val="20"/>
          <w:szCs w:val="20"/>
          <w:color w:val="auto"/>
        </w:rPr>
      </w:pPr>
      <w:r>
        <w:rPr>
          <w:rFonts w:ascii="Times New Roman" w:cs="Times New Roman" w:eastAsia="Times New Roman" w:hAnsi="Times New Roman"/>
          <w:sz w:val="22"/>
          <w:szCs w:val="22"/>
          <w:color w:val="auto"/>
        </w:rPr>
        <w:t>Name: Ryan Zimmerman</w:t>
      </w:r>
    </w:p>
    <w:p>
      <w:pPr>
        <w:spacing w:after="0" w:line="2" w:lineRule="exact"/>
        <w:rPr>
          <w:sz w:val="20"/>
          <w:szCs w:val="20"/>
          <w:color w:val="auto"/>
        </w:rPr>
      </w:pPr>
    </w:p>
    <w:p>
      <w:pPr>
        <w:ind w:left="63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9340"/>
          </w:cols>
          <w:pgMar w:left="1440" w:top="261" w:right="1119" w:bottom="1440" w:gutter="0" w:footer="0" w:header="0"/>
        </w:sectPr>
      </w:pPr>
    </w:p>
    <w:bookmarkStart w:id="128" w:name="page129"/>
    <w:bookmarkEnd w:id="128"/>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06" w:lineRule="exact"/>
        <w:rPr>
          <w:sz w:val="20"/>
          <w:szCs w:val="20"/>
          <w:color w:val="auto"/>
        </w:rPr>
      </w:pPr>
    </w:p>
    <w:p>
      <w:pPr>
        <w:ind w:left="5920"/>
        <w:spacing w:after="0"/>
        <w:rPr>
          <w:sz w:val="20"/>
          <w:szCs w:val="20"/>
          <w:color w:val="auto"/>
        </w:rPr>
      </w:pPr>
      <w:r>
        <w:rPr>
          <w:rFonts w:ascii="Times New Roman" w:cs="Times New Roman" w:eastAsia="Times New Roman" w:hAnsi="Times New Roman"/>
          <w:sz w:val="22"/>
          <w:szCs w:val="22"/>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6320"/>
        <w:spacing w:after="0"/>
        <w:rPr>
          <w:sz w:val="20"/>
          <w:szCs w:val="20"/>
          <w:color w:val="auto"/>
        </w:rPr>
      </w:pPr>
      <w:r>
        <w:rPr>
          <w:rFonts w:ascii="Times New Roman" w:cs="Times New Roman" w:eastAsia="Times New Roman" w:hAnsi="Times New Roman"/>
          <w:sz w:val="21"/>
          <w:szCs w:val="21"/>
          <w:color w:val="auto"/>
        </w:rPr>
        <w:t>Name: Amanuel Assefa</w:t>
      </w:r>
    </w:p>
    <w:p>
      <w:pPr>
        <w:spacing w:after="0" w:line="13" w:lineRule="exact"/>
        <w:rPr>
          <w:sz w:val="20"/>
          <w:szCs w:val="20"/>
          <w:color w:val="auto"/>
        </w:rPr>
      </w:pPr>
    </w:p>
    <w:p>
      <w:pPr>
        <w:ind w:left="63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1" w:right="1440" w:bottom="1440" w:gutter="0" w:footer="0" w:header="0"/>
        </w:sectPr>
      </w:pPr>
    </w:p>
    <w:bookmarkStart w:id="129" w:name="page130"/>
    <w:bookmarkEnd w:id="129"/>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w:t>
      </w:r>
    </w:p>
    <w:p>
      <w:pPr>
        <w:spacing w:after="0" w:line="206" w:lineRule="exact"/>
        <w:rPr>
          <w:sz w:val="20"/>
          <w:szCs w:val="20"/>
          <w:color w:val="auto"/>
        </w:rPr>
      </w:pPr>
    </w:p>
    <w:p>
      <w:pPr>
        <w:jc w:val="both"/>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Lillian Kim</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1" w:right="1440" w:bottom="1440" w:gutter="0" w:footer="0" w:header="0"/>
        </w:sectPr>
      </w:pPr>
    </w:p>
    <w:bookmarkStart w:id="130" w:name="page131"/>
    <w:bookmarkEnd w:id="130"/>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w:t>
      </w:r>
    </w:p>
    <w:p>
      <w:pPr>
        <w:spacing w:after="0" w:line="218" w:lineRule="exact"/>
        <w:rPr>
          <w:sz w:val="20"/>
          <w:szCs w:val="20"/>
          <w:color w:val="auto"/>
        </w:rPr>
      </w:pPr>
    </w:p>
    <w:p>
      <w:pPr>
        <w:jc w:val="both"/>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Daniel Kurtz</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1" w:right="1440" w:bottom="1440" w:gutter="0" w:footer="0" w:header="0"/>
        </w:sectPr>
      </w:pPr>
    </w:p>
    <w:bookmarkStart w:id="131" w:name="page132"/>
    <w:bookmarkEnd w:id="131"/>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CITIBANK, N.A.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Susan M.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1"/>
          <w:szCs w:val="21"/>
          <w:color w:val="auto"/>
        </w:rPr>
        <w:t>Name: Susan M. Olsen</w:t>
      </w:r>
    </w:p>
    <w:p>
      <w:pPr>
        <w:spacing w:after="0" w:line="13"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1" w:right="1440" w:bottom="1440" w:gutter="0" w:footer="0" w:header="0"/>
        </w:sectPr>
      </w:pPr>
    </w:p>
    <w:bookmarkStart w:id="132" w:name="page133"/>
    <w:bookmarkEnd w:id="132"/>
    <w:p>
      <w:pPr>
        <w:jc w:val="right"/>
        <w:ind w:right="39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Name: Rebecca Kratz</w:t>
      </w:r>
    </w:p>
    <w:p>
      <w:pPr>
        <w:spacing w:after="0" w:line="2"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Title:  Authorized Signatory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33" w:name="page134"/>
    <w:bookmarkEnd w:id="133"/>
    <w:p>
      <w:pPr>
        <w:jc w:val="right"/>
        <w:ind w:right="131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Jeff French</w:t>
      </w:r>
    </w:p>
    <w:p>
      <w:pPr>
        <w:spacing w:after="0" w:line="2"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1"/>
          <w:szCs w:val="21"/>
          <w:color w:val="auto"/>
        </w:rPr>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34" w:name="page135"/>
    <w:bookmarkEnd w:id="134"/>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DBS Bank Ltd.</w:t>
      </w:r>
    </w:p>
    <w:p>
      <w:pPr>
        <w:spacing w:after="0" w:line="206"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Terence Yong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Terence Yong</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1"/>
          <w:szCs w:val="21"/>
          <w:color w:val="auto"/>
        </w:rPr>
        <w:t>Title:</w:t>
        <w:tab/>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35" w:name="page136"/>
    <w:bookmarkEnd w:id="135"/>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Name: Tracy Rahn</w:t>
      </w:r>
    </w:p>
    <w:p>
      <w:pPr>
        <w:spacing w:after="0" w:line="2"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Title:  Executive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36" w:name="page137"/>
    <w:bookmarkEnd w:id="136"/>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w:t>
      </w:r>
    </w:p>
    <w:p>
      <w:pPr>
        <w:spacing w:after="0" w:line="14"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as a Lender</w:t>
      </w:r>
    </w:p>
    <w:p>
      <w:pPr>
        <w:spacing w:after="0" w:line="182" w:lineRule="exact"/>
        <w:rPr>
          <w:sz w:val="20"/>
          <w:szCs w:val="20"/>
          <w:color w:val="auto"/>
        </w:rPr>
      </w:pPr>
    </w:p>
    <w:tbl>
      <w:tblPr>
        <w:tblLayout w:type="fixed"/>
        <w:tblInd w:w="5620" w:type="dxa"/>
        <w:tblCellMar>
          <w:top w:w="0" w:type="dxa"/>
          <w:left w:w="0" w:type="dxa"/>
          <w:bottom w:w="0" w:type="dxa"/>
          <w:right w:w="0" w:type="dxa"/>
        </w:tblCellMar>
      </w:tblPr>
      <w:tr>
        <w:trPr>
          <w:trHeight w:val="270"/>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7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Karl Thomasma</w:t>
            </w:r>
          </w:p>
        </w:tc>
      </w:tr>
      <w:tr>
        <w:trPr>
          <w:trHeight w:val="223"/>
        </w:trPr>
        <w:tc>
          <w:tcPr>
            <w:tcW w:w="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Karl Thomasma</w:t>
            </w:r>
          </w:p>
        </w:tc>
      </w:tr>
      <w:tr>
        <w:trPr>
          <w:trHeight w:val="282"/>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700" w:type="dxa"/>
            <w:vAlign w:val="bottom"/>
          </w:tcPr>
          <w:p>
            <w:pPr>
              <w:spacing w:after="0"/>
              <w:rPr>
                <w:sz w:val="20"/>
                <w:szCs w:val="20"/>
                <w:color w:val="auto"/>
              </w:rPr>
            </w:pPr>
            <w:r>
              <w:rPr>
                <w:rFonts w:ascii="Times New Roman" w:cs="Times New Roman" w:eastAsia="Times New Roman" w:hAnsi="Times New Roman"/>
                <w:sz w:val="22"/>
                <w:szCs w:val="22"/>
                <w:color w:val="auto"/>
              </w:rPr>
              <w:t>Senior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37" w:name="page138"/>
    <w:bookmarkEnd w:id="137"/>
    <w:p>
      <w:pPr>
        <w:jc w:val="right"/>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w:t>
      </w:r>
    </w:p>
    <w:p>
      <w:pPr>
        <w:spacing w:after="0" w:line="206"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10795</wp:posOffset>
            </wp:positionV>
            <wp:extent cx="2339975" cy="825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33997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Michael Maguire</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Managing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20"/>
          </w:cols>
          <w:pgMar w:left="1440" w:top="260" w:right="1439" w:bottom="1440" w:gutter="0" w:footer="0" w:header="0"/>
        </w:sectPr>
      </w:pPr>
    </w:p>
    <w:bookmarkStart w:id="138" w:name="page139"/>
    <w:bookmarkEnd w:id="138"/>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BBVA USA</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70"/>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7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Chris Dowler</w:t>
            </w:r>
          </w:p>
        </w:tc>
      </w:tr>
      <w:tr>
        <w:trPr>
          <w:trHeight w:val="223"/>
        </w:trPr>
        <w:tc>
          <w:tcPr>
            <w:tcW w:w="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Chris Dowler</w:t>
            </w:r>
          </w:p>
        </w:tc>
      </w:tr>
      <w:tr>
        <w:trPr>
          <w:trHeight w:val="282"/>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700" w:type="dxa"/>
            <w:vAlign w:val="bottom"/>
          </w:tcPr>
          <w:p>
            <w:pPr>
              <w:spacing w:after="0"/>
              <w:rPr>
                <w:sz w:val="20"/>
                <w:szCs w:val="20"/>
                <w:color w:val="auto"/>
              </w:rPr>
            </w:pPr>
            <w:r>
              <w:rPr>
                <w:rFonts w:ascii="Times New Roman" w:cs="Times New Roman" w:eastAsia="Times New Roman" w:hAnsi="Times New Roman"/>
                <w:sz w:val="22"/>
                <w:szCs w:val="22"/>
                <w:color w:val="auto"/>
              </w:rPr>
              <w:t>Senior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39" w:name="page140"/>
    <w:bookmarkEnd w:id="139"/>
    <w:p>
      <w:pPr>
        <w:ind w:left="5620"/>
        <w:spacing w:after="0"/>
        <w:rPr>
          <w:sz w:val="20"/>
          <w:szCs w:val="20"/>
          <w:color w:val="auto"/>
        </w:rPr>
      </w:pPr>
      <w:r>
        <w:rPr>
          <w:rFonts w:ascii="Times New Roman" w:cs="Times New Roman" w:eastAsia="Times New Roman" w:hAnsi="Times New Roman"/>
          <w:sz w:val="21"/>
          <w:szCs w:val="21"/>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BANK OF NOVA SCOTIA</w:t>
      </w:r>
    </w:p>
    <w:p>
      <w:pPr>
        <w:spacing w:after="0" w:line="222"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Khrystyna Manko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9"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Name:</w:t>
      </w:r>
      <w:r>
        <w:rPr>
          <w:sz w:val="20"/>
          <w:szCs w:val="20"/>
          <w:color w:val="auto"/>
        </w:rPr>
        <w:tab/>
      </w:r>
      <w:r>
        <w:rPr>
          <w:rFonts w:ascii="Times New Roman" w:cs="Times New Roman" w:eastAsia="Times New Roman" w:hAnsi="Times New Roman"/>
          <w:sz w:val="21"/>
          <w:szCs w:val="21"/>
          <w:color w:val="auto"/>
        </w:rPr>
        <w:t>Khrystyna Manko</w:t>
      </w:r>
    </w:p>
    <w:p>
      <w:pPr>
        <w:spacing w:after="0" w:line="2"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Title:</w:t>
        <w:tab/>
        <w:t>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56" w:right="1440" w:bottom="1440" w:gutter="0" w:footer="0" w:header="0"/>
        </w:sectPr>
      </w:pPr>
    </w:p>
    <w:bookmarkStart w:id="140" w:name="page141"/>
    <w:bookmarkEnd w:id="140"/>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Credit Agricole Corporate and Investment Bank</w:t>
      </w:r>
    </w:p>
    <w:p>
      <w:pPr>
        <w:spacing w:after="0" w:line="206" w:lineRule="exact"/>
        <w:rPr>
          <w:sz w:val="20"/>
          <w:szCs w:val="20"/>
          <w:color w:val="auto"/>
        </w:rPr>
      </w:pPr>
    </w:p>
    <w:tbl>
      <w:tblPr>
        <w:tblLayout w:type="fixed"/>
        <w:tblInd w:w="5920" w:type="dxa"/>
        <w:tblCellMar>
          <w:top w:w="0" w:type="dxa"/>
          <w:left w:w="0" w:type="dxa"/>
          <w:bottom w:w="0" w:type="dxa"/>
          <w:right w:w="0" w:type="dxa"/>
        </w:tblCellMar>
      </w:tblPr>
      <w:tr>
        <w:trPr>
          <w:trHeight w:val="270"/>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4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Jill Wong</w:t>
            </w:r>
          </w:p>
        </w:tc>
      </w:tr>
      <w:tr>
        <w:trPr>
          <w:trHeight w:val="223"/>
        </w:trPr>
        <w:tc>
          <w:tcPr>
            <w:tcW w:w="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4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Jill Wong</w:t>
            </w:r>
          </w:p>
        </w:tc>
      </w:tr>
      <w:tr>
        <w:trPr>
          <w:trHeight w:val="282"/>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400" w:type="dxa"/>
            <w:vAlign w:val="bottom"/>
          </w:tcPr>
          <w:p>
            <w:pPr>
              <w:spacing w:after="0"/>
              <w:rPr>
                <w:sz w:val="20"/>
                <w:szCs w:val="20"/>
                <w:color w:val="auto"/>
              </w:rPr>
            </w:pPr>
            <w:r>
              <w:rPr>
                <w:rFonts w:ascii="Times New Roman" w:cs="Times New Roman" w:eastAsia="Times New Roman" w:hAnsi="Times New Roman"/>
                <w:sz w:val="22"/>
                <w:szCs w:val="22"/>
                <w:color w:val="auto"/>
              </w:rPr>
              <w:t>Director</w:t>
            </w:r>
          </w:p>
        </w:tc>
      </w:tr>
      <w:tr>
        <w:trPr>
          <w:trHeight w:val="663"/>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4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Gordon Yip</w:t>
            </w:r>
          </w:p>
        </w:tc>
      </w:tr>
      <w:tr>
        <w:trPr>
          <w:trHeight w:val="223"/>
        </w:trPr>
        <w:tc>
          <w:tcPr>
            <w:tcW w:w="7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40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Gordon Yip</w:t>
            </w:r>
          </w:p>
        </w:tc>
      </w:tr>
      <w:tr>
        <w:trPr>
          <w:trHeight w:val="282"/>
        </w:trPr>
        <w:tc>
          <w:tcPr>
            <w:tcW w:w="70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400" w:type="dxa"/>
            <w:vAlign w:val="bottom"/>
          </w:tcPr>
          <w:p>
            <w:pPr>
              <w:spacing w:after="0"/>
              <w:rPr>
                <w:sz w:val="20"/>
                <w:szCs w:val="20"/>
                <w:color w:val="auto"/>
              </w:rPr>
            </w:pPr>
            <w:r>
              <w:rPr>
                <w:rFonts w:ascii="Times New Roman" w:cs="Times New Roman" w:eastAsia="Times New Roman" w:hAnsi="Times New Roman"/>
                <w:sz w:val="22"/>
                <w:szCs w:val="22"/>
                <w:color w:val="auto"/>
              </w:rPr>
              <w:t>Director</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41" w:name="page142"/>
    <w:bookmarkEnd w:id="141"/>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Fifth Third Bank, National Association</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70"/>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6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Marisa Lake</w:t>
            </w:r>
          </w:p>
        </w:tc>
      </w:tr>
      <w:tr>
        <w:trPr>
          <w:trHeight w:val="223"/>
        </w:trPr>
        <w:tc>
          <w:tcPr>
            <w:tcW w:w="74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66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Marisa Lake</w:t>
            </w:r>
          </w:p>
        </w:tc>
      </w:tr>
      <w:tr>
        <w:trPr>
          <w:trHeight w:val="282"/>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660" w:type="dxa"/>
            <w:vAlign w:val="bottom"/>
          </w:tcPr>
          <w:p>
            <w:pPr>
              <w:spacing w:after="0"/>
              <w:rPr>
                <w:sz w:val="20"/>
                <w:szCs w:val="20"/>
                <w:color w:val="auto"/>
              </w:rPr>
            </w:pPr>
            <w:r>
              <w:rPr>
                <w:rFonts w:ascii="Times New Roman" w:cs="Times New Roman" w:eastAsia="Times New Roman" w:hAnsi="Times New Roman"/>
                <w:sz w:val="22"/>
                <w:szCs w:val="22"/>
                <w:color w:val="auto"/>
              </w:rPr>
              <w:t>Assistant 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42" w:name="page143"/>
    <w:bookmarkEnd w:id="142"/>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KeyBank National Association</w:t>
      </w:r>
    </w:p>
    <w:p>
      <w:pPr>
        <w:spacing w:after="0" w:line="218"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Jason A. Nichols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2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9"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Name:</w:t>
      </w:r>
      <w:r>
        <w:rPr>
          <w:sz w:val="20"/>
          <w:szCs w:val="20"/>
          <w:color w:val="auto"/>
        </w:rPr>
        <w:tab/>
      </w:r>
      <w:r>
        <w:rPr>
          <w:rFonts w:ascii="Times New Roman" w:cs="Times New Roman" w:eastAsia="Times New Roman" w:hAnsi="Times New Roman"/>
          <w:sz w:val="21"/>
          <w:szCs w:val="21"/>
          <w:color w:val="auto"/>
        </w:rPr>
        <w:t>Jason A. Nichols</w:t>
      </w:r>
    </w:p>
    <w:p>
      <w:pPr>
        <w:spacing w:after="0" w:line="2"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Title:</w:t>
        <w:tab/>
        <w:t>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43" w:name="page144"/>
    <w:bookmarkEnd w:id="143"/>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Oversea-Chinese Banking Corporation Limited,</w:t>
      </w:r>
    </w:p>
    <w:p>
      <w:pPr>
        <w:spacing w:after="0" w:line="14"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Los Angeles Agency</w:t>
      </w:r>
    </w:p>
    <w:p>
      <w:pPr>
        <w:spacing w:after="0" w:line="182" w:lineRule="exact"/>
        <w:rPr>
          <w:sz w:val="20"/>
          <w:szCs w:val="20"/>
          <w:color w:val="auto"/>
        </w:rPr>
      </w:pPr>
    </w:p>
    <w:tbl>
      <w:tblPr>
        <w:tblLayout w:type="fixed"/>
        <w:tblInd w:w="5620" w:type="dxa"/>
        <w:tblCellMar>
          <w:top w:w="0" w:type="dxa"/>
          <w:left w:w="0" w:type="dxa"/>
          <w:bottom w:w="0" w:type="dxa"/>
          <w:right w:w="0" w:type="dxa"/>
        </w:tblCellMar>
      </w:tblPr>
      <w:tr>
        <w:trPr>
          <w:trHeight w:val="270"/>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6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Charles Ong</w:t>
            </w:r>
          </w:p>
        </w:tc>
      </w:tr>
      <w:tr>
        <w:trPr>
          <w:trHeight w:val="223"/>
        </w:trPr>
        <w:tc>
          <w:tcPr>
            <w:tcW w:w="74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66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Charles Ong</w:t>
            </w:r>
          </w:p>
        </w:tc>
      </w:tr>
      <w:tr>
        <w:trPr>
          <w:trHeight w:val="282"/>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660" w:type="dxa"/>
            <w:vAlign w:val="bottom"/>
          </w:tcPr>
          <w:p>
            <w:pPr>
              <w:spacing w:after="0"/>
              <w:rPr>
                <w:sz w:val="20"/>
                <w:szCs w:val="20"/>
                <w:color w:val="auto"/>
              </w:rPr>
            </w:pPr>
            <w:r>
              <w:rPr>
                <w:rFonts w:ascii="Times New Roman" w:cs="Times New Roman" w:eastAsia="Times New Roman" w:hAnsi="Times New Roman"/>
                <w:sz w:val="22"/>
                <w:szCs w:val="22"/>
                <w:color w:val="auto"/>
              </w:rPr>
              <w:t>Managing Director</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44" w:name="page145"/>
    <w:bookmarkEnd w:id="144"/>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TORONTO-DOMINION BANK,</w:t>
      </w:r>
    </w:p>
    <w:p>
      <w:pPr>
        <w:spacing w:after="0" w:line="2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NEW YORK BRANCH, as lender</w:t>
      </w:r>
    </w:p>
    <w:p>
      <w:pPr>
        <w:spacing w:after="0" w:line="19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Michael Borowiecki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Name: Michael Borowiecki</w:t>
      </w:r>
    </w:p>
    <w:p>
      <w:pPr>
        <w:spacing w:after="0" w:line="2"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Title:  Authorized Signatory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20"/>
          </w:cols>
          <w:pgMar w:left="1440" w:top="260" w:right="1439" w:bottom="1440" w:gutter="0" w:footer="0" w:header="0"/>
        </w:sectPr>
      </w:pPr>
    </w:p>
    <w:bookmarkStart w:id="145" w:name="page146"/>
    <w:bookmarkEnd w:id="145"/>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Truist Bank</w:t>
      </w:r>
    </w:p>
    <w:p>
      <w:pPr>
        <w:spacing w:after="0" w:line="206" w:lineRule="exact"/>
        <w:rPr>
          <w:sz w:val="20"/>
          <w:szCs w:val="20"/>
          <w:color w:val="auto"/>
        </w:rPr>
      </w:pPr>
    </w:p>
    <w:p>
      <w:pPr>
        <w:jc w:val="both"/>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25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9"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Name:</w:t>
      </w:r>
      <w:r>
        <w:rPr>
          <w:sz w:val="20"/>
          <w:szCs w:val="20"/>
          <w:color w:val="auto"/>
        </w:rPr>
        <w:tab/>
      </w:r>
      <w:r>
        <w:rPr>
          <w:rFonts w:ascii="Times New Roman" w:cs="Times New Roman" w:eastAsia="Times New Roman" w:hAnsi="Times New Roman"/>
          <w:sz w:val="21"/>
          <w:szCs w:val="21"/>
          <w:color w:val="auto"/>
        </w:rPr>
        <w:t>Alfonso Brigham</w:t>
      </w:r>
    </w:p>
    <w:p>
      <w:pPr>
        <w:spacing w:after="0" w:line="2"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Title:</w:t>
        <w:tab/>
        <w:t>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46" w:name="page147"/>
    <w:bookmarkEnd w:id="146"/>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w:t>
      </w:r>
    </w:p>
    <w:p>
      <w:pPr>
        <w:spacing w:after="0" w:line="218"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2"/>
          <w:szCs w:val="22"/>
          <w:color w:val="auto"/>
        </w:rPr>
        <w:t>/s/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2314575" cy="8890"/>
                    </a:xfrm>
                    <a:prstGeom prst="rect">
                      <a:avLst/>
                    </a:prstGeom>
                    <a:noFill/>
                  </pic:spPr>
                </pic:pic>
              </a:graphicData>
            </a:graphic>
          </wp:anchor>
        </w:drawing>
      </w:r>
    </w:p>
    <w:p>
      <w:pPr>
        <w:spacing w:after="0" w:line="9"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Name:</w:t>
      </w:r>
      <w:r>
        <w:rPr>
          <w:sz w:val="20"/>
          <w:szCs w:val="20"/>
          <w:color w:val="auto"/>
        </w:rPr>
        <w:tab/>
      </w:r>
      <w:r>
        <w:rPr>
          <w:rFonts w:ascii="Times New Roman" w:cs="Times New Roman" w:eastAsia="Times New Roman" w:hAnsi="Times New Roman"/>
          <w:sz w:val="21"/>
          <w:szCs w:val="21"/>
          <w:color w:val="auto"/>
        </w:rPr>
        <w:t>Susan M. Bowes</w:t>
      </w:r>
    </w:p>
    <w:p>
      <w:pPr>
        <w:spacing w:after="0" w:line="2" w:lineRule="exact"/>
        <w:rPr>
          <w:sz w:val="20"/>
          <w:szCs w:val="20"/>
          <w:color w:val="auto"/>
        </w:rPr>
      </w:pPr>
    </w:p>
    <w:p>
      <w:pPr>
        <w:ind w:left="5620"/>
        <w:spacing w:after="0"/>
        <w:tabs>
          <w:tab w:leader="none" w:pos="6340" w:val="left"/>
        </w:tabs>
        <w:rPr>
          <w:sz w:val="20"/>
          <w:szCs w:val="20"/>
          <w:color w:val="auto"/>
        </w:rPr>
      </w:pPr>
      <w:r>
        <w:rPr>
          <w:rFonts w:ascii="Times New Roman" w:cs="Times New Roman" w:eastAsia="Times New Roman" w:hAnsi="Times New Roman"/>
          <w:sz w:val="22"/>
          <w:szCs w:val="22"/>
          <w:color w:val="auto"/>
        </w:rPr>
        <w:t>Title:</w:t>
        <w:tab/>
        <w:t>Senior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47" w:name="page148"/>
    <w:bookmarkEnd w:id="147"/>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BARCLAYS BANK PLC</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Martin Corrigan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2537460" cy="8890"/>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1"/>
          <w:szCs w:val="21"/>
          <w:color w:val="auto"/>
        </w:rPr>
        <w:t>Name: Martin Corrigan</w:t>
      </w:r>
    </w:p>
    <w:p>
      <w:pPr>
        <w:spacing w:after="0" w:line="13"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Term Loan Credit Agreement]</w:t>
      </w:r>
    </w:p>
    <w:p>
      <w:pPr>
        <w:sectPr>
          <w:pgSz w:w="11900" w:h="16838" w:orient="portrait"/>
          <w:cols w:equalWidth="0" w:num="1">
            <w:col w:w="9019"/>
          </w:cols>
          <w:pgMar w:left="1440" w:top="260" w:right="1440" w:bottom="1440" w:gutter="0" w:footer="0" w:header="0"/>
        </w:sectPr>
      </w:pPr>
    </w:p>
    <w:bookmarkStart w:id="148" w:name="page149"/>
    <w:bookmarkEnd w:id="148"/>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w:t>
      </w:r>
    </w:p>
    <w:p>
      <w:pPr>
        <w:spacing w:after="0" w:line="206" w:lineRule="exact"/>
        <w:rPr>
          <w:sz w:val="20"/>
          <w:szCs w:val="20"/>
          <w:color w:val="auto"/>
        </w:rPr>
      </w:pPr>
    </w:p>
    <w:tbl>
      <w:tblPr>
        <w:tblLayout w:type="fixed"/>
        <w:tblInd w:w="5620" w:type="dxa"/>
        <w:tblCellMar>
          <w:top w:w="0" w:type="dxa"/>
          <w:left w:w="0" w:type="dxa"/>
          <w:bottom w:w="0" w:type="dxa"/>
          <w:right w:w="0" w:type="dxa"/>
        </w:tblCellMar>
      </w:tblPr>
      <w:tr>
        <w:trPr>
          <w:trHeight w:val="270"/>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6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Brendan Heneghan</w:t>
            </w:r>
          </w:p>
        </w:tc>
      </w:tr>
      <w:tr>
        <w:trPr>
          <w:trHeight w:val="223"/>
        </w:trPr>
        <w:tc>
          <w:tcPr>
            <w:tcW w:w="74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66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Brendan Heneghan</w:t>
            </w:r>
          </w:p>
        </w:tc>
      </w:tr>
      <w:tr>
        <w:trPr>
          <w:trHeight w:val="282"/>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660" w:type="dxa"/>
            <w:vAlign w:val="bottom"/>
          </w:tcPr>
          <w:p>
            <w:pPr>
              <w:spacing w:after="0"/>
              <w:rPr>
                <w:sz w:val="20"/>
                <w:szCs w:val="20"/>
                <w:color w:val="auto"/>
              </w:rPr>
            </w:pPr>
            <w:r>
              <w:rPr>
                <w:rFonts w:ascii="Times New Roman" w:cs="Times New Roman" w:eastAsia="Times New Roman" w:hAnsi="Times New Roman"/>
                <w:sz w:val="22"/>
                <w:szCs w:val="22"/>
                <w:color w:val="auto"/>
              </w:rPr>
              <w:t>Director</w:t>
            </w:r>
          </w:p>
        </w:tc>
      </w:tr>
      <w:tr>
        <w:trPr>
          <w:trHeight w:val="663"/>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By:</w:t>
            </w:r>
          </w:p>
        </w:tc>
        <w:tc>
          <w:tcPr>
            <w:tcW w:w="36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22"/>
                <w:szCs w:val="22"/>
                <w:color w:val="auto"/>
              </w:rPr>
              <w:t>/s/ Karim Remtoula</w:t>
            </w:r>
          </w:p>
        </w:tc>
      </w:tr>
      <w:tr>
        <w:trPr>
          <w:trHeight w:val="223"/>
        </w:trPr>
        <w:tc>
          <w:tcPr>
            <w:tcW w:w="74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Name:</w:t>
            </w:r>
          </w:p>
        </w:tc>
        <w:tc>
          <w:tcPr>
            <w:tcW w:w="3660" w:type="dxa"/>
            <w:vAlign w:val="bottom"/>
          </w:tcPr>
          <w:p>
            <w:pPr>
              <w:spacing w:after="0" w:line="223" w:lineRule="exact"/>
              <w:rPr>
                <w:sz w:val="20"/>
                <w:szCs w:val="20"/>
                <w:color w:val="auto"/>
              </w:rPr>
            </w:pPr>
            <w:r>
              <w:rPr>
                <w:rFonts w:ascii="Times New Roman" w:cs="Times New Roman" w:eastAsia="Times New Roman" w:hAnsi="Times New Roman"/>
                <w:sz w:val="22"/>
                <w:szCs w:val="22"/>
                <w:color w:val="auto"/>
              </w:rPr>
              <w:t>Karim Remtoula</w:t>
            </w:r>
          </w:p>
        </w:tc>
      </w:tr>
      <w:tr>
        <w:trPr>
          <w:trHeight w:val="282"/>
        </w:trPr>
        <w:tc>
          <w:tcPr>
            <w:tcW w:w="740" w:type="dxa"/>
            <w:vAlign w:val="bottom"/>
          </w:tcPr>
          <w:p>
            <w:pPr>
              <w:spacing w:after="0"/>
              <w:rPr>
                <w:sz w:val="20"/>
                <w:szCs w:val="20"/>
                <w:color w:val="auto"/>
              </w:rPr>
            </w:pPr>
            <w:r>
              <w:rPr>
                <w:rFonts w:ascii="Times New Roman" w:cs="Times New Roman" w:eastAsia="Times New Roman" w:hAnsi="Times New Roman"/>
                <w:sz w:val="22"/>
                <w:szCs w:val="22"/>
                <w:color w:val="auto"/>
              </w:rPr>
              <w:t>Title:</w:t>
            </w:r>
          </w:p>
        </w:tc>
        <w:tc>
          <w:tcPr>
            <w:tcW w:w="3660" w:type="dxa"/>
            <w:vAlign w:val="bottom"/>
          </w:tcPr>
          <w:p>
            <w:pPr>
              <w:spacing w:after="0"/>
              <w:rPr>
                <w:sz w:val="20"/>
                <w:szCs w:val="20"/>
                <w:color w:val="auto"/>
              </w:rPr>
            </w:pPr>
            <w:r>
              <w:rPr>
                <w:rFonts w:ascii="Times New Roman" w:cs="Times New Roman" w:eastAsia="Times New Roman" w:hAnsi="Times New Roman"/>
                <w:sz w:val="22"/>
                <w:szCs w:val="22"/>
                <w:color w:val="auto"/>
              </w:rPr>
              <w:t>Vice President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360"/>
        <w:spacing w:after="0"/>
        <w:rPr>
          <w:sz w:val="20"/>
          <w:szCs w:val="20"/>
          <w:color w:val="auto"/>
        </w:rPr>
      </w:pPr>
      <w:r>
        <w:rPr>
          <w:rFonts w:ascii="Times New Roman" w:cs="Times New Roman" w:eastAsia="Times New Roman" w:hAnsi="Times New Roman"/>
          <w:sz w:val="22"/>
          <w:szCs w:val="22"/>
          <w:color w:val="auto"/>
        </w:rPr>
        <w:t>[Signature Page to Term Loan Credit Agreement]</w:t>
      </w:r>
    </w:p>
    <w:p>
      <w:pPr>
        <w:sectPr>
          <w:pgSz w:w="11900" w:h="16838" w:orient="portrait"/>
          <w:cols w:equalWidth="0" w:num="1">
            <w:col w:w="10020"/>
          </w:cols>
          <w:pgMar w:left="1440" w:top="260" w:right="439" w:bottom="1440" w:gutter="0" w:footer="0" w:header="0"/>
        </w:sectPr>
      </w:pPr>
    </w:p>
    <w:bookmarkStart w:id="149" w:name="page150"/>
    <w:bookmarkEnd w:id="149"/>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10.2</w:t>
      </w:r>
    </w:p>
    <w:p>
      <w:pPr>
        <w:spacing w:after="0" w:line="22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-128905</wp:posOffset>
            </wp:positionH>
            <wp:positionV relativeFrom="paragraph">
              <wp:posOffset>180340</wp:posOffset>
            </wp:positionV>
            <wp:extent cx="699516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-128905</wp:posOffset>
            </wp:positionH>
            <wp:positionV relativeFrom="paragraph">
              <wp:posOffset>222885</wp:posOffset>
            </wp:positionV>
            <wp:extent cx="699516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Deal CUSIP Number: 57385HAJ6</w:t>
      </w:r>
    </w:p>
    <w:p>
      <w:pPr>
        <w:spacing w:after="0" w:line="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Revolving Facility CUSIP Number: 57385HAK3</w:t>
      </w:r>
    </w:p>
    <w:p>
      <w:pPr>
        <w:spacing w:after="0" w:line="207"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REVOLVING CREDIT AGREEMENT</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dated as of</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December 7, 2020,</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among</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MAUI HOLDCO, INC.,</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the GUARANTORS Party Hereto</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the LENDERS Party Hereto</w:t>
      </w:r>
    </w:p>
    <w:p>
      <w:pPr>
        <w:spacing w:after="0" w:line="225" w:lineRule="exact"/>
        <w:rPr>
          <w:sz w:val="20"/>
          <w:szCs w:val="20"/>
          <w:color w:val="auto"/>
        </w:rPr>
      </w:pPr>
    </w:p>
    <w:p>
      <w:pPr>
        <w:ind w:left="4240"/>
        <w:spacing w:after="0"/>
        <w:rPr>
          <w:sz w:val="20"/>
          <w:szCs w:val="20"/>
          <w:color w:val="auto"/>
        </w:rPr>
      </w:pPr>
      <w:r>
        <w:rPr>
          <w:rFonts w:ascii="Times New Roman" w:cs="Times New Roman" w:eastAsia="Times New Roman" w:hAnsi="Times New Roman"/>
          <w:sz w:val="18"/>
          <w:szCs w:val="18"/>
          <w:color w:val="auto"/>
        </w:rPr>
        <w:t>BANK OF AMERICA, N.A.,</w:t>
      </w:r>
    </w:p>
    <w:p>
      <w:pPr>
        <w:spacing w:after="0" w:line="27" w:lineRule="exact"/>
        <w:rPr>
          <w:sz w:val="20"/>
          <w:szCs w:val="20"/>
          <w:color w:val="auto"/>
        </w:rPr>
      </w:pPr>
    </w:p>
    <w:p>
      <w:pPr>
        <w:ind w:left="4300"/>
        <w:spacing w:after="0"/>
        <w:rPr>
          <w:sz w:val="20"/>
          <w:szCs w:val="20"/>
          <w:color w:val="auto"/>
        </w:rPr>
      </w:pPr>
      <w:r>
        <w:rPr>
          <w:rFonts w:ascii="Times New Roman" w:cs="Times New Roman" w:eastAsia="Times New Roman" w:hAnsi="Times New Roman"/>
          <w:sz w:val="18"/>
          <w:szCs w:val="18"/>
          <w:color w:val="auto"/>
        </w:rPr>
        <w:t>as the Administrative Agent</w:t>
      </w:r>
    </w:p>
    <w:p>
      <w:pPr>
        <w:spacing w:after="0" w:line="207"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200"/>
        <w:spacing w:after="0" w:line="266" w:lineRule="auto"/>
        <w:rPr>
          <w:sz w:val="20"/>
          <w:szCs w:val="20"/>
          <w:color w:val="auto"/>
        </w:rPr>
      </w:pPr>
      <w:r>
        <w:rPr>
          <w:rFonts w:ascii="Times New Roman" w:cs="Times New Roman" w:eastAsia="Times New Roman" w:hAnsi="Times New Roman"/>
          <w:sz w:val="18"/>
          <w:szCs w:val="18"/>
          <w:color w:val="auto"/>
        </w:rPr>
        <w:t>JPMORGAN CHASE BANK, N.A., BANK OF AMERICA, N.A., CITIBANK, N.A., GOLDMAN SACHS BANK USA, HSBC BANK USA, NATIONAL ASSOCIATION, MUFG BANK, LTD., WELLS FARGO BANK, NATIONAL ASSOCIATION, as Joint Lead Arrangers and Bookrunners</w:t>
      </w:r>
    </w:p>
    <w:p>
      <w:pPr>
        <w:spacing w:after="0" w:line="176"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JPMORGAN CHASE BANK, N.A.,</w:t>
      </w:r>
    </w:p>
    <w:p>
      <w:pPr>
        <w:spacing w:after="0" w:line="27"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as Syndication Agent</w:t>
      </w:r>
    </w:p>
    <w:p>
      <w:pPr>
        <w:spacing w:after="0" w:line="200" w:lineRule="exact"/>
        <w:rPr>
          <w:sz w:val="20"/>
          <w:szCs w:val="20"/>
          <w:color w:val="auto"/>
        </w:rPr>
      </w:pPr>
    </w:p>
    <w:p>
      <w:pPr>
        <w:spacing w:after="0" w:line="250"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7"/>
          <w:szCs w:val="17"/>
          <w:color w:val="auto"/>
        </w:rPr>
        <w:t>CITIBANK, N.A., GOLDMAN SACHS BANK USA, HSBC BANK USA, NATIONAL ASSOCIATION, MUFG BANK, LTD., WELLS FARGO</w:t>
      </w:r>
    </w:p>
    <w:p>
      <w:pPr>
        <w:spacing w:after="0" w:line="39"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BANK, NATIONAL ASSOCIATION,</w:t>
      </w:r>
    </w:p>
    <w:p>
      <w:pPr>
        <w:spacing w:after="0" w:line="9" w:lineRule="exact"/>
        <w:rPr>
          <w:sz w:val="20"/>
          <w:szCs w:val="20"/>
          <w:color w:val="auto"/>
        </w:rPr>
      </w:pPr>
    </w:p>
    <w:p>
      <w:pPr>
        <w:jc w:val="center"/>
        <w:ind w:right="220"/>
        <w:spacing w:after="0"/>
        <w:rPr>
          <w:sz w:val="20"/>
          <w:szCs w:val="20"/>
          <w:color w:val="auto"/>
        </w:rPr>
      </w:pPr>
      <w:r>
        <w:rPr>
          <w:rFonts w:ascii="Times New Roman" w:cs="Times New Roman" w:eastAsia="Times New Roman" w:hAnsi="Times New Roman"/>
          <w:sz w:val="18"/>
          <w:szCs w:val="18"/>
          <w:color w:val="auto"/>
        </w:rPr>
        <w:t>as 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-128905</wp:posOffset>
            </wp:positionH>
            <wp:positionV relativeFrom="paragraph">
              <wp:posOffset>168910</wp:posOffset>
            </wp:positionV>
            <wp:extent cx="699516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-128905</wp:posOffset>
            </wp:positionH>
            <wp:positionV relativeFrom="paragraph">
              <wp:posOffset>211455</wp:posOffset>
            </wp:positionV>
            <wp:extent cx="699516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820"/>
          </w:cols>
          <w:pgMar w:left="640" w:top="266" w:right="439" w:bottom="1440" w:gutter="0" w:footer="0" w:header="0"/>
        </w:sectPr>
      </w:pPr>
    </w:p>
    <w:bookmarkStart w:id="150" w:name="page151"/>
    <w:bookmarkEnd w:id="150"/>
    <w:tbl>
      <w:tblPr>
        <w:tblLayout w:type="fixed"/>
        <w:tblInd w:w="0" w:type="dxa"/>
        <w:tblCellMar>
          <w:top w:w="0" w:type="dxa"/>
          <w:left w:w="0" w:type="dxa"/>
          <w:bottom w:w="0" w:type="dxa"/>
          <w:right w:w="0" w:type="dxa"/>
        </w:tblCellMar>
      </w:tblPr>
      <w:tr>
        <w:trPr>
          <w:trHeight w:val="234"/>
        </w:trPr>
        <w:tc>
          <w:tcPr>
            <w:tcW w:w="1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6620" w:type="dxa"/>
            <w:vAlign w:val="bottom"/>
            <w:gridSpan w:val="5"/>
          </w:tcPr>
          <w:p>
            <w:pPr>
              <w:ind w:left="540"/>
              <w:spacing w:after="0"/>
              <w:rPr>
                <w:sz w:val="20"/>
                <w:szCs w:val="20"/>
                <w:color w:val="auto"/>
              </w:rPr>
            </w:pPr>
            <w:r>
              <w:rPr>
                <w:rFonts w:ascii="Times New Roman" w:cs="Times New Roman" w:eastAsia="Times New Roman" w:hAnsi="Times New Roman"/>
                <w:sz w:val="18"/>
                <w:szCs w:val="18"/>
                <w:color w:val="auto"/>
              </w:rPr>
              <w:t>TABLE OF CONTENTS</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1"/>
        </w:trPr>
        <w:tc>
          <w:tcPr>
            <w:tcW w:w="1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vMerge w:val="restart"/>
          </w:tcPr>
          <w:p>
            <w:pPr>
              <w:jc w:val="center"/>
              <w:ind w:right="4860"/>
              <w:spacing w:after="0"/>
              <w:rPr>
                <w:sz w:val="20"/>
                <w:szCs w:val="20"/>
                <w:color w:val="auto"/>
              </w:rPr>
            </w:pPr>
            <w:r>
              <w:rPr>
                <w:rFonts w:ascii="Times New Roman" w:cs="Times New Roman" w:eastAsia="Times New Roman" w:hAnsi="Times New Roman"/>
                <w:sz w:val="18"/>
                <w:szCs w:val="18"/>
                <w:color w:val="auto"/>
                <w:w w:val="99"/>
              </w:rPr>
              <w:t>ARTICLE I</w:t>
            </w:r>
          </w:p>
        </w:tc>
        <w:tc>
          <w:tcPr>
            <w:tcW w:w="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color w:val="auto"/>
                <w:w w:val="95"/>
              </w:rPr>
              <w:t>Page</w:t>
            </w:r>
          </w:p>
        </w:tc>
        <w:tc>
          <w:tcPr>
            <w:tcW w:w="0" w:type="dxa"/>
            <w:vAlign w:val="bottom"/>
          </w:tcPr>
          <w:p>
            <w:pPr>
              <w:spacing w:after="0"/>
              <w:rPr>
                <w:sz w:val="1"/>
                <w:szCs w:val="1"/>
                <w:color w:val="auto"/>
              </w:rPr>
            </w:pPr>
          </w:p>
        </w:tc>
      </w:tr>
      <w:tr>
        <w:trPr>
          <w:trHeight w:val="196"/>
        </w:trPr>
        <w:tc>
          <w:tcPr>
            <w:tcW w:w="1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40" w:type="dxa"/>
            <w:vAlign w:val="bottom"/>
            <w:gridSpan w:val="4"/>
            <w:vMerge w:val="continue"/>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Definitions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SECTION 1.01. Defined Terms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1.02. Classification of Loans and Borrowings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28</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1.03. Terms Generally</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28</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1.04. Accounting Terms; GAAP; Pro Forma Calculations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29</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280" w:type="dxa"/>
            <w:vAlign w:val="bottom"/>
            <w:tcBorders>
              <w:left w:val="single" w:sz="8" w:color="auto"/>
            </w:tcBorders>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1.05. Currency Translation</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30</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1.06. Effectuation of Transactions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30</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1.07. Interest Rates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1.08. Divisions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tcPr>
          <w:p>
            <w:pPr>
              <w:jc w:val="center"/>
              <w:ind w:right="4860"/>
              <w:spacing w:after="0"/>
              <w:rPr>
                <w:sz w:val="20"/>
                <w:szCs w:val="20"/>
                <w:color w:val="auto"/>
              </w:rPr>
            </w:pPr>
            <w:r>
              <w:rPr>
                <w:rFonts w:ascii="Times New Roman" w:cs="Times New Roman" w:eastAsia="Times New Roman" w:hAnsi="Times New Roman"/>
                <w:sz w:val="18"/>
                <w:szCs w:val="18"/>
                <w:color w:val="auto"/>
                <w:w w:val="97"/>
              </w:rPr>
              <w:t>ARTICLE II</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The Credits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SECTION 2.01. Commitments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2.02. Loans and Borrowings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2.03. Requests for Borrowings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32</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2.04. Funding of Borrowings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2.05. Interest Elections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2.06. Termination and Reduction of Revolving Commitments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34</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580" w:type="dxa"/>
            <w:vAlign w:val="bottom"/>
            <w:tcBorders>
              <w:left w:val="single" w:sz="8" w:color="auto"/>
            </w:tcBorders>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2.07. Repayment of Loans; Evidence of Debt</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2.08. Prepayment of Loans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35</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2.09. Fees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gridSpan w:val="6"/>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2.10. Interest</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gridSpan w:val="6"/>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2.11. Inability to Determine Rates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37</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2.12. Increased Costs; Illegality</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41</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2.13. Break Funding Payments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2.14. Taxes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980" w:type="dxa"/>
            <w:vAlign w:val="bottom"/>
            <w:gridSpan w:val="7"/>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2.15. Payments Generally; Pro Rata Treatment; Sharing of Setoffs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47</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20" w:type="dxa"/>
            <w:vAlign w:val="bottom"/>
            <w:gridSpan w:val="2"/>
            <w:shd w:val="clear" w:color="auto" w:fill="000000"/>
          </w:tcPr>
          <w:p>
            <w:pPr>
              <w:spacing w:after="0" w:line="20" w:lineRule="exact"/>
              <w:rPr>
                <w:sz w:val="1"/>
                <w:szCs w:val="1"/>
                <w:color w:val="auto"/>
              </w:rPr>
            </w:pPr>
          </w:p>
        </w:tc>
        <w:tc>
          <w:tcPr>
            <w:tcW w:w="920" w:type="dxa"/>
            <w:vAlign w:val="bottom"/>
            <w:tcBorders>
              <w:left w:val="single" w:sz="8" w:color="auto"/>
            </w:tcBorders>
            <w:gridSpan w:val="3"/>
            <w:shd w:val="clear" w:color="auto" w:fill="000000"/>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2.16. Mitigation Obligations; Replacement of Lenders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48</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20" w:type="dxa"/>
            <w:vAlign w:val="bottom"/>
            <w:gridSpan w:val="2"/>
            <w:shd w:val="clear" w:color="auto" w:fill="000000"/>
          </w:tcPr>
          <w:p>
            <w:pPr>
              <w:spacing w:after="0" w:line="20" w:lineRule="exact"/>
              <w:rPr>
                <w:sz w:val="1"/>
                <w:szCs w:val="1"/>
                <w:color w:val="auto"/>
              </w:rPr>
            </w:pPr>
          </w:p>
        </w:tc>
        <w:tc>
          <w:tcPr>
            <w:tcW w:w="6040" w:type="dxa"/>
            <w:vAlign w:val="bottom"/>
            <w:tcBorders>
              <w:left w:val="single" w:sz="8" w:color="auto"/>
            </w:tcBorders>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2.17. Defaulting Lenders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49</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2.18. Certain Permitted Amendments.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51</w:t>
            </w:r>
          </w:p>
        </w:tc>
        <w:tc>
          <w:tcPr>
            <w:tcW w:w="0" w:type="dxa"/>
            <w:vAlign w:val="bottom"/>
          </w:tcPr>
          <w:p>
            <w:pPr>
              <w:spacing w:after="0"/>
              <w:rPr>
                <w:sz w:val="1"/>
                <w:szCs w:val="1"/>
                <w:color w:val="auto"/>
              </w:rPr>
            </w:pP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40" w:type="dxa"/>
            <w:vAlign w:val="bottom"/>
            <w:gridSpan w:val="4"/>
          </w:tcPr>
          <w:p>
            <w:pPr>
              <w:jc w:val="center"/>
              <w:ind w:right="4860"/>
              <w:spacing w:after="0"/>
              <w:rPr>
                <w:sz w:val="20"/>
                <w:szCs w:val="20"/>
                <w:color w:val="auto"/>
              </w:rPr>
            </w:pPr>
            <w:r>
              <w:rPr>
                <w:rFonts w:ascii="Times New Roman" w:cs="Times New Roman" w:eastAsia="Times New Roman" w:hAnsi="Times New Roman"/>
                <w:sz w:val="18"/>
                <w:szCs w:val="18"/>
                <w:color w:val="auto"/>
                <w:w w:val="99"/>
              </w:rPr>
              <w:t>ARTICLE III</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Representations and Warranties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c>
          <w:tcPr>
            <w:tcW w:w="0" w:type="dxa"/>
            <w:vAlign w:val="bottom"/>
          </w:tcPr>
          <w:p>
            <w:pPr>
              <w:spacing w:after="0"/>
              <w:rPr>
                <w:sz w:val="1"/>
                <w:szCs w:val="1"/>
                <w:color w:val="auto"/>
              </w:rPr>
            </w:pPr>
          </w:p>
        </w:tc>
      </w:tr>
      <w:tr>
        <w:trPr>
          <w:trHeight w:val="283"/>
        </w:trPr>
        <w:tc>
          <w:tcPr>
            <w:tcW w:w="10680" w:type="dxa"/>
            <w:vAlign w:val="bottom"/>
            <w:gridSpan w:val="26"/>
          </w:tcPr>
          <w:p>
            <w:pPr>
              <w:spacing w:after="0"/>
              <w:rPr>
                <w:sz w:val="20"/>
                <w:szCs w:val="20"/>
                <w:color w:val="auto"/>
              </w:rPr>
            </w:pPr>
            <w:r>
              <w:rPr>
                <w:rFonts w:ascii="Times New Roman" w:cs="Times New Roman" w:eastAsia="Times New Roman" w:hAnsi="Times New Roman"/>
                <w:sz w:val="18"/>
                <w:szCs w:val="18"/>
                <w:color w:val="auto"/>
              </w:rPr>
              <w:t>SECTION 3.01. Organization; Powers</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1580" w:type="dxa"/>
            <w:vAlign w:val="bottom"/>
            <w:gridSpan w:val="11"/>
            <w:shd w:val="clear" w:color="auto" w:fill="000000"/>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3.02. Authorization; Enforceability</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53</w:t>
            </w:r>
          </w:p>
        </w:tc>
        <w:tc>
          <w:tcPr>
            <w:tcW w:w="0" w:type="dxa"/>
            <w:vAlign w:val="bottom"/>
          </w:tcPr>
          <w:p>
            <w:pPr>
              <w:spacing w:after="0"/>
              <w:rPr>
                <w:sz w:val="1"/>
                <w:szCs w:val="1"/>
                <w:color w:val="auto"/>
              </w:rPr>
            </w:pPr>
          </w:p>
        </w:tc>
      </w:tr>
      <w:tr>
        <w:trPr>
          <w:trHeight w:val="20"/>
        </w:trPr>
        <w:tc>
          <w:tcPr>
            <w:tcW w:w="1180" w:type="dxa"/>
            <w:vAlign w:val="bottom"/>
            <w:gridSpan w:val="2"/>
          </w:tcPr>
          <w:p>
            <w:pPr>
              <w:spacing w:after="0" w:line="20" w:lineRule="exact"/>
              <w:rPr>
                <w:sz w:val="1"/>
                <w:szCs w:val="1"/>
                <w:color w:val="auto"/>
              </w:rPr>
            </w:pPr>
          </w:p>
        </w:tc>
        <w:tc>
          <w:tcPr>
            <w:tcW w:w="2140" w:type="dxa"/>
            <w:vAlign w:val="bottom"/>
            <w:gridSpan w:val="17"/>
            <w:shd w:val="clear" w:color="auto" w:fill="000000"/>
          </w:tcPr>
          <w:p>
            <w:pPr>
              <w:spacing w:after="0" w:line="20" w:lineRule="exact"/>
              <w:rPr>
                <w:sz w:val="1"/>
                <w:szCs w:val="1"/>
                <w:color w:val="auto"/>
              </w:rPr>
            </w:pPr>
          </w:p>
        </w:tc>
        <w:tc>
          <w:tcPr>
            <w:tcW w:w="1320" w:type="dxa"/>
            <w:vAlign w:val="bottom"/>
            <w:gridSpan w:val="3"/>
          </w:tcPr>
          <w:p>
            <w:pPr>
              <w:spacing w:after="0" w:line="20" w:lineRule="exact"/>
              <w:rPr>
                <w:sz w:val="1"/>
                <w:szCs w:val="1"/>
                <w:color w:val="auto"/>
              </w:rPr>
            </w:pPr>
          </w:p>
        </w:tc>
        <w:tc>
          <w:tcPr>
            <w:tcW w:w="6040" w:type="dxa"/>
            <w:vAlign w:val="bottom"/>
            <w:gridSpan w:val="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80" w:type="dxa"/>
            <w:vAlign w:val="bottom"/>
            <w:gridSpan w:val="26"/>
          </w:tcPr>
          <w:p>
            <w:pPr>
              <w:spacing w:after="0" w:line="196" w:lineRule="exact"/>
              <w:rPr>
                <w:sz w:val="20"/>
                <w:szCs w:val="20"/>
                <w:color w:val="auto"/>
              </w:rPr>
            </w:pPr>
            <w:r>
              <w:rPr>
                <w:rFonts w:ascii="Times New Roman" w:cs="Times New Roman" w:eastAsia="Times New Roman" w:hAnsi="Times New Roman"/>
                <w:sz w:val="18"/>
                <w:szCs w:val="18"/>
                <w:color w:val="auto"/>
              </w:rPr>
              <w:t>SECTION 3.03. Governmental Approvals; Absence of Conflicts</w:t>
            </w: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53</w:t>
            </w: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51" w:name="page152"/>
    <w:bookmarkEnd w:id="151"/>
    <w:tbl>
      <w:tblPr>
        <w:tblLayout w:type="fixed"/>
        <w:tblInd w:w="0" w:type="dxa"/>
        <w:tblCellMar>
          <w:top w:w="0" w:type="dxa"/>
          <w:left w:w="0" w:type="dxa"/>
          <w:bottom w:w="0" w:type="dxa"/>
          <w:right w:w="0" w:type="dxa"/>
        </w:tblCellMar>
      </w:tblPr>
      <w:tr>
        <w:trPr>
          <w:trHeight w:val="207"/>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SECTION 3.04. Financial Condition; No Material Adverse Change</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3.05. Properties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3.06. Litigation and Environmental Matters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3.07. Compliance with Laws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3.08. Investment Company Status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3.09. Taxes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3.10. ERISA</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56</w:t>
            </w:r>
          </w:p>
        </w:tc>
      </w:tr>
      <w:tr>
        <w:trPr>
          <w:trHeight w:val="20"/>
        </w:trPr>
        <w:tc>
          <w:tcPr>
            <w:tcW w:w="1160" w:type="dxa"/>
            <w:vAlign w:val="bottom"/>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3.11. Solvency</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56</w:t>
            </w:r>
          </w:p>
        </w:tc>
      </w:tr>
      <w:tr>
        <w:trPr>
          <w:trHeight w:val="20"/>
        </w:trPr>
        <w:tc>
          <w:tcPr>
            <w:tcW w:w="1160" w:type="dxa"/>
            <w:vAlign w:val="bottom"/>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3.12. Disclosure</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56</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3.13. Federal Reserve Regulations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3.14. Use of Proceeds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3.15. Ranking of Obligations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3.16. Choice of Law Provisions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57</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3.17. No Immunity</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3.18. Proper Form; No Recordation</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3.19. Affected Financial Institutions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58</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Times New Roman" w:cs="Times New Roman" w:eastAsia="Times New Roman" w:hAnsi="Times New Roman"/>
                <w:sz w:val="18"/>
                <w:szCs w:val="18"/>
                <w:color w:val="auto"/>
              </w:rPr>
              <w:t>ARTICLE IV</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Conditions</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w:t>
            </w:r>
          </w:p>
        </w:tc>
      </w:tr>
      <w:tr>
        <w:trPr>
          <w:trHeight w:val="283"/>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SECTION 4.01. Effective Date</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4.02. Each Revolving Credit Event</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60</w:t>
            </w:r>
          </w:p>
        </w:tc>
      </w:tr>
      <w:tr>
        <w:trPr>
          <w:trHeight w:val="344"/>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Times New Roman" w:cs="Times New Roman" w:eastAsia="Times New Roman" w:hAnsi="Times New Roman"/>
                <w:sz w:val="18"/>
                <w:szCs w:val="18"/>
                <w:color w:val="auto"/>
                <w:w w:val="98"/>
              </w:rPr>
              <w:t>ARTICLE V</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Affirmative Covenants</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83"/>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SECTION 5.01. Financial Statements and Other Information</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200" w:type="dxa"/>
            <w:vAlign w:val="bottom"/>
            <w:gridSpan w:val="3"/>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5.02. Notices of Material Events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62</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5.03. Existence; Conduct of Business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200" w:type="dxa"/>
            <w:vAlign w:val="bottom"/>
            <w:gridSpan w:val="3"/>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5.04. Payment of Taxes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640" w:type="dxa"/>
            <w:vAlign w:val="bottom"/>
            <w:gridSpan w:val="4"/>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5.05. Maintenance of Properties and Rights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63</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5.06. Insurance</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64</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5.07. Books and Records; Inspection and Audit Rights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64</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tcBorders>
              <w:left w:val="single" w:sz="8" w:color="auto"/>
            </w:tcBorders>
            <w:gridSpan w:val="4"/>
            <w:shd w:val="clear" w:color="auto" w:fill="000000"/>
          </w:tcPr>
          <w:p>
            <w:pPr>
              <w:spacing w:after="0" w:line="20" w:lineRule="exact"/>
              <w:rPr>
                <w:sz w:val="1"/>
                <w:szCs w:val="1"/>
                <w:color w:val="auto"/>
              </w:rPr>
            </w:pPr>
          </w:p>
        </w:tc>
        <w:tc>
          <w:tcPr>
            <w:tcW w:w="1000" w:type="dxa"/>
            <w:vAlign w:val="bottom"/>
            <w:gridSpan w:val="5"/>
            <w:shd w:val="clear" w:color="auto" w:fill="000000"/>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356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5.08. Compliance with Laws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65</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500" w:type="dxa"/>
            <w:vAlign w:val="bottom"/>
            <w:tcBorders>
              <w:left w:val="single" w:sz="8" w:color="auto"/>
            </w:tcBorders>
            <w:gridSpan w:val="2"/>
            <w:shd w:val="clear" w:color="auto" w:fill="000000"/>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5.09. Use of Proceeds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65</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Borders>
              <w:left w:val="single" w:sz="8" w:color="auto"/>
              <w:righ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5.10. Guaranty</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65</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560" w:type="dxa"/>
            <w:vAlign w:val="bottom"/>
            <w:gridSpan w:val="2"/>
          </w:tcPr>
          <w:p>
            <w:pPr>
              <w:jc w:val="center"/>
              <w:ind w:right="2400"/>
              <w:spacing w:after="0"/>
              <w:rPr>
                <w:sz w:val="20"/>
                <w:szCs w:val="20"/>
                <w:color w:val="auto"/>
              </w:rPr>
            </w:pPr>
            <w:r>
              <w:rPr>
                <w:rFonts w:ascii="Times New Roman" w:cs="Times New Roman" w:eastAsia="Times New Roman" w:hAnsi="Times New Roman"/>
                <w:sz w:val="18"/>
                <w:szCs w:val="18"/>
                <w:color w:val="auto"/>
              </w:rPr>
              <w:t>ARTICLE VI</w:t>
            </w:r>
          </w:p>
        </w:tc>
        <w:tc>
          <w:tcPr>
            <w:tcW w:w="2680" w:type="dxa"/>
            <w:vAlign w:val="bottom"/>
          </w:tcPr>
          <w:p>
            <w:pPr>
              <w:spacing w:after="0"/>
              <w:rPr>
                <w:sz w:val="24"/>
                <w:szCs w:val="24"/>
                <w:color w:val="auto"/>
              </w:rPr>
            </w:pPr>
          </w:p>
        </w:tc>
      </w:tr>
      <w:tr>
        <w:trPr>
          <w:trHeight w:val="324"/>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Negative Covenants</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83"/>
        </w:trPr>
        <w:tc>
          <w:tcPr>
            <w:tcW w:w="8280" w:type="dxa"/>
            <w:vAlign w:val="bottom"/>
            <w:gridSpan w:val="25"/>
          </w:tcPr>
          <w:p>
            <w:pPr>
              <w:spacing w:after="0"/>
              <w:rPr>
                <w:sz w:val="20"/>
                <w:szCs w:val="20"/>
                <w:color w:val="auto"/>
              </w:rPr>
            </w:pPr>
            <w:r>
              <w:rPr>
                <w:rFonts w:ascii="Times New Roman" w:cs="Times New Roman" w:eastAsia="Times New Roman" w:hAnsi="Times New Roman"/>
                <w:sz w:val="18"/>
                <w:szCs w:val="18"/>
                <w:color w:val="auto"/>
              </w:rPr>
              <w:t>SECTION 6.01. Indebtedness</w:t>
            </w:r>
          </w:p>
        </w:tc>
        <w:tc>
          <w:tcPr>
            <w:tcW w:w="2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gridSpan w:val="8"/>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6.02. Liens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69</w:t>
            </w:r>
          </w:p>
        </w:tc>
      </w:tr>
      <w:tr>
        <w:trPr>
          <w:trHeight w:val="20"/>
        </w:trPr>
        <w:tc>
          <w:tcPr>
            <w:tcW w:w="1180" w:type="dxa"/>
            <w:vAlign w:val="bottom"/>
            <w:gridSpan w:val="2"/>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680" w:type="dxa"/>
            <w:vAlign w:val="bottom"/>
            <w:gridSpan w:val="13"/>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6.03. Sale/Leaseback Transactions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71</w:t>
            </w:r>
          </w:p>
        </w:tc>
      </w:tr>
      <w:tr>
        <w:trPr>
          <w:trHeight w:val="20"/>
        </w:trPr>
        <w:tc>
          <w:tcPr>
            <w:tcW w:w="1180" w:type="dxa"/>
            <w:vAlign w:val="bottom"/>
            <w:gridSpan w:val="2"/>
          </w:tcPr>
          <w:p>
            <w:pPr>
              <w:spacing w:after="0" w:line="20" w:lineRule="exact"/>
              <w:rPr>
                <w:sz w:val="1"/>
                <w:szCs w:val="1"/>
                <w:color w:val="auto"/>
              </w:rPr>
            </w:pPr>
          </w:p>
        </w:tc>
        <w:tc>
          <w:tcPr>
            <w:tcW w:w="2100" w:type="dxa"/>
            <w:vAlign w:val="bottom"/>
            <w:gridSpan w:val="14"/>
            <w:shd w:val="clear" w:color="auto" w:fill="000000"/>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000" w:type="dxa"/>
            <w:vAlign w:val="bottom"/>
            <w:gridSpan w:val="4"/>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25"/>
          </w:tcPr>
          <w:p>
            <w:pPr>
              <w:spacing w:after="0" w:line="196" w:lineRule="exact"/>
              <w:rPr>
                <w:sz w:val="20"/>
                <w:szCs w:val="20"/>
                <w:color w:val="auto"/>
              </w:rPr>
            </w:pPr>
            <w:r>
              <w:rPr>
                <w:rFonts w:ascii="Times New Roman" w:cs="Times New Roman" w:eastAsia="Times New Roman" w:hAnsi="Times New Roman"/>
                <w:sz w:val="18"/>
                <w:szCs w:val="18"/>
                <w:color w:val="auto"/>
              </w:rPr>
              <w:t>SECTION 6.04. Fundamental Changes; Business Activities</w:t>
            </w:r>
          </w:p>
        </w:tc>
        <w:tc>
          <w:tcPr>
            <w:tcW w:w="26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71</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0960"/>
          </w:cols>
          <w:pgMar w:left="440" w:top="256"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52" w:name="page153"/>
    <w:bookmarkEnd w:id="152"/>
    <w:tbl>
      <w:tblPr>
        <w:tblLayout w:type="fixed"/>
        <w:tblInd w:w="0" w:type="dxa"/>
        <w:tblCellMar>
          <w:top w:w="0" w:type="dxa"/>
          <w:left w:w="0" w:type="dxa"/>
          <w:bottom w:w="0" w:type="dxa"/>
          <w:right w:w="0" w:type="dxa"/>
        </w:tblCellMar>
      </w:tblPr>
      <w:tr>
        <w:trPr>
          <w:trHeight w:val="207"/>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6.05. [Reserved]</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6.06. Leverage Ratio</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73</w:t>
            </w:r>
          </w:p>
        </w:tc>
      </w:tr>
      <w:tr>
        <w:trPr>
          <w:trHeight w:val="344"/>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Times New Roman" w:cs="Times New Roman" w:eastAsia="Times New Roman" w:hAnsi="Times New Roman"/>
                <w:sz w:val="18"/>
                <w:szCs w:val="18"/>
                <w:color w:val="auto"/>
                <w:w w:val="98"/>
              </w:rPr>
              <w:t>ARTICLE VII</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Events of Default</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283"/>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7.01. Events of Default; Remedies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Times New Roman" w:cs="Times New Roman" w:eastAsia="Times New Roman" w:hAnsi="Times New Roman"/>
                <w:sz w:val="18"/>
                <w:szCs w:val="18"/>
                <w:color w:val="auto"/>
              </w:rPr>
              <w:t>ARTICLE VIII</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The Administrative Agent</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w:t>
            </w:r>
          </w:p>
        </w:tc>
      </w:tr>
      <w:tr>
        <w:trPr>
          <w:trHeight w:val="324"/>
        </w:trPr>
        <w:tc>
          <w:tcPr>
            <w:tcW w:w="1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Times New Roman" w:cs="Times New Roman" w:eastAsia="Times New Roman" w:hAnsi="Times New Roman"/>
                <w:sz w:val="18"/>
                <w:szCs w:val="18"/>
                <w:color w:val="auto"/>
              </w:rPr>
              <w:t>ARTICLE IX</w:t>
            </w:r>
          </w:p>
        </w:tc>
        <w:tc>
          <w:tcPr>
            <w:tcW w:w="2100" w:type="dxa"/>
            <w:vAlign w:val="bottom"/>
          </w:tcPr>
          <w:p>
            <w:pPr>
              <w:spacing w:after="0"/>
              <w:rPr>
                <w:sz w:val="24"/>
                <w:szCs w:val="24"/>
                <w:color w:val="auto"/>
              </w:rPr>
            </w:pPr>
          </w:p>
        </w:tc>
      </w:tr>
      <w:tr>
        <w:trPr>
          <w:trHeight w:val="324"/>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Miscellaneous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w:t>
            </w:r>
          </w:p>
        </w:tc>
      </w:tr>
      <w:tr>
        <w:trPr>
          <w:trHeight w:val="283"/>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9.01. Notices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9.02. Waivers; Amendments</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9.03. Expenses; Indemnity; Damage Waiver</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86</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9.04. Successors and Assigns</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89</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9.05. Survival</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93</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9.06. Counterparts; Integration; Effectiveness; Electronic Execution</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94</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280" w:type="dxa"/>
            <w:vAlign w:val="bottom"/>
            <w:gridSpan w:val="3"/>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9.07. Severability</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9.08. Right of Setoff</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95</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80" w:type="dxa"/>
            <w:vAlign w:val="bottom"/>
            <w:gridSpan w:val="3"/>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9.09. Governing Law; Jurisdiction; Consent to Service of Process</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96</w:t>
            </w:r>
          </w:p>
        </w:tc>
      </w:tr>
      <w:tr>
        <w:trPr>
          <w:trHeight w:val="20"/>
        </w:trPr>
        <w:tc>
          <w:tcPr>
            <w:tcW w:w="1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280" w:type="dxa"/>
            <w:vAlign w:val="bottom"/>
            <w:gridSpan w:val="3"/>
            <w:shd w:val="clear" w:color="auto" w:fill="000000"/>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9.10. WAIVER OF JURY TRIAL</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97</w:t>
            </w:r>
          </w:p>
        </w:tc>
      </w:tr>
      <w:tr>
        <w:trPr>
          <w:trHeight w:val="20"/>
        </w:trPr>
        <w:tc>
          <w:tcPr>
            <w:tcW w:w="1160" w:type="dxa"/>
            <w:vAlign w:val="bottom"/>
          </w:tcPr>
          <w:p>
            <w:pPr>
              <w:spacing w:after="0" w:line="20" w:lineRule="exact"/>
              <w:rPr>
                <w:sz w:val="1"/>
                <w:szCs w:val="1"/>
                <w:color w:val="auto"/>
              </w:rPr>
            </w:pPr>
          </w:p>
        </w:tc>
        <w:tc>
          <w:tcPr>
            <w:tcW w:w="720" w:type="dxa"/>
            <w:vAlign w:val="bottom"/>
            <w:gridSpan w:val="4"/>
            <w:shd w:val="clear" w:color="auto" w:fill="000000"/>
          </w:tcPr>
          <w:p>
            <w:pPr>
              <w:spacing w:after="0" w:line="20" w:lineRule="exact"/>
              <w:rPr>
                <w:sz w:val="1"/>
                <w:szCs w:val="1"/>
                <w:color w:val="auto"/>
              </w:rPr>
            </w:pPr>
          </w:p>
        </w:tc>
        <w:tc>
          <w:tcPr>
            <w:tcW w:w="420" w:type="dxa"/>
            <w:vAlign w:val="bottom"/>
            <w:gridSpan w:val="4"/>
            <w:shd w:val="clear" w:color="auto" w:fill="000000"/>
          </w:tcPr>
          <w:p>
            <w:pPr>
              <w:spacing w:after="0" w:line="20" w:lineRule="exact"/>
              <w:rPr>
                <w:sz w:val="1"/>
                <w:szCs w:val="1"/>
                <w:color w:val="auto"/>
              </w:rPr>
            </w:pPr>
          </w:p>
        </w:tc>
        <w:tc>
          <w:tcPr>
            <w:tcW w:w="320" w:type="dxa"/>
            <w:vAlign w:val="bottom"/>
            <w:gridSpan w:val="2"/>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9.11. Headings</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97</w:t>
            </w:r>
          </w:p>
        </w:tc>
      </w:tr>
      <w:tr>
        <w:trPr>
          <w:trHeight w:val="20"/>
        </w:trPr>
        <w:tc>
          <w:tcPr>
            <w:tcW w:w="1160" w:type="dxa"/>
            <w:vAlign w:val="bottom"/>
          </w:tcPr>
          <w:p>
            <w:pPr>
              <w:spacing w:after="0" w:line="20" w:lineRule="exact"/>
              <w:rPr>
                <w:sz w:val="1"/>
                <w:szCs w:val="1"/>
                <w:color w:val="auto"/>
              </w:rPr>
            </w:pPr>
          </w:p>
        </w:tc>
        <w:tc>
          <w:tcPr>
            <w:tcW w:w="720" w:type="dxa"/>
            <w:vAlign w:val="bottom"/>
            <w:gridSpan w:val="4"/>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9.12. Confidentiality</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97</w:t>
            </w:r>
          </w:p>
        </w:tc>
      </w:tr>
      <w:tr>
        <w:trPr>
          <w:trHeight w:val="20"/>
        </w:trPr>
        <w:tc>
          <w:tcPr>
            <w:tcW w:w="1180" w:type="dxa"/>
            <w:vAlign w:val="bottom"/>
            <w:gridSpan w:val="2"/>
          </w:tcPr>
          <w:p>
            <w:pPr>
              <w:spacing w:after="0" w:line="20" w:lineRule="exact"/>
              <w:rPr>
                <w:sz w:val="1"/>
                <w:szCs w:val="1"/>
                <w:color w:val="auto"/>
              </w:rPr>
            </w:pPr>
          </w:p>
        </w:tc>
        <w:tc>
          <w:tcPr>
            <w:tcW w:w="1120" w:type="dxa"/>
            <w:vAlign w:val="bottom"/>
            <w:gridSpan w:val="7"/>
            <w:shd w:val="clear" w:color="auto" w:fill="000000"/>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9.13. Interest Rate Limitation</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98</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9.14. USA PATRIOT Act Notice</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560" w:type="dxa"/>
            <w:vAlign w:val="bottom"/>
            <w:tcBorders>
              <w:left w:val="single" w:sz="8" w:color="auto"/>
            </w:tcBorders>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9.15. No Fiduciary Relationship</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560" w:type="dxa"/>
            <w:vAlign w:val="bottom"/>
            <w:gridSpan w:val="6"/>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9.16. Non-Public Information</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99</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4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9.17. Judgment Currency</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100</w:t>
            </w:r>
          </w:p>
        </w:tc>
      </w:tr>
      <w:tr>
        <w:trPr>
          <w:trHeight w:val="20"/>
        </w:trPr>
        <w:tc>
          <w:tcPr>
            <w:tcW w:w="1180" w:type="dxa"/>
            <w:vAlign w:val="bottom"/>
            <w:gridSpan w:val="2"/>
          </w:tcPr>
          <w:p>
            <w:pPr>
              <w:spacing w:after="0" w:line="20" w:lineRule="exact"/>
              <w:rPr>
                <w:sz w:val="1"/>
                <w:szCs w:val="1"/>
                <w:color w:val="auto"/>
              </w:rPr>
            </w:pPr>
          </w:p>
        </w:tc>
        <w:tc>
          <w:tcPr>
            <w:tcW w:w="1440" w:type="dxa"/>
            <w:vAlign w:val="bottom"/>
            <w:gridSpan w:val="9"/>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3640" w:type="dxa"/>
            <w:vAlign w:val="bottom"/>
            <w:gridSpan w:val="7"/>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9.18. Acknowledgement and Consent to Bail-In of Affected Financial Institutions</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100</w:t>
            </w:r>
          </w:p>
        </w:tc>
      </w:tr>
      <w:tr>
        <w:trPr>
          <w:trHeight w:val="20"/>
        </w:trPr>
        <w:tc>
          <w:tcPr>
            <w:tcW w:w="1180" w:type="dxa"/>
            <w:vAlign w:val="bottom"/>
            <w:gridSpan w:val="2"/>
          </w:tcPr>
          <w:p>
            <w:pPr>
              <w:spacing w:after="0" w:line="20" w:lineRule="exact"/>
              <w:rPr>
                <w:sz w:val="1"/>
                <w:szCs w:val="1"/>
                <w:color w:val="auto"/>
              </w:rPr>
            </w:pPr>
          </w:p>
        </w:tc>
        <w:tc>
          <w:tcPr>
            <w:tcW w:w="1860" w:type="dxa"/>
            <w:vAlign w:val="bottom"/>
            <w:gridSpan w:val="13"/>
            <w:shd w:val="clear" w:color="auto" w:fill="000000"/>
          </w:tcPr>
          <w:p>
            <w:pPr>
              <w:spacing w:after="0" w:line="20" w:lineRule="exact"/>
              <w:rPr>
                <w:sz w:val="1"/>
                <w:szCs w:val="1"/>
                <w:color w:val="auto"/>
              </w:rPr>
            </w:pPr>
          </w:p>
        </w:tc>
        <w:tc>
          <w:tcPr>
            <w:tcW w:w="3640" w:type="dxa"/>
            <w:vAlign w:val="bottom"/>
            <w:gridSpan w:val="7"/>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r>
      <w:tr>
        <w:trPr>
          <w:trHeight w:val="196"/>
        </w:trPr>
        <w:tc>
          <w:tcPr>
            <w:tcW w:w="8860" w:type="dxa"/>
            <w:vAlign w:val="bottom"/>
            <w:gridSpan w:val="23"/>
          </w:tcPr>
          <w:p>
            <w:pPr>
              <w:spacing w:after="0" w:line="196" w:lineRule="exact"/>
              <w:rPr>
                <w:sz w:val="20"/>
                <w:szCs w:val="20"/>
                <w:color w:val="auto"/>
              </w:rPr>
            </w:pPr>
            <w:r>
              <w:rPr>
                <w:rFonts w:ascii="Times New Roman" w:cs="Times New Roman" w:eastAsia="Times New Roman" w:hAnsi="Times New Roman"/>
                <w:sz w:val="18"/>
                <w:szCs w:val="18"/>
                <w:color w:val="auto"/>
              </w:rPr>
              <w:t>SECTION 9.19. Permitted Reorganization</w:t>
            </w:r>
          </w:p>
        </w:tc>
        <w:tc>
          <w:tcPr>
            <w:tcW w:w="210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101</w:t>
            </w:r>
          </w:p>
        </w:tc>
      </w:tr>
      <w:tr>
        <w:trPr>
          <w:trHeight w:val="345"/>
        </w:trPr>
        <w:tc>
          <w:tcPr>
            <w:tcW w:w="1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2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80" w:type="dxa"/>
            <w:vAlign w:val="bottom"/>
            <w:gridSpan w:val="4"/>
          </w:tcPr>
          <w:p>
            <w:pPr>
              <w:jc w:val="center"/>
              <w:ind w:right="2320"/>
              <w:spacing w:after="0"/>
              <w:rPr>
                <w:sz w:val="20"/>
                <w:szCs w:val="20"/>
                <w:color w:val="auto"/>
              </w:rPr>
            </w:pPr>
            <w:r>
              <w:rPr>
                <w:rFonts w:ascii="Times New Roman" w:cs="Times New Roman" w:eastAsia="Times New Roman" w:hAnsi="Times New Roman"/>
                <w:sz w:val="18"/>
                <w:szCs w:val="18"/>
                <w:color w:val="auto"/>
                <w:w w:val="98"/>
              </w:rPr>
              <w:t>ARTICLE X</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w:t>
            </w:r>
          </w:p>
        </w:tc>
      </w:tr>
      <w:tr>
        <w:trPr>
          <w:trHeight w:val="324"/>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Guarantees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w:t>
            </w:r>
          </w:p>
        </w:tc>
      </w:tr>
      <w:tr>
        <w:trPr>
          <w:trHeight w:val="306"/>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10.01. The Guarantees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w:t>
            </w:r>
          </w:p>
        </w:tc>
      </w:tr>
      <w:tr>
        <w:trPr>
          <w:trHeight w:val="216"/>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10.02. Guarantee Unconditional</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102</w:t>
            </w:r>
          </w:p>
        </w:tc>
      </w:tr>
      <w:tr>
        <w:trPr>
          <w:trHeight w:val="234"/>
        </w:trPr>
        <w:tc>
          <w:tcPr>
            <w:tcW w:w="8860" w:type="dxa"/>
            <w:vAlign w:val="bottom"/>
            <w:gridSpan w:val="23"/>
          </w:tcPr>
          <w:p>
            <w:pPr>
              <w:spacing w:after="0"/>
              <w:rPr>
                <w:sz w:val="20"/>
                <w:szCs w:val="20"/>
                <w:color w:val="auto"/>
              </w:rPr>
            </w:pPr>
            <w:r>
              <w:rPr>
                <w:rFonts w:ascii="Times New Roman" w:cs="Times New Roman" w:eastAsia="Times New Roman" w:hAnsi="Times New Roman"/>
                <w:sz w:val="18"/>
                <w:szCs w:val="18"/>
                <w:color w:val="auto"/>
              </w:rPr>
              <w:t>SECTION 10.03. Discharge Only upon Payment in Full; Reinstatement in Certain Circumstances</w:t>
            </w:r>
          </w:p>
        </w:tc>
        <w:tc>
          <w:tcPr>
            <w:tcW w:w="2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bl>
    <w:p>
      <w:pPr>
        <w:jc w:val="right"/>
        <w:spacing w:after="0"/>
        <w:rPr>
          <w:sz w:val="20"/>
          <w:szCs w:val="20"/>
          <w:color w:val="auto"/>
        </w:rPr>
        <w:sectPr>
          <w:pgSz w:w="11900" w:h="16838" w:orient="portrait"/>
          <w:cols w:equalWidth="0" w:num="1">
            <w:col w:w="10960"/>
          </w:cols>
          <w:pgMar w:left="440" w:top="257"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3" w:name="page154"/>
    <w:bookmarkEnd w:id="153"/>
    <w:tbl>
      <w:tblPr>
        <w:tblLayout w:type="fixed"/>
        <w:tblInd w:w="0" w:type="dxa"/>
        <w:tblCellMar>
          <w:top w:w="0" w:type="dxa"/>
          <w:left w:w="0" w:type="dxa"/>
          <w:bottom w:w="0" w:type="dxa"/>
          <w:right w:w="0" w:type="dxa"/>
        </w:tblCellMar>
      </w:tblPr>
      <w:tr>
        <w:trPr>
          <w:trHeight w:val="216"/>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10.04. Subrogation</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16"/>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10.05. Waivers</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16"/>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10.06. Limit on Liability</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16"/>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10.07. Stay of Acceleration</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16"/>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10.08. Benefit to Guarantors</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r>
        <w:trPr>
          <w:trHeight w:val="234"/>
        </w:trPr>
        <w:tc>
          <w:tcPr>
            <w:tcW w:w="6780" w:type="dxa"/>
            <w:vAlign w:val="bottom"/>
          </w:tcPr>
          <w:p>
            <w:pPr>
              <w:spacing w:after="0"/>
              <w:rPr>
                <w:sz w:val="20"/>
                <w:szCs w:val="20"/>
                <w:color w:val="auto"/>
              </w:rPr>
            </w:pPr>
            <w:r>
              <w:rPr>
                <w:rFonts w:ascii="Times New Roman" w:cs="Times New Roman" w:eastAsia="Times New Roman" w:hAnsi="Times New Roman"/>
                <w:sz w:val="18"/>
                <w:szCs w:val="18"/>
                <w:color w:val="auto"/>
              </w:rPr>
              <w:t>SECTION 10.09. Guarantor Covenants</w:t>
            </w:r>
          </w:p>
        </w:tc>
        <w:tc>
          <w:tcPr>
            <w:tcW w:w="4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w:t>
            </w:r>
          </w:p>
        </w:tc>
      </w:tr>
    </w:tbl>
    <w:p>
      <w:pPr>
        <w:jc w:val="right"/>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4" w:name="page155"/>
    <w:bookmarkEnd w:id="154"/>
    <w:tbl>
      <w:tblPr>
        <w:tblLayout w:type="fixed"/>
        <w:tblInd w:w="0" w:type="dxa"/>
        <w:tblCellMar>
          <w:top w:w="0" w:type="dxa"/>
          <w:left w:w="0" w:type="dxa"/>
          <w:bottom w:w="0" w:type="dxa"/>
          <w:right w:w="0" w:type="dxa"/>
        </w:tblCellMar>
      </w:tblPr>
      <w:tr>
        <w:trPr>
          <w:trHeight w:val="207"/>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SCHEDULES:</w:t>
            </w:r>
          </w:p>
        </w:tc>
        <w:tc>
          <w:tcPr>
            <w:tcW w:w="380" w:type="dxa"/>
            <w:vAlign w:val="bottom"/>
          </w:tcPr>
          <w:p>
            <w:pPr>
              <w:spacing w:after="0"/>
              <w:rPr>
                <w:sz w:val="17"/>
                <w:szCs w:val="17"/>
                <w:color w:val="auto"/>
              </w:rPr>
            </w:pPr>
          </w:p>
        </w:tc>
        <w:tc>
          <w:tcPr>
            <w:tcW w:w="4520" w:type="dxa"/>
            <w:vAlign w:val="bottom"/>
          </w:tcPr>
          <w:p>
            <w:pPr>
              <w:spacing w:after="0"/>
              <w:rPr>
                <w:sz w:val="17"/>
                <w:szCs w:val="17"/>
                <w:color w:val="auto"/>
              </w:rPr>
            </w:pPr>
          </w:p>
        </w:tc>
      </w:tr>
      <w:tr>
        <w:trPr>
          <w:trHeight w:val="461"/>
        </w:trPr>
        <w:tc>
          <w:tcPr>
            <w:tcW w:w="1040" w:type="dxa"/>
            <w:vAlign w:val="bottom"/>
            <w:tcBorders>
              <w:top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w w:val="99"/>
              </w:rPr>
              <w:t>Schedule 2.01</w:t>
            </w:r>
          </w:p>
        </w:tc>
        <w:tc>
          <w:tcPr>
            <w:tcW w:w="180" w:type="dxa"/>
            <w:vAlign w:val="bottom"/>
          </w:tcPr>
          <w:p>
            <w:pPr>
              <w:spacing w:after="0"/>
              <w:rPr>
                <w:sz w:val="24"/>
                <w:szCs w:val="24"/>
                <w:color w:val="auto"/>
              </w:rPr>
            </w:pP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Commitments</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3.06</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Litigation</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6.01</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Existing Indebtedness</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6.02</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Existing Liens</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6.03</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Certain Sale/Leaseback Transactions</w:t>
            </w:r>
          </w:p>
        </w:tc>
      </w:tr>
      <w:tr>
        <w:trPr>
          <w:trHeight w:val="234"/>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9.01</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w w:val="99"/>
              </w:rPr>
              <w:t>Administrative Agent’s Office; Certain Addresses for Notices</w:t>
            </w:r>
          </w:p>
        </w:tc>
      </w:tr>
      <w:tr>
        <w:trPr>
          <w:trHeight w:val="392"/>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EXHIBITS:</w:t>
            </w:r>
          </w:p>
        </w:tc>
        <w:tc>
          <w:tcPr>
            <w:tcW w:w="380" w:type="dxa"/>
            <w:vAlign w:val="bottom"/>
          </w:tcPr>
          <w:p>
            <w:pPr>
              <w:spacing w:after="0"/>
              <w:rPr>
                <w:sz w:val="24"/>
                <w:szCs w:val="24"/>
                <w:color w:val="auto"/>
              </w:rPr>
            </w:pPr>
          </w:p>
        </w:tc>
        <w:tc>
          <w:tcPr>
            <w:tcW w:w="4520" w:type="dxa"/>
            <w:vAlign w:val="bottom"/>
          </w:tcPr>
          <w:p>
            <w:pPr>
              <w:spacing w:after="0"/>
              <w:rPr>
                <w:sz w:val="24"/>
                <w:szCs w:val="24"/>
                <w:color w:val="auto"/>
              </w:rPr>
            </w:pPr>
          </w:p>
        </w:tc>
      </w:tr>
      <w:tr>
        <w:trPr>
          <w:trHeight w:val="461"/>
        </w:trPr>
        <w:tc>
          <w:tcPr>
            <w:tcW w:w="82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8"/>
                <w:szCs w:val="18"/>
                <w:color w:val="auto"/>
              </w:rPr>
              <w:t>Exhibit A</w:t>
            </w:r>
          </w:p>
        </w:tc>
        <w:tc>
          <w:tcPr>
            <w:tcW w:w="400" w:type="dxa"/>
            <w:vAlign w:val="bottom"/>
            <w:gridSpan w:val="2"/>
          </w:tcPr>
          <w:p>
            <w:pPr>
              <w:spacing w:after="0"/>
              <w:rPr>
                <w:sz w:val="24"/>
                <w:szCs w:val="24"/>
                <w:color w:val="auto"/>
              </w:rPr>
            </w:pP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Assignment and Assumption</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B</w:t>
            </w: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Borrowing Request</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C</w:t>
            </w: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Compliance Certificate</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D</w:t>
            </w: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Interest Election Request</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E</w:t>
            </w: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Solvency Certificate</w:t>
            </w:r>
          </w:p>
        </w:tc>
      </w:tr>
      <w:tr>
        <w:trPr>
          <w:trHeight w:val="216"/>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F</w:t>
            </w:r>
          </w:p>
        </w:tc>
        <w:tc>
          <w:tcPr>
            <w:tcW w:w="490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  Form of Additional Guarantor Supplement</w:t>
            </w:r>
          </w:p>
        </w:tc>
      </w:tr>
      <w:tr>
        <w:trPr>
          <w:trHeight w:val="234"/>
        </w:trPr>
        <w:tc>
          <w:tcPr>
            <w:tcW w:w="12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G</w:t>
            </w:r>
          </w:p>
        </w:tc>
        <w:tc>
          <w:tcPr>
            <w:tcW w:w="3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4520" w:type="dxa"/>
            <w:vAlign w:val="bottom"/>
          </w:tcPr>
          <w:p>
            <w:pPr>
              <w:ind w:left="80"/>
              <w:spacing w:after="0"/>
              <w:rPr>
                <w:sz w:val="20"/>
                <w:szCs w:val="20"/>
                <w:color w:val="auto"/>
              </w:rPr>
            </w:pPr>
            <w:r>
              <w:rPr>
                <w:rFonts w:ascii="Times New Roman" w:cs="Times New Roman" w:eastAsia="Times New Roman" w:hAnsi="Times New Roman"/>
                <w:sz w:val="18"/>
                <w:szCs w:val="18"/>
                <w:color w:val="auto"/>
              </w:rPr>
              <w:t>Form of Notice of Loan Prepayment</w:t>
            </w:r>
          </w:p>
        </w:tc>
      </w:tr>
    </w:tbl>
    <w:p>
      <w:pPr>
        <w:ind w:left="80"/>
        <w:spacing w:after="0"/>
        <w:rPr>
          <w:sz w:val="20"/>
          <w:szCs w:val="20"/>
          <w:color w:val="auto"/>
        </w:rPr>
        <w:sectPr>
          <w:pgSz w:w="11900" w:h="16838" w:orient="portrait"/>
          <w:cols w:equalWidth="0" w:num="1">
            <w:col w:w="10019"/>
          </w:cols>
          <w:pgMar w:left="440" w:top="257" w:right="1440"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5" w:name="page156"/>
    <w:bookmarkEnd w:id="155"/>
    <w:p>
      <w:pPr>
        <w:ind w:left="1420" w:right="140" w:firstLine="383"/>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REVOLVING CREDIT AGREEMENT dated as of December 7, 2020, among MARVELL TECHNOLOGY GROUP LTD., a Bermuda exempted company, MAUI HOLDCO, INC., a Delaware corporation, the GUARANTORS party hereto, the LENDERS party hereto and BANK OF AMERICA, N.A., as the Administrative Agent.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The parties hereto agree as follows: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Definitions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u w:val="single" w:color="auto"/>
          <w:color w:val="auto"/>
        </w:rPr>
        <w:t>Defined Terms</w:t>
      </w:r>
      <w:r>
        <w:rPr>
          <w:rFonts w:ascii="Times New Roman" w:cs="Times New Roman" w:eastAsia="Times New Roman" w:hAnsi="Times New Roman"/>
          <w:sz w:val="18"/>
          <w:szCs w:val="18"/>
          <w:color w:val="auto"/>
        </w:rPr>
        <w:t>. As used in this Agreement, the following terms have the meanings specified below:</w:t>
      </w:r>
    </w:p>
    <w:p>
      <w:pPr>
        <w:spacing w:after="0" w:line="225"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ABR</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Alternate Base Rate.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Accepting Lender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w:t>
      </w:r>
      <w:r>
        <w:rPr>
          <w:rFonts w:ascii="Times New Roman" w:cs="Times New Roman" w:eastAsia="Times New Roman" w:hAnsi="Times New Roman"/>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7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 Indebtedness</w:t>
      </w:r>
      <w:r>
        <w:rPr>
          <w:rFonts w:ascii="Times New Roman" w:cs="Times New Roman" w:eastAsia="Times New Roman" w:hAnsi="Times New Roman"/>
          <w:sz w:val="18"/>
          <w:szCs w:val="18"/>
          <w:color w:val="auto"/>
        </w:rPr>
        <w:t xml:space="preserve">” means any Indebtedness of the Company or any Subsidiary that has been incurred for the purpose of financing, in whole or in part, an Acquisition (including the Inphi Acquisition) and any related transactions (including for the purpose of refinancing or replacing all or a portion of any related bridge facilities or any pre-existing Indebtedness of the Persons or assets to be acquired);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with respect to the Inphi Acquisition Indebtedness only, the proceeds of such Indebtedness shall be held in a segregated account of the Company (or Maui Topco) and other funds of the Company and its subsidiaries shall not be comingled in any material respect with the funds so held in such account and (b) either (x)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(y) such Indebtedness contains a “special mandatory redemption” provision (or a similar provision) if such Acquisition is not consummated by the date</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70" w:right="439" w:bottom="1440" w:gutter="0" w:footer="0" w:header="0"/>
        </w:sectPr>
      </w:pPr>
    </w:p>
    <w:bookmarkStart w:id="156" w:name="page157"/>
    <w:bookmarkEnd w:id="156"/>
    <w:p>
      <w:pPr>
        <w:ind w:right="16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specified in the definitive documentation evidencing, governing the rights of the holders 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promptly after such termination or such specified date, as the case may be).</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Additional Guarantor Supplement</w:t>
      </w:r>
      <w:r>
        <w:rPr>
          <w:rFonts w:ascii="Times New Roman" w:cs="Times New Roman" w:eastAsia="Times New Roman" w:hAnsi="Times New Roman"/>
          <w:sz w:val="18"/>
          <w:szCs w:val="18"/>
          <w:color w:val="auto"/>
        </w:rPr>
        <w:t>” has the meaning specified in Section 10.01.</w:t>
      </w:r>
    </w:p>
    <w:p>
      <w:pPr>
        <w:spacing w:after="0" w:line="225" w:lineRule="exact"/>
        <w:rPr>
          <w:sz w:val="20"/>
          <w:szCs w:val="20"/>
          <w:color w:val="auto"/>
        </w:rPr>
      </w:pPr>
    </w:p>
    <w:p>
      <w:pPr>
        <w:ind w:right="24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Adjusted LIBO Rate</w:t>
      </w:r>
      <w:r>
        <w:rPr>
          <w:rFonts w:ascii="Times New Roman" w:cs="Times New Roman" w:eastAsia="Times New Roman" w:hAnsi="Times New Roman"/>
          <w:sz w:val="17"/>
          <w:szCs w:val="17"/>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40" w:lineRule="exact"/>
        <w:rPr>
          <w:sz w:val="20"/>
          <w:szCs w:val="20"/>
          <w:color w:val="auto"/>
        </w:rPr>
      </w:pPr>
    </w:p>
    <w:p>
      <w:pPr>
        <w:ind w:right="8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Administrative Agent</w:t>
      </w:r>
      <w:r>
        <w:rPr>
          <w:rFonts w:ascii="Times New Roman" w:cs="Times New Roman" w:eastAsia="Times New Roman" w:hAnsi="Times New Roman"/>
          <w:sz w:val="18"/>
          <w:szCs w:val="18"/>
          <w:color w:val="auto"/>
        </w:rPr>
        <w:t>” means Bank of America, in its capacity as the administrative agent hereunder and under the other Loan Documents, and its successors in such capacity as provided in Article VIII.</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Administrative Questionnaire</w:t>
      </w:r>
      <w:r>
        <w:rPr>
          <w:rFonts w:ascii="Times New Roman" w:cs="Times New Roman" w:eastAsia="Times New Roman" w:hAnsi="Times New Roman"/>
          <w:sz w:val="18"/>
          <w:szCs w:val="18"/>
          <w:color w:val="auto"/>
        </w:rPr>
        <w:t>” means an Administrative Questionnaire in a form supplied by the Administrative Agent.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Affected Financial Institution</w:t>
      </w:r>
      <w:r>
        <w:rPr>
          <w:rFonts w:ascii="Times New Roman" w:cs="Times New Roman" w:eastAsia="Times New Roman" w:hAnsi="Times New Roman"/>
          <w:sz w:val="18"/>
          <w:szCs w:val="18"/>
          <w:color w:val="auto"/>
        </w:rPr>
        <w:t>” means (a) any EEA Financial Institution or (b) any UK Financial Institution.</w:t>
      </w:r>
    </w:p>
    <w:p>
      <w:pPr>
        <w:spacing w:after="0" w:line="225" w:lineRule="exact"/>
        <w:rPr>
          <w:sz w:val="20"/>
          <w:szCs w:val="20"/>
          <w:color w:val="auto"/>
        </w:rPr>
      </w:pPr>
    </w:p>
    <w:p>
      <w:pPr>
        <w:ind w:right="5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means, with respect to a specified Person, another Person that directly or indirectly Controls, is Controlled by or is under common Control with the Person specified.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Aggregate Revolving Commitment</w:t>
      </w:r>
      <w:r>
        <w:rPr>
          <w:rFonts w:ascii="Times New Roman" w:cs="Times New Roman" w:eastAsia="Times New Roman" w:hAnsi="Times New Roman"/>
          <w:sz w:val="18"/>
          <w:szCs w:val="18"/>
          <w:color w:val="auto"/>
        </w:rPr>
        <w:t>” means the sum of the Revolving Commitments of all the Lenders.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Aggregate Revolving Exposure</w:t>
      </w:r>
      <w:r>
        <w:rPr>
          <w:rFonts w:ascii="Times New Roman" w:cs="Times New Roman" w:eastAsia="Times New Roman" w:hAnsi="Times New Roman"/>
          <w:sz w:val="18"/>
          <w:szCs w:val="18"/>
          <w:color w:val="auto"/>
        </w:rPr>
        <w:t>” means the sum of the Revolving Exposures of all the Lenders.</w:t>
      </w:r>
    </w:p>
    <w:p>
      <w:pPr>
        <w:spacing w:after="0" w:line="11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means this Revolving Credit Agreement.</w:t>
      </w:r>
    </w:p>
    <w:p>
      <w:pPr>
        <w:spacing w:after="0" w:line="225" w:lineRule="exact"/>
        <w:rPr>
          <w:sz w:val="20"/>
          <w:szCs w:val="20"/>
          <w:color w:val="auto"/>
        </w:rPr>
      </w:pPr>
    </w:p>
    <w:p>
      <w:pPr>
        <w:ind w:firstLine="991"/>
        <w:spacing w:after="0" w:line="230"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Alternate Base Rate</w:t>
      </w:r>
      <w:r>
        <w:rPr>
          <w:rFonts w:ascii="Times New Roman" w:cs="Times New Roman" w:eastAsia="Times New Roman" w:hAnsi="Times New Roman"/>
          <w:sz w:val="18"/>
          <w:szCs w:val="18"/>
          <w:color w:val="auto"/>
        </w:rPr>
        <w:t xml:space="preserve">” means, for any day, a rate per annum equal to the greatest of (a) the Prime Rate in effect on such day, (b) the Federal Funds Effective Rate in effect on such day plus </w:t>
      </w:r>
      <w:r>
        <w:rPr>
          <w:rFonts w:ascii="Times New Roman" w:cs="Times New Roman" w:eastAsia="Times New Roman" w:hAnsi="Times New Roman"/>
          <w:sz w:val="29"/>
          <w:szCs w:val="29"/>
          <w:color w:val="auto"/>
          <w:vertAlign w:val="superscript"/>
        </w:rPr>
        <w:t>1</w:t>
      </w:r>
      <w:r>
        <w:rPr>
          <w:rFonts w:ascii="Times New Roman" w:cs="Times New Roman" w:eastAsia="Times New Roman" w:hAnsi="Times New Roman"/>
          <w:sz w:val="18"/>
          <w:szCs w:val="18"/>
          <w:color w:val="auto"/>
        </w:rPr>
        <w:t>⁄</w:t>
      </w:r>
      <w:r>
        <w:rPr>
          <w:rFonts w:ascii="Times New Roman" w:cs="Times New Roman" w:eastAsia="Times New Roman" w:hAnsi="Times New Roman"/>
          <w:sz w:val="29"/>
          <w:szCs w:val="29"/>
          <w:color w:val="auto"/>
          <w:vertAlign w:val="subscript"/>
        </w:rPr>
        <w:t>2</w:t>
      </w:r>
      <w:r>
        <w:rPr>
          <w:rFonts w:ascii="Times New Roman" w:cs="Times New Roman" w:eastAsia="Times New Roman" w:hAnsi="Times New Roman"/>
          <w:sz w:val="18"/>
          <w:szCs w:val="18"/>
          <w:color w:val="auto"/>
        </w:rPr>
        <w:t xml:space="preserve"> of 1.00% per annum and (c) the Adjusted LIBO Rate on such day (or if such day is not a Business Day, the immediately preceding Business Day) for a deposit in dollars with a maturity of one month plus 1.00% per annum;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w:t>
      </w:r>
    </w:p>
    <w:p>
      <w:pPr>
        <w:spacing w:after="0" w:line="13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70" w:right="459" w:bottom="1440" w:gutter="0" w:footer="0" w:header="0"/>
        </w:sectPr>
      </w:pPr>
    </w:p>
    <w:bookmarkStart w:id="157" w:name="page158"/>
    <w:bookmarkEnd w:id="157"/>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 If the Alternate Base Rate is being used as an alternate rate of interest pursuant to Section 2.11 hereof, then the Alternate Base Rate shall be the greater of clauses (a) and (b) above and shall be determined without reference to clause (c) above.</w:t>
      </w:r>
    </w:p>
    <w:p>
      <w:pPr>
        <w:spacing w:after="0" w:line="183"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Anti-Corruption Laws</w:t>
      </w:r>
      <w:r>
        <w:rPr>
          <w:rFonts w:ascii="Times New Roman" w:cs="Times New Roman" w:eastAsia="Times New Roman" w:hAnsi="Times New Roman"/>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right="4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Percentage</w:t>
      </w:r>
      <w:r>
        <w:rPr>
          <w:rFonts w:ascii="Times New Roman" w:cs="Times New Roman" w:eastAsia="Times New Roman" w:hAnsi="Times New Roman"/>
          <w:sz w:val="18"/>
          <w:szCs w:val="18"/>
          <w:color w:val="auto"/>
        </w:rPr>
        <w:t>” means at any time, with respect to any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76" w:lineRule="exact"/>
        <w:rPr>
          <w:sz w:val="20"/>
          <w:szCs w:val="20"/>
          <w:color w:val="auto"/>
        </w:rPr>
      </w:pPr>
    </w:p>
    <w:p>
      <w:pPr>
        <w:ind w:right="3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Rate</w:t>
      </w:r>
      <w:r>
        <w:rPr>
          <w:rFonts w:ascii="Times New Roman" w:cs="Times New Roman" w:eastAsia="Times New Roman" w:hAnsi="Times New Roman"/>
          <w:sz w:val="18"/>
          <w:szCs w:val="18"/>
          <w:color w:val="auto"/>
        </w:rPr>
        <w:t>” means, for any day, with respect to any Loan that is an ABR Loan or a Eurocurrency Loan, or with respect to the Revolving Commitment Fees, the applicable rate per annum set forth below under the applicable caption “ABR Spread”, “Eurocurrency Spread” or “Revolving Commitment Fee Rate”, as the case may be, based upon the Senior Unsecured Ratings in effect on such date.</w:t>
      </w:r>
    </w:p>
    <w:p>
      <w:pPr>
        <w:spacing w:after="0" w:line="186" w:lineRule="exact"/>
        <w:rPr>
          <w:sz w:val="20"/>
          <w:szCs w:val="20"/>
          <w:color w:val="auto"/>
        </w:rPr>
      </w:pPr>
    </w:p>
    <w:tbl>
      <w:tblPr>
        <w:tblLayout w:type="fixed"/>
        <w:tblInd w:w="880" w:type="dxa"/>
        <w:tblCellMar>
          <w:top w:w="0" w:type="dxa"/>
          <w:left w:w="0" w:type="dxa"/>
          <w:bottom w:w="0" w:type="dxa"/>
          <w:right w:w="0" w:type="dxa"/>
        </w:tblCellMar>
      </w:tblPr>
      <w:tr>
        <w:trPr>
          <w:trHeight w:val="161"/>
        </w:trPr>
        <w:tc>
          <w:tcPr>
            <w:tcW w:w="332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color w:val="auto"/>
              </w:rPr>
              <w:t>Senior Unsecured</w:t>
            </w:r>
          </w:p>
        </w:tc>
        <w:tc>
          <w:tcPr>
            <w:tcW w:w="1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500" w:type="dxa"/>
            <w:vAlign w:val="bottom"/>
            <w:gridSpan w:val="3"/>
            <w:vMerge w:val="restart"/>
          </w:tcPr>
          <w:p>
            <w:pPr>
              <w:jc w:val="center"/>
              <w:ind w:right="160"/>
              <w:spacing w:after="0"/>
              <w:rPr>
                <w:sz w:val="20"/>
                <w:szCs w:val="20"/>
                <w:color w:val="auto"/>
              </w:rPr>
            </w:pPr>
            <w:r>
              <w:rPr>
                <w:rFonts w:ascii="Times New Roman" w:cs="Times New Roman" w:eastAsia="Times New Roman" w:hAnsi="Times New Roman"/>
                <w:sz w:val="14"/>
                <w:szCs w:val="14"/>
                <w:color w:val="auto"/>
              </w:rPr>
              <w:t>Eurocurrency</w:t>
            </w:r>
          </w:p>
        </w:tc>
        <w:tc>
          <w:tcPr>
            <w:tcW w:w="300" w:type="dxa"/>
            <w:vAlign w:val="bottom"/>
          </w:tcPr>
          <w:p>
            <w:pPr>
              <w:spacing w:after="0"/>
              <w:rPr>
                <w:sz w:val="13"/>
                <w:szCs w:val="13"/>
                <w:color w:val="auto"/>
              </w:rPr>
            </w:pPr>
          </w:p>
        </w:tc>
        <w:tc>
          <w:tcPr>
            <w:tcW w:w="116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color w:val="auto"/>
              </w:rPr>
              <w:t>Revolving</w:t>
            </w:r>
          </w:p>
        </w:tc>
        <w:tc>
          <w:tcPr>
            <w:tcW w:w="0" w:type="dxa"/>
            <w:vAlign w:val="bottom"/>
          </w:tcPr>
          <w:p>
            <w:pPr>
              <w:spacing w:after="0"/>
              <w:rPr>
                <w:sz w:val="1"/>
                <w:szCs w:val="1"/>
                <w:color w:val="auto"/>
              </w:rPr>
            </w:pPr>
          </w:p>
        </w:tc>
      </w:tr>
      <w:tr>
        <w:trPr>
          <w:trHeight w:val="144"/>
        </w:trPr>
        <w:tc>
          <w:tcPr>
            <w:tcW w:w="3320" w:type="dxa"/>
            <w:vAlign w:val="bottom"/>
            <w:gridSpan w:val="2"/>
            <w:vMerge w:val="continue"/>
          </w:tcPr>
          <w:p>
            <w:pPr>
              <w:spacing w:after="0"/>
              <w:rPr>
                <w:sz w:val="12"/>
                <w:szCs w:val="12"/>
                <w:color w:val="auto"/>
              </w:rPr>
            </w:pPr>
          </w:p>
        </w:tc>
        <w:tc>
          <w:tcPr>
            <w:tcW w:w="2920" w:type="dxa"/>
            <w:vAlign w:val="bottom"/>
            <w:gridSpan w:val="3"/>
            <w:vMerge w:val="restart"/>
          </w:tcPr>
          <w:p>
            <w:pPr>
              <w:jc w:val="right"/>
              <w:ind w:right="460"/>
              <w:spacing w:after="0"/>
              <w:rPr>
                <w:sz w:val="20"/>
                <w:szCs w:val="20"/>
                <w:color w:val="auto"/>
              </w:rPr>
            </w:pPr>
            <w:r>
              <w:rPr>
                <w:rFonts w:ascii="Times New Roman" w:cs="Times New Roman" w:eastAsia="Times New Roman" w:hAnsi="Times New Roman"/>
                <w:sz w:val="14"/>
                <w:szCs w:val="14"/>
                <w:color w:val="auto"/>
              </w:rPr>
              <w:t>ABR Spread</w:t>
            </w:r>
          </w:p>
        </w:tc>
        <w:tc>
          <w:tcPr>
            <w:tcW w:w="1500" w:type="dxa"/>
            <w:vAlign w:val="bottom"/>
            <w:gridSpan w:val="3"/>
            <w:vMerge w:val="continue"/>
          </w:tcPr>
          <w:p>
            <w:pPr>
              <w:spacing w:after="0"/>
              <w:rPr>
                <w:sz w:val="12"/>
                <w:szCs w:val="12"/>
                <w:color w:val="auto"/>
              </w:rPr>
            </w:pPr>
          </w:p>
        </w:tc>
        <w:tc>
          <w:tcPr>
            <w:tcW w:w="1460" w:type="dxa"/>
            <w:vAlign w:val="bottom"/>
            <w:gridSpan w:val="3"/>
          </w:tcPr>
          <w:p>
            <w:pPr>
              <w:jc w:val="center"/>
              <w:ind w:left="53"/>
              <w:spacing w:after="0" w:line="145" w:lineRule="exact"/>
              <w:rPr>
                <w:sz w:val="20"/>
                <w:szCs w:val="20"/>
                <w:color w:val="auto"/>
              </w:rPr>
            </w:pPr>
            <w:r>
              <w:rPr>
                <w:rFonts w:ascii="Times New Roman" w:cs="Times New Roman" w:eastAsia="Times New Roman" w:hAnsi="Times New Roman"/>
                <w:sz w:val="14"/>
                <w:szCs w:val="14"/>
                <w:color w:val="auto"/>
              </w:rPr>
              <w:t>Commitment Fee</w:t>
            </w:r>
          </w:p>
        </w:tc>
        <w:tc>
          <w:tcPr>
            <w:tcW w:w="0" w:type="dxa"/>
            <w:vAlign w:val="bottom"/>
          </w:tcPr>
          <w:p>
            <w:pPr>
              <w:spacing w:after="0"/>
              <w:rPr>
                <w:sz w:val="1"/>
                <w:szCs w:val="1"/>
                <w:color w:val="auto"/>
              </w:rPr>
            </w:pPr>
          </w:p>
        </w:tc>
      </w:tr>
      <w:tr>
        <w:trPr>
          <w:trHeight w:val="148"/>
        </w:trPr>
        <w:tc>
          <w:tcPr>
            <w:tcW w:w="33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color w:val="auto"/>
              </w:rPr>
              <w:t>Ratings</w:t>
            </w:r>
          </w:p>
        </w:tc>
        <w:tc>
          <w:tcPr>
            <w:tcW w:w="2920" w:type="dxa"/>
            <w:vAlign w:val="bottom"/>
            <w:gridSpan w:val="3"/>
            <w:vMerge w:val="continue"/>
          </w:tcPr>
          <w:p>
            <w:pPr>
              <w:spacing w:after="0"/>
              <w:rPr>
                <w:sz w:val="12"/>
                <w:szCs w:val="12"/>
                <w:color w:val="auto"/>
              </w:rPr>
            </w:pPr>
          </w:p>
        </w:tc>
        <w:tc>
          <w:tcPr>
            <w:tcW w:w="2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color w:val="auto"/>
              </w:rPr>
              <w:t>Spread</w:t>
            </w:r>
          </w:p>
        </w:tc>
        <w:tc>
          <w:tcPr>
            <w:tcW w:w="300" w:type="dxa"/>
            <w:vAlign w:val="bottom"/>
          </w:tcPr>
          <w:p>
            <w:pPr>
              <w:spacing w:after="0"/>
              <w:rPr>
                <w:sz w:val="12"/>
                <w:szCs w:val="12"/>
                <w:color w:val="auto"/>
              </w:rPr>
            </w:pPr>
          </w:p>
        </w:tc>
        <w:tc>
          <w:tcPr>
            <w:tcW w:w="1160" w:type="dxa"/>
            <w:vAlign w:val="bottom"/>
            <w:gridSpan w:val="2"/>
          </w:tcPr>
          <w:p>
            <w:pPr>
              <w:jc w:val="center"/>
              <w:ind w:right="160"/>
              <w:spacing w:after="0" w:line="149" w:lineRule="exact"/>
              <w:rPr>
                <w:sz w:val="20"/>
                <w:szCs w:val="20"/>
                <w:color w:val="auto"/>
              </w:rPr>
            </w:pPr>
            <w:r>
              <w:rPr>
                <w:rFonts w:ascii="Times New Roman" w:cs="Times New Roman" w:eastAsia="Times New Roman" w:hAnsi="Times New Roman"/>
                <w:sz w:val="14"/>
                <w:szCs w:val="14"/>
                <w:color w:val="auto"/>
              </w:rPr>
              <w:t>Rate</w:t>
            </w:r>
          </w:p>
        </w:tc>
        <w:tc>
          <w:tcPr>
            <w:tcW w:w="0" w:type="dxa"/>
            <w:vAlign w:val="bottom"/>
          </w:tcPr>
          <w:p>
            <w:pPr>
              <w:spacing w:after="0"/>
              <w:rPr>
                <w:sz w:val="1"/>
                <w:szCs w:val="1"/>
                <w:color w:val="auto"/>
              </w:rPr>
            </w:pPr>
          </w:p>
        </w:tc>
      </w:tr>
      <w:tr>
        <w:trPr>
          <w:trHeight w:val="182"/>
        </w:trPr>
        <w:tc>
          <w:tcPr>
            <w:tcW w:w="12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color w:val="auto"/>
              </w:rPr>
              <w:t>(S&amp;P/Moody’s/Fitch)</w:t>
            </w:r>
          </w:p>
        </w:tc>
        <w:tc>
          <w:tcPr>
            <w:tcW w:w="206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118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color w:val="auto"/>
              </w:rPr>
              <w:t>(per annum)</w:t>
            </w:r>
          </w:p>
        </w:tc>
        <w:tc>
          <w:tcPr>
            <w:tcW w:w="280" w:type="dxa"/>
            <w:vAlign w:val="bottom"/>
          </w:tcPr>
          <w:p>
            <w:pPr>
              <w:spacing w:after="0"/>
              <w:rPr>
                <w:sz w:val="15"/>
                <w:szCs w:val="15"/>
                <w:color w:val="auto"/>
              </w:rPr>
            </w:pPr>
          </w:p>
        </w:tc>
        <w:tc>
          <w:tcPr>
            <w:tcW w:w="122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color w:val="auto"/>
              </w:rPr>
              <w:t>(per annum)</w:t>
            </w:r>
          </w:p>
        </w:tc>
        <w:tc>
          <w:tcPr>
            <w:tcW w:w="300" w:type="dxa"/>
            <w:vAlign w:val="bottom"/>
          </w:tcPr>
          <w:p>
            <w:pPr>
              <w:spacing w:after="0"/>
              <w:rPr>
                <w:sz w:val="15"/>
                <w:szCs w:val="15"/>
                <w:color w:val="auto"/>
              </w:rPr>
            </w:pPr>
          </w:p>
        </w:tc>
        <w:tc>
          <w:tcPr>
            <w:tcW w:w="116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color w:val="auto"/>
              </w:rPr>
              <w:t>(per annum)</w:t>
            </w:r>
          </w:p>
        </w:tc>
        <w:tc>
          <w:tcPr>
            <w:tcW w:w="0" w:type="dxa"/>
            <w:vAlign w:val="bottom"/>
          </w:tcPr>
          <w:p>
            <w:pPr>
              <w:spacing w:after="0"/>
              <w:rPr>
                <w:sz w:val="1"/>
                <w:szCs w:val="1"/>
                <w:color w:val="auto"/>
              </w:rPr>
            </w:pPr>
          </w:p>
        </w:tc>
      </w:tr>
      <w:tr>
        <w:trPr>
          <w:trHeight w:val="279"/>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1</w:t>
            </w:r>
          </w:p>
        </w:tc>
        <w:tc>
          <w:tcPr>
            <w:tcW w:w="1740" w:type="dxa"/>
            <w:vAlign w:val="bottom"/>
          </w:tcPr>
          <w:p>
            <w:pPr>
              <w:spacing w:after="0"/>
              <w:rPr>
                <w:sz w:val="24"/>
                <w:szCs w:val="24"/>
                <w:color w:val="auto"/>
              </w:rPr>
            </w:pPr>
          </w:p>
        </w:tc>
        <w:tc>
          <w:tcPr>
            <w:tcW w:w="740" w:type="dxa"/>
            <w:vAlign w:val="bottom"/>
            <w:tcBorders>
              <w:top w:val="single" w:sz="8" w:color="auto"/>
            </w:tcBorders>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Borders>
              <w:top w:val="single" w:sz="8" w:color="auto"/>
            </w:tcBorders>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BBB+/Baa1/BBB+ or above</w:t>
            </w:r>
          </w:p>
        </w:tc>
        <w:tc>
          <w:tcPr>
            <w:tcW w:w="2920" w:type="dxa"/>
            <w:vAlign w:val="bottom"/>
            <w:gridSpan w:val="3"/>
          </w:tcPr>
          <w:p>
            <w:pPr>
              <w:jc w:val="right"/>
              <w:ind w:right="300"/>
              <w:spacing w:after="0"/>
              <w:rPr>
                <w:sz w:val="20"/>
                <w:szCs w:val="20"/>
                <w:color w:val="auto"/>
              </w:rPr>
            </w:pPr>
            <w:r>
              <w:rPr>
                <w:rFonts w:ascii="Times New Roman" w:cs="Times New Roman" w:eastAsia="Times New Roman" w:hAnsi="Times New Roman"/>
                <w:sz w:val="18"/>
                <w:szCs w:val="18"/>
                <w:color w:val="auto"/>
              </w:rPr>
              <w:t>0.125%</w:t>
            </w:r>
          </w:p>
        </w:tc>
        <w:tc>
          <w:tcPr>
            <w:tcW w:w="1500" w:type="dxa"/>
            <w:vAlign w:val="bottom"/>
            <w:gridSpan w:val="3"/>
          </w:tcPr>
          <w:p>
            <w:pPr>
              <w:jc w:val="right"/>
              <w:ind w:right="280"/>
              <w:spacing w:after="0"/>
              <w:rPr>
                <w:sz w:val="20"/>
                <w:szCs w:val="20"/>
                <w:color w:val="auto"/>
              </w:rPr>
            </w:pPr>
            <w:r>
              <w:rPr>
                <w:rFonts w:ascii="Times New Roman" w:cs="Times New Roman" w:eastAsia="Times New Roman" w:hAnsi="Times New Roman"/>
                <w:sz w:val="18"/>
                <w:szCs w:val="18"/>
                <w:color w:val="auto"/>
              </w:rPr>
              <w:t>1.125%</w:t>
            </w:r>
          </w:p>
        </w:tc>
        <w:tc>
          <w:tcPr>
            <w:tcW w:w="14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0.125%</w:t>
            </w:r>
          </w:p>
        </w:tc>
        <w:tc>
          <w:tcPr>
            <w:tcW w:w="0" w:type="dxa"/>
            <w:vAlign w:val="bottom"/>
          </w:tcPr>
          <w:p>
            <w:pPr>
              <w:spacing w:after="0"/>
              <w:rPr>
                <w:sz w:val="1"/>
                <w:szCs w:val="1"/>
                <w:color w:val="auto"/>
              </w:rPr>
            </w:pPr>
          </w:p>
        </w:tc>
      </w:tr>
      <w:tr>
        <w:trPr>
          <w:trHeight w:val="306"/>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2</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BBB/Baa2/BBB</w:t>
            </w:r>
          </w:p>
        </w:tc>
        <w:tc>
          <w:tcPr>
            <w:tcW w:w="2920" w:type="dxa"/>
            <w:vAlign w:val="bottom"/>
            <w:gridSpan w:val="3"/>
          </w:tcPr>
          <w:p>
            <w:pPr>
              <w:jc w:val="right"/>
              <w:ind w:right="300"/>
              <w:spacing w:after="0"/>
              <w:rPr>
                <w:sz w:val="20"/>
                <w:szCs w:val="20"/>
                <w:color w:val="auto"/>
              </w:rPr>
            </w:pPr>
            <w:r>
              <w:rPr>
                <w:rFonts w:ascii="Times New Roman" w:cs="Times New Roman" w:eastAsia="Times New Roman" w:hAnsi="Times New Roman"/>
                <w:sz w:val="18"/>
                <w:szCs w:val="18"/>
                <w:color w:val="auto"/>
              </w:rPr>
              <w:t>0.250%</w:t>
            </w:r>
          </w:p>
        </w:tc>
        <w:tc>
          <w:tcPr>
            <w:tcW w:w="1500" w:type="dxa"/>
            <w:vAlign w:val="bottom"/>
            <w:gridSpan w:val="3"/>
          </w:tcPr>
          <w:p>
            <w:pPr>
              <w:jc w:val="right"/>
              <w:ind w:right="280"/>
              <w:spacing w:after="0"/>
              <w:rPr>
                <w:sz w:val="20"/>
                <w:szCs w:val="20"/>
                <w:color w:val="auto"/>
              </w:rPr>
            </w:pPr>
            <w:r>
              <w:rPr>
                <w:rFonts w:ascii="Times New Roman" w:cs="Times New Roman" w:eastAsia="Times New Roman" w:hAnsi="Times New Roman"/>
                <w:sz w:val="18"/>
                <w:szCs w:val="18"/>
                <w:color w:val="auto"/>
              </w:rPr>
              <w:t>1.250%</w:t>
            </w:r>
          </w:p>
        </w:tc>
        <w:tc>
          <w:tcPr>
            <w:tcW w:w="14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0.150%</w:t>
            </w:r>
          </w:p>
        </w:tc>
        <w:tc>
          <w:tcPr>
            <w:tcW w:w="0" w:type="dxa"/>
            <w:vAlign w:val="bottom"/>
          </w:tcPr>
          <w:p>
            <w:pPr>
              <w:spacing w:after="0"/>
              <w:rPr>
                <w:sz w:val="1"/>
                <w:szCs w:val="1"/>
                <w:color w:val="auto"/>
              </w:rPr>
            </w:pPr>
          </w:p>
        </w:tc>
      </w:tr>
      <w:tr>
        <w:trPr>
          <w:trHeight w:val="306"/>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3</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BBB-/Baa3/BBB-</w:t>
            </w:r>
          </w:p>
        </w:tc>
        <w:tc>
          <w:tcPr>
            <w:tcW w:w="2920" w:type="dxa"/>
            <w:vAlign w:val="bottom"/>
            <w:gridSpan w:val="3"/>
          </w:tcPr>
          <w:p>
            <w:pPr>
              <w:jc w:val="right"/>
              <w:ind w:right="300"/>
              <w:spacing w:after="0"/>
              <w:rPr>
                <w:sz w:val="20"/>
                <w:szCs w:val="20"/>
                <w:color w:val="auto"/>
              </w:rPr>
            </w:pPr>
            <w:r>
              <w:rPr>
                <w:rFonts w:ascii="Times New Roman" w:cs="Times New Roman" w:eastAsia="Times New Roman" w:hAnsi="Times New Roman"/>
                <w:sz w:val="18"/>
                <w:szCs w:val="18"/>
                <w:color w:val="auto"/>
              </w:rPr>
              <w:t>0.500%</w:t>
            </w:r>
          </w:p>
        </w:tc>
        <w:tc>
          <w:tcPr>
            <w:tcW w:w="1500" w:type="dxa"/>
            <w:vAlign w:val="bottom"/>
            <w:gridSpan w:val="3"/>
          </w:tcPr>
          <w:p>
            <w:pPr>
              <w:jc w:val="right"/>
              <w:ind w:right="280"/>
              <w:spacing w:after="0"/>
              <w:rPr>
                <w:sz w:val="20"/>
                <w:szCs w:val="20"/>
                <w:color w:val="auto"/>
              </w:rPr>
            </w:pPr>
            <w:r>
              <w:rPr>
                <w:rFonts w:ascii="Times New Roman" w:cs="Times New Roman" w:eastAsia="Times New Roman" w:hAnsi="Times New Roman"/>
                <w:sz w:val="18"/>
                <w:szCs w:val="18"/>
                <w:color w:val="auto"/>
              </w:rPr>
              <w:t>1.500%</w:t>
            </w:r>
          </w:p>
        </w:tc>
        <w:tc>
          <w:tcPr>
            <w:tcW w:w="14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0.175%</w:t>
            </w:r>
          </w:p>
        </w:tc>
        <w:tc>
          <w:tcPr>
            <w:tcW w:w="0" w:type="dxa"/>
            <w:vAlign w:val="bottom"/>
          </w:tcPr>
          <w:p>
            <w:pPr>
              <w:spacing w:after="0"/>
              <w:rPr>
                <w:sz w:val="1"/>
                <w:szCs w:val="1"/>
                <w:color w:val="auto"/>
              </w:rPr>
            </w:pPr>
          </w:p>
        </w:tc>
      </w:tr>
      <w:tr>
        <w:trPr>
          <w:trHeight w:val="306"/>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4</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BB+/Ba1/BB+</w:t>
            </w:r>
          </w:p>
        </w:tc>
        <w:tc>
          <w:tcPr>
            <w:tcW w:w="2920" w:type="dxa"/>
            <w:vAlign w:val="bottom"/>
            <w:gridSpan w:val="3"/>
          </w:tcPr>
          <w:p>
            <w:pPr>
              <w:jc w:val="right"/>
              <w:ind w:right="300"/>
              <w:spacing w:after="0"/>
              <w:rPr>
                <w:sz w:val="20"/>
                <w:szCs w:val="20"/>
                <w:color w:val="auto"/>
              </w:rPr>
            </w:pPr>
            <w:r>
              <w:rPr>
                <w:rFonts w:ascii="Times New Roman" w:cs="Times New Roman" w:eastAsia="Times New Roman" w:hAnsi="Times New Roman"/>
                <w:sz w:val="18"/>
                <w:szCs w:val="18"/>
                <w:color w:val="auto"/>
              </w:rPr>
              <w:t>1.000%</w:t>
            </w:r>
          </w:p>
        </w:tc>
        <w:tc>
          <w:tcPr>
            <w:tcW w:w="1500" w:type="dxa"/>
            <w:vAlign w:val="bottom"/>
            <w:gridSpan w:val="3"/>
          </w:tcPr>
          <w:p>
            <w:pPr>
              <w:jc w:val="right"/>
              <w:ind w:right="280"/>
              <w:spacing w:after="0"/>
              <w:rPr>
                <w:sz w:val="20"/>
                <w:szCs w:val="20"/>
                <w:color w:val="auto"/>
              </w:rPr>
            </w:pPr>
            <w:r>
              <w:rPr>
                <w:rFonts w:ascii="Times New Roman" w:cs="Times New Roman" w:eastAsia="Times New Roman" w:hAnsi="Times New Roman"/>
                <w:sz w:val="18"/>
                <w:szCs w:val="18"/>
                <w:color w:val="auto"/>
              </w:rPr>
              <w:t>2.000%</w:t>
            </w:r>
          </w:p>
        </w:tc>
        <w:tc>
          <w:tcPr>
            <w:tcW w:w="14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0.300%</w:t>
            </w:r>
          </w:p>
        </w:tc>
        <w:tc>
          <w:tcPr>
            <w:tcW w:w="0" w:type="dxa"/>
            <w:vAlign w:val="bottom"/>
          </w:tcPr>
          <w:p>
            <w:pPr>
              <w:spacing w:after="0"/>
              <w:rPr>
                <w:sz w:val="1"/>
                <w:szCs w:val="1"/>
                <w:color w:val="auto"/>
              </w:rPr>
            </w:pPr>
          </w:p>
        </w:tc>
      </w:tr>
      <w:tr>
        <w:trPr>
          <w:trHeight w:val="306"/>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Level 5</w:t>
            </w:r>
          </w:p>
        </w:tc>
        <w:tc>
          <w:tcPr>
            <w:tcW w:w="1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33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BB/Ba2/BB or below</w:t>
            </w:r>
          </w:p>
        </w:tc>
        <w:tc>
          <w:tcPr>
            <w:tcW w:w="2920" w:type="dxa"/>
            <w:vAlign w:val="bottom"/>
            <w:gridSpan w:val="3"/>
          </w:tcPr>
          <w:p>
            <w:pPr>
              <w:jc w:val="right"/>
              <w:ind w:right="300"/>
              <w:spacing w:after="0"/>
              <w:rPr>
                <w:sz w:val="20"/>
                <w:szCs w:val="20"/>
                <w:color w:val="auto"/>
              </w:rPr>
            </w:pPr>
            <w:r>
              <w:rPr>
                <w:rFonts w:ascii="Times New Roman" w:cs="Times New Roman" w:eastAsia="Times New Roman" w:hAnsi="Times New Roman"/>
                <w:sz w:val="18"/>
                <w:szCs w:val="18"/>
                <w:color w:val="auto"/>
              </w:rPr>
              <w:t>1.250%</w:t>
            </w:r>
          </w:p>
        </w:tc>
        <w:tc>
          <w:tcPr>
            <w:tcW w:w="1500" w:type="dxa"/>
            <w:vAlign w:val="bottom"/>
            <w:gridSpan w:val="3"/>
          </w:tcPr>
          <w:p>
            <w:pPr>
              <w:jc w:val="right"/>
              <w:ind w:right="280"/>
              <w:spacing w:after="0"/>
              <w:rPr>
                <w:sz w:val="20"/>
                <w:szCs w:val="20"/>
                <w:color w:val="auto"/>
              </w:rPr>
            </w:pPr>
            <w:r>
              <w:rPr>
                <w:rFonts w:ascii="Times New Roman" w:cs="Times New Roman" w:eastAsia="Times New Roman" w:hAnsi="Times New Roman"/>
                <w:sz w:val="18"/>
                <w:szCs w:val="18"/>
                <w:color w:val="auto"/>
              </w:rPr>
              <w:t>2.250%</w:t>
            </w:r>
          </w:p>
        </w:tc>
        <w:tc>
          <w:tcPr>
            <w:tcW w:w="14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0.350%</w:t>
            </w:r>
          </w:p>
        </w:tc>
        <w:tc>
          <w:tcPr>
            <w:tcW w:w="0" w:type="dxa"/>
            <w:vAlign w:val="bottom"/>
          </w:tcPr>
          <w:p>
            <w:pPr>
              <w:spacing w:after="0"/>
              <w:rPr>
                <w:sz w:val="1"/>
                <w:szCs w:val="1"/>
                <w:color w:val="auto"/>
              </w:rPr>
            </w:pPr>
          </w:p>
        </w:tc>
      </w:tr>
      <w:tr>
        <w:trPr>
          <w:trHeight w:val="365"/>
        </w:trPr>
        <w:tc>
          <w:tcPr>
            <w:tcW w:w="12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174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rPr>
              <w:t>3</w:t>
            </w:r>
          </w:p>
        </w:tc>
        <w:tc>
          <w:tcPr>
            <w:tcW w:w="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440" w:top="270" w:right="479" w:bottom="1440" w:gutter="0" w:footer="0" w:header="0"/>
        </w:sectPr>
      </w:pPr>
    </w:p>
    <w:bookmarkStart w:id="158" w:name="page159"/>
    <w:bookmarkEnd w:id="158"/>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Administrative Agent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89" w:lineRule="exact"/>
        <w:rPr>
          <w:sz w:val="20"/>
          <w:szCs w:val="20"/>
          <w:color w:val="auto"/>
        </w:rPr>
      </w:pPr>
    </w:p>
    <w:p>
      <w:pPr>
        <w:ind w:right="4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Approved Fund</w:t>
      </w:r>
      <w:r>
        <w:rPr>
          <w:rFonts w:ascii="Times New Roman" w:cs="Times New Roman" w:eastAsia="Times New Roman" w:hAnsi="Times New Roman"/>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0"/>
          </w:cols>
          <w:pgMar w:left="440" w:top="270" w:right="459" w:bottom="1440" w:gutter="0" w:footer="0" w:header="0"/>
        </w:sectPr>
      </w:pPr>
    </w:p>
    <w:bookmarkStart w:id="159" w:name="page160"/>
    <w:bookmarkEnd w:id="159"/>
    <w:p>
      <w:pPr>
        <w:ind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Arrangers</w:t>
      </w:r>
      <w:r>
        <w:rPr>
          <w:rFonts w:ascii="Times New Roman" w:cs="Times New Roman" w:eastAsia="Times New Roman" w:hAnsi="Times New Roman"/>
          <w:sz w:val="18"/>
          <w:szCs w:val="18"/>
          <w:color w:val="auto"/>
        </w:rPr>
        <w:t>” means JPMorgan Chase Bank, N.A., Bank of America, N.A., Citibank, N.A., Goldman Sachs Bank USA, HSBC Bank USA, National Association, MUFG Bank, Ltd. and Wells Fargo Bank, National Association in their capacities as the joint lead arrangers and joint bookrunners for the Revolving Facility.</w:t>
      </w:r>
    </w:p>
    <w:p>
      <w:pPr>
        <w:spacing w:after="0" w:line="176"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Assignment and Assumption</w:t>
      </w:r>
      <w:r>
        <w:rPr>
          <w:rFonts w:ascii="Times New Roman" w:cs="Times New Roman" w:eastAsia="Times New Roman" w:hAnsi="Times New Roman"/>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has the meaning set forth in Section 6.04(a).</w:t>
      </w:r>
    </w:p>
    <w:p>
      <w:pPr>
        <w:spacing w:after="0" w:line="225"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Attributable Debt</w:t>
      </w:r>
      <w:r>
        <w:rPr>
          <w:rFonts w:ascii="Times New Roman" w:cs="Times New Roman" w:eastAsia="Times New Roman" w:hAnsi="Times New Roman"/>
          <w:sz w:val="18"/>
          <w:szCs w:val="18"/>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92"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Bail-In Action</w:t>
      </w:r>
      <w:r>
        <w:rPr>
          <w:rFonts w:ascii="Times New Roman" w:cs="Times New Roman" w:eastAsia="Times New Roman" w:hAnsi="Times New Roman"/>
          <w:sz w:val="18"/>
          <w:szCs w:val="18"/>
          <w:color w:val="auto"/>
        </w:rPr>
        <w:t>” means the exercise of any Write-Down and Conversion Powers by the applicable Resolution Authority in respect of any liability of an Affected Financial Institution.</w:t>
      </w:r>
    </w:p>
    <w:p>
      <w:pPr>
        <w:spacing w:after="0" w:line="162" w:lineRule="exact"/>
        <w:rPr>
          <w:sz w:val="20"/>
          <w:szCs w:val="20"/>
          <w:color w:val="auto"/>
        </w:rPr>
      </w:pPr>
    </w:p>
    <w:p>
      <w:pPr>
        <w:ind w:right="12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Bail-In Legislation</w:t>
      </w:r>
      <w:r>
        <w:rPr>
          <w:rFonts w:ascii="Times New Roman" w:cs="Times New Roman" w:eastAsia="Times New Roman" w:hAnsi="Times New Roman"/>
          <w:sz w:val="18"/>
          <w:szCs w:val="18"/>
          <w:color w:val="auto"/>
        </w:rPr>
        <w:t>” means (a) with respect to any EEA Member Country implementing Article 55 of Directive 2014/59/EU of the European Parliament and of the Council of the European Union, the implementing law, regulation rule or requirement for such EEA Member Country from time to time which is described in the EU Bail-In Legislation Schedule and (b) with respect to the United Kingdom, Part I of the United 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Bank of America</w:t>
      </w:r>
      <w:r>
        <w:rPr>
          <w:rFonts w:ascii="Times New Roman" w:cs="Times New Roman" w:eastAsia="Times New Roman" w:hAnsi="Times New Roman"/>
          <w:sz w:val="18"/>
          <w:szCs w:val="18"/>
          <w:color w:val="auto"/>
        </w:rPr>
        <w:t>” means Bank of America, N.A. and its successors.</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Bankruptcy Event</w:t>
      </w:r>
      <w:r>
        <w:rPr>
          <w:rFonts w:ascii="Times New Roman" w:cs="Times New Roman" w:eastAsia="Times New Roman" w:hAnsi="Times New Roman"/>
          <w:sz w:val="18"/>
          <w:szCs w:val="18"/>
          <w:color w:val="auto"/>
        </w:rPr>
        <w:t>”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160" w:name="page161"/>
    <w:bookmarkEnd w:id="160"/>
    <w:p>
      <w:pPr>
        <w:ind w:right="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appointed for it, or, in the good faith determination of the Administrative Agent, has taken any action in furtherance of, or indicating its consent to, approval of or acquiescence in, any such proceeding or appointment;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Bankruptcy Event shall not result solely by virtue of any ownership interest, or the acquisition of any ownership interest, in such Person by a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Beneficial Ownership Certification</w:t>
      </w:r>
      <w:r>
        <w:rPr>
          <w:rFonts w:ascii="Times New Roman" w:cs="Times New Roman" w:eastAsia="Times New Roman" w:hAnsi="Times New Roman"/>
          <w:sz w:val="18"/>
          <w:szCs w:val="18"/>
          <w:color w:val="auto"/>
        </w:rPr>
        <w:t>” means a certification regarding beneficial ownership as required by the Beneficial Ownership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Regulation.</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Beneficial Ownership Regulation</w:t>
      </w:r>
      <w:r>
        <w:rPr>
          <w:rFonts w:ascii="Times New Roman" w:cs="Times New Roman" w:eastAsia="Times New Roman" w:hAnsi="Times New Roman"/>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Board of Governors</w:t>
      </w:r>
      <w:r>
        <w:rPr>
          <w:rFonts w:ascii="Times New Roman" w:cs="Times New Roman" w:eastAsia="Times New Roman" w:hAnsi="Times New Roman"/>
          <w:sz w:val="18"/>
          <w:szCs w:val="18"/>
          <w:color w:val="auto"/>
        </w:rPr>
        <w:t>” means the Board of Governors of the Federal Reserve System of the United States of America.</w:t>
      </w:r>
    </w:p>
    <w:p>
      <w:pPr>
        <w:spacing w:after="0" w:line="225"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Borrowing</w:t>
      </w:r>
      <w:r>
        <w:rPr>
          <w:rFonts w:ascii="Times New Roman" w:cs="Times New Roman" w:eastAsia="Times New Roman" w:hAnsi="Times New Roman"/>
          <w:sz w:val="18"/>
          <w:szCs w:val="18"/>
          <w:color w:val="auto"/>
        </w:rPr>
        <w:t>” means Loans of the same Type made, converted or continued on the same date and, in the case of Eurocurrency Loans, as to which a single Interest Period is in effect.</w:t>
      </w:r>
    </w:p>
    <w:p>
      <w:pPr>
        <w:spacing w:after="0" w:line="162"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Borrowing Request</w:t>
      </w:r>
      <w:r>
        <w:rPr>
          <w:rFonts w:ascii="Times New Roman" w:cs="Times New Roman" w:eastAsia="Times New Roman" w:hAnsi="Times New Roman"/>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62"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xml:space="preserve">” means any day that is not a Saturday, Sunday or other day on which commercial banks in New York City are authorized or required by law to remain closed;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76" w:lineRule="exact"/>
        <w:rPr>
          <w:sz w:val="20"/>
          <w:szCs w:val="20"/>
          <w:color w:val="auto"/>
        </w:rPr>
      </w:pPr>
    </w:p>
    <w:p>
      <w:pPr>
        <w:ind w:right="14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Capital Lease Obligations</w:t>
      </w:r>
      <w:r>
        <w:rPr>
          <w:rFonts w:ascii="Times New Roman" w:cs="Times New Roman" w:eastAsia="Times New Roman" w:hAnsi="Times New Roman"/>
          <w:sz w:val="18"/>
          <w:szCs w:val="18"/>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83"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A “</w:t>
      </w:r>
      <w:r>
        <w:rPr>
          <w:rFonts w:ascii="Times New Roman" w:cs="Times New Roman" w:eastAsia="Times New Roman" w:hAnsi="Times New Roman"/>
          <w:sz w:val="18"/>
          <w:szCs w:val="18"/>
          <w:u w:val="single" w:color="auto"/>
          <w:color w:val="auto"/>
        </w:rPr>
        <w:t>Change in Control</w:t>
      </w:r>
      <w:r>
        <w:rPr>
          <w:rFonts w:ascii="Times New Roman" w:cs="Times New Roman" w:eastAsia="Times New Roman" w:hAnsi="Times New Roman"/>
          <w:sz w:val="18"/>
          <w:szCs w:val="18"/>
          <w:color w:val="auto"/>
        </w:rPr>
        <w:t>” shall be deemed to have occurred if (a) any Person or group of Persons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20"/>
          </w:cols>
          <w:pgMar w:left="440" w:top="270" w:right="439" w:bottom="1440" w:gutter="0" w:footer="0" w:header="0"/>
        </w:sectPr>
      </w:pPr>
    </w:p>
    <w:bookmarkStart w:id="161" w:name="page162"/>
    <w:bookmarkEnd w:id="161"/>
    <w:p>
      <w:pPr>
        <w:ind w:right="10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(together with any replacement or additional directors who were nominated, elected, appointed or approved (either by a specific vote or by approval by such directors of a proxy statement in which such member was named as a nominee for election as a director) by the directors then in office) cease to constitute a majority of the Board of Directors of the Company and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For the avoidance of doubt, the acquisition by Maui Topco of beneficial ownership of the outstanding Voting Shares in Marvell pursuant to the Permitted Reorganization shall not constitute a Change in Control.</w:t>
      </w:r>
    </w:p>
    <w:p>
      <w:pPr>
        <w:spacing w:after="0" w:line="189"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Change in Law</w:t>
      </w:r>
      <w:r>
        <w:rPr>
          <w:rFonts w:ascii="Times New Roman" w:cs="Times New Roman" w:eastAsia="Times New Roman" w:hAnsi="Times New Roman"/>
          <w:sz w:val="18"/>
          <w:szCs w:val="18"/>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9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has the meaning set forth in Section 9.13.</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Internal Revenue Code of 1986, as amended.</w:t>
      </w:r>
    </w:p>
    <w:p>
      <w:pPr>
        <w:spacing w:after="0" w:line="225"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Commitment Letter</w:t>
      </w:r>
      <w:r>
        <w:rPr>
          <w:rFonts w:ascii="Times New Roman" w:cs="Times New Roman" w:eastAsia="Times New Roman" w:hAnsi="Times New Roman"/>
          <w:sz w:val="18"/>
          <w:szCs w:val="18"/>
          <w:color w:val="auto"/>
        </w:rPr>
        <w:t>” means the Facilities Commitment Letter with respect to the Term Facility (as defined therein) and the Revolving Facility dated October 29, 2020, among Marvell, Maui Topco and JPMorgan Chase Bank, N.A.</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Communication</w:t>
      </w:r>
      <w:r>
        <w:rPr>
          <w:rFonts w:ascii="Times New Roman" w:cs="Times New Roman" w:eastAsia="Times New Roman" w:hAnsi="Times New Roman"/>
          <w:sz w:val="18"/>
          <w:szCs w:val="18"/>
          <w:color w:val="auto"/>
        </w:rPr>
        <w:t>” has the meaning assigned to such term in Section 9.06(b).</w:t>
      </w:r>
    </w:p>
    <w:p>
      <w:pPr>
        <w:spacing w:after="0" w:line="225" w:lineRule="exact"/>
        <w:rPr>
          <w:sz w:val="20"/>
          <w:szCs w:val="20"/>
          <w:color w:val="auto"/>
        </w:rPr>
      </w:pPr>
    </w:p>
    <w:p>
      <w:pPr>
        <w:ind w:right="1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(x) prior to the Permitted Reorganization, Marvell and (y) on and after the Permitted Reorganization contemplated by Section 9.19, Maui Topco, and, in each case, any successor thereto permitted under Section 6.04(a)(ii)(B).</w:t>
      </w:r>
    </w:p>
    <w:p>
      <w:pPr>
        <w:spacing w:after="0" w:line="162" w:lineRule="exact"/>
        <w:rPr>
          <w:sz w:val="20"/>
          <w:szCs w:val="20"/>
          <w:color w:val="auto"/>
        </w:rPr>
      </w:pPr>
    </w:p>
    <w:p>
      <w:pPr>
        <w:ind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Compliance Certificate</w:t>
      </w:r>
      <w:r>
        <w:rPr>
          <w:rFonts w:ascii="Times New Roman" w:cs="Times New Roman" w:eastAsia="Times New Roman" w:hAnsi="Times New Roman"/>
          <w:sz w:val="18"/>
          <w:szCs w:val="18"/>
          <w:color w:val="auto"/>
        </w:rPr>
        <w:t>” means a Compliance Certificate in the form of Exhibit C or any other form approved by the Administrative Agent in its reasonable discretion.</w:t>
      </w:r>
    </w:p>
    <w:p>
      <w:pPr>
        <w:spacing w:after="0" w:line="162" w:lineRule="exact"/>
        <w:rPr>
          <w:sz w:val="20"/>
          <w:szCs w:val="20"/>
          <w:color w:val="auto"/>
        </w:rPr>
      </w:pPr>
    </w:p>
    <w:p>
      <w:pPr>
        <w:ind w:right="4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 Information Memorandum</w:t>
      </w:r>
      <w:r>
        <w:rPr>
          <w:rFonts w:ascii="Times New Roman" w:cs="Times New Roman" w:eastAsia="Times New Roman" w:hAnsi="Times New Roman"/>
          <w:sz w:val="18"/>
          <w:szCs w:val="18"/>
          <w:color w:val="auto"/>
        </w:rPr>
        <w:t>” means the Confidential Information Memorandum dated November 9, 2020 relating to the credit facilities provided for herein.</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0980"/>
          </w:cols>
          <w:pgMar w:left="440" w:top="270" w:right="479" w:bottom="1440" w:gutter="0" w:footer="0" w:header="0"/>
        </w:sectPr>
      </w:pPr>
    </w:p>
    <w:bookmarkStart w:id="162" w:name="page163"/>
    <w:bookmarkEnd w:id="162"/>
    <w:p>
      <w:pPr>
        <w:ind w:right="1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Connection Income Taxes</w:t>
      </w:r>
      <w:r>
        <w:rPr>
          <w:rFonts w:ascii="Times New Roman" w:cs="Times New Roman" w:eastAsia="Times New Roman" w:hAnsi="Times New Roman"/>
          <w:sz w:val="18"/>
          <w:szCs w:val="18"/>
          <w:color w:val="auto"/>
        </w:rPr>
        <w:t>” means Other Connection Taxes that are imposed on or measured by net income (however denominated) or that are franchise Taxes or branch profits Taxes.</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EBITDA</w:t>
      </w:r>
      <w:r>
        <w:rPr>
          <w:rFonts w:ascii="Times New Roman" w:cs="Times New Roman" w:eastAsia="Times New Roman" w:hAnsi="Times New Roman"/>
          <w:sz w:val="18"/>
          <w:szCs w:val="18"/>
          <w:color w:val="auto"/>
        </w:rPr>
        <w:t>” means, for any period, Consolidated Operating Income From Continuing Operations for such period, plus</w:t>
      </w:r>
    </w:p>
    <w:p>
      <w:pPr>
        <w:spacing w:after="0" w:line="225" w:lineRule="exact"/>
        <w:rPr>
          <w:sz w:val="20"/>
          <w:szCs w:val="20"/>
          <w:color w:val="auto"/>
        </w:rPr>
      </w:pPr>
    </w:p>
    <w:p>
      <w:pPr>
        <w:ind w:right="80" w:firstLine="987"/>
        <w:spacing w:after="0" w:line="282" w:lineRule="auto"/>
        <w:tabs>
          <w:tab w:leader="none" w:pos="1236" w:val="left"/>
        </w:tabs>
        <w:numPr>
          <w:ilvl w:val="1"/>
          <w:numId w:val="1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without duplication and to the extent deducted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amounts attributable to depreciation and amortization;</w:t>
      </w:r>
    </w:p>
    <w:p>
      <w:pPr>
        <w:spacing w:after="0" w:line="117" w:lineRule="exact"/>
        <w:rPr>
          <w:rFonts w:ascii="Times New Roman" w:cs="Times New Roman" w:eastAsia="Times New Roman" w:hAnsi="Times New Roman"/>
          <w:sz w:val="18"/>
          <w:szCs w:val="18"/>
          <w:color w:val="auto"/>
        </w:rPr>
      </w:pPr>
    </w:p>
    <w:p>
      <w:pPr>
        <w:jc w:val="both"/>
        <w:ind w:left="440" w:right="300" w:firstLine="525"/>
        <w:spacing w:after="0" w:line="266" w:lineRule="auto"/>
        <w:tabs>
          <w:tab w:leader="none" w:pos="1233"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all other non-cash charges,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67" w:lineRule="exact"/>
        <w:rPr>
          <w:rFonts w:ascii="Times New Roman" w:cs="Times New Roman" w:eastAsia="Times New Roman" w:hAnsi="Times New Roman"/>
          <w:sz w:val="18"/>
          <w:szCs w:val="18"/>
          <w:color w:val="auto"/>
        </w:rPr>
      </w:pPr>
    </w:p>
    <w:p>
      <w:pPr>
        <w:ind w:left="440" w:right="20" w:firstLine="525"/>
        <w:spacing w:after="0" w:line="266" w:lineRule="auto"/>
        <w:tabs>
          <w:tab w:leader="none" w:pos="1283"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cash restructuring, severance and similar charges relating to the Inphi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6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extraordinary, unusual or non-recurring cash charges;</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non-cash stock-based compensation;</w:t>
      </w:r>
    </w:p>
    <w:p>
      <w:pPr>
        <w:spacing w:after="0" w:line="11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losses during such period as a result of a change in accounting principles;</w:t>
      </w:r>
    </w:p>
    <w:p>
      <w:pPr>
        <w:spacing w:after="0" w:line="117" w:lineRule="exact"/>
        <w:rPr>
          <w:rFonts w:ascii="Times New Roman" w:cs="Times New Roman" w:eastAsia="Times New Roman" w:hAnsi="Times New Roman"/>
          <w:sz w:val="18"/>
          <w:szCs w:val="18"/>
          <w:color w:val="auto"/>
        </w:rPr>
      </w:pPr>
    </w:p>
    <w:p>
      <w:pPr>
        <w:ind w:left="1320" w:hanging="355"/>
        <w:spacing w:after="0"/>
        <w:tabs>
          <w:tab w:leader="none" w:pos="1320"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losses for such period relating to currency hedges or remeasurements of Indebtedness;</w:t>
      </w:r>
    </w:p>
    <w:p>
      <w:pPr>
        <w:spacing w:after="0" w:line="117" w:lineRule="exact"/>
        <w:rPr>
          <w:rFonts w:ascii="Times New Roman" w:cs="Times New Roman" w:eastAsia="Times New Roman" w:hAnsi="Times New Roman"/>
          <w:sz w:val="18"/>
          <w:szCs w:val="18"/>
          <w:color w:val="auto"/>
        </w:rPr>
      </w:pPr>
    </w:p>
    <w:p>
      <w:pPr>
        <w:jc w:val="both"/>
        <w:ind w:left="440" w:right="100" w:firstLine="525"/>
        <w:spacing w:after="0" w:line="261" w:lineRule="auto"/>
        <w:tabs>
          <w:tab w:leader="none" w:pos="1373"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fees, commissions, costs or expenses (or any amortization thereof) relating to any Acquisition (including the Inphi Acquisition)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71" w:lineRule="exact"/>
        <w:rPr>
          <w:rFonts w:ascii="Times New Roman" w:cs="Times New Roman" w:eastAsia="Times New Roman" w:hAnsi="Times New Roman"/>
          <w:sz w:val="18"/>
          <w:szCs w:val="18"/>
          <w:color w:val="auto"/>
        </w:rPr>
      </w:pPr>
    </w:p>
    <w:p>
      <w:pPr>
        <w:ind w:left="440" w:firstLine="525"/>
        <w:spacing w:after="0" w:line="266" w:lineRule="auto"/>
        <w:tabs>
          <w:tab w:leader="none" w:pos="1273" w:val="left"/>
        </w:tabs>
        <w:numPr>
          <w:ilvl w:val="0"/>
          <w:numId w:val="1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10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0900"/>
          </w:cols>
          <w:pgMar w:left="440" w:top="270" w:right="559" w:bottom="1440" w:gutter="0" w:footer="0" w:header="0"/>
        </w:sectPr>
      </w:pPr>
    </w:p>
    <w:bookmarkStart w:id="163" w:name="page164"/>
    <w:bookmarkEnd w:id="163"/>
    <w:p>
      <w:pPr>
        <w:ind w:right="200" w:firstLine="987"/>
        <w:spacing w:after="0" w:line="282" w:lineRule="auto"/>
        <w:tabs>
          <w:tab w:leader="none" w:pos="1246" w:val="left"/>
        </w:tabs>
        <w:numPr>
          <w:ilvl w:val="1"/>
          <w:numId w:val="1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without duplication and to the extent included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non-cash items of income;</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extraordinary, unusual or non-recurring items of income;</w:t>
      </w:r>
    </w:p>
    <w:p>
      <w:pPr>
        <w:spacing w:after="0" w:line="117"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gains during such period as a result of a change in accounting principles; and</w:t>
      </w:r>
    </w:p>
    <w:p>
      <w:pPr>
        <w:spacing w:after="0" w:line="11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1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including the Inphi Acquisition, or a Material Disposition, Consolidated EBITDA for such period shall be determined giving pro forma effect thereto in accordance with Section 1.04(b).</w:t>
      </w:r>
    </w:p>
    <w:p>
      <w:pPr>
        <w:spacing w:after="0" w:line="180"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Net Tangible Assets</w:t>
      </w:r>
      <w:r>
        <w:rPr>
          <w:rFonts w:ascii="Times New Roman" w:cs="Times New Roman" w:eastAsia="Times New Roman" w:hAnsi="Times New Roman"/>
          <w:sz w:val="18"/>
          <w:szCs w:val="18"/>
          <w:color w:val="auto"/>
        </w:rPr>
        <w:t xml:space="preserve">” means, at any date, (a) total assets of the Company and the Subsidiaries (minus applicable reserves) determined on a consolidated basis in accordance with GAAP </w:t>
      </w:r>
      <w:r>
        <w:rPr>
          <w:rFonts w:ascii="Times New Roman" w:cs="Times New Roman" w:eastAsia="Times New Roman" w:hAnsi="Times New Roman"/>
          <w:sz w:val="18"/>
          <w:szCs w:val="18"/>
          <w:u w:val="single" w:color="auto"/>
          <w:color w:val="auto"/>
        </w:rPr>
        <w:t>minus</w:t>
      </w:r>
      <w:r>
        <w:rPr>
          <w:rFonts w:ascii="Times New Roman" w:cs="Times New Roman" w:eastAsia="Times New Roman" w:hAnsi="Times New Roman"/>
          <w:sz w:val="18"/>
          <w:szCs w:val="18"/>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Inphi Acquisition Closing Date, the Consolidated Net Tangible Assets as of any date prior to the Inphi Acquisition Closing Date shall be determined on a pro forma basis to give effect to the Inphi Acquisition and the other transactions to occur on the Inphi Acquisition Closing Date.</w:t>
      </w:r>
    </w:p>
    <w:p>
      <w:pPr>
        <w:spacing w:after="0" w:line="19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Operating Income From Continuing Operations</w:t>
      </w:r>
      <w:r>
        <w:rPr>
          <w:rFonts w:ascii="Times New Roman" w:cs="Times New Roman" w:eastAsia="Times New Roman" w:hAnsi="Times New Roman"/>
          <w:sz w:val="18"/>
          <w:szCs w:val="18"/>
          <w:color w:val="auto"/>
        </w:rPr>
        <w:t>” means, for any period, the consolidated operating income (or loss) of the Company and its Subsidiaries from continuing operations for such period, determined on a consolidated basis in accordance with GAAP.</w:t>
      </w:r>
    </w:p>
    <w:p>
      <w:pPr>
        <w:spacing w:after="0" w:line="162" w:lineRule="exact"/>
        <w:rPr>
          <w:sz w:val="20"/>
          <w:szCs w:val="20"/>
          <w:color w:val="auto"/>
        </w:rPr>
      </w:pPr>
    </w:p>
    <w:p>
      <w:pPr>
        <w:ind w:right="16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Total Indebtedness</w:t>
      </w:r>
      <w:r>
        <w:rPr>
          <w:rFonts w:ascii="Times New Roman" w:cs="Times New Roman" w:eastAsia="Times New Roman" w:hAnsi="Times New Roman"/>
          <w:sz w:val="18"/>
          <w:szCs w:val="18"/>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purposes of determining Consolidated Total</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70" w:right="459" w:bottom="1440" w:gutter="0" w:footer="0" w:header="0"/>
        </w:sectPr>
      </w:pPr>
    </w:p>
    <w:bookmarkStart w:id="164" w:name="page165"/>
    <w:bookmarkEnd w:id="164"/>
    <w:p>
      <w:pPr>
        <w:ind w:right="300"/>
        <w:spacing w:after="0" w:line="31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Indebtedness, at any time after the definitive agreement for any Material Acquisition (including the Inphi Acquisition) shall have been executed, any Acquisition Indebtedness with respect to such Material Acquisition, unless such Acquisition shall have been consummated, shall be disregarded.</w:t>
      </w:r>
    </w:p>
    <w:p>
      <w:pPr>
        <w:spacing w:after="0" w:line="140"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Control</w:t>
      </w:r>
      <w:r>
        <w:rPr>
          <w:rFonts w:ascii="Times New Roman" w:cs="Times New Roman" w:eastAsia="Times New Roman" w:hAnsi="Times New Roman"/>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Times New Roman" w:cs="Times New Roman" w:eastAsia="Times New Roman" w:hAnsi="Times New Roman"/>
          <w:sz w:val="18"/>
          <w:szCs w:val="18"/>
          <w:u w:val="single" w:color="auto"/>
          <w:color w:val="auto"/>
        </w:rPr>
        <w:t>Controlling</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Controlled</w:t>
      </w:r>
      <w:r>
        <w:rPr>
          <w:rFonts w:ascii="Times New Roman" w:cs="Times New Roman" w:eastAsia="Times New Roman" w:hAnsi="Times New Roman"/>
          <w:sz w:val="18"/>
          <w:szCs w:val="18"/>
          <w:color w:val="auto"/>
        </w:rPr>
        <w:t>” have meanings correlative thereto.</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Credit Party</w:t>
      </w:r>
      <w:r>
        <w:rPr>
          <w:rFonts w:ascii="Times New Roman" w:cs="Times New Roman" w:eastAsia="Times New Roman" w:hAnsi="Times New Roman"/>
          <w:sz w:val="18"/>
          <w:szCs w:val="18"/>
          <w:color w:val="auto"/>
        </w:rPr>
        <w:t>” means the Administrative Agent and each Lender.</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w:t>
      </w:r>
      <w:r>
        <w:rPr>
          <w:rFonts w:ascii="Times New Roman" w:cs="Times New Roman" w:eastAsia="Times New Roman" w:hAnsi="Times New Roman"/>
          <w:sz w:val="18"/>
          <w:szCs w:val="18"/>
          <w:color w:val="auto"/>
        </w:rPr>
        <w:t>” means any event or condition that constitutes, or upon notice, lapse of time or both would constitute, an Event of Default.</w:t>
      </w:r>
    </w:p>
    <w:p>
      <w:pPr>
        <w:spacing w:after="0" w:line="225"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Defaulting Lender</w:t>
      </w:r>
      <w:r>
        <w:rPr>
          <w:rFonts w:ascii="Times New Roman" w:cs="Times New Roman" w:eastAsia="Times New Roman" w:hAnsi="Times New Roman"/>
          <w:sz w:val="18"/>
          <w:szCs w:val="18"/>
          <w:color w:val="auto"/>
        </w:rPr>
        <w:t xml:space="preserve">”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 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Administrative Agent made in good faith, to provide a certification in writing from an authorized officer of such Lender that it will comply with its obligations to fund prospective Loans,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95"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Disposition</w:t>
      </w:r>
      <w:r>
        <w:rPr>
          <w:rFonts w:ascii="Times New Roman" w:cs="Times New Roman" w:eastAsia="Times New Roman" w:hAnsi="Times New Roman"/>
          <w:sz w:val="18"/>
          <w:szCs w:val="18"/>
          <w:color w:val="auto"/>
        </w:rPr>
        <w:t>” means any sale, transfer or other disposition, or series of related sales, transfers, or dispositions (including pursuant to any merger, amalgamation or consolidation), of property that constitutes (a) assets comprising all or substantially all of a division, business or operating unit or product line of any Person or (b) all or substantially all of the Equity Interests in a Person.</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70" w:right="459" w:bottom="1440" w:gutter="0" w:footer="0" w:header="0"/>
        </w:sectPr>
      </w:pPr>
    </w:p>
    <w:bookmarkStart w:id="165" w:name="page166"/>
    <w:bookmarkEnd w:id="165"/>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Documentation Agents</w:t>
      </w:r>
      <w:r>
        <w:rPr>
          <w:rFonts w:ascii="Times New Roman" w:cs="Times New Roman" w:eastAsia="Times New Roman" w:hAnsi="Times New Roman"/>
          <w:sz w:val="18"/>
          <w:szCs w:val="18"/>
          <w:color w:val="auto"/>
        </w:rPr>
        <w:t>” means Citibank, N.A., Goldman Sachs Bank USA, HSBC Bank USA, National Association, MUFG Bank, Ltd.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Wells Fargo Bank, National Association in their capacities as documentation agents for the Revolving Facility.</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dollars</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refers to lawful money of the United States of America.</w:t>
      </w:r>
    </w:p>
    <w:p>
      <w:pPr>
        <w:spacing w:after="0" w:line="225" w:lineRule="exact"/>
        <w:rPr>
          <w:sz w:val="20"/>
          <w:szCs w:val="20"/>
          <w:color w:val="auto"/>
        </w:rPr>
      </w:pPr>
    </w:p>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Financial Institution</w:t>
      </w:r>
      <w:r>
        <w:rPr>
          <w:rFonts w:ascii="Times New Roman" w:cs="Times New Roman" w:eastAsia="Times New Roman" w:hAnsi="Times New Roman"/>
          <w:sz w:val="18"/>
          <w:szCs w:val="18"/>
          <w:color w:val="auto"/>
        </w:rPr>
        <w:t>” means (a) any credit institution or investment firm established in any EEA Member Country which is subject to the supervision of an EEA Resolution Authority, (b) any entity established in an EEA Member Country that is a parent of any Person described in clause (a) above, or (c) any entity established in an EEA Member Country that is a subsidiary of any Person described in clause (a) or (b) above and is subject to consolidated supervision with its parent.</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Member Country</w:t>
      </w:r>
      <w:r>
        <w:rPr>
          <w:rFonts w:ascii="Times New Roman" w:cs="Times New Roman" w:eastAsia="Times New Roman" w:hAnsi="Times New Roman"/>
          <w:sz w:val="18"/>
          <w:szCs w:val="18"/>
          <w:color w:val="auto"/>
        </w:rPr>
        <w:t>” means any of the member states of the European Union, Iceland, Liechtenstein and Norway.</w:t>
      </w:r>
    </w:p>
    <w:p>
      <w:pPr>
        <w:spacing w:after="0" w:line="225"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Resolution Authority</w:t>
      </w:r>
      <w:r>
        <w:rPr>
          <w:rFonts w:ascii="Times New Roman" w:cs="Times New Roman" w:eastAsia="Times New Roman" w:hAnsi="Times New Roman"/>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62" w:lineRule="exact"/>
        <w:rPr>
          <w:sz w:val="20"/>
          <w:szCs w:val="20"/>
          <w:color w:val="auto"/>
        </w:rPr>
      </w:pPr>
    </w:p>
    <w:p>
      <w:pPr>
        <w:ind w:right="9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means the date on which the conditions specified in Section 4.01 are satisfied (or waived in accordance with Section 9.02).</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Electronic Copy</w:t>
      </w:r>
      <w:r>
        <w:rPr>
          <w:rFonts w:ascii="Times New Roman" w:cs="Times New Roman" w:eastAsia="Times New Roman" w:hAnsi="Times New Roman"/>
          <w:sz w:val="18"/>
          <w:szCs w:val="18"/>
          <w:color w:val="auto"/>
        </w:rPr>
        <w:t>” has the meaning specified in Section 9.06(b).</w:t>
      </w:r>
    </w:p>
    <w:p>
      <w:pPr>
        <w:spacing w:after="0" w:line="225"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Eligible Assignee</w:t>
      </w:r>
      <w:r>
        <w:rPr>
          <w:rFonts w:ascii="Times New Roman" w:cs="Times New Roman" w:eastAsia="Times New Roman" w:hAnsi="Times New Roman"/>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62" w:lineRule="exact"/>
        <w:rPr>
          <w:sz w:val="20"/>
          <w:szCs w:val="20"/>
          <w:color w:val="auto"/>
        </w:rPr>
      </w:pPr>
    </w:p>
    <w:p>
      <w:pPr>
        <w:ind w:right="6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Laws</w:t>
      </w:r>
      <w:r>
        <w:rPr>
          <w:rFonts w:ascii="Times New Roman" w:cs="Times New Roman" w:eastAsia="Times New Roman" w:hAnsi="Times New Roman"/>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generation, use, handling, transportation, storage, treatment, disposal, Release or threatened Release or the classification, registration, disclosure or import of, or exposure to, any toxic or hazardous materials, substance or waste or to related health or safety matters.</w:t>
      </w:r>
    </w:p>
    <w:p>
      <w:pPr>
        <w:spacing w:after="0" w:line="183"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Liability</w:t>
      </w:r>
      <w:r>
        <w:rPr>
          <w:rFonts w:ascii="Times New Roman" w:cs="Times New Roman" w:eastAsia="Times New Roman" w:hAnsi="Times New Roman"/>
          <w:sz w:val="18"/>
          <w:szCs w:val="18"/>
          <w:color w:val="auto"/>
        </w:rPr>
        <w:t>” means any liability, obligation, loss, claim, action, order or cost, contingent or otherwise (including any liability for damages, costs of environmental remediation, fines, penalties and indemnities), directly or indirectly resulting from or based upon (a) any Environmental Law, (b) the generation, use, handling, transportation, storage, treatment or disposal of any Hazardous Material,</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00"/>
          </w:cols>
          <w:pgMar w:left="440" w:top="270" w:right="459" w:bottom="1440" w:gutter="0" w:footer="0" w:header="0"/>
        </w:sectPr>
      </w:pPr>
    </w:p>
    <w:bookmarkStart w:id="166" w:name="page167"/>
    <w:bookmarkEnd w:id="166"/>
    <w:p>
      <w:pPr>
        <w:ind w:left="4" w:right="300" w:hanging="4"/>
        <w:spacing w:after="0" w:line="282" w:lineRule="auto"/>
        <w:tabs>
          <w:tab w:leader="none" w:pos="249" w:val="left"/>
        </w:tabs>
        <w:numPr>
          <w:ilvl w:val="0"/>
          <w:numId w:val="1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62" w:lineRule="exact"/>
        <w:rPr>
          <w:sz w:val="20"/>
          <w:szCs w:val="20"/>
          <w:color w:val="auto"/>
        </w:rPr>
      </w:pPr>
    </w:p>
    <w:p>
      <w:pPr>
        <w:ind w:left="4" w:right="1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Interests</w:t>
      </w:r>
      <w:r>
        <w:rPr>
          <w:rFonts w:ascii="Times New Roman" w:cs="Times New Roman" w:eastAsia="Times New Roman" w:hAnsi="Times New Roman"/>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w:t>
      </w:r>
    </w:p>
    <w:p>
      <w:pPr>
        <w:spacing w:after="0" w:line="225" w:lineRule="exact"/>
        <w:rPr>
          <w:sz w:val="20"/>
          <w:szCs w:val="20"/>
          <w:color w:val="auto"/>
        </w:rPr>
      </w:pPr>
    </w:p>
    <w:p>
      <w:pPr>
        <w:jc w:val="both"/>
        <w:ind w:left="4"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76" w:lineRule="exact"/>
        <w:rPr>
          <w:sz w:val="20"/>
          <w:szCs w:val="20"/>
          <w:color w:val="auto"/>
        </w:rPr>
      </w:pPr>
    </w:p>
    <w:p>
      <w:pPr>
        <w:ind w:left="4" w:right="20" w:firstLine="991"/>
        <w:spacing w:after="0" w:line="268"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ERISA Event</w:t>
      </w:r>
      <w:r>
        <w:rPr>
          <w:rFonts w:ascii="Times New Roman" w:cs="Times New Roman" w:eastAsia="Times New Roman" w:hAnsi="Times New Roman"/>
          <w:sz w:val="17"/>
          <w:szCs w:val="17"/>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5" w:lineRule="exact"/>
        <w:rPr>
          <w:sz w:val="20"/>
          <w:szCs w:val="20"/>
          <w:color w:val="auto"/>
        </w:rPr>
      </w:pPr>
    </w:p>
    <w:p>
      <w:pPr>
        <w:ind w:left="4" w:right="160" w:hanging="4"/>
        <w:spacing w:after="0" w:line="252" w:lineRule="auto"/>
        <w:tabs>
          <w:tab w:leader="none" w:pos="229" w:val="left"/>
        </w:tabs>
        <w:numPr>
          <w:ilvl w:val="0"/>
          <w:numId w:val="1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0" w:lineRule="exact"/>
        <w:rPr>
          <w:sz w:val="20"/>
          <w:szCs w:val="20"/>
          <w:color w:val="auto"/>
        </w:rPr>
      </w:pPr>
    </w:p>
    <w:p>
      <w:pPr>
        <w:ind w:left="4" w:right="6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 Bail-In Legislation Schedule</w:t>
      </w:r>
      <w:r>
        <w:rPr>
          <w:rFonts w:ascii="Times New Roman" w:cs="Times New Roman" w:eastAsia="Times New Roman" w:hAnsi="Times New Roman"/>
          <w:sz w:val="18"/>
          <w:szCs w:val="18"/>
          <w:color w:val="auto"/>
        </w:rPr>
        <w:t>” means the EU Bail-In Legislation Schedule published by the Loan Market Association (or any successor person), as in effect from time to time.</w:t>
      </w:r>
    </w:p>
    <w:p>
      <w:pPr>
        <w:spacing w:after="0" w:line="162" w:lineRule="exact"/>
        <w:rPr>
          <w:sz w:val="20"/>
          <w:szCs w:val="20"/>
          <w:color w:val="auto"/>
        </w:rPr>
      </w:pPr>
    </w:p>
    <w:p>
      <w:pPr>
        <w:ind w:left="4"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Eurocurrency</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Adjusted LIBO Rate.</w:t>
      </w:r>
    </w:p>
    <w:p>
      <w:pPr>
        <w:spacing w:after="0" w:line="9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004"/>
          </w:cols>
          <w:pgMar w:left="436" w:top="270" w:right="459" w:bottom="1440" w:gutter="0" w:footer="0" w:header="0"/>
        </w:sectPr>
      </w:pPr>
    </w:p>
    <w:bookmarkStart w:id="167" w:name="page168"/>
    <w:bookmarkEnd w:id="167"/>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has the meaning set forth in Section 7.01.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United States Securities Exchange Act of 1934.</w:t>
      </w:r>
    </w:p>
    <w:p>
      <w:pPr>
        <w:spacing w:after="0" w:line="225"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Excluded Taxes</w:t>
      </w:r>
      <w:r>
        <w:rPr>
          <w:rFonts w:ascii="Times New Roman" w:cs="Times New Roman" w:eastAsia="Times New Roman" w:hAnsi="Times New Roman"/>
          <w:sz w:val="18"/>
          <w:szCs w:val="18"/>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83" w:lineRule="exact"/>
        <w:rPr>
          <w:sz w:val="20"/>
          <w:szCs w:val="20"/>
          <w:color w:val="auto"/>
        </w:rPr>
      </w:pPr>
    </w:p>
    <w:p>
      <w:pPr>
        <w:ind w:right="20" w:firstLine="991"/>
        <w:spacing w:after="0" w:line="281"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FATCA</w:t>
      </w:r>
      <w:r>
        <w:rPr>
          <w:rFonts w:ascii="Times New Roman" w:cs="Times New Roman" w:eastAsia="Times New Roman" w:hAnsi="Times New Roman"/>
          <w:sz w:val="17"/>
          <w:szCs w:val="17"/>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64"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Federal Funds Effective Rate</w:t>
      </w:r>
      <w:r>
        <w:rPr>
          <w:rFonts w:ascii="Times New Roman" w:cs="Times New Roman" w:eastAsia="Times New Roman" w:hAnsi="Times New Roman"/>
          <w:sz w:val="18"/>
          <w:szCs w:val="18"/>
          <w:color w:val="auto"/>
        </w:rPr>
        <w:t xml:space="preserve">” means, for any day, the rate per annum calculated by the Federal Reserve Bank of New York based on such day’s federal funds transactions by depository institutions (as determined in such manner as the Federal Reserve Bank of New York shall set forth on its public website from time to time) and published on the next succeeding Business Day by the Federal Reserve Bank of New York as the federal funds effective rate;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Federal Funds Effective Rate as so determined would be less than zero, such rate shall be deemed to be zero for purposes of this Agreement.</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Federal Reserve Board</w:t>
      </w:r>
      <w:r>
        <w:rPr>
          <w:rFonts w:ascii="Times New Roman" w:cs="Times New Roman" w:eastAsia="Times New Roman" w:hAnsi="Times New Roman"/>
          <w:sz w:val="18"/>
          <w:szCs w:val="18"/>
          <w:color w:val="auto"/>
        </w:rPr>
        <w:t>” means the Board of Governors of the Federal Reserve System of the United States of America.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Fee Letter</w:t>
      </w:r>
      <w:r>
        <w:rPr>
          <w:rFonts w:ascii="Times New Roman" w:cs="Times New Roman" w:eastAsia="Times New Roman" w:hAnsi="Times New Roman"/>
          <w:sz w:val="18"/>
          <w:szCs w:val="18"/>
          <w:color w:val="auto"/>
        </w:rPr>
        <w:t>” means the Revolving Facility Fee Letter dated December 7, 2020, between Marvell, Maui Topco and the Administrative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Agent.</w:t>
      </w:r>
    </w:p>
    <w:p>
      <w:pPr>
        <w:spacing w:after="0" w:line="207"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Financial Officer</w:t>
      </w:r>
      <w:r>
        <w:rPr>
          <w:rFonts w:ascii="Times New Roman" w:cs="Times New Roman" w:eastAsia="Times New Roman" w:hAnsi="Times New Roman"/>
          <w:sz w:val="18"/>
          <w:szCs w:val="18"/>
          <w:color w:val="auto"/>
        </w:rPr>
        <w:t xml:space="preserve">” means, with respect to any Person, the chief financial officer, principal accounting officer, vice president-treasury, treasurer or controller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Fitch</w:t>
      </w:r>
      <w:r>
        <w:rPr>
          <w:rFonts w:ascii="Times New Roman" w:cs="Times New Roman" w:eastAsia="Times New Roman" w:hAnsi="Times New Roman"/>
          <w:sz w:val="18"/>
          <w:szCs w:val="18"/>
          <w:color w:val="auto"/>
        </w:rPr>
        <w:t>” means Fitch Ratings, Inc., or any successor to its rating agency business.</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20"/>
          </w:cols>
          <w:pgMar w:left="440" w:top="270" w:right="439" w:bottom="1440" w:gutter="0" w:footer="0" w:header="0"/>
        </w:sectPr>
      </w:pPr>
    </w:p>
    <w:bookmarkStart w:id="168" w:name="page169"/>
    <w:bookmarkEnd w:id="168"/>
    <w:p>
      <w:pPr>
        <w:ind w:right="7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subject to Section 1.04(a), generally accepted accounting principles in the United States of America, applied in accordance with the consistency requirements thereof.</w:t>
      </w:r>
    </w:p>
    <w:p>
      <w:pPr>
        <w:spacing w:after="0" w:line="162"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Approvals</w:t>
      </w:r>
      <w:r>
        <w:rPr>
          <w:rFonts w:ascii="Times New Roman" w:cs="Times New Roman" w:eastAsia="Times New Roman" w:hAnsi="Times New Roman"/>
          <w:sz w:val="18"/>
          <w:szCs w:val="18"/>
          <w:color w:val="auto"/>
        </w:rPr>
        <w:t>” means all authorizations, consents, approvals, permits, licenses and exemptions of, registrations and filings with, and reports to, Governmental Authorities.</w:t>
      </w:r>
    </w:p>
    <w:p>
      <w:pPr>
        <w:spacing w:after="0" w:line="162" w:lineRule="exact"/>
        <w:rPr>
          <w:sz w:val="20"/>
          <w:szCs w:val="20"/>
          <w:color w:val="auto"/>
        </w:rPr>
      </w:pPr>
    </w:p>
    <w:p>
      <w:pPr>
        <w:ind w:right="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Authority</w:t>
      </w:r>
      <w:r>
        <w:rPr>
          <w:rFonts w:ascii="Times New Roman" w:cs="Times New Roman" w:eastAsia="Times New Roman" w:hAnsi="Times New Roman"/>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Guarantee</w:t>
      </w:r>
      <w:r>
        <w:rPr>
          <w:rFonts w:ascii="Times New Roman" w:cs="Times New Roman" w:eastAsia="Times New Roman" w:hAnsi="Times New Roman"/>
          <w:sz w:val="18"/>
          <w:szCs w:val="18"/>
          <w:color w:val="auto"/>
        </w:rPr>
        <w:t>” of or by any Person (the “</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means any obligation, contingent or otherwise, of the guarantor guaranteeing or having the economic effect of guaranteeing any Indebtedness or other obligation of any other Person (the “</w:t>
      </w:r>
      <w:r>
        <w:rPr>
          <w:rFonts w:ascii="Times New Roman" w:cs="Times New Roman" w:eastAsia="Times New Roman" w:hAnsi="Times New Roman"/>
          <w:sz w:val="18"/>
          <w:szCs w:val="18"/>
          <w:u w:val="single" w:color="auto"/>
          <w:color w:val="auto"/>
        </w:rPr>
        <w:t>primary obligor</w:t>
      </w:r>
      <w:r>
        <w:rPr>
          <w:rFonts w:ascii="Times New Roman" w:cs="Times New Roman" w:eastAsia="Times New Roman" w:hAnsi="Times New Roman"/>
          <w:sz w:val="18"/>
          <w:szCs w:val="18"/>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Guarantors</w:t>
      </w:r>
      <w:r>
        <w:rPr>
          <w:rFonts w:ascii="Times New Roman" w:cs="Times New Roman" w:eastAsia="Times New Roman" w:hAnsi="Times New Roman"/>
          <w:sz w:val="18"/>
          <w:szCs w:val="18"/>
          <w:color w:val="auto"/>
        </w:rPr>
        <w:t>” has the meaning set forth in Section 5.10(a).</w:t>
      </w:r>
    </w:p>
    <w:p>
      <w:pPr>
        <w:spacing w:after="0" w:line="225"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169" w:name="page170"/>
    <w:bookmarkEnd w:id="169"/>
    <w:p>
      <w:pPr>
        <w:ind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Hedging Agreement</w:t>
      </w:r>
      <w:r>
        <w:rPr>
          <w:rFonts w:ascii="Times New Roman" w:cs="Times New Roman" w:eastAsia="Times New Roman" w:hAnsi="Times New Roman"/>
          <w:sz w:val="18"/>
          <w:szCs w:val="18"/>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Impacted Loans</w:t>
      </w:r>
      <w:r>
        <w:rPr>
          <w:rFonts w:ascii="Times New Roman" w:cs="Times New Roman" w:eastAsia="Times New Roman" w:hAnsi="Times New Roman"/>
          <w:sz w:val="18"/>
          <w:szCs w:val="18"/>
          <w:color w:val="auto"/>
        </w:rPr>
        <w:t xml:space="preserve">” has the meaning specified in </w:t>
      </w:r>
      <w:r>
        <w:rPr>
          <w:rFonts w:ascii="Times New Roman" w:cs="Times New Roman" w:eastAsia="Times New Roman" w:hAnsi="Times New Roman"/>
          <w:sz w:val="18"/>
          <w:szCs w:val="18"/>
          <w:u w:val="single" w:color="auto"/>
          <w:color w:val="auto"/>
        </w:rPr>
        <w:t>Section 2.11(a)</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96" w:lineRule="exact"/>
        <w:rPr>
          <w:sz w:val="20"/>
          <w:szCs w:val="20"/>
          <w:color w:val="auto"/>
        </w:rPr>
      </w:pPr>
    </w:p>
    <w:p>
      <w:pPr>
        <w:ind w:right="24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Indemnified Taxes</w:t>
      </w:r>
      <w:r>
        <w:rPr>
          <w:rFonts w:ascii="Times New Roman" w:cs="Times New Roman" w:eastAsia="Times New Roman" w:hAnsi="Times New Roman"/>
          <w:sz w:val="17"/>
          <w:szCs w:val="17"/>
          <w:color w:val="auto"/>
        </w:rPr>
        <w:t>” means (a) Taxes, other than Excluded Taxes, imposed on or with respect to any payment made by or on account of any obligation of the Company or any Guarantor under any Loan Document and (b) to the extent not otherwise described in clause (a), Other Taxes.</w:t>
      </w:r>
    </w:p>
    <w:p>
      <w:pPr>
        <w:spacing w:after="0" w:line="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0"/>
          </w:cols>
          <w:pgMar w:left="440" w:top="270" w:right="459" w:bottom="1440" w:gutter="0" w:footer="0" w:header="0"/>
        </w:sectPr>
      </w:pPr>
    </w:p>
    <w:bookmarkStart w:id="170" w:name="page171"/>
    <w:bookmarkEnd w:id="170"/>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has the meaning set forth in Section 9.03(b).</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w:t>
      </w:r>
      <w:r>
        <w:rPr>
          <w:rFonts w:ascii="Times New Roman" w:cs="Times New Roman" w:eastAsia="Times New Roman" w:hAnsi="Times New Roman"/>
          <w:sz w:val="18"/>
          <w:szCs w:val="18"/>
          <w:color w:val="auto"/>
        </w:rPr>
        <w:t>” means Inphi Corporation, a Delaware corporation.</w:t>
      </w:r>
    </w:p>
    <w:p>
      <w:pPr>
        <w:spacing w:after="0" w:line="225" w:lineRule="exact"/>
        <w:rPr>
          <w:sz w:val="20"/>
          <w:szCs w:val="20"/>
          <w:color w:val="auto"/>
        </w:rPr>
      </w:pPr>
    </w:p>
    <w:p>
      <w:pPr>
        <w:ind w:right="18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Inphi Acquisition</w:t>
      </w:r>
      <w:r>
        <w:rPr>
          <w:rFonts w:ascii="Times New Roman" w:cs="Times New Roman" w:eastAsia="Times New Roman" w:hAnsi="Times New Roman"/>
          <w:sz w:val="17"/>
          <w:szCs w:val="17"/>
          <w:color w:val="auto"/>
        </w:rPr>
        <w:t>” means the acquisition by Marvell of Inphi pursuant to the Inphi Acquisition Agreement, in accordance with which Indigo Acquisition Corp., a Delaware corporation, will merge with and into Inphi, with Inphi surviving such merger as a wholly owned Subsidiary.</w:t>
      </w:r>
    </w:p>
    <w:p>
      <w:pPr>
        <w:spacing w:after="0" w:line="140" w:lineRule="exact"/>
        <w:rPr>
          <w:sz w:val="20"/>
          <w:szCs w:val="20"/>
          <w:color w:val="auto"/>
        </w:rPr>
      </w:pPr>
    </w:p>
    <w:p>
      <w:pPr>
        <w:ind w:right="100" w:firstLine="991"/>
        <w:spacing w:after="0" w:line="28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Inphi Acquisition Agreement</w:t>
      </w:r>
      <w:r>
        <w:rPr>
          <w:rFonts w:ascii="Times New Roman" w:cs="Times New Roman" w:eastAsia="Times New Roman" w:hAnsi="Times New Roman"/>
          <w:sz w:val="17"/>
          <w:szCs w:val="17"/>
          <w:color w:val="auto"/>
        </w:rPr>
        <w:t>” means the Agreement and Plan of Merger dated as of October 29, 2020 (including the exhibits and schedules thereto and all related documents), among Marvell, Inphi, Maui Topco, Marvell Acquisition Company Ltd., a Bermuda exempted company and a wholly-owned subsidiary of Maui Topco and Indigo Acquisition Corp., a Delaware corporation and a wholly-owned subsidiary of Maui Topco.</w:t>
      </w:r>
    </w:p>
    <w:p>
      <w:pPr>
        <w:spacing w:after="0" w:line="158"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Acquisition Closing Date</w:t>
      </w:r>
      <w:r>
        <w:rPr>
          <w:rFonts w:ascii="Times New Roman" w:cs="Times New Roman" w:eastAsia="Times New Roman" w:hAnsi="Times New Roman"/>
          <w:sz w:val="18"/>
          <w:szCs w:val="18"/>
          <w:color w:val="auto"/>
        </w:rPr>
        <w:t>” means the date of the consummation of the Inphi Acquisition.</w:t>
      </w:r>
    </w:p>
    <w:p>
      <w:pPr>
        <w:spacing w:after="0" w:line="225" w:lineRule="exact"/>
        <w:rPr>
          <w:sz w:val="20"/>
          <w:szCs w:val="20"/>
          <w:color w:val="auto"/>
        </w:rPr>
      </w:pPr>
    </w:p>
    <w:p>
      <w:pPr>
        <w:ind w:right="2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Acquisition Indebtedness</w:t>
      </w:r>
      <w:r>
        <w:rPr>
          <w:rFonts w:ascii="Times New Roman" w:cs="Times New Roman" w:eastAsia="Times New Roman" w:hAnsi="Times New Roman"/>
          <w:sz w:val="18"/>
          <w:szCs w:val="18"/>
          <w:color w:val="auto"/>
        </w:rPr>
        <w:t>” means any Indebtedness (other than the Loans) incurred on or prior to the Inphi Acquisition Closing Date to finance, in part, the Inphi Acquisition and the payment of fees and expenses related to the Inphi Acquisition and the other transactions contemplated thereby, and any Indebtedness that represents an extension, renewal or refinancing thereof.</w:t>
      </w:r>
    </w:p>
    <w:p>
      <w:pPr>
        <w:spacing w:after="0" w:line="176"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Inphi Convertible Notes</w:t>
      </w:r>
      <w:r>
        <w:rPr>
          <w:rFonts w:ascii="Times New Roman" w:cs="Times New Roman" w:eastAsia="Times New Roman" w:hAnsi="Times New Roman"/>
          <w:sz w:val="18"/>
          <w:szCs w:val="18"/>
          <w:color w:val="auto"/>
        </w:rPr>
        <w:t>”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176"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Election Request</w:t>
      </w:r>
      <w:r>
        <w:rPr>
          <w:rFonts w:ascii="Times New Roman" w:cs="Times New Roman" w:eastAsia="Times New Roman" w:hAnsi="Times New Roman"/>
          <w:sz w:val="18"/>
          <w:szCs w:val="18"/>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162"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Payment Date</w:t>
      </w:r>
      <w:r>
        <w:rPr>
          <w:rFonts w:ascii="Times New Roman" w:cs="Times New Roman" w:eastAsia="Times New Roman" w:hAnsi="Times New Roman"/>
          <w:sz w:val="18"/>
          <w:szCs w:val="18"/>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80"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Period</w:t>
      </w:r>
      <w:r>
        <w:rPr>
          <w:rFonts w:ascii="Times New Roman" w:cs="Times New Roman" w:eastAsia="Times New Roman" w:hAnsi="Times New Roman"/>
          <w:sz w:val="18"/>
          <w:szCs w:val="18"/>
          <w:color w:val="auto"/>
        </w:rPr>
        <w:t>”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860"/>
          </w:cols>
          <w:pgMar w:left="440" w:top="270" w:right="599" w:bottom="1440" w:gutter="0" w:footer="0" w:header="0"/>
        </w:sectPr>
      </w:pPr>
    </w:p>
    <w:bookmarkStart w:id="171" w:name="page172"/>
    <w:bookmarkEnd w:id="171"/>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participating in such Borrowing), as the Company may elect;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and (c) no Interest Period shall extend beyond the Maturity Date. For purposes hereof, the date of a Borrowing initially shall be the date on which such Borrowing is made and thereafter shall be the effective date of the most recent conversion or continuation of such Borrowing.</w:t>
      </w:r>
    </w:p>
    <w:p>
      <w:pPr>
        <w:spacing w:after="0" w:line="189"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ISDA Definitions</w:t>
      </w:r>
      <w:r>
        <w:rPr>
          <w:rFonts w:ascii="Times New Roman" w:cs="Times New Roman" w:eastAsia="Times New Roman" w:hAnsi="Times New Roman"/>
          <w:sz w:val="18"/>
          <w:szCs w:val="18"/>
          <w:color w:val="auto"/>
        </w:rPr>
        <w:t>” means the 2006 ISDA Definitions published by the International Swaps and Derivatives Association, Inc. or any successor thereto, as amended or supplemented from time to time, or any successor definitional booklet for interest rate derivatives published from time to time by the International Swaps and Derivatives Association, Inc. or such successor thereto.</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Lender-Related Person</w:t>
      </w:r>
      <w:r>
        <w:rPr>
          <w:rFonts w:ascii="Times New Roman" w:cs="Times New Roman" w:eastAsia="Times New Roman" w:hAnsi="Times New Roman"/>
          <w:sz w:val="18"/>
          <w:szCs w:val="18"/>
          <w:color w:val="auto"/>
        </w:rPr>
        <w:t>” has the meaning assigned to it in Section 9.03(d).</w:t>
      </w:r>
    </w:p>
    <w:p>
      <w:pPr>
        <w:spacing w:after="0" w:line="225" w:lineRule="exact"/>
        <w:rPr>
          <w:sz w:val="20"/>
          <w:szCs w:val="20"/>
          <w:color w:val="auto"/>
        </w:rPr>
      </w:pPr>
    </w:p>
    <w:p>
      <w:pPr>
        <w:ind w:right="60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Lenders</w:t>
      </w:r>
      <w:r>
        <w:rPr>
          <w:rFonts w:ascii="Times New Roman" w:cs="Times New Roman" w:eastAsia="Times New Roman" w:hAnsi="Times New Roman"/>
          <w:sz w:val="17"/>
          <w:szCs w:val="17"/>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40"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Liabilities</w:t>
      </w:r>
      <w:r>
        <w:rPr>
          <w:rFonts w:ascii="Times New Roman" w:cs="Times New Roman" w:eastAsia="Times New Roman" w:hAnsi="Times New Roman"/>
          <w:sz w:val="18"/>
          <w:szCs w:val="18"/>
          <w:color w:val="auto"/>
        </w:rPr>
        <w:t>” means any losses, claims (including intraparty claims), demands, damages or liabilities of any kind.</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Rate</w:t>
      </w:r>
      <w:r>
        <w:rPr>
          <w:rFonts w:ascii="Times New Roman" w:cs="Times New Roman" w:eastAsia="Times New Roman" w:hAnsi="Times New Roman"/>
          <w:sz w:val="18"/>
          <w:szCs w:val="18"/>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Replacement Date</w:t>
      </w:r>
      <w:r>
        <w:rPr>
          <w:rFonts w:ascii="Times New Roman" w:cs="Times New Roman" w:eastAsia="Times New Roman" w:hAnsi="Times New Roman"/>
          <w:sz w:val="18"/>
          <w:szCs w:val="18"/>
          <w:color w:val="auto"/>
        </w:rPr>
        <w:t>” has the meaning specified in Section 2.11(c).</w:t>
      </w:r>
    </w:p>
    <w:p>
      <w:pPr>
        <w:spacing w:after="0" w:line="225"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Screen Rate</w:t>
      </w:r>
      <w:r>
        <w:rPr>
          <w:rFonts w:ascii="Times New Roman" w:cs="Times New Roman" w:eastAsia="Times New Roman" w:hAnsi="Times New Roman"/>
          <w:sz w:val="18"/>
          <w:szCs w:val="18"/>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0980"/>
          </w:cols>
          <w:pgMar w:left="440" w:top="270" w:right="479" w:bottom="1440" w:gutter="0" w:footer="0" w:header="0"/>
        </w:sectPr>
      </w:pPr>
    </w:p>
    <w:bookmarkStart w:id="172" w:name="page173"/>
    <w:bookmarkEnd w:id="172"/>
    <w:p>
      <w:pPr>
        <w:ind w:right="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delivery on the first day of such Interest Period) for a period equal in length to such Interest Period as displayed on either the Reuters screen page or the Bloomberg screen page, as selected by the Administrative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Administrative Agent in its reasonable discretion.</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Successor Rate</w:t>
      </w:r>
      <w:r>
        <w:rPr>
          <w:rFonts w:ascii="Times New Roman" w:cs="Times New Roman" w:eastAsia="Times New Roman" w:hAnsi="Times New Roman"/>
          <w:sz w:val="18"/>
          <w:szCs w:val="18"/>
          <w:color w:val="auto"/>
        </w:rPr>
        <w:t>” has the meaning specified in Section 2.11(c).</w:t>
      </w:r>
    </w:p>
    <w:p>
      <w:pPr>
        <w:spacing w:after="0" w:line="225"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Successor Rate Conforming Changes</w:t>
      </w:r>
      <w:r>
        <w:rPr>
          <w:rFonts w:ascii="Times New Roman" w:cs="Times New Roman" w:eastAsia="Times New Roman" w:hAnsi="Times New Roman"/>
          <w:sz w:val="18"/>
          <w:szCs w:val="18"/>
          <w:color w:val="auto"/>
        </w:rPr>
        <w:t>” means, with respect to any proposed LIBO Successor Rate, any conforming changes to the definition of Alternate Base Rate, Interest Period, timing and frequency of determining rates and making payments of interest and other technical, administrative or operational matters (including, for the avoidance of doubt, the definition of Business Day, timing of borrowing requests or prepayment, conversion or continuation notices and length of lookback periods) as may be appropriate, in the discretion of the Administrative Agent, to reflect the adoption and implementation of such LIBO Successor Rate and to permit the administration thereof by the Administrative Agent in a manner substantially consistent with market practice (or, if the Administrative Agent determines that adoption of any portion of such market practice is not administratively feasible or that no market practice for the administration of such LIBO Successor Rate exists, in such other manner of administration as the Administrative Agent determines is reasonably necessary in connection with the administration of this Agreement and any other Loan Document).</w:t>
      </w:r>
    </w:p>
    <w:p>
      <w:pPr>
        <w:spacing w:after="0" w:line="192"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Lien</w:t>
      </w:r>
      <w:r>
        <w:rPr>
          <w:rFonts w:ascii="Times New Roman" w:cs="Times New Roman" w:eastAsia="Times New Roman" w:hAnsi="Times New Roman"/>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76" w:lineRule="exact"/>
        <w:rPr>
          <w:sz w:val="20"/>
          <w:szCs w:val="20"/>
          <w:color w:val="auto"/>
        </w:rPr>
      </w:pPr>
    </w:p>
    <w:p>
      <w:pPr>
        <w:ind w:right="6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Documents</w:t>
      </w:r>
      <w:r>
        <w:rPr>
          <w:rFonts w:ascii="Times New Roman" w:cs="Times New Roman" w:eastAsia="Times New Roman" w:hAnsi="Times New Roman"/>
          <w:sz w:val="18"/>
          <w:szCs w:val="18"/>
          <w:color w:val="auto"/>
        </w:rPr>
        <w:t>” means this Agreement, the Assumption Agreement (if any), the Subsidiary Guaranties (if any) and, except for purposes of Section 9.02, any promissory notes delivered pursuant to Section 2.07(c).</w:t>
      </w:r>
    </w:p>
    <w:p>
      <w:pPr>
        <w:spacing w:after="0" w:line="162" w:lineRule="exact"/>
        <w:rPr>
          <w:sz w:val="20"/>
          <w:szCs w:val="20"/>
          <w:color w:val="auto"/>
        </w:rPr>
      </w:pPr>
    </w:p>
    <w:p>
      <w:pPr>
        <w:ind w:right="10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Modification Agreement</w:t>
      </w:r>
      <w:r>
        <w:rPr>
          <w:rFonts w:ascii="Times New Roman" w:cs="Times New Roman" w:eastAsia="Times New Roman" w:hAnsi="Times New Roman"/>
          <w:sz w:val="18"/>
          <w:szCs w:val="18"/>
          <w:color w:val="auto"/>
        </w:rPr>
        <w:t>” means a Loan Modification Agreement in form and substance reasonably satisfactory to the Administrative Agent and the Company, among the Company, one or more Accepting Lenders and the Administrative Agent.</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Modification Offer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Loans</w:t>
      </w:r>
      <w:r>
        <w:rPr>
          <w:rFonts w:ascii="Times New Roman" w:cs="Times New Roman" w:eastAsia="Times New Roman" w:hAnsi="Times New Roman"/>
          <w:sz w:val="18"/>
          <w:szCs w:val="18"/>
          <w:color w:val="auto"/>
        </w:rPr>
        <w:t>” means the loans made by the Lenders to the Company pursuant to this Agreement.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Marvell</w:t>
      </w:r>
      <w:r>
        <w:rPr>
          <w:rFonts w:ascii="Times New Roman" w:cs="Times New Roman" w:eastAsia="Times New Roman" w:hAnsi="Times New Roman"/>
          <w:sz w:val="18"/>
          <w:szCs w:val="18"/>
          <w:color w:val="auto"/>
        </w:rPr>
        <w:t>” means Marvell Technology Group Ltd., a Bermuda exempted company.</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000"/>
          </w:cols>
          <w:pgMar w:left="440" w:top="270" w:right="459" w:bottom="1440" w:gutter="0" w:footer="0" w:header="0"/>
        </w:sectPr>
      </w:pPr>
    </w:p>
    <w:bookmarkStart w:id="173" w:name="page174"/>
    <w:bookmarkEnd w:id="173"/>
    <w:p>
      <w:pPr>
        <w:ind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Marvell 2018 Senior Unsecured Notes</w:t>
      </w:r>
      <w:r>
        <w:rPr>
          <w:rFonts w:ascii="Times New Roman" w:cs="Times New Roman" w:eastAsia="Times New Roman" w:hAnsi="Times New Roman"/>
          <w:sz w:val="18"/>
          <w:szCs w:val="18"/>
          <w:color w:val="auto"/>
        </w:rPr>
        <w:t>” means collectively (i) the 4.200% senior notes due 2023 issued on June 22, 2018 by Marvell in an aggregate principal amount of $500,000,000 and (ii) the 4.875% senior notes due 2028 issued on June 22, 2018 by Marvell in an aggregate principal amount of $500,000,000.</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Acquisition</w:t>
      </w:r>
      <w:r>
        <w:rPr>
          <w:rFonts w:ascii="Times New Roman" w:cs="Times New Roman" w:eastAsia="Times New Roman" w:hAnsi="Times New Roman"/>
          <w:sz w:val="18"/>
          <w:szCs w:val="18"/>
          <w:color w:val="auto"/>
        </w:rPr>
        <w:t>” means any Acquisition by the Company or any Subsidiary involving payment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w:t>
      </w:r>
      <w:r>
        <w:rPr>
          <w:rFonts w:ascii="Times New Roman" w:cs="Times New Roman" w:eastAsia="Times New Roman" w:hAnsi="Times New Roman"/>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Disposition</w:t>
      </w:r>
      <w:r>
        <w:rPr>
          <w:rFonts w:ascii="Times New Roman" w:cs="Times New Roman" w:eastAsia="Times New Roman" w:hAnsi="Times New Roman"/>
          <w:sz w:val="18"/>
          <w:szCs w:val="18"/>
          <w:color w:val="auto"/>
        </w:rPr>
        <w:t>” means any Disposition by the Company or any Subsidiary involving receipt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Indebtedness</w:t>
      </w:r>
      <w:r>
        <w:rPr>
          <w:rFonts w:ascii="Times New Roman" w:cs="Times New Roman" w:eastAsia="Times New Roman" w:hAnsi="Times New Roman"/>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3"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Subsidiary</w:t>
      </w:r>
      <w:r>
        <w:rPr>
          <w:rFonts w:ascii="Times New Roman" w:cs="Times New Roman" w:eastAsia="Times New Roman" w:hAnsi="Times New Roman"/>
          <w:sz w:val="18"/>
          <w:szCs w:val="18"/>
          <w:color w:val="auto"/>
        </w:rPr>
        <w:t>” means any Subsidiary that would constitute a “significant subsidiary” under Rule 1-02(w) of Regulation S-X under the Securities Act, as amended.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Maturity Date</w:t>
      </w:r>
      <w:r>
        <w:rPr>
          <w:rFonts w:ascii="Times New Roman" w:cs="Times New Roman" w:eastAsia="Times New Roman" w:hAnsi="Times New Roman"/>
          <w:sz w:val="18"/>
          <w:szCs w:val="18"/>
          <w:color w:val="auto"/>
        </w:rPr>
        <w:t>” means the means the fifth anniversary of the Effective Date.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Maui Topco</w:t>
      </w:r>
      <w:r>
        <w:rPr>
          <w:rFonts w:ascii="Times New Roman" w:cs="Times New Roman" w:eastAsia="Times New Roman" w:hAnsi="Times New Roman"/>
          <w:sz w:val="18"/>
          <w:szCs w:val="18"/>
          <w:color w:val="auto"/>
        </w:rPr>
        <w:t>” means Maui HoldCo, Inc., a Delaware corporation.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has the meaning set forth in Section 9.13.</w:t>
      </w:r>
    </w:p>
    <w:p>
      <w:pPr>
        <w:spacing w:after="0" w:line="225" w:lineRule="exact"/>
        <w:rPr>
          <w:sz w:val="20"/>
          <w:szCs w:val="20"/>
          <w:color w:val="auto"/>
        </w:rPr>
      </w:pPr>
    </w:p>
    <w:p>
      <w:pPr>
        <w:ind w:right="4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MNPI</w:t>
      </w:r>
      <w:r>
        <w:rPr>
          <w:rFonts w:ascii="Times New Roman" w:cs="Times New Roman" w:eastAsia="Times New Roman" w:hAnsi="Times New Roman"/>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Moody’s</w:t>
      </w:r>
      <w:r>
        <w:rPr>
          <w:rFonts w:ascii="Times New Roman" w:cs="Times New Roman" w:eastAsia="Times New Roman" w:hAnsi="Times New Roman"/>
          <w:sz w:val="18"/>
          <w:szCs w:val="18"/>
          <w:color w:val="auto"/>
        </w:rPr>
        <w:t>” means Moody’s Investors Service, Inc., or any successor to the rating agency business thereof.</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020"/>
          </w:cols>
          <w:pgMar w:left="440" w:top="270" w:right="439" w:bottom="1440" w:gutter="0" w:footer="0" w:header="0"/>
        </w:sectPr>
      </w:pPr>
    </w:p>
    <w:bookmarkStart w:id="174" w:name="page175"/>
    <w:bookmarkEnd w:id="174"/>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Multiemployer Plan</w:t>
      </w:r>
      <w:r>
        <w:rPr>
          <w:rFonts w:ascii="Times New Roman" w:cs="Times New Roman" w:eastAsia="Times New Roman" w:hAnsi="Times New Roman"/>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Non-Accepting Lender</w:t>
      </w:r>
      <w:r>
        <w:rPr>
          <w:rFonts w:ascii="Times New Roman" w:cs="Times New Roman" w:eastAsia="Times New Roman" w:hAnsi="Times New Roman"/>
          <w:sz w:val="18"/>
          <w:szCs w:val="18"/>
          <w:color w:val="auto"/>
        </w:rPr>
        <w:t>” has the meaning specified in Section 2.18(a).</w:t>
      </w:r>
    </w:p>
    <w:p>
      <w:pPr>
        <w:spacing w:after="0" w:line="225" w:lineRule="exact"/>
        <w:rPr>
          <w:sz w:val="20"/>
          <w:szCs w:val="20"/>
          <w:color w:val="auto"/>
        </w:rPr>
      </w:pPr>
    </w:p>
    <w:p>
      <w:pPr>
        <w:jc w:val="both"/>
        <w:ind w:right="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Notice of Loan Prepayment</w:t>
      </w:r>
      <w:r>
        <w:rPr>
          <w:rFonts w:ascii="Times New Roman" w:cs="Times New Roman" w:eastAsia="Times New Roman" w:hAnsi="Times New Roman"/>
          <w:sz w:val="18"/>
          <w:szCs w:val="18"/>
          <w:color w:val="auto"/>
        </w:rPr>
        <w:t>” means a notice of prepayment with respect to a Loan, which shall be substantially in the form of Exhibit G or such other form as may be approved by the Administrative Agent (including any form on an electronic platform or electronic transmission system as shall be approved by the Administrative Agent), appropriately completed and signed by a Responsible Officer.</w:t>
      </w:r>
    </w:p>
    <w:p>
      <w:pPr>
        <w:spacing w:after="0" w:line="176" w:lineRule="exact"/>
        <w:rPr>
          <w:sz w:val="20"/>
          <w:szCs w:val="20"/>
          <w:color w:val="auto"/>
        </w:rPr>
      </w:pPr>
    </w:p>
    <w:p>
      <w:pPr>
        <w:ind w:right="4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Obligations</w:t>
      </w:r>
      <w:r>
        <w:rPr>
          <w:rFonts w:ascii="Times New Roman" w:cs="Times New Roman" w:eastAsia="Times New Roman" w:hAnsi="Times New Roman"/>
          <w:sz w:val="18"/>
          <w:szCs w:val="18"/>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Connection Taxes</w:t>
      </w:r>
      <w:r>
        <w:rPr>
          <w:rFonts w:ascii="Times New Roman" w:cs="Times New Roman" w:eastAsia="Times New Roman" w:hAnsi="Times New Roman"/>
          <w:sz w:val="18"/>
          <w:szCs w:val="18"/>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80"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Taxes</w:t>
      </w:r>
      <w:r>
        <w:rPr>
          <w:rFonts w:ascii="Times New Roman" w:cs="Times New Roman" w:eastAsia="Times New Roman" w:hAnsi="Times New Roman"/>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Participants</w:t>
      </w:r>
      <w:r>
        <w:rPr>
          <w:rFonts w:ascii="Times New Roman" w:cs="Times New Roman" w:eastAsia="Times New Roman" w:hAnsi="Times New Roman"/>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PBGC</w:t>
      </w:r>
      <w:r>
        <w:rPr>
          <w:rFonts w:ascii="Times New Roman" w:cs="Times New Roman" w:eastAsia="Times New Roman" w:hAnsi="Times New Roman"/>
          <w:sz w:val="18"/>
          <w:szCs w:val="18"/>
          <w:color w:val="auto"/>
        </w:rPr>
        <w:t>” means the Pension Benefit Guaranty Corporation referred to and defined in ERISA and any successor entity performing similar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functions.</w:t>
      </w:r>
    </w:p>
    <w:p>
      <w:pPr>
        <w:spacing w:after="0" w:line="13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0980"/>
          </w:cols>
          <w:pgMar w:left="440" w:top="270" w:right="479" w:bottom="1440" w:gutter="0" w:footer="0" w:header="0"/>
        </w:sectPr>
      </w:pPr>
    </w:p>
    <w:bookmarkStart w:id="175" w:name="page176"/>
    <w:bookmarkEnd w:id="175"/>
    <w:p>
      <w:pPr>
        <w:ind w:left="5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Permitted Amendment</w:t>
      </w:r>
      <w:r>
        <w:rPr>
          <w:rFonts w:ascii="Times New Roman" w:cs="Times New Roman" w:eastAsia="Times New Roman" w:hAnsi="Times New Roman"/>
          <w:sz w:val="18"/>
          <w:szCs w:val="18"/>
          <w:color w:val="auto"/>
        </w:rPr>
        <w:t>” has the meaning specified in Section 2.18(c).</w:t>
      </w:r>
    </w:p>
    <w:p>
      <w:pPr>
        <w:spacing w:after="0" w:line="225" w:lineRule="exact"/>
        <w:rPr>
          <w:sz w:val="20"/>
          <w:szCs w:val="20"/>
          <w:color w:val="auto"/>
        </w:rPr>
      </w:pPr>
    </w:p>
    <w:p>
      <w:pPr>
        <w:ind w:left="5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Liens</w:t>
      </w:r>
      <w:r>
        <w:rPr>
          <w:rFonts w:ascii="Times New Roman" w:cs="Times New Roman" w:eastAsia="Times New Roman" w:hAnsi="Times New Roman"/>
          <w:sz w:val="18"/>
          <w:szCs w:val="18"/>
          <w:color w:val="auto"/>
        </w:rPr>
        <w:t>” means:</w:t>
      </w:r>
    </w:p>
    <w:p>
      <w:pPr>
        <w:spacing w:after="0" w:line="117" w:lineRule="exact"/>
        <w:rPr>
          <w:sz w:val="20"/>
          <w:szCs w:val="20"/>
          <w:color w:val="auto"/>
        </w:rPr>
      </w:pPr>
    </w:p>
    <w:p>
      <w:pPr>
        <w:ind w:right="180" w:firstLine="525"/>
        <w:spacing w:after="0" w:line="282" w:lineRule="auto"/>
        <w:tabs>
          <w:tab w:leader="none" w:pos="773"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imposed by law for Taxes that are not yet overdue for a period of more than 30 days or are being contested in compliance with Section 5.04;</w:t>
      </w:r>
    </w:p>
    <w:p>
      <w:pPr>
        <w:spacing w:after="0" w:line="53" w:lineRule="exact"/>
        <w:rPr>
          <w:rFonts w:ascii="Times New Roman" w:cs="Times New Roman" w:eastAsia="Times New Roman" w:hAnsi="Times New Roman"/>
          <w:sz w:val="18"/>
          <w:szCs w:val="18"/>
          <w:color w:val="auto"/>
        </w:rPr>
      </w:pPr>
    </w:p>
    <w:p>
      <w:pPr>
        <w:ind w:right="40" w:firstLine="525"/>
        <w:spacing w:after="0" w:line="289" w:lineRule="auto"/>
        <w:tabs>
          <w:tab w:leader="none" w:pos="783" w:val="left"/>
        </w:tabs>
        <w:numPr>
          <w:ilvl w:val="0"/>
          <w:numId w:val="14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9" w:lineRule="exact"/>
        <w:rPr>
          <w:rFonts w:ascii="Times New Roman" w:cs="Times New Roman" w:eastAsia="Times New Roman" w:hAnsi="Times New Roman"/>
          <w:sz w:val="17"/>
          <w:szCs w:val="17"/>
          <w:color w:val="auto"/>
        </w:rPr>
      </w:pPr>
    </w:p>
    <w:p>
      <w:pPr>
        <w:jc w:val="both"/>
        <w:ind w:right="60" w:firstLine="525"/>
        <w:spacing w:after="0" w:line="261" w:lineRule="auto"/>
        <w:tabs>
          <w:tab w:leader="none" w:pos="773"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71" w:lineRule="exact"/>
        <w:rPr>
          <w:rFonts w:ascii="Times New Roman" w:cs="Times New Roman" w:eastAsia="Times New Roman" w:hAnsi="Times New Roman"/>
          <w:sz w:val="18"/>
          <w:szCs w:val="18"/>
          <w:color w:val="auto"/>
        </w:rPr>
      </w:pPr>
    </w:p>
    <w:p>
      <w:pPr>
        <w:ind w:firstLine="525"/>
        <w:spacing w:after="0" w:line="258" w:lineRule="auto"/>
        <w:tabs>
          <w:tab w:leader="none" w:pos="783"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75" w:lineRule="exact"/>
        <w:rPr>
          <w:rFonts w:ascii="Times New Roman" w:cs="Times New Roman" w:eastAsia="Times New Roman" w:hAnsi="Times New Roman"/>
          <w:sz w:val="18"/>
          <w:szCs w:val="18"/>
          <w:color w:val="auto"/>
        </w:rPr>
      </w:pPr>
    </w:p>
    <w:p>
      <w:pPr>
        <w:ind w:left="760" w:hanging="235"/>
        <w:spacing w:after="0"/>
        <w:tabs>
          <w:tab w:leader="none" w:pos="760"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judgment liens in respect of judgments that do not constitute an Event of Default under clause (k) of Section 7.01;</w:t>
      </w:r>
    </w:p>
    <w:p>
      <w:pPr>
        <w:spacing w:after="0" w:line="117" w:lineRule="exact"/>
        <w:rPr>
          <w:rFonts w:ascii="Times New Roman" w:cs="Times New Roman" w:eastAsia="Times New Roman" w:hAnsi="Times New Roman"/>
          <w:sz w:val="18"/>
          <w:szCs w:val="18"/>
          <w:color w:val="auto"/>
        </w:rPr>
      </w:pPr>
    </w:p>
    <w:p>
      <w:pPr>
        <w:ind w:right="200" w:firstLine="525"/>
        <w:spacing w:after="0" w:line="266" w:lineRule="auto"/>
        <w:tabs>
          <w:tab w:leader="none" w:pos="753" w:val="left"/>
        </w:tabs>
        <w:numPr>
          <w:ilvl w:val="0"/>
          <w:numId w:val="1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67" w:lineRule="exact"/>
        <w:rPr>
          <w:rFonts w:ascii="Times New Roman" w:cs="Times New Roman" w:eastAsia="Times New Roman" w:hAnsi="Times New Roman"/>
          <w:sz w:val="18"/>
          <w:szCs w:val="18"/>
          <w:color w:val="auto"/>
        </w:rPr>
      </w:pPr>
    </w:p>
    <w:p>
      <w:pPr>
        <w:ind w:firstLine="525"/>
        <w:spacing w:after="0" w:line="281" w:lineRule="auto"/>
        <w:tabs>
          <w:tab w:leader="none" w:pos="783" w:val="left"/>
        </w:tabs>
        <w:numPr>
          <w:ilvl w:val="0"/>
          <w:numId w:val="14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97" w:lineRule="exact"/>
        <w:rPr>
          <w:sz w:val="20"/>
          <w:szCs w:val="20"/>
          <w:color w:val="auto"/>
        </w:rPr>
      </w:pPr>
    </w:p>
    <w:p>
      <w:pPr>
        <w:jc w:val="center"/>
        <w:ind w:right="360"/>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0500"/>
          </w:cols>
          <w:pgMar w:left="880" w:top="270" w:right="519" w:bottom="1440" w:gutter="0" w:footer="0" w:header="0"/>
        </w:sectPr>
      </w:pPr>
    </w:p>
    <w:bookmarkStart w:id="176" w:name="page177"/>
    <w:bookmarkEnd w:id="176"/>
    <w:p>
      <w:pPr>
        <w:ind w:left="440" w:right="320" w:firstLine="525"/>
        <w:spacing w:after="0" w:line="282" w:lineRule="auto"/>
        <w:tabs>
          <w:tab w:leader="none" w:pos="122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Liens arising by virtue of Uniform Commercial Code financing statement filings (or similar filings under applicable law) regarding operating leases entered into by the Company and the Subsidiaries in the ordinary course of business;</w:t>
      </w:r>
    </w:p>
    <w:p>
      <w:pPr>
        <w:spacing w:after="0" w:line="53" w:lineRule="exact"/>
        <w:rPr>
          <w:rFonts w:ascii="Times New Roman" w:cs="Times New Roman" w:eastAsia="Times New Roman" w:hAnsi="Times New Roman"/>
          <w:sz w:val="18"/>
          <w:szCs w:val="18"/>
          <w:color w:val="auto"/>
        </w:rPr>
      </w:pPr>
    </w:p>
    <w:p>
      <w:pPr>
        <w:ind w:left="440" w:right="120" w:firstLine="525"/>
        <w:spacing w:after="0" w:line="266" w:lineRule="auto"/>
        <w:tabs>
          <w:tab w:leader="none" w:pos="118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67" w:lineRule="exact"/>
        <w:rPr>
          <w:rFonts w:ascii="Times New Roman" w:cs="Times New Roman" w:eastAsia="Times New Roman" w:hAnsi="Times New Roman"/>
          <w:sz w:val="18"/>
          <w:szCs w:val="18"/>
          <w:color w:val="auto"/>
        </w:rPr>
      </w:pPr>
    </w:p>
    <w:p>
      <w:pPr>
        <w:ind w:left="440" w:right="80" w:firstLine="525"/>
        <w:spacing w:after="0" w:line="282" w:lineRule="auto"/>
        <w:tabs>
          <w:tab w:leader="none" w:pos="118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in favor of customs and revenue authorities arising as a matter of law to secure payment of customs duties in connection with the importation of goods;</w:t>
      </w:r>
    </w:p>
    <w:p>
      <w:pPr>
        <w:spacing w:after="0" w:line="53" w:lineRule="exact"/>
        <w:rPr>
          <w:rFonts w:ascii="Times New Roman" w:cs="Times New Roman" w:eastAsia="Times New Roman" w:hAnsi="Times New Roman"/>
          <w:sz w:val="18"/>
          <w:szCs w:val="18"/>
          <w:color w:val="auto"/>
        </w:rPr>
      </w:pPr>
    </w:p>
    <w:p>
      <w:pPr>
        <w:ind w:left="440" w:right="40" w:firstLine="525"/>
        <w:spacing w:after="0" w:line="266" w:lineRule="auto"/>
        <w:tabs>
          <w:tab w:leader="none" w:pos="122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67" w:lineRule="exact"/>
        <w:rPr>
          <w:rFonts w:ascii="Times New Roman" w:cs="Times New Roman" w:eastAsia="Times New Roman" w:hAnsi="Times New Roman"/>
          <w:sz w:val="18"/>
          <w:szCs w:val="18"/>
          <w:color w:val="auto"/>
        </w:rPr>
      </w:pPr>
    </w:p>
    <w:p>
      <w:pPr>
        <w:ind w:left="440" w:right="60" w:firstLine="525"/>
        <w:spacing w:after="0" w:line="282" w:lineRule="auto"/>
        <w:tabs>
          <w:tab w:leader="none" w:pos="118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53" w:lineRule="exact"/>
        <w:rPr>
          <w:rFonts w:ascii="Times New Roman" w:cs="Times New Roman" w:eastAsia="Times New Roman" w:hAnsi="Times New Roman"/>
          <w:sz w:val="18"/>
          <w:szCs w:val="18"/>
          <w:color w:val="auto"/>
        </w:rPr>
      </w:pPr>
    </w:p>
    <w:p>
      <w:pPr>
        <w:ind w:left="440" w:firstLine="525"/>
        <w:spacing w:after="0" w:line="282" w:lineRule="auto"/>
        <w:tabs>
          <w:tab w:leader="none" w:pos="127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Liens on cash and cash equivalents deposited with a trustee or a similar Person to defease or to satisfy and discharge any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defeasance or satisfaction and discharge is permitted hereunder;</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that are contractual rights of set-off; and</w:t>
      </w:r>
    </w:p>
    <w:p>
      <w:pPr>
        <w:spacing w:after="0" w:line="117" w:lineRule="exact"/>
        <w:rPr>
          <w:rFonts w:ascii="Times New Roman" w:cs="Times New Roman" w:eastAsia="Times New Roman" w:hAnsi="Times New Roman"/>
          <w:sz w:val="18"/>
          <w:szCs w:val="18"/>
          <w:color w:val="auto"/>
        </w:rPr>
      </w:pPr>
    </w:p>
    <w:p>
      <w:pPr>
        <w:ind w:left="440" w:right="220" w:firstLine="525"/>
        <w:spacing w:after="0" w:line="282" w:lineRule="auto"/>
        <w:tabs>
          <w:tab w:leader="none" w:pos="1223" w:val="left"/>
        </w:tabs>
        <w:numPr>
          <w:ilvl w:val="0"/>
          <w:numId w:val="1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arising out of consignment or similar arrangements for the sale of goods entered into by the Company or any Subsidiary in the ordinary course of business;</w:t>
      </w:r>
    </w:p>
    <w:p>
      <w:pPr>
        <w:spacing w:after="0" w:line="162"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62" w:lineRule="exact"/>
        <w:rPr>
          <w:sz w:val="20"/>
          <w:szCs w:val="20"/>
          <w:color w:val="auto"/>
        </w:rPr>
      </w:pPr>
    </w:p>
    <w:p>
      <w:pPr>
        <w:ind w:right="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means a transaction described in Section 9.19 pursuant to which Marvell becomes a wholly-owned subsidiary of Maui Topco.</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 Merger Subsidiary</w:t>
      </w:r>
      <w:r>
        <w:rPr>
          <w:rFonts w:ascii="Times New Roman" w:cs="Times New Roman" w:eastAsia="Times New Roman" w:hAnsi="Times New Roman"/>
          <w:sz w:val="18"/>
          <w:szCs w:val="18"/>
          <w:color w:val="auto"/>
        </w:rPr>
        <w:t>” has the meaning set forth in Section 9.19.</w:t>
      </w:r>
    </w:p>
    <w:p>
      <w:pPr>
        <w:spacing w:after="0" w:line="158"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80"/>
          </w:cols>
          <w:pgMar w:left="440" w:top="270" w:right="479" w:bottom="1440" w:gutter="0" w:footer="0" w:header="0"/>
        </w:sectPr>
      </w:pPr>
    </w:p>
    <w:bookmarkStart w:id="177" w:name="page178"/>
    <w:bookmarkEnd w:id="177"/>
    <w:p>
      <w:pPr>
        <w:ind w:right="6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natural person, corporation, limited liability company, trust, joint venture, association, company, partnership, Governmental Authority or other entity.</w:t>
      </w:r>
    </w:p>
    <w:p>
      <w:pPr>
        <w:spacing w:after="0" w:line="162"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Plan</w:t>
      </w:r>
      <w:r>
        <w:rPr>
          <w:rFonts w:ascii="Times New Roman" w:cs="Times New Roman" w:eastAsia="Times New Roman" w:hAnsi="Times New Roman"/>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Platform</w:t>
      </w:r>
      <w:r>
        <w:rPr>
          <w:rFonts w:ascii="Times New Roman" w:cs="Times New Roman" w:eastAsia="Times New Roman" w:hAnsi="Times New Roman"/>
          <w:sz w:val="18"/>
          <w:szCs w:val="18"/>
          <w:color w:val="auto"/>
        </w:rPr>
        <w:t>” has the meaning set forth in Section 9.01(d).</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Pre-Adjustment Successor Rate</w:t>
      </w:r>
      <w:r>
        <w:rPr>
          <w:rFonts w:ascii="Times New Roman" w:cs="Times New Roman" w:eastAsia="Times New Roman" w:hAnsi="Times New Roman"/>
          <w:sz w:val="18"/>
          <w:szCs w:val="18"/>
          <w:color w:val="auto"/>
        </w:rPr>
        <w:t>” has the meaning specified in Section 2.11(c).</w:t>
      </w:r>
    </w:p>
    <w:p>
      <w:pPr>
        <w:spacing w:after="0" w:line="225"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means a rate of interest per annum that is set by the Administrative Agent based upon various factors including the Administrative Agent’s costs and desired return, general economic conditions and other factors, and is used as a reference point for pricing some loans, which may be priced at, above or below such announced rate. Any change in the Prime Rate announced by the Administrative Agent shall take effect at the opening of business on the day specified in the public announcement of such change.</w:t>
      </w:r>
    </w:p>
    <w:p>
      <w:pPr>
        <w:spacing w:after="0" w:line="180"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Private Side Lender Representatives</w:t>
      </w:r>
      <w:r>
        <w:rPr>
          <w:rFonts w:ascii="Times New Roman" w:cs="Times New Roman" w:eastAsia="Times New Roman" w:hAnsi="Times New Roman"/>
          <w:sz w:val="18"/>
          <w:szCs w:val="18"/>
          <w:color w:val="auto"/>
        </w:rPr>
        <w:t>” means, with respect to any Lender, representatives of such Lender that are not Public Side Lender Representatives.</w:t>
      </w:r>
    </w:p>
    <w:p>
      <w:pPr>
        <w:spacing w:after="0" w:line="162"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PTE</w:t>
      </w:r>
      <w:r>
        <w:rPr>
          <w:rFonts w:ascii="Times New Roman" w:cs="Times New Roman" w:eastAsia="Times New Roman" w:hAnsi="Times New Roman"/>
          <w:sz w:val="18"/>
          <w:szCs w:val="18"/>
          <w:color w:val="auto"/>
        </w:rPr>
        <w:t>” means a prohibited transaction class exemption issued by the U.S. Department of Labor, as any such exemption may be amended from time to time.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Public Side Lender Representatives</w:t>
      </w:r>
      <w:r>
        <w:rPr>
          <w:rFonts w:ascii="Times New Roman" w:cs="Times New Roman" w:eastAsia="Times New Roman" w:hAnsi="Times New Roman"/>
          <w:sz w:val="17"/>
          <w:szCs w:val="17"/>
          <w:color w:val="auto"/>
        </w:rPr>
        <w:t>” means, with respect to any Lender, representatives of such Lender that do not wish to receive MNPI.</w:t>
      </w:r>
    </w:p>
    <w:p>
      <w:pPr>
        <w:spacing w:after="0" w:line="23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Rating Agencies</w:t>
      </w:r>
      <w:r>
        <w:rPr>
          <w:rFonts w:ascii="Times New Roman" w:cs="Times New Roman" w:eastAsia="Times New Roman" w:hAnsi="Times New Roman"/>
          <w:sz w:val="18"/>
          <w:szCs w:val="18"/>
          <w:color w:val="auto"/>
        </w:rPr>
        <w:t>” means S&amp;P, Moody’s and Fitch.</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Recipient</w:t>
      </w:r>
      <w:r>
        <w:rPr>
          <w:rFonts w:ascii="Times New Roman" w:cs="Times New Roman" w:eastAsia="Times New Roman" w:hAnsi="Times New Roman"/>
          <w:sz w:val="18"/>
          <w:szCs w:val="18"/>
          <w:color w:val="auto"/>
        </w:rPr>
        <w:t>” means the Administrative Agent, any Lender or any combination thereof (as the context requires).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has the meaning set forth in Section 9.04(b)(iv).</w:t>
      </w:r>
    </w:p>
    <w:p>
      <w:pPr>
        <w:spacing w:after="0" w:line="225" w:lineRule="exact"/>
        <w:rPr>
          <w:sz w:val="20"/>
          <w:szCs w:val="20"/>
          <w:color w:val="auto"/>
        </w:rPr>
      </w:pPr>
    </w:p>
    <w:p>
      <w:pPr>
        <w:ind w:right="1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Related Adjustment</w:t>
      </w:r>
      <w:r>
        <w:rPr>
          <w:rFonts w:ascii="Times New Roman" w:cs="Times New Roman" w:eastAsia="Times New Roman" w:hAnsi="Times New Roman"/>
          <w:sz w:val="18"/>
          <w:szCs w:val="18"/>
          <w:color w:val="auto"/>
        </w:rPr>
        <w:t>” means, in determining any LIBO Successor Rate, the first relevant available alternative set forth in the order below that can be determined by the Administrative Agent applicable to such LIBO Successor Rate:</w:t>
      </w:r>
    </w:p>
    <w:p>
      <w:pPr>
        <w:spacing w:after="0" w:line="54" w:lineRule="exact"/>
        <w:rPr>
          <w:sz w:val="20"/>
          <w:szCs w:val="20"/>
          <w:color w:val="auto"/>
        </w:rPr>
      </w:pPr>
    </w:p>
    <w:p>
      <w:pPr>
        <w:ind w:left="440" w:right="40" w:firstLine="525"/>
        <w:spacing w:after="0" w:line="266" w:lineRule="auto"/>
        <w:tabs>
          <w:tab w:leader="none" w:pos="1398" w:val="left"/>
        </w:tabs>
        <w:numPr>
          <w:ilvl w:val="0"/>
          <w:numId w:val="1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spread adjustment, or method for calculating or determining such spread adjustment, that has been selected or recommended by the Relevant Governmental Body for the relevant Pre-Adjustment Successor Rate (taking into account the interest period, interest payment date or payment period for interest</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00"/>
          </w:cols>
          <w:pgMar w:left="440" w:top="270" w:right="459" w:bottom="1440" w:gutter="0" w:footer="0" w:header="0"/>
        </w:sectPr>
      </w:pPr>
    </w:p>
    <w:bookmarkStart w:id="178" w:name="page179"/>
    <w:bookmarkEnd w:id="178"/>
    <w:p>
      <w:pPr>
        <w:ind w:left="444" w:right="1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calculated and/or tenor thereto) and which adjustment or method (x) is published on an information service as selected by the Administrative Agent from time to time in its reasonable discretion or (y) solely with respect to Term SOFR, if not currently published, which was previously so recommended for Term SOFR and published on an information service acceptable to the Administrative Agent; or</w:t>
      </w:r>
    </w:p>
    <w:p>
      <w:pPr>
        <w:spacing w:after="0" w:line="68" w:lineRule="exact"/>
        <w:rPr>
          <w:sz w:val="20"/>
          <w:szCs w:val="20"/>
          <w:color w:val="auto"/>
        </w:rPr>
      </w:pPr>
    </w:p>
    <w:p>
      <w:pPr>
        <w:ind w:left="444" w:right="40" w:firstLine="525"/>
        <w:spacing w:after="0" w:line="312" w:lineRule="auto"/>
        <w:tabs>
          <w:tab w:leader="none" w:pos="1392" w:val="left"/>
        </w:tabs>
        <w:numPr>
          <w:ilvl w:val="0"/>
          <w:numId w:val="14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spread adjustment that would apply (or has previously been applied) to the fallback rate for a derivative transaction referencing the ISDA Definitions (taking into account the interest period, interest payment date or payment period for interest calculated and/or tenor thereto).</w:t>
      </w:r>
    </w:p>
    <w:p>
      <w:pPr>
        <w:spacing w:after="0" w:line="14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Related Indemnitee Parties</w:t>
      </w:r>
      <w:r>
        <w:rPr>
          <w:rFonts w:ascii="Times New Roman" w:cs="Times New Roman" w:eastAsia="Times New Roman" w:hAnsi="Times New Roman"/>
          <w:sz w:val="17"/>
          <w:szCs w:val="17"/>
          <w:color w:val="auto"/>
        </w:rPr>
        <w:t>” means, with respect to any specified Person, (a) any controlling Person or controlled Affiliate of such Person,</w:t>
      </w:r>
    </w:p>
    <w:p>
      <w:pPr>
        <w:spacing w:after="0" w:line="39" w:lineRule="exact"/>
        <w:rPr>
          <w:sz w:val="20"/>
          <w:szCs w:val="20"/>
          <w:color w:val="auto"/>
        </w:rPr>
      </w:pPr>
    </w:p>
    <w:p>
      <w:pPr>
        <w:ind w:left="4" w:right="160" w:hanging="4"/>
        <w:spacing w:after="0" w:line="255" w:lineRule="auto"/>
        <w:tabs>
          <w:tab w:leader="none" w:pos="259" w:val="left"/>
        </w:tabs>
        <w:numPr>
          <w:ilvl w:val="0"/>
          <w:numId w:val="1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86" w:lineRule="exact"/>
        <w:rPr>
          <w:sz w:val="20"/>
          <w:szCs w:val="20"/>
          <w:color w:val="auto"/>
        </w:rPr>
      </w:pPr>
    </w:p>
    <w:p>
      <w:pPr>
        <w:ind w:left="4" w:right="4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Related Parties</w:t>
      </w:r>
      <w:r>
        <w:rPr>
          <w:rFonts w:ascii="Times New Roman" w:cs="Times New Roman" w:eastAsia="Times New Roman" w:hAnsi="Times New Roman"/>
          <w:sz w:val="18"/>
          <w:szCs w:val="18"/>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62" w:lineRule="exact"/>
        <w:rPr>
          <w:sz w:val="20"/>
          <w:szCs w:val="20"/>
          <w:color w:val="auto"/>
        </w:rPr>
      </w:pPr>
    </w:p>
    <w:p>
      <w:pPr>
        <w:ind w:left="4"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Release</w:t>
      </w:r>
      <w:r>
        <w:rPr>
          <w:rFonts w:ascii="Times New Roman" w:cs="Times New Roman" w:eastAsia="Times New Roman" w:hAnsi="Times New Roman"/>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62" w:lineRule="exact"/>
        <w:rPr>
          <w:sz w:val="20"/>
          <w:szCs w:val="20"/>
          <w:color w:val="auto"/>
        </w:rPr>
      </w:pPr>
    </w:p>
    <w:p>
      <w:pPr>
        <w:ind w:left="4"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Relevant Governmental Body</w:t>
      </w:r>
      <w:r>
        <w:rPr>
          <w:rFonts w:ascii="Times New Roman" w:cs="Times New Roman" w:eastAsia="Times New Roman" w:hAnsi="Times New Roman"/>
          <w:sz w:val="18"/>
          <w:szCs w:val="18"/>
          <w:color w:val="auto"/>
        </w:rPr>
        <w:t>” means the Federal Reserve Board and/or the Federal Reserve Bank of New York, or a committee officially endorsed or convened by the Federal Reserve Board and/or the Federal Reserve Bank of New York.</w:t>
      </w:r>
    </w:p>
    <w:p>
      <w:pPr>
        <w:spacing w:after="0" w:line="162" w:lineRule="exact"/>
        <w:rPr>
          <w:sz w:val="20"/>
          <w:szCs w:val="20"/>
          <w:color w:val="auto"/>
        </w:rPr>
      </w:pPr>
    </w:p>
    <w:p>
      <w:pPr>
        <w:ind w:left="4" w:right="3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Lenders</w:t>
      </w:r>
      <w:r>
        <w:rPr>
          <w:rFonts w:ascii="Times New Roman" w:cs="Times New Roman" w:eastAsia="Times New Roman" w:hAnsi="Times New Roman"/>
          <w:sz w:val="18"/>
          <w:szCs w:val="18"/>
          <w:color w:val="auto"/>
        </w:rPr>
        <w:t>” means, at any time, Lenders having Revolving Exposures and unused Revolving Commitments representing more than 50% of the sum of the Aggregate Revolving Exposure and the aggregate amount of the unused Revolving Commitments at such time.</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Resolution Authority</w:t>
      </w:r>
      <w:r>
        <w:rPr>
          <w:rFonts w:ascii="Times New Roman" w:cs="Times New Roman" w:eastAsia="Times New Roman" w:hAnsi="Times New Roman"/>
          <w:sz w:val="18"/>
          <w:szCs w:val="18"/>
          <w:color w:val="auto"/>
        </w:rPr>
        <w:t>” means an EEA Resolution Authority or, with respect to any UK Financial Institution, a UK Resolution Authority.</w:t>
      </w:r>
    </w:p>
    <w:p>
      <w:pPr>
        <w:spacing w:after="0" w:line="225" w:lineRule="exact"/>
        <w:rPr>
          <w:sz w:val="20"/>
          <w:szCs w:val="20"/>
          <w:color w:val="auto"/>
        </w:rPr>
      </w:pPr>
    </w:p>
    <w:p>
      <w:pPr>
        <w:ind w:left="4" w:right="6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Responsible Officer</w:t>
      </w:r>
      <w:r>
        <w:rPr>
          <w:rFonts w:ascii="Times New Roman" w:cs="Times New Roman" w:eastAsia="Times New Roman" w:hAnsi="Times New Roman"/>
          <w:sz w:val="18"/>
          <w:szCs w:val="18"/>
          <w:color w:val="auto"/>
        </w:rPr>
        <w:t xml:space="preserve">” means, with respect to any Person, the Financial Officer or the chief executive officer, general counsel or another executive officer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1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004"/>
          </w:cols>
          <w:pgMar w:left="436" w:top="270" w:right="459" w:bottom="1440" w:gutter="0" w:footer="0" w:header="0"/>
        </w:sectPr>
      </w:pPr>
    </w:p>
    <w:bookmarkStart w:id="179" w:name="page180"/>
    <w:bookmarkEnd w:id="179"/>
    <w:p>
      <w:pPr>
        <w:ind w:left="4" w:right="14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Revolving Availability Period</w:t>
      </w:r>
      <w:r>
        <w:rPr>
          <w:rFonts w:ascii="Times New Roman" w:cs="Times New Roman" w:eastAsia="Times New Roman" w:hAnsi="Times New Roman"/>
          <w:sz w:val="18"/>
          <w:szCs w:val="18"/>
          <w:color w:val="auto"/>
        </w:rPr>
        <w:t>” means the period from and including the Effective Date to but excluding the earlier of the Maturity Date and the date of termination of the Revolving Commitments.</w:t>
      </w:r>
    </w:p>
    <w:p>
      <w:pPr>
        <w:spacing w:after="0" w:line="162" w:lineRule="exact"/>
        <w:rPr>
          <w:sz w:val="20"/>
          <w:szCs w:val="20"/>
          <w:color w:val="auto"/>
        </w:rPr>
      </w:pPr>
    </w:p>
    <w:p>
      <w:pPr>
        <w:ind w:left="4" w:right="3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Commitment</w:t>
      </w:r>
      <w:r>
        <w:rPr>
          <w:rFonts w:ascii="Times New Roman" w:cs="Times New Roman" w:eastAsia="Times New Roman" w:hAnsi="Times New Roman"/>
          <w:sz w:val="18"/>
          <w:szCs w:val="18"/>
          <w:color w:val="auto"/>
        </w:rPr>
        <w:t>” means, with respect to each Lender, the commitment, if any, of such Lender to make Loans, expressed as an amount representing the maximum aggregate permitted amount of such Lender’s Revolving Exposure hereunder, as such commitment may be</w:t>
      </w:r>
    </w:p>
    <w:p>
      <w:pPr>
        <w:ind w:left="4" w:right="100" w:hanging="4"/>
        <w:spacing w:after="0" w:line="253" w:lineRule="auto"/>
        <w:tabs>
          <w:tab w:leader="none" w:pos="249" w:val="left"/>
        </w:tabs>
        <w:numPr>
          <w:ilvl w:val="0"/>
          <w:numId w:val="1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reduced from time to time pursuant to Section 2.06, or (b)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$750,000,000.</w:t>
      </w:r>
    </w:p>
    <w:p>
      <w:pPr>
        <w:spacing w:after="0" w:line="189"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Commitment Fee</w:t>
      </w:r>
      <w:r>
        <w:rPr>
          <w:rFonts w:ascii="Times New Roman" w:cs="Times New Roman" w:eastAsia="Times New Roman" w:hAnsi="Times New Roman"/>
          <w:sz w:val="18"/>
          <w:szCs w:val="18"/>
          <w:color w:val="auto"/>
        </w:rPr>
        <w:t>” has the meaning set forth in Section 2.09(a).</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Exposure</w:t>
      </w:r>
      <w:r>
        <w:rPr>
          <w:rFonts w:ascii="Times New Roman" w:cs="Times New Roman" w:eastAsia="Times New Roman" w:hAnsi="Times New Roman"/>
          <w:sz w:val="18"/>
          <w:szCs w:val="18"/>
          <w:color w:val="auto"/>
        </w:rPr>
        <w:t>” means, with respect to any Lender at any time, the aggregate outstanding principal amount of such Lender’s Loans</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at such time.</w:t>
      </w:r>
    </w:p>
    <w:p>
      <w:pPr>
        <w:spacing w:after="0" w:line="207"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Facility</w:t>
      </w:r>
      <w:r>
        <w:rPr>
          <w:rFonts w:ascii="Times New Roman" w:cs="Times New Roman" w:eastAsia="Times New Roman" w:hAnsi="Times New Roman"/>
          <w:sz w:val="18"/>
          <w:szCs w:val="18"/>
          <w:color w:val="auto"/>
        </w:rPr>
        <w:t>” means the revolving credit facility provided for herein, including the Revolving Commitments and the Loans.</w:t>
      </w:r>
    </w:p>
    <w:p>
      <w:pPr>
        <w:spacing w:after="0" w:line="225" w:lineRule="exact"/>
        <w:rPr>
          <w:sz w:val="20"/>
          <w:szCs w:val="20"/>
          <w:color w:val="auto"/>
        </w:rPr>
      </w:pPr>
    </w:p>
    <w:p>
      <w:pPr>
        <w:ind w:left="4" w:right="3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S&amp;P</w:t>
      </w:r>
      <w:r>
        <w:rPr>
          <w:rFonts w:ascii="Times New Roman" w:cs="Times New Roman" w:eastAsia="Times New Roman" w:hAnsi="Times New Roman"/>
          <w:sz w:val="18"/>
          <w:szCs w:val="18"/>
          <w:color w:val="auto"/>
        </w:rPr>
        <w:t>” means Standard &amp; Poor’s Rating Services, a Standard &amp; Poor’s Financial Services LLC business, or any successor to its rating agency business.</w:t>
      </w:r>
    </w:p>
    <w:p>
      <w:pPr>
        <w:spacing w:after="0" w:line="162" w:lineRule="exact"/>
        <w:rPr>
          <w:sz w:val="20"/>
          <w:szCs w:val="20"/>
          <w:color w:val="auto"/>
        </w:rPr>
      </w:pPr>
    </w:p>
    <w:p>
      <w:pPr>
        <w:ind w:left="4"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Sale/Leaseback Transaction</w:t>
      </w:r>
      <w:r>
        <w:rPr>
          <w:rFonts w:ascii="Times New Roman" w:cs="Times New Roman" w:eastAsia="Times New Roman" w:hAnsi="Times New Roman"/>
          <w:sz w:val="18"/>
          <w:szCs w:val="18"/>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76" w:lineRule="exact"/>
        <w:rPr>
          <w:sz w:val="20"/>
          <w:szCs w:val="20"/>
          <w:color w:val="auto"/>
        </w:rPr>
      </w:pPr>
    </w:p>
    <w:p>
      <w:pPr>
        <w:ind w:left="4"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Sanctioned Country</w:t>
      </w:r>
      <w:r>
        <w:rPr>
          <w:rFonts w:ascii="Times New Roman" w:cs="Times New Roman" w:eastAsia="Times New Roman" w:hAnsi="Times New Roman"/>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62" w:lineRule="exact"/>
        <w:rPr>
          <w:sz w:val="20"/>
          <w:szCs w:val="20"/>
          <w:color w:val="auto"/>
        </w:rPr>
      </w:pPr>
    </w:p>
    <w:p>
      <w:pPr>
        <w:ind w:left="4" w:right="1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Sanctioned Person</w:t>
      </w:r>
      <w:r>
        <w:rPr>
          <w:rFonts w:ascii="Times New Roman" w:cs="Times New Roman" w:eastAsia="Times New Roman" w:hAnsi="Times New Roman"/>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Her Majesty’s Treasury of the United Kingdom, or any other relevant sanctions authority, (b) any Person operating, organized or resident in a Sanctioned Country or (c) any Person owned or controlled by any Person or Persons described in the preceding clauses (a) and (b).</w:t>
      </w:r>
    </w:p>
    <w:p>
      <w:pPr>
        <w:spacing w:after="0" w:line="180" w:lineRule="exact"/>
        <w:rPr>
          <w:sz w:val="20"/>
          <w:szCs w:val="20"/>
          <w:color w:val="auto"/>
        </w:rPr>
      </w:pPr>
    </w:p>
    <w:p>
      <w:pPr>
        <w:jc w:val="both"/>
        <w:ind w:left="4" w:right="3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Sanctions</w:t>
      </w:r>
      <w:r>
        <w:rPr>
          <w:rFonts w:ascii="Times New Roman" w:cs="Times New Roman" w:eastAsia="Times New Roman" w:hAnsi="Times New Roman"/>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 or any other relevant sanctions authority.</w:t>
      </w:r>
    </w:p>
    <w:p>
      <w:pPr>
        <w:spacing w:after="0" w:line="108"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4"/>
          </w:cols>
          <w:pgMar w:left="436" w:top="270" w:right="459" w:bottom="1440" w:gutter="0" w:footer="0" w:header="0"/>
        </w:sectPr>
      </w:pPr>
    </w:p>
    <w:bookmarkStart w:id="180" w:name="page181"/>
    <w:bookmarkEnd w:id="180"/>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United States Securities Act of 1933.</w:t>
      </w:r>
    </w:p>
    <w:p>
      <w:pPr>
        <w:spacing w:after="0" w:line="225" w:lineRule="exact"/>
        <w:rPr>
          <w:sz w:val="20"/>
          <w:szCs w:val="20"/>
          <w:color w:val="auto"/>
        </w:rPr>
      </w:pPr>
    </w:p>
    <w:p>
      <w:pPr>
        <w:ind w:right="4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Senior Unsecured Rating</w:t>
      </w:r>
      <w:r>
        <w:rPr>
          <w:rFonts w:ascii="Times New Roman" w:cs="Times New Roman" w:eastAsia="Times New Roman" w:hAnsi="Times New Roman"/>
          <w:sz w:val="18"/>
          <w:szCs w:val="18"/>
          <w:color w:val="auto"/>
        </w:rPr>
        <w:t>” means, with respect to any Rating Agency as of any date of determination, (a) the rating by such Rating Agency of the senior unsecured long-term indebtedness that is not Guaranteed by any Person or subject to any other credit enhancement of (x) prior to the assignment of such ratings by any Rating Agency for Maui Topco, Marvell and (y) thereafter, Maui Topco or (b) if, and only if, such Rating Agency shall not have in effect the rating referred to in clause (a), the Company’s “corporate credit” (however denominated) rating assigned by such Rating Agency.</w:t>
      </w:r>
    </w:p>
    <w:p>
      <w:pPr>
        <w:spacing w:after="0" w:line="183"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SOFR</w:t>
      </w:r>
      <w:r>
        <w:rPr>
          <w:rFonts w:ascii="Times New Roman" w:cs="Times New Roman" w:eastAsia="Times New Roman" w:hAnsi="Times New Roman"/>
          <w:sz w:val="18"/>
          <w:szCs w:val="18"/>
          <w:color w:val="auto"/>
        </w:rPr>
        <w:t>” with respect to any Business Day means the secured overnight financing rate published for such day by the Federal Reserve Bank of New York, as the administrator of the benchmark (or a successor administrator) on the Federal Reserve Bank of New York’s website (or any successor source) at approximately 8:00 a.m. (New York City time) on the immediately succeeding Business Day and, in each case, that has been selected or recommended by the Relevant Governmental Body.</w:t>
      </w:r>
    </w:p>
    <w:p>
      <w:pPr>
        <w:spacing w:after="0" w:line="180"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Statutory Reserve Rate</w:t>
      </w:r>
      <w:r>
        <w:rPr>
          <w:rFonts w:ascii="Times New Roman" w:cs="Times New Roman" w:eastAsia="Times New Roman" w:hAnsi="Times New Roman"/>
          <w:sz w:val="18"/>
          <w:szCs w:val="18"/>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89" w:lineRule="exact"/>
        <w:rPr>
          <w:sz w:val="20"/>
          <w:szCs w:val="20"/>
          <w:color w:val="auto"/>
        </w:rPr>
      </w:pPr>
    </w:p>
    <w:p>
      <w:pPr>
        <w:ind w:firstLine="991"/>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subsidiary</w:t>
      </w:r>
      <w:r>
        <w:rPr>
          <w:rFonts w:ascii="Times New Roman" w:cs="Times New Roman" w:eastAsia="Times New Roman" w:hAnsi="Times New Roman"/>
          <w:sz w:val="17"/>
          <w:szCs w:val="17"/>
          <w:color w:val="auto"/>
        </w:rPr>
        <w:t>” means, with respect to any Person (the “</w:t>
      </w:r>
      <w:r>
        <w:rPr>
          <w:rFonts w:ascii="Times New Roman" w:cs="Times New Roman" w:eastAsia="Times New Roman" w:hAnsi="Times New Roman"/>
          <w:sz w:val="17"/>
          <w:szCs w:val="17"/>
          <w:u w:val="single" w:color="auto"/>
          <w:color w:val="auto"/>
        </w:rPr>
        <w:t>parent</w:t>
      </w:r>
      <w:r>
        <w:rPr>
          <w:rFonts w:ascii="Times New Roman" w:cs="Times New Roman" w:eastAsia="Times New Roman" w:hAnsi="Times New Roman"/>
          <w:sz w:val="17"/>
          <w:szCs w:val="17"/>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68"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means any subsidiary of the Company.</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0980"/>
          </w:cols>
          <w:pgMar w:left="440" w:top="270" w:right="479" w:bottom="1440" w:gutter="0" w:footer="0" w:header="0"/>
        </w:sectPr>
      </w:pPr>
    </w:p>
    <w:bookmarkStart w:id="181" w:name="page182"/>
    <w:bookmarkEnd w:id="181"/>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Subsidiary Guaranty</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Subsidiary Guaranties</w:t>
      </w:r>
      <w:r>
        <w:rPr>
          <w:rFonts w:ascii="Times New Roman" w:cs="Times New Roman" w:eastAsia="Times New Roman" w:hAnsi="Times New Roman"/>
          <w:sz w:val="18"/>
          <w:szCs w:val="18"/>
          <w:color w:val="auto"/>
        </w:rPr>
        <w:t>” has the meaning set forth in Section 5.10(a).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Syndication Agent</w:t>
      </w:r>
      <w:r>
        <w:rPr>
          <w:rFonts w:ascii="Times New Roman" w:cs="Times New Roman" w:eastAsia="Times New Roman" w:hAnsi="Times New Roman"/>
          <w:sz w:val="18"/>
          <w:szCs w:val="18"/>
          <w:color w:val="auto"/>
        </w:rPr>
        <w:t>” means JPMorgan Chase Bank, N.A., in its capacity as syndication agent for the Revolving Facility.</w:t>
      </w:r>
    </w:p>
    <w:p>
      <w:pPr>
        <w:spacing w:after="0" w:line="225" w:lineRule="exact"/>
        <w:rPr>
          <w:sz w:val="20"/>
          <w:szCs w:val="20"/>
          <w:color w:val="auto"/>
        </w:rPr>
      </w:pPr>
    </w:p>
    <w:p>
      <w:pPr>
        <w:ind w:right="2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76" w:lineRule="exact"/>
        <w:rPr>
          <w:sz w:val="20"/>
          <w:szCs w:val="20"/>
          <w:color w:val="auto"/>
        </w:rPr>
      </w:pPr>
    </w:p>
    <w:p>
      <w:pPr>
        <w:ind w:right="2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SOFR</w:t>
      </w:r>
      <w:r>
        <w:rPr>
          <w:rFonts w:ascii="Times New Roman" w:cs="Times New Roman" w:eastAsia="Times New Roman" w:hAnsi="Times New Roman"/>
          <w:sz w:val="18"/>
          <w:szCs w:val="18"/>
          <w:color w:val="auto"/>
        </w:rPr>
        <w:t>” means the forward-looking term rate for any period that is approximately (as determined by the Administrative Agent) as long as any of the Interest Period options set forth in the definition of “Interest Period” and that is based on SOFR and that has been selected or recommended by the Relevant Governmental Body, in each case as published on an information service as selected by the Administrative Agent from time to time in its reasonable discretion.</w:t>
      </w:r>
    </w:p>
    <w:p>
      <w:pPr>
        <w:spacing w:after="0" w:line="180" w:lineRule="exact"/>
        <w:rPr>
          <w:sz w:val="20"/>
          <w:szCs w:val="20"/>
          <w:color w:val="auto"/>
        </w:rPr>
      </w:pPr>
    </w:p>
    <w:p>
      <w:pPr>
        <w:ind w:right="2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Transactions</w:t>
      </w:r>
      <w:r>
        <w:rPr>
          <w:rFonts w:ascii="Times New Roman" w:cs="Times New Roman" w:eastAsia="Times New Roman" w:hAnsi="Times New Roman"/>
          <w:sz w:val="18"/>
          <w:szCs w:val="18"/>
          <w:color w:val="auto"/>
        </w:rPr>
        <w:t>” means (a) the execution, delivery and performance by the Company of the Loan Documents, the borrowing of the Loans and the use of proceeds thereof, and (b) the payment of fees and expenses in connection with the foregoing.</w:t>
      </w:r>
    </w:p>
    <w:p>
      <w:pPr>
        <w:spacing w:after="0" w:line="162" w:lineRule="exact"/>
        <w:rPr>
          <w:sz w:val="20"/>
          <w:szCs w:val="20"/>
          <w:color w:val="auto"/>
        </w:rPr>
      </w:pPr>
    </w:p>
    <w:p>
      <w:pPr>
        <w:ind w:right="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Type</w:t>
      </w:r>
      <w:r>
        <w:rPr>
          <w:rFonts w:ascii="Times New Roman" w:cs="Times New Roman" w:eastAsia="Times New Roman" w:hAnsi="Times New Roman"/>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62"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UK Financial Institutions</w:t>
      </w:r>
      <w:r>
        <w:rPr>
          <w:rFonts w:ascii="Times New Roman" w:cs="Times New Roman" w:eastAsia="Times New Roman" w:hAnsi="Times New Roman"/>
          <w:sz w:val="18"/>
          <w:szCs w:val="18"/>
          <w:color w:val="auto"/>
        </w:rPr>
        <w:t>”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180" w:lineRule="exact"/>
        <w:rPr>
          <w:sz w:val="20"/>
          <w:szCs w:val="20"/>
          <w:color w:val="auto"/>
        </w:rPr>
      </w:pPr>
    </w:p>
    <w:p>
      <w:pPr>
        <w:ind w:right="7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UK Resolution Authority</w:t>
      </w:r>
      <w:r>
        <w:rPr>
          <w:rFonts w:ascii="Times New Roman" w:cs="Times New Roman" w:eastAsia="Times New Roman" w:hAnsi="Times New Roman"/>
          <w:sz w:val="18"/>
          <w:szCs w:val="18"/>
          <w:color w:val="auto"/>
        </w:rPr>
        <w:t>” means the Bank of England or any other public administrative authority having responsibility for the resolution of any UK Financial Institution.</w:t>
      </w:r>
    </w:p>
    <w:p>
      <w:pPr>
        <w:spacing w:after="0" w:line="16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USA PATRIOT Act</w:t>
      </w:r>
      <w:r>
        <w:rPr>
          <w:rFonts w:ascii="Times New Roman" w:cs="Times New Roman" w:eastAsia="Times New Roman" w:hAnsi="Times New Roman"/>
          <w:sz w:val="18"/>
          <w:szCs w:val="18"/>
          <w:color w:val="auto"/>
        </w:rPr>
        <w:t>” means the Uniting and Strengthening America by Providing Appropriate Tools Required to Intercept and Obstruct Terrorism Act of 2001.</w:t>
      </w:r>
    </w:p>
    <w:p>
      <w:pPr>
        <w:spacing w:after="0" w:line="162"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Voting Shares</w:t>
      </w:r>
      <w:r>
        <w:rPr>
          <w:rFonts w:ascii="Times New Roman" w:cs="Times New Roman" w:eastAsia="Times New Roman" w:hAnsi="Times New Roman"/>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00"/>
          </w:cols>
          <w:pgMar w:left="440" w:top="270" w:right="459" w:bottom="1440" w:gutter="0" w:footer="0" w:header="0"/>
        </w:sectPr>
      </w:pPr>
    </w:p>
    <w:bookmarkStart w:id="182" w:name="page183"/>
    <w:bookmarkEnd w:id="182"/>
    <w:p>
      <w:pPr>
        <w:ind w:left="4"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wholly owned</w:t>
      </w:r>
      <w:r>
        <w:rPr>
          <w:rFonts w:ascii="Times New Roman" w:cs="Times New Roman" w:eastAsia="Times New Roman" w:hAnsi="Times New Roman"/>
          <w:sz w:val="18"/>
          <w:szCs w:val="18"/>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76" w:lineRule="exact"/>
        <w:rPr>
          <w:sz w:val="20"/>
          <w:szCs w:val="20"/>
          <w:color w:val="auto"/>
        </w:rPr>
      </w:pPr>
    </w:p>
    <w:p>
      <w:pPr>
        <w:ind w:left="4"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Withdrawal Liability</w:t>
      </w:r>
      <w:r>
        <w:rPr>
          <w:rFonts w:ascii="Times New Roman" w:cs="Times New Roman" w:eastAsia="Times New Roman" w:hAnsi="Times New Roman"/>
          <w:sz w:val="18"/>
          <w:szCs w:val="18"/>
          <w:color w:val="auto"/>
        </w:rPr>
        <w:t>” means liability to a Multiemployer Plan as a result of a complete or partial withdrawal from such Multiemployer Plan, as such term is defined in Part I of Subtitle E of Title IV of ERISA.</w:t>
      </w:r>
    </w:p>
    <w:p>
      <w:pPr>
        <w:spacing w:after="0" w:line="162" w:lineRule="exact"/>
        <w:rPr>
          <w:sz w:val="20"/>
          <w:szCs w:val="20"/>
          <w:color w:val="auto"/>
        </w:rPr>
      </w:pPr>
    </w:p>
    <w:p>
      <w:pPr>
        <w:ind w:left="4" w:right="16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Write-Down and Conversion Powers</w:t>
      </w:r>
      <w:r>
        <w:rPr>
          <w:rFonts w:ascii="Times New Roman" w:cs="Times New Roman" w:eastAsia="Times New Roman" w:hAnsi="Times New Roman"/>
          <w:sz w:val="18"/>
          <w:szCs w:val="18"/>
          <w:color w:val="auto"/>
        </w:rPr>
        <w:t>” means, (a)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 and (b) with respect to the United Kingdom, any powers of the applicable 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189" w:lineRule="exact"/>
        <w:rPr>
          <w:sz w:val="20"/>
          <w:szCs w:val="20"/>
          <w:color w:val="auto"/>
        </w:rPr>
      </w:pPr>
    </w:p>
    <w:p>
      <w:pPr>
        <w:ind w:left="4" w:right="24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1.02. </w:t>
      </w:r>
      <w:r>
        <w:rPr>
          <w:rFonts w:ascii="Times New Roman" w:cs="Times New Roman" w:eastAsia="Times New Roman" w:hAnsi="Times New Roman"/>
          <w:sz w:val="18"/>
          <w:szCs w:val="18"/>
          <w:u w:val="single" w:color="auto"/>
          <w:color w:val="auto"/>
        </w:rPr>
        <w:t>Classification of Loans and Borrowings</w:t>
      </w:r>
      <w:r>
        <w:rPr>
          <w:rFonts w:ascii="Times New Roman" w:cs="Times New Roman" w:eastAsia="Times New Roman" w:hAnsi="Times New Roman"/>
          <w:sz w:val="18"/>
          <w:szCs w:val="18"/>
          <w:color w:val="auto"/>
        </w:rPr>
        <w:t>. For purposes of this Agreement, Loans and Borrowings may be classified and referred to by Type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“Eurocurrency Loan” or “Eurocurrency Borrowing”).</w:t>
      </w:r>
    </w:p>
    <w:p>
      <w:pPr>
        <w:spacing w:after="0" w:line="162" w:lineRule="exact"/>
        <w:rPr>
          <w:sz w:val="20"/>
          <w:szCs w:val="20"/>
          <w:color w:val="auto"/>
        </w:rPr>
      </w:pPr>
    </w:p>
    <w:p>
      <w:pPr>
        <w:ind w:left="4" w:right="20" w:firstLine="991"/>
        <w:spacing w:after="0" w:line="268" w:lineRule="auto"/>
        <w:rPr>
          <w:sz w:val="20"/>
          <w:szCs w:val="20"/>
          <w:color w:val="auto"/>
        </w:rPr>
      </w:pPr>
      <w:r>
        <w:rPr>
          <w:rFonts w:ascii="Times New Roman" w:cs="Times New Roman" w:eastAsia="Times New Roman" w:hAnsi="Times New Roman"/>
          <w:sz w:val="17"/>
          <w:szCs w:val="17"/>
          <w:color w:val="auto"/>
        </w:rPr>
        <w:t xml:space="preserve">SECTION 1.03. </w:t>
      </w:r>
      <w:r>
        <w:rPr>
          <w:rFonts w:ascii="Times New Roman" w:cs="Times New Roman" w:eastAsia="Times New Roman" w:hAnsi="Times New Roman"/>
          <w:sz w:val="17"/>
          <w:szCs w:val="17"/>
          <w:u w:val="single" w:color="auto"/>
          <w:color w:val="auto"/>
        </w:rPr>
        <w:t>Terms Generally</w:t>
      </w:r>
      <w:r>
        <w:rPr>
          <w:rFonts w:ascii="Times New Roman" w:cs="Times New Roman" w:eastAsia="Times New Roman" w:hAnsi="Times New Roman"/>
          <w:sz w:val="17"/>
          <w:szCs w:val="17"/>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2" w:lineRule="exact"/>
        <w:rPr>
          <w:sz w:val="20"/>
          <w:szCs w:val="20"/>
          <w:color w:val="auto"/>
        </w:rPr>
      </w:pPr>
    </w:p>
    <w:p>
      <w:pPr>
        <w:jc w:val="both"/>
        <w:ind w:left="4" w:right="200" w:hanging="4"/>
        <w:spacing w:after="0" w:line="253" w:lineRule="auto"/>
        <w:tabs>
          <w:tab w:leader="none" w:pos="249" w:val="left"/>
        </w:tabs>
        <w:numPr>
          <w:ilvl w:val="0"/>
          <w:numId w:val="1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w:t>
      </w:r>
    </w:p>
    <w:p>
      <w:pPr>
        <w:spacing w:after="0" w:line="12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004"/>
          </w:cols>
          <w:pgMar w:left="436" w:top="270" w:right="459" w:bottom="1440" w:gutter="0" w:footer="0" w:header="0"/>
        </w:sectPr>
      </w:pPr>
    </w:p>
    <w:bookmarkStart w:id="183" w:name="page184"/>
    <w:bookmarkEnd w:id="183"/>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all references to any statute shall be construed as referring to all rules, regulations, rulings and official interpretations promulgated or issued thereunder,</w:t>
      </w:r>
    </w:p>
    <w:p>
      <w:pPr>
        <w:spacing w:after="0" w:line="27" w:lineRule="exact"/>
        <w:rPr>
          <w:sz w:val="20"/>
          <w:szCs w:val="20"/>
          <w:color w:val="auto"/>
        </w:rPr>
      </w:pPr>
    </w:p>
    <w:p>
      <w:pPr>
        <w:ind w:left="4" w:right="160" w:hanging="4"/>
        <w:spacing w:after="0" w:line="253" w:lineRule="auto"/>
        <w:tabs>
          <w:tab w:leader="none" w:pos="249" w:val="left"/>
        </w:tabs>
        <w:numPr>
          <w:ilvl w:val="0"/>
          <w:numId w:val="1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 (d) 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87" w:lineRule="exact"/>
        <w:rPr>
          <w:sz w:val="20"/>
          <w:szCs w:val="20"/>
          <w:color w:val="auto"/>
        </w:rPr>
      </w:pPr>
    </w:p>
    <w:p>
      <w:pPr>
        <w:ind w:left="4"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1.04. </w:t>
      </w:r>
      <w:r>
        <w:rPr>
          <w:rFonts w:ascii="Times New Roman" w:cs="Times New Roman" w:eastAsia="Times New Roman" w:hAnsi="Times New Roman"/>
          <w:sz w:val="18"/>
          <w:szCs w:val="18"/>
          <w:u w:val="single" w:color="auto"/>
          <w:color w:val="auto"/>
        </w:rPr>
        <w:t>Accounting Terms; GAAP; Pro Forma Calculations</w:t>
      </w:r>
      <w:r>
        <w:rPr>
          <w:rFonts w:ascii="Times New Roman" w:cs="Times New Roman" w:eastAsia="Times New Roman" w:hAnsi="Times New Roman"/>
          <w:sz w:val="18"/>
          <w:szCs w:val="18"/>
          <w:color w:val="auto"/>
        </w:rPr>
        <w:t xml:space="preserve">. (a) Except as otherwise expressly provided herein, all terms of an accounting or financial nature used herein shall be construed in accordance with GAAP as in effect from time to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3" w:lineRule="exact"/>
        <w:rPr>
          <w:sz w:val="20"/>
          <w:szCs w:val="20"/>
          <w:color w:val="auto"/>
        </w:rPr>
      </w:pPr>
    </w:p>
    <w:p>
      <w:pPr>
        <w:ind w:left="264" w:hanging="264"/>
        <w:spacing w:after="0"/>
        <w:tabs>
          <w:tab w:leader="none" w:pos="264" w:val="left"/>
        </w:tabs>
        <w:numPr>
          <w:ilvl w:val="0"/>
          <w:numId w:val="1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contained herein, all terms of an accounting or financial nature used herein shall be construed (other than for</w:t>
      </w:r>
    </w:p>
    <w:p>
      <w:pPr>
        <w:spacing w:after="0" w:line="9" w:lineRule="exact"/>
        <w:rPr>
          <w:rFonts w:ascii="Times New Roman" w:cs="Times New Roman" w:eastAsia="Times New Roman" w:hAnsi="Times New Roman"/>
          <w:sz w:val="18"/>
          <w:szCs w:val="18"/>
          <w:color w:val="auto"/>
        </w:rPr>
      </w:pPr>
    </w:p>
    <w:p>
      <w:pPr>
        <w:ind w:left="4"/>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purposes of Sections 3.04, 5.01(a) and 5.01(b)), and all computations of amounts and ratios referred to herein shall be made, (A) without giving effect to</w:t>
      </w:r>
    </w:p>
    <w:p>
      <w:pPr>
        <w:spacing w:after="0" w:line="9" w:lineRule="exact"/>
        <w:rPr>
          <w:rFonts w:ascii="Times New Roman" w:cs="Times New Roman" w:eastAsia="Times New Roman" w:hAnsi="Times New Roman"/>
          <w:sz w:val="18"/>
          <w:szCs w:val="18"/>
          <w:color w:val="auto"/>
        </w:rPr>
      </w:pPr>
    </w:p>
    <w:p>
      <w:pPr>
        <w:ind w:left="4" w:right="100" w:hanging="4"/>
        <w:spacing w:after="0" w:line="251" w:lineRule="auto"/>
        <w:tabs>
          <w:tab w:leader="none" w:pos="259" w:val="left"/>
        </w:tabs>
        <w:numPr>
          <w:ilvl w:val="0"/>
          <w:numId w:val="1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193" w:lineRule="exact"/>
        <w:rPr>
          <w:rFonts w:ascii="Times New Roman" w:cs="Times New Roman" w:eastAsia="Times New Roman" w:hAnsi="Times New Roman"/>
          <w:sz w:val="18"/>
          <w:szCs w:val="18"/>
          <w:color w:val="auto"/>
        </w:rPr>
      </w:pPr>
    </w:p>
    <w:p>
      <w:pPr>
        <w:ind w:left="4" w:right="340" w:firstLine="987"/>
        <w:spacing w:after="0" w:line="282" w:lineRule="auto"/>
        <w:tabs>
          <w:tab w:leader="none" w:pos="1250" w:val="left"/>
        </w:tabs>
        <w:numPr>
          <w:ilvl w:val="1"/>
          <w:numId w:val="1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pro forma computations required to be made hereunder giving effect to any Material Acquisition, Material Disposition or other transaction shall be calculated after giving pro forma effect thereto (and, in the case of any pro forma</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004"/>
          </w:cols>
          <w:pgMar w:left="436" w:top="270" w:right="459" w:bottom="1440" w:gutter="0" w:footer="0" w:header="0"/>
        </w:sectPr>
      </w:pPr>
    </w:p>
    <w:bookmarkStart w:id="184" w:name="page185"/>
    <w:bookmarkEnd w:id="184"/>
    <w:p>
      <w:pPr>
        <w:ind w:right="1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w:t>
      </w:r>
    </w:p>
    <w:p>
      <w:pPr>
        <w:spacing w:after="0" w:line="3"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87"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1.05. </w:t>
      </w:r>
      <w:r>
        <w:rPr>
          <w:rFonts w:ascii="Times New Roman" w:cs="Times New Roman" w:eastAsia="Times New Roman" w:hAnsi="Times New Roman"/>
          <w:sz w:val="18"/>
          <w:szCs w:val="18"/>
          <w:u w:val="single" w:color="auto"/>
          <w:color w:val="auto"/>
        </w:rPr>
        <w:t>Currency Translation.</w:t>
      </w:r>
      <w:r>
        <w:rPr>
          <w:rFonts w:ascii="Times New Roman" w:cs="Times New Roman" w:eastAsia="Times New Roman" w:hAnsi="Times New Roman"/>
          <w:sz w:val="18"/>
          <w:szCs w:val="18"/>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87" w:lineRule="exact"/>
        <w:rPr>
          <w:sz w:val="20"/>
          <w:szCs w:val="20"/>
          <w:color w:val="auto"/>
        </w:rPr>
      </w:pPr>
    </w:p>
    <w:p>
      <w:pPr>
        <w:ind w:right="60" w:firstLine="991"/>
        <w:spacing w:after="0" w:line="281" w:lineRule="auto"/>
        <w:rPr>
          <w:sz w:val="20"/>
          <w:szCs w:val="20"/>
          <w:color w:val="auto"/>
        </w:rPr>
      </w:pPr>
      <w:r>
        <w:rPr>
          <w:rFonts w:ascii="Times New Roman" w:cs="Times New Roman" w:eastAsia="Times New Roman" w:hAnsi="Times New Roman"/>
          <w:sz w:val="17"/>
          <w:szCs w:val="17"/>
          <w:color w:val="auto"/>
        </w:rPr>
        <w:t xml:space="preserve">SECTION 1.06. </w:t>
      </w:r>
      <w:r>
        <w:rPr>
          <w:rFonts w:ascii="Times New Roman" w:cs="Times New Roman" w:eastAsia="Times New Roman" w:hAnsi="Times New Roman"/>
          <w:sz w:val="17"/>
          <w:szCs w:val="17"/>
          <w:u w:val="single" w:color="auto"/>
          <w:color w:val="auto"/>
        </w:rPr>
        <w:t>Effectuation of Transactions</w:t>
      </w:r>
      <w:r>
        <w:rPr>
          <w:rFonts w:ascii="Times New Roman" w:cs="Times New Roman" w:eastAsia="Times New Roman" w:hAnsi="Times New Roman"/>
          <w:sz w:val="17"/>
          <w:szCs w:val="17"/>
          <w:color w:val="auto"/>
        </w:rPr>
        <w:t>. All references herein to the Company and the Subsidiaries on the Inphi Acquisition Closing Date shall be deemed to be references to such Persons, and all the representations and warranties of the Company contained in this Agreement or any other Loan Document shall be deemed, on and after the Inphi Acquisition Closing Date, if made on or after such date, in each case, after giving effect to the Inphi Acquisition and the other transactions to occur on the Inphi Acquisition Closing Date, unless the context otherwise expressly requires.</w:t>
      </w:r>
    </w:p>
    <w:p>
      <w:pPr>
        <w:spacing w:after="0" w:line="9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00"/>
          </w:cols>
          <w:pgMar w:left="440" w:top="270" w:right="459" w:bottom="1440" w:gutter="0" w:footer="0" w:header="0"/>
        </w:sectPr>
      </w:pPr>
    </w:p>
    <w:bookmarkStart w:id="185" w:name="page186"/>
    <w:bookmarkEnd w:id="185"/>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1.07. </w:t>
      </w:r>
      <w:r>
        <w:rPr>
          <w:rFonts w:ascii="Times New Roman" w:cs="Times New Roman" w:eastAsia="Times New Roman" w:hAnsi="Times New Roman"/>
          <w:sz w:val="18"/>
          <w:szCs w:val="18"/>
          <w:u w:val="single" w:color="auto"/>
          <w:color w:val="auto"/>
        </w:rPr>
        <w:t>Interest Rates</w:t>
      </w:r>
      <w:r>
        <w:rPr>
          <w:rFonts w:ascii="Times New Roman" w:cs="Times New Roman" w:eastAsia="Times New Roman" w:hAnsi="Times New Roman"/>
          <w:sz w:val="18"/>
          <w:szCs w:val="18"/>
          <w:color w:val="auto"/>
        </w:rPr>
        <w:t>. The Administrative Agent does not warrant, nor accept responsibility, nor shall the Administrative Agent have any liability with respect to the administration, submission or any other matter related to the rates in the definition of “LIBO Rate” or with respect to any rate that is an alternative or replacement for or successor to any of such rate (including, without limitation, any LIBO Successor Rate) or the effect of any of the foregoing, or of any LIBO Successor Rate Conforming Changes.</w:t>
      </w:r>
    </w:p>
    <w:p>
      <w:pPr>
        <w:spacing w:after="0" w:line="180" w:lineRule="exact"/>
        <w:rPr>
          <w:sz w:val="20"/>
          <w:szCs w:val="20"/>
          <w:color w:val="auto"/>
        </w:rPr>
      </w:pPr>
    </w:p>
    <w:p>
      <w:pPr>
        <w:ind w:right="26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1.08. </w:t>
      </w:r>
      <w:r>
        <w:rPr>
          <w:rFonts w:ascii="Times New Roman" w:cs="Times New Roman" w:eastAsia="Times New Roman" w:hAnsi="Times New Roman"/>
          <w:sz w:val="18"/>
          <w:szCs w:val="18"/>
          <w:u w:val="single" w:color="auto"/>
          <w:color w:val="auto"/>
        </w:rPr>
        <w:t>Divisions</w:t>
      </w:r>
      <w:r>
        <w:rPr>
          <w:rFonts w:ascii="Times New Roman" w:cs="Times New Roman" w:eastAsia="Times New Roman" w:hAnsi="Times New Roman"/>
          <w:sz w:val="18"/>
          <w:szCs w:val="18"/>
          <w:color w:val="auto"/>
        </w:rPr>
        <w:t>.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39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The Credits</w:t>
      </w:r>
    </w:p>
    <w:p>
      <w:pPr>
        <w:spacing w:after="0" w:line="225" w:lineRule="exact"/>
        <w:rPr>
          <w:sz w:val="20"/>
          <w:szCs w:val="20"/>
          <w:color w:val="auto"/>
        </w:rPr>
      </w:pPr>
    </w:p>
    <w:p>
      <w:pPr>
        <w:jc w:val="both"/>
        <w:ind w:right="200" w:firstLine="991"/>
        <w:spacing w:after="0" w:line="281" w:lineRule="auto"/>
        <w:rPr>
          <w:sz w:val="20"/>
          <w:szCs w:val="20"/>
          <w:color w:val="auto"/>
        </w:rPr>
      </w:pPr>
      <w:r>
        <w:rPr>
          <w:rFonts w:ascii="Times New Roman" w:cs="Times New Roman" w:eastAsia="Times New Roman" w:hAnsi="Times New Roman"/>
          <w:sz w:val="17"/>
          <w:szCs w:val="17"/>
          <w:color w:val="auto"/>
        </w:rPr>
        <w:t xml:space="preserve">SECTION 2.01. </w:t>
      </w:r>
      <w:r>
        <w:rPr>
          <w:rFonts w:ascii="Times New Roman" w:cs="Times New Roman" w:eastAsia="Times New Roman" w:hAnsi="Times New Roman"/>
          <w:sz w:val="17"/>
          <w:szCs w:val="17"/>
          <w:u w:val="single" w:color="auto"/>
          <w:color w:val="auto"/>
        </w:rPr>
        <w:t>Commitments</w:t>
      </w:r>
      <w:r>
        <w:rPr>
          <w:rFonts w:ascii="Times New Roman" w:cs="Times New Roman" w:eastAsia="Times New Roman" w:hAnsi="Times New Roman"/>
          <w:sz w:val="17"/>
          <w:szCs w:val="17"/>
          <w:color w:val="auto"/>
        </w:rPr>
        <w:t>. Subject to the terms and conditions set forth herein, each Lender agrees to make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Loans.</w:t>
      </w:r>
    </w:p>
    <w:p>
      <w:pPr>
        <w:spacing w:after="0" w:line="164"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2.02. </w:t>
      </w:r>
      <w:r>
        <w:rPr>
          <w:rFonts w:ascii="Times New Roman" w:cs="Times New Roman" w:eastAsia="Times New Roman" w:hAnsi="Times New Roman"/>
          <w:sz w:val="18"/>
          <w:szCs w:val="18"/>
          <w:u w:val="single" w:color="auto"/>
          <w:color w:val="auto"/>
        </w:rPr>
        <w:t>Loans and Borrowings</w:t>
      </w:r>
      <w:r>
        <w:rPr>
          <w:rFonts w:ascii="Times New Roman" w:cs="Times New Roman" w:eastAsia="Times New Roman" w:hAnsi="Times New Roman"/>
          <w:sz w:val="18"/>
          <w:szCs w:val="18"/>
          <w:color w:val="auto"/>
        </w:rPr>
        <w:t xml:space="preserve">. (a) Each Loan shall be made as part of a Borrowing consisting of Loans of the same Type made by the Lenders ratably in accordance with their respective Revolving Commitments. The failure of any Lender to make any Loan required to be made by it shall not relieve any other Lender of its obligations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Revolving Commitments of the Lenders are several and no Lender shall be responsible for any other Lender’s failure to make Loans as required.</w:t>
      </w:r>
    </w:p>
    <w:p>
      <w:pPr>
        <w:spacing w:after="0" w:line="180" w:lineRule="exact"/>
        <w:rPr>
          <w:sz w:val="20"/>
          <w:szCs w:val="20"/>
          <w:color w:val="auto"/>
        </w:rPr>
      </w:pPr>
    </w:p>
    <w:p>
      <w:pPr>
        <w:ind w:right="100" w:firstLine="987"/>
        <w:spacing w:after="0" w:line="261" w:lineRule="auto"/>
        <w:tabs>
          <w:tab w:leader="none" w:pos="1246" w:val="left"/>
        </w:tabs>
        <w:numPr>
          <w:ilvl w:val="0"/>
          <w:numId w:val="1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Section 2.11, each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exercise of such option shall not affect the obligation of the Company to repay such Loan in accordance with the terms of this Agreement.</w:t>
      </w:r>
    </w:p>
    <w:p>
      <w:pPr>
        <w:spacing w:after="0" w:line="179" w:lineRule="exact"/>
        <w:rPr>
          <w:rFonts w:ascii="Times New Roman" w:cs="Times New Roman" w:eastAsia="Times New Roman" w:hAnsi="Times New Roman"/>
          <w:sz w:val="18"/>
          <w:szCs w:val="18"/>
          <w:color w:val="auto"/>
        </w:rPr>
      </w:pPr>
    </w:p>
    <w:p>
      <w:pPr>
        <w:ind w:firstLine="987"/>
        <w:spacing w:after="0" w:line="282" w:lineRule="auto"/>
        <w:tabs>
          <w:tab w:leader="none" w:pos="1236" w:val="left"/>
        </w:tabs>
        <w:numPr>
          <w:ilvl w:val="0"/>
          <w:numId w:val="1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commencement of each Interest Period for any Eurocurrency Borrowing, such Borrowing shall be in an aggregate amount that is an integral multiple of $1,000,000 and not less than $5,000,000;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Eurocurrency Borrowing that</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70" w:right="459" w:bottom="1440" w:gutter="0" w:footer="0" w:header="0"/>
        </w:sectPr>
      </w:pPr>
    </w:p>
    <w:bookmarkStart w:id="186" w:name="page187"/>
    <w:bookmarkEnd w:id="186"/>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 ABR Borrowing may be in an aggregate amount that is equal to the entire unused balance of the Aggregate Revolving Commitment. Borrowings of more than one Type may be outstanding at the same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there shall not at any time be more than a total of 10 (or such greater number as may be agreed to by the Administrative Agent) Eurocurrency Borrowings outstanding.</w:t>
      </w:r>
    </w:p>
    <w:p>
      <w:pPr>
        <w:spacing w:after="0" w:line="183" w:lineRule="exact"/>
        <w:rPr>
          <w:sz w:val="20"/>
          <w:szCs w:val="20"/>
          <w:color w:val="auto"/>
        </w:rPr>
      </w:pPr>
    </w:p>
    <w:p>
      <w:pPr>
        <w:ind w:right="500" w:firstLine="987"/>
        <w:spacing w:after="0" w:line="282" w:lineRule="auto"/>
        <w:tabs>
          <w:tab w:leader="none" w:pos="1246" w:val="left"/>
        </w:tabs>
        <w:numPr>
          <w:ilvl w:val="0"/>
          <w:numId w:val="1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of this Agreement, the Company shall not be entitled to request, or to elect to convert to or continue, any Eurocurrency Borrowing if the Interest Period requested with respect thereto would end after the Maturity Date.</w:t>
      </w:r>
    </w:p>
    <w:p>
      <w:pPr>
        <w:spacing w:after="0" w:line="162"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2.03. </w:t>
      </w:r>
      <w:r>
        <w:rPr>
          <w:rFonts w:ascii="Times New Roman" w:cs="Times New Roman" w:eastAsia="Times New Roman" w:hAnsi="Times New Roman"/>
          <w:sz w:val="18"/>
          <w:szCs w:val="18"/>
          <w:u w:val="single" w:color="auto"/>
          <w:color w:val="auto"/>
        </w:rPr>
        <w:t>Requests for Borrowings</w:t>
      </w:r>
      <w:r>
        <w:rPr>
          <w:rFonts w:ascii="Times New Roman" w:cs="Times New Roman" w:eastAsia="Times New Roman" w:hAnsi="Times New Roman"/>
          <w:sz w:val="18"/>
          <w:szCs w:val="18"/>
          <w:color w:val="auto"/>
        </w:rPr>
        <w:t>. To request a Borrowing, the Company shall notify the Administrative Agent of such request by telephone or in writing (a) in the case of a Eurocurrency Borrowing, not later than 11:00 a.m., New York City time, three Business Days before the date of the proposed Borrowing or (b) in the case of an ABR Borrowing, not later than 11:00 a.m., New York City time, on the day of the proposed Borrowing. Each such telephonic and written Borrowing Request shall be irrevocable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79" w:lineRule="exact"/>
        <w:rPr>
          <w:sz w:val="20"/>
          <w:szCs w:val="20"/>
          <w:color w:val="auto"/>
        </w:rPr>
      </w:pPr>
    </w:p>
    <w:p>
      <w:pPr>
        <w:ind w:left="1180" w:hanging="215"/>
        <w:spacing w:after="0"/>
        <w:tabs>
          <w:tab w:leader="none" w:pos="118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aggregate amount of such Borrowing;</w:t>
      </w:r>
    </w:p>
    <w:p>
      <w:pPr>
        <w:spacing w:after="0" w:line="117"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of such Borrowing, which shall be a Business Day;</w:t>
      </w:r>
    </w:p>
    <w:p>
      <w:pPr>
        <w:spacing w:after="0" w:line="117" w:lineRule="exact"/>
        <w:rPr>
          <w:rFonts w:ascii="Times New Roman" w:cs="Times New Roman" w:eastAsia="Times New Roman" w:hAnsi="Times New Roman"/>
          <w:sz w:val="18"/>
          <w:szCs w:val="18"/>
          <w:color w:val="auto"/>
        </w:rPr>
      </w:pPr>
    </w:p>
    <w:p>
      <w:pPr>
        <w:ind w:left="1280" w:hanging="315"/>
        <w:spacing w:after="0"/>
        <w:tabs>
          <w:tab w:leader="none" w:pos="128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such Borrowing is to be an ABR Borrowing or a Eurocurrency Borrowing;</w:t>
      </w:r>
    </w:p>
    <w:p>
      <w:pPr>
        <w:spacing w:after="0" w:line="117" w:lineRule="exact"/>
        <w:rPr>
          <w:rFonts w:ascii="Times New Roman" w:cs="Times New Roman" w:eastAsia="Times New Roman" w:hAnsi="Times New Roman"/>
          <w:sz w:val="18"/>
          <w:szCs w:val="18"/>
          <w:color w:val="auto"/>
        </w:rPr>
      </w:pPr>
    </w:p>
    <w:p>
      <w:pPr>
        <w:ind w:left="440" w:right="160" w:firstLine="525"/>
        <w:spacing w:after="0" w:line="282" w:lineRule="auto"/>
        <w:tabs>
          <w:tab w:leader="none" w:pos="1273"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Eurocurrency Borrowing, the initial Interest Period to be applicable thereto, which shall be a period contemplated by the definition of the term “Interest Period”; and</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1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location and number of the account of the Company to which funds are to be disbursed.</w:t>
      </w:r>
    </w:p>
    <w:p>
      <w:pPr>
        <w:spacing w:after="0" w:line="225" w:lineRule="exact"/>
        <w:rPr>
          <w:sz w:val="20"/>
          <w:szCs w:val="20"/>
          <w:color w:val="auto"/>
        </w:rPr>
      </w:pPr>
    </w:p>
    <w:p>
      <w:pPr>
        <w:ind w:right="40"/>
        <w:spacing w:after="0" w:line="261" w:lineRule="auto"/>
        <w:rPr>
          <w:sz w:val="20"/>
          <w:szCs w:val="20"/>
          <w:color w:val="auto"/>
        </w:rPr>
      </w:pPr>
      <w:r>
        <w:rPr>
          <w:rFonts w:ascii="Times New Roman" w:cs="Times New Roman" w:eastAsia="Times New Roman" w:hAnsi="Times New Roman"/>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Administrative Agent shall advise each Lender of the details thereof and of the amount of such Lender’s Loan to be made as part of the requested Borrowing.</w:t>
      </w:r>
    </w:p>
    <w:p>
      <w:pPr>
        <w:spacing w:after="0" w:line="1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60"/>
          </w:cols>
          <w:pgMar w:left="440" w:top="270" w:right="499" w:bottom="1440" w:gutter="0" w:footer="0" w:header="0"/>
        </w:sectPr>
      </w:pPr>
    </w:p>
    <w:bookmarkStart w:id="187" w:name="page188"/>
    <w:bookmarkEnd w:id="187"/>
    <w:p>
      <w:pPr>
        <w:ind w:right="40"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2.04. </w:t>
      </w:r>
      <w:r>
        <w:rPr>
          <w:rFonts w:ascii="Times New Roman" w:cs="Times New Roman" w:eastAsia="Times New Roman" w:hAnsi="Times New Roman"/>
          <w:sz w:val="18"/>
          <w:szCs w:val="18"/>
          <w:u w:val="single" w:color="auto"/>
          <w:color w:val="auto"/>
        </w:rPr>
        <w:t>Funding of Borrowings</w:t>
      </w:r>
      <w:r>
        <w:rPr>
          <w:rFonts w:ascii="Times New Roman" w:cs="Times New Roman" w:eastAsia="Times New Roman" w:hAnsi="Times New Roman"/>
          <w:sz w:val="18"/>
          <w:szCs w:val="18"/>
          <w:color w:val="auto"/>
        </w:rPr>
        <w:t>. (a) Each Lender shall make each Loan to be made by it hereunder on the proposed date thereof by wire transfer of immediately available funds by 1:00 p.m.,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183" w:lineRule="exact"/>
        <w:rPr>
          <w:sz w:val="20"/>
          <w:szCs w:val="20"/>
          <w:color w:val="auto"/>
        </w:rPr>
      </w:pPr>
    </w:p>
    <w:p>
      <w:pPr>
        <w:ind w:firstLine="987"/>
        <w:spacing w:after="0" w:line="253" w:lineRule="auto"/>
        <w:tabs>
          <w:tab w:leader="none" w:pos="1246" w:val="left"/>
        </w:tabs>
        <w:numPr>
          <w:ilvl w:val="0"/>
          <w:numId w:val="1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87" w:lineRule="exact"/>
        <w:rPr>
          <w:sz w:val="20"/>
          <w:szCs w:val="20"/>
          <w:color w:val="auto"/>
        </w:rPr>
      </w:pPr>
    </w:p>
    <w:p>
      <w:pPr>
        <w:ind w:right="2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2.05. </w:t>
      </w:r>
      <w:r>
        <w:rPr>
          <w:rFonts w:ascii="Times New Roman" w:cs="Times New Roman" w:eastAsia="Times New Roman" w:hAnsi="Times New Roman"/>
          <w:sz w:val="18"/>
          <w:szCs w:val="18"/>
          <w:u w:val="single" w:color="auto"/>
          <w:color w:val="auto"/>
        </w:rPr>
        <w:t>Interest Elections</w:t>
      </w:r>
      <w:r>
        <w:rPr>
          <w:rFonts w:ascii="Times New Roman" w:cs="Times New Roman" w:eastAsia="Times New Roman" w:hAnsi="Times New Roman"/>
          <w:sz w:val="18"/>
          <w:szCs w:val="18"/>
          <w:color w:val="auto"/>
        </w:rPr>
        <w:t>. (a) Each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187" w:lineRule="exact"/>
        <w:rPr>
          <w:sz w:val="20"/>
          <w:szCs w:val="20"/>
          <w:color w:val="auto"/>
        </w:rPr>
      </w:pPr>
    </w:p>
    <w:p>
      <w:pPr>
        <w:ind w:right="80" w:firstLine="987"/>
        <w:spacing w:after="0" w:line="266" w:lineRule="auto"/>
        <w:tabs>
          <w:tab w:leader="none" w:pos="1246" w:val="left"/>
        </w:tabs>
        <w:numPr>
          <w:ilvl w:val="0"/>
          <w:numId w:val="1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w:t>
      </w:r>
    </w:p>
    <w:p>
      <w:pPr>
        <w:spacing w:after="0" w:line="108"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0940"/>
          </w:cols>
          <w:pgMar w:left="440" w:top="270" w:right="519" w:bottom="1440" w:gutter="0" w:footer="0" w:header="0"/>
        </w:sectPr>
      </w:pPr>
    </w:p>
    <w:bookmarkStart w:id="188" w:name="page189"/>
    <w:bookmarkEnd w:id="188"/>
    <w:p>
      <w:pPr>
        <w:ind w:left="4" w:right="8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68" w:lineRule="exact"/>
        <w:rPr>
          <w:sz w:val="20"/>
          <w:szCs w:val="20"/>
          <w:color w:val="auto"/>
        </w:rPr>
      </w:pPr>
    </w:p>
    <w:p>
      <w:pPr>
        <w:ind w:left="444" w:right="20" w:firstLine="525"/>
        <w:spacing w:after="0" w:line="276" w:lineRule="auto"/>
        <w:tabs>
          <w:tab w:leader="none" w:pos="1187" w:val="left"/>
        </w:tabs>
        <w:numPr>
          <w:ilvl w:val="1"/>
          <w:numId w:val="15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w:t>
      </w:r>
    </w:p>
    <w:p>
      <w:pPr>
        <w:ind w:left="764" w:hanging="324"/>
        <w:spacing w:after="0"/>
        <w:tabs>
          <w:tab w:leader="none" w:pos="764" w:val="left"/>
        </w:tabs>
        <w:numPr>
          <w:ilvl w:val="0"/>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 (iv) below shall be specified for each resulting Borrowing);</w:t>
      </w:r>
    </w:p>
    <w:p>
      <w:pPr>
        <w:spacing w:after="0" w:line="98" w:lineRule="exact"/>
        <w:rPr>
          <w:rFonts w:ascii="Times New Roman" w:cs="Times New Roman" w:eastAsia="Times New Roman" w:hAnsi="Times New Roman"/>
          <w:sz w:val="18"/>
          <w:szCs w:val="18"/>
          <w:color w:val="auto"/>
        </w:rPr>
      </w:pPr>
    </w:p>
    <w:p>
      <w:pPr>
        <w:ind w:left="1224" w:hanging="255"/>
        <w:spacing w:after="0"/>
        <w:tabs>
          <w:tab w:leader="none" w:pos="1224"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effective date of the election made pursuant to such Interest Election Request, which shall be a Business Day;</w:t>
      </w:r>
    </w:p>
    <w:p>
      <w:pPr>
        <w:spacing w:after="0" w:line="117" w:lineRule="exact"/>
        <w:rPr>
          <w:rFonts w:ascii="Times New Roman" w:cs="Times New Roman" w:eastAsia="Times New Roman" w:hAnsi="Times New Roman"/>
          <w:sz w:val="18"/>
          <w:szCs w:val="18"/>
          <w:color w:val="auto"/>
        </w:rPr>
      </w:pPr>
    </w:p>
    <w:p>
      <w:pPr>
        <w:ind w:left="1284" w:hanging="315"/>
        <w:spacing w:after="0"/>
        <w:tabs>
          <w:tab w:leader="none" w:pos="1284"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resulting Borrowing is to be an ABR Borrowing or a Eurocurrency Borrowing; and</w:t>
      </w:r>
    </w:p>
    <w:p>
      <w:pPr>
        <w:spacing w:after="0" w:line="117" w:lineRule="exact"/>
        <w:rPr>
          <w:rFonts w:ascii="Times New Roman" w:cs="Times New Roman" w:eastAsia="Times New Roman" w:hAnsi="Times New Roman"/>
          <w:sz w:val="18"/>
          <w:szCs w:val="18"/>
          <w:color w:val="auto"/>
        </w:rPr>
      </w:pPr>
    </w:p>
    <w:p>
      <w:pPr>
        <w:ind w:left="444" w:right="280" w:firstLine="525"/>
        <w:spacing w:after="0" w:line="282" w:lineRule="auto"/>
        <w:tabs>
          <w:tab w:leader="none" w:pos="1277" w:val="left"/>
        </w:tabs>
        <w:numPr>
          <w:ilvl w:val="1"/>
          <w:numId w:val="1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62" w:lineRule="exact"/>
        <w:rPr>
          <w:sz w:val="20"/>
          <w:szCs w:val="20"/>
          <w:color w:val="auto"/>
        </w:rPr>
      </w:pPr>
    </w:p>
    <w:p>
      <w:pPr>
        <w:ind w:left="4" w:right="140"/>
        <w:spacing w:after="0" w:line="282" w:lineRule="auto"/>
        <w:rPr>
          <w:sz w:val="20"/>
          <w:szCs w:val="20"/>
          <w:color w:val="auto"/>
        </w:rPr>
      </w:pPr>
      <w:r>
        <w:rPr>
          <w:rFonts w:ascii="Times New Roman" w:cs="Times New Roman" w:eastAsia="Times New Roman" w:hAnsi="Times New Roman"/>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62" w:lineRule="exact"/>
        <w:rPr>
          <w:sz w:val="20"/>
          <w:szCs w:val="20"/>
          <w:color w:val="auto"/>
        </w:rPr>
      </w:pPr>
    </w:p>
    <w:p>
      <w:pPr>
        <w:ind w:left="4" w:right="80" w:firstLine="987"/>
        <w:spacing w:after="0" w:line="282" w:lineRule="auto"/>
        <w:tabs>
          <w:tab w:leader="none" w:pos="1240" w:val="left"/>
        </w:tabs>
        <w:numPr>
          <w:ilvl w:val="0"/>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following receipt of an Interest Election Request in accordance with this Section, the Administrative Agent shall advise each Lender of the details thereof and of such Lender’s portion of each resulting Borrowing.</w:t>
      </w:r>
    </w:p>
    <w:p>
      <w:pPr>
        <w:spacing w:after="0" w:line="161" w:lineRule="exact"/>
        <w:rPr>
          <w:rFonts w:ascii="Times New Roman" w:cs="Times New Roman" w:eastAsia="Times New Roman" w:hAnsi="Times New Roman"/>
          <w:sz w:val="18"/>
          <w:szCs w:val="18"/>
          <w:color w:val="auto"/>
        </w:rPr>
      </w:pPr>
    </w:p>
    <w:p>
      <w:pPr>
        <w:ind w:left="4" w:firstLine="987"/>
        <w:spacing w:after="0" w:line="254" w:lineRule="auto"/>
        <w:tabs>
          <w:tab w:leader="none" w:pos="1250" w:val="left"/>
        </w:tabs>
        <w:numPr>
          <w:ilvl w:val="0"/>
          <w:numId w:val="1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Administrative Agent, at the request of the Required Lenders, has notified the Company of the election to give effect to this sentence on account of such other Event of Default, then, in each such case, so long as such Event of Default is continuing, (i) no outstanding Borrowing may be converted to or continued as a Eurocurrency Borrowing and (ii) unless repaid, each Eurocurrency Borrowing shall be converted to an ABR Borrowing at the end of the Interest Period applicable thereto.</w:t>
      </w:r>
    </w:p>
    <w:p>
      <w:pPr>
        <w:spacing w:after="0" w:line="192" w:lineRule="exact"/>
        <w:rPr>
          <w:sz w:val="20"/>
          <w:szCs w:val="20"/>
          <w:color w:val="auto"/>
        </w:rPr>
      </w:pPr>
    </w:p>
    <w:p>
      <w:pPr>
        <w:ind w:left="4" w:right="2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2.06. </w:t>
      </w:r>
      <w:r>
        <w:rPr>
          <w:rFonts w:ascii="Times New Roman" w:cs="Times New Roman" w:eastAsia="Times New Roman" w:hAnsi="Times New Roman"/>
          <w:sz w:val="18"/>
          <w:szCs w:val="18"/>
          <w:u w:val="single" w:color="auto"/>
          <w:color w:val="auto"/>
        </w:rPr>
        <w:t>Termination and Reduction of Revolving Commitments</w:t>
      </w:r>
      <w:r>
        <w:rPr>
          <w:rFonts w:ascii="Times New Roman" w:cs="Times New Roman" w:eastAsia="Times New Roman" w:hAnsi="Times New Roman"/>
          <w:sz w:val="18"/>
          <w:szCs w:val="18"/>
          <w:color w:val="auto"/>
        </w:rPr>
        <w:t>.(a) Unless previously terminated, the Revolving Commitments shall automatically terminate on the Maturity Date.</w:t>
      </w:r>
    </w:p>
    <w:p>
      <w:pPr>
        <w:spacing w:after="0" w:line="162" w:lineRule="exact"/>
        <w:rPr>
          <w:sz w:val="20"/>
          <w:szCs w:val="20"/>
          <w:color w:val="auto"/>
        </w:rPr>
      </w:pPr>
    </w:p>
    <w:p>
      <w:pPr>
        <w:ind w:left="1244" w:hanging="253"/>
        <w:spacing w:after="0"/>
        <w:tabs>
          <w:tab w:leader="none" w:pos="1244" w:val="left"/>
        </w:tabs>
        <w:numPr>
          <w:ilvl w:val="1"/>
          <w:numId w:val="1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may at any time terminate, or from time to time permanently reduce, the Revolving Commitments;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w:t>
      </w:r>
    </w:p>
    <w:p>
      <w:pPr>
        <w:spacing w:after="0" w:line="27" w:lineRule="exact"/>
        <w:rPr>
          <w:rFonts w:ascii="Times New Roman" w:cs="Times New Roman" w:eastAsia="Times New Roman" w:hAnsi="Times New Roman"/>
          <w:sz w:val="18"/>
          <w:szCs w:val="18"/>
          <w:color w:val="auto"/>
        </w:rPr>
      </w:pPr>
    </w:p>
    <w:p>
      <w:pPr>
        <w:ind w:left="224" w:hanging="224"/>
        <w:spacing w:after="0"/>
        <w:tabs>
          <w:tab w:leader="none" w:pos="224" w:val="left"/>
        </w:tabs>
        <w:numPr>
          <w:ilvl w:val="0"/>
          <w:numId w:val="1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reduction of the Revolving</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4"/>
          </w:cols>
          <w:pgMar w:left="436" w:top="270" w:right="459" w:bottom="1440" w:gutter="0" w:footer="0" w:header="0"/>
        </w:sectPr>
      </w:pPr>
    </w:p>
    <w:bookmarkStart w:id="189" w:name="page190"/>
    <w:bookmarkEnd w:id="189"/>
    <w:p>
      <w:pPr>
        <w:ind w:left="4" w:right="1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Commitments shall be in an amount that is an integral multiple of $1,000,000 and not less than $5,000,000 and (ii) the Company shall not terminate or reduce the Revolving Commitments if, after giving effect to any concurrent prepayment of the Loans in accordance with Section 2.08, the Aggregate Revolving Exposure would exceed the Aggregate Revolving Commitment.</w:t>
      </w:r>
    </w:p>
    <w:p>
      <w:pPr>
        <w:spacing w:after="0" w:line="176" w:lineRule="exact"/>
        <w:rPr>
          <w:sz w:val="20"/>
          <w:szCs w:val="20"/>
          <w:color w:val="auto"/>
        </w:rPr>
      </w:pPr>
    </w:p>
    <w:p>
      <w:pPr>
        <w:ind w:left="4" w:right="100" w:firstLine="987"/>
        <w:spacing w:after="0" w:line="254" w:lineRule="auto"/>
        <w:tabs>
          <w:tab w:leader="none" w:pos="1240" w:val="left"/>
        </w:tabs>
        <w:numPr>
          <w:ilvl w:val="0"/>
          <w:numId w:val="1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shall notify the Administrative Agent of any election to terminate or reduce the Revolving Commitments under paragraph (b) of this Section at least three Business Days prior to the effective date of such termination or reduction, specifying the effective date thereof. Promptly following receipt of any such notice, the Administrative Agent shall advise the Lenders of the contents thereof. Each notice delivered by the Company pursuant to this Section shall be irrevocable;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notice of termination or reduction of the Revolving Commitments under paragraph (b) of this Section may state that such notice is conditioned upon the occurrence of one or more events specified therein, in which case such notice may be revoked by the Company (by notice to the Administrative Agent) on or prior to the specified effective date if such condition is not satisfied. Any termination or reduction of the Revolving Commitments shall be permanent. Each reduction of the Revolving Commitments shall be made ratably among the Lenders in accordance with their respective Revolving Commitments.</w:t>
      </w:r>
    </w:p>
    <w:p>
      <w:pPr>
        <w:spacing w:after="0" w:line="192" w:lineRule="exact"/>
        <w:rPr>
          <w:sz w:val="20"/>
          <w:szCs w:val="20"/>
          <w:color w:val="auto"/>
        </w:rPr>
      </w:pPr>
    </w:p>
    <w:p>
      <w:pPr>
        <w:jc w:val="both"/>
        <w:ind w:left="4" w:right="1040" w:firstLine="991"/>
        <w:spacing w:after="0" w:line="312" w:lineRule="auto"/>
        <w:rPr>
          <w:sz w:val="20"/>
          <w:szCs w:val="20"/>
          <w:color w:val="auto"/>
        </w:rPr>
      </w:pPr>
      <w:r>
        <w:rPr>
          <w:rFonts w:ascii="Times New Roman" w:cs="Times New Roman" w:eastAsia="Times New Roman" w:hAnsi="Times New Roman"/>
          <w:sz w:val="17"/>
          <w:szCs w:val="17"/>
          <w:color w:val="auto"/>
        </w:rPr>
        <w:t xml:space="preserve">SECTION 2.07. </w:t>
      </w:r>
      <w:r>
        <w:rPr>
          <w:rFonts w:ascii="Times New Roman" w:cs="Times New Roman" w:eastAsia="Times New Roman" w:hAnsi="Times New Roman"/>
          <w:sz w:val="17"/>
          <w:szCs w:val="17"/>
          <w:u w:val="single" w:color="auto"/>
          <w:color w:val="auto"/>
        </w:rPr>
        <w:t>Repayment of Loans; Evidence of Debt</w:t>
      </w:r>
      <w:r>
        <w:rPr>
          <w:rFonts w:ascii="Times New Roman" w:cs="Times New Roman" w:eastAsia="Times New Roman" w:hAnsi="Times New Roman"/>
          <w:sz w:val="17"/>
          <w:szCs w:val="17"/>
          <w:color w:val="auto"/>
        </w:rPr>
        <w:t>. (a) (i) The Company hereby unconditionally promises to pay to the Administrative Agent for the account of each Lender the then unpaid principal amount of each Loan of such Lender on the Maturity Date.</w:t>
      </w:r>
    </w:p>
    <w:p>
      <w:pPr>
        <w:spacing w:after="0" w:line="140" w:lineRule="exact"/>
        <w:rPr>
          <w:sz w:val="20"/>
          <w:szCs w:val="20"/>
          <w:color w:val="auto"/>
        </w:rPr>
      </w:pPr>
    </w:p>
    <w:p>
      <w:pPr>
        <w:ind w:left="4" w:right="220" w:firstLine="987"/>
        <w:spacing w:after="0" w:line="258" w:lineRule="auto"/>
        <w:tabs>
          <w:tab w:leader="none" w:pos="125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records maintained by the Administrative Agent and the Lenders shall (in the case of the Lenders, to the extent they are not inconsistent with the records maintained by the Administrative Agent pursuant to Section 9.04(b)(iv)) be </w:t>
      </w:r>
      <w:r>
        <w:rPr>
          <w:rFonts w:ascii="Times New Roman" w:cs="Times New Roman" w:eastAsia="Times New Roman" w:hAnsi="Times New Roman"/>
          <w:sz w:val="18"/>
          <w:szCs w:val="18"/>
          <w:u w:val="single" w:color="auto"/>
          <w:color w:val="auto"/>
        </w:rPr>
        <w:t>prima facie</w:t>
      </w:r>
      <w:r>
        <w:rPr>
          <w:rFonts w:ascii="Times New Roman" w:cs="Times New Roman" w:eastAsia="Times New Roman" w:hAnsi="Times New Roman"/>
          <w:sz w:val="18"/>
          <w:szCs w:val="18"/>
          <w:color w:val="auto"/>
        </w:rPr>
        <w:t xml:space="preserve"> evidence of the existence and amounts of the obligations of the Company in respect of the Loans, interest and fees due or accrued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183" w:lineRule="exact"/>
        <w:rPr>
          <w:rFonts w:ascii="Times New Roman" w:cs="Times New Roman" w:eastAsia="Times New Roman" w:hAnsi="Times New Roman"/>
          <w:sz w:val="18"/>
          <w:szCs w:val="18"/>
          <w:color w:val="auto"/>
        </w:rPr>
      </w:pPr>
    </w:p>
    <w:p>
      <w:pPr>
        <w:ind w:left="4" w:right="120" w:firstLine="987"/>
        <w:spacing w:after="0" w:line="261" w:lineRule="auto"/>
        <w:tabs>
          <w:tab w:leader="none" w:pos="1240" w:val="left"/>
        </w:tabs>
        <w:numPr>
          <w:ilvl w:val="0"/>
          <w:numId w:val="1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Lender may request that Loans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80" w:lineRule="exact"/>
        <w:rPr>
          <w:sz w:val="20"/>
          <w:szCs w:val="20"/>
          <w:color w:val="auto"/>
        </w:rPr>
      </w:pPr>
    </w:p>
    <w:p>
      <w:pPr>
        <w:ind w:left="4"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2.08. </w:t>
      </w:r>
      <w:r>
        <w:rPr>
          <w:rFonts w:ascii="Times New Roman" w:cs="Times New Roman" w:eastAsia="Times New Roman" w:hAnsi="Times New Roman"/>
          <w:sz w:val="18"/>
          <w:szCs w:val="18"/>
          <w:u w:val="single" w:color="auto"/>
          <w:color w:val="auto"/>
        </w:rPr>
        <w:t>Prepayment of Loans</w:t>
      </w:r>
      <w:r>
        <w:rPr>
          <w:rFonts w:ascii="Times New Roman" w:cs="Times New Roman" w:eastAsia="Times New Roman" w:hAnsi="Times New Roman"/>
          <w:sz w:val="18"/>
          <w:szCs w:val="18"/>
          <w:color w:val="auto"/>
        </w:rPr>
        <w:t>. (a) The Company shall have the right at any time and from time to time to prepay any Borrowing in whole or in part, without premium or penalty, subject to the requirements of this Section.</w:t>
      </w:r>
    </w:p>
    <w:p>
      <w:pPr>
        <w:spacing w:after="0" w:line="162" w:lineRule="exact"/>
        <w:rPr>
          <w:sz w:val="20"/>
          <w:szCs w:val="20"/>
          <w:color w:val="auto"/>
        </w:rPr>
      </w:pPr>
    </w:p>
    <w:p>
      <w:pPr>
        <w:ind w:left="1244" w:hanging="253"/>
        <w:spacing w:after="0"/>
        <w:tabs>
          <w:tab w:leader="none" w:pos="1244" w:val="left"/>
        </w:tabs>
        <w:numPr>
          <w:ilvl w:val="1"/>
          <w:numId w:val="16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shall notify the Administrative Agent by delivery of a Notice of Loan Prepayment of any optional prepayment hereunder</w:t>
      </w:r>
    </w:p>
    <w:p>
      <w:pPr>
        <w:spacing w:after="0" w:line="38" w:lineRule="exact"/>
        <w:rPr>
          <w:rFonts w:ascii="Times New Roman" w:cs="Times New Roman" w:eastAsia="Times New Roman" w:hAnsi="Times New Roman"/>
          <w:sz w:val="17"/>
          <w:szCs w:val="17"/>
          <w:color w:val="auto"/>
        </w:rPr>
      </w:pPr>
    </w:p>
    <w:p>
      <w:pPr>
        <w:ind w:left="224" w:hanging="224"/>
        <w:spacing w:after="0"/>
        <w:tabs>
          <w:tab w:leader="none" w:pos="224" w:val="left"/>
        </w:tabs>
        <w:numPr>
          <w:ilvl w:val="0"/>
          <w:numId w:val="1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prepayment of a</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04"/>
          </w:cols>
          <w:pgMar w:left="436" w:top="270" w:right="459" w:bottom="1440" w:gutter="0" w:footer="0" w:header="0"/>
        </w:sectPr>
      </w:pPr>
    </w:p>
    <w:bookmarkStart w:id="190" w:name="page191"/>
    <w:bookmarkEnd w:id="190"/>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a notice of optional prepayment of Borrowings is given in connection with a conditional notice of termination of the Revolving Commitments as contemplated by Section 2.06, then such notice of prepayment may be revoked by the Company (by notice to the Administrative Agent on or prior to the specified date of prepayment) if such notice of termination is revoked in accordance with Section 2.06.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94"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2.09. </w:t>
      </w:r>
      <w:r>
        <w:rPr>
          <w:rFonts w:ascii="Times New Roman" w:cs="Times New Roman" w:eastAsia="Times New Roman" w:hAnsi="Times New Roman"/>
          <w:sz w:val="18"/>
          <w:szCs w:val="18"/>
          <w:u w:val="single" w:color="auto"/>
          <w:color w:val="auto"/>
        </w:rPr>
        <w:t>Fees</w:t>
      </w:r>
      <w:r>
        <w:rPr>
          <w:rFonts w:ascii="Times New Roman" w:cs="Times New Roman" w:eastAsia="Times New Roman" w:hAnsi="Times New Roman"/>
          <w:sz w:val="18"/>
          <w:szCs w:val="18"/>
          <w:color w:val="auto"/>
        </w:rPr>
        <w:t>. (a) The Company agrees to pay to the Administrative Agent for the account of each Lender a commitment fee (the “</w:t>
      </w:r>
      <w:r>
        <w:rPr>
          <w:rFonts w:ascii="Times New Roman" w:cs="Times New Roman" w:eastAsia="Times New Roman" w:hAnsi="Times New Roman"/>
          <w:sz w:val="18"/>
          <w:szCs w:val="18"/>
          <w:u w:val="single" w:color="auto"/>
          <w:color w:val="auto"/>
        </w:rPr>
        <w:t>Revolving Commitment Fee</w:t>
      </w:r>
      <w:r>
        <w:rPr>
          <w:rFonts w:ascii="Times New Roman" w:cs="Times New Roman" w:eastAsia="Times New Roman" w:hAnsi="Times New Roman"/>
          <w:sz w:val="18"/>
          <w:szCs w:val="18"/>
          <w:color w:val="auto"/>
        </w:rPr>
        <w:t>”), which shall accrue at the Applicable Rate on the daily unused amount of the Revolving Commitment of such Lender during the period from and including the Effective Date to but excluding the date on which such Revolving Commitment terminates. 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189" w:lineRule="exact"/>
        <w:rPr>
          <w:sz w:val="20"/>
          <w:szCs w:val="20"/>
          <w:color w:val="auto"/>
        </w:rPr>
      </w:pPr>
    </w:p>
    <w:p>
      <w:pPr>
        <w:ind w:right="180" w:firstLine="987"/>
        <w:spacing w:after="0" w:line="282" w:lineRule="auto"/>
        <w:tabs>
          <w:tab w:leader="none" w:pos="1246"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agrees to pay to the Administrative Agent, for its own account, fees payable in the amounts and at the times separately agreed upon between the Company and the Administrative Agent.</w:t>
      </w:r>
    </w:p>
    <w:p>
      <w:pPr>
        <w:spacing w:after="0" w:line="161" w:lineRule="exact"/>
        <w:rPr>
          <w:rFonts w:ascii="Times New Roman" w:cs="Times New Roman" w:eastAsia="Times New Roman" w:hAnsi="Times New Roman"/>
          <w:sz w:val="18"/>
          <w:szCs w:val="18"/>
          <w:color w:val="auto"/>
        </w:rPr>
      </w:pPr>
    </w:p>
    <w:p>
      <w:pPr>
        <w:ind w:right="40" w:firstLine="987"/>
        <w:spacing w:after="0" w:line="266" w:lineRule="auto"/>
        <w:tabs>
          <w:tab w:leader="none" w:pos="1236" w:val="left"/>
        </w:tabs>
        <w:numPr>
          <w:ilvl w:val="0"/>
          <w:numId w:val="1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fees payable hereunder shall be paid on the dates due, in immediately available funds, to (i) in the case of the Revolving Commitment Fees, the Administrative Agent for distribution to the Lenders entitled thereto and (ii) in the case of any fees payable to the Administrative Agent for its own account, to the Administrative Agent. Fees paid shall not be refundable under any circumstances.</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2.10. </w:t>
      </w:r>
      <w:r>
        <w:rPr>
          <w:rFonts w:ascii="Times New Roman" w:cs="Times New Roman" w:eastAsia="Times New Roman" w:hAnsi="Times New Roman"/>
          <w:sz w:val="18"/>
          <w:szCs w:val="18"/>
          <w:u w:val="single" w:color="auto"/>
          <w:color w:val="auto"/>
        </w:rPr>
        <w:t>Interest</w:t>
      </w:r>
      <w:r>
        <w:rPr>
          <w:rFonts w:ascii="Times New Roman" w:cs="Times New Roman" w:eastAsia="Times New Roman" w:hAnsi="Times New Roman"/>
          <w:sz w:val="18"/>
          <w:szCs w:val="18"/>
          <w:color w:val="auto"/>
        </w:rPr>
        <w:t>. (a) The Loans comprising each ABR Borrowing shall bear interest at the Alternate Base Rate plus the Applicable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Rate.</w:t>
      </w:r>
    </w:p>
    <w:p>
      <w:pPr>
        <w:spacing w:after="0" w:line="207" w:lineRule="exact"/>
        <w:rPr>
          <w:sz w:val="20"/>
          <w:szCs w:val="20"/>
          <w:color w:val="auto"/>
        </w:rPr>
      </w:pPr>
    </w:p>
    <w:p>
      <w:pPr>
        <w:ind w:right="120" w:firstLine="987"/>
        <w:spacing w:after="0" w:line="282" w:lineRule="auto"/>
        <w:tabs>
          <w:tab w:leader="none" w:pos="1246" w:val="left"/>
        </w:tabs>
        <w:numPr>
          <w:ilvl w:val="0"/>
          <w:numId w:val="1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Loans comprising each Eurocurrency Borrowing shall bear interest at the Adjusted LIBO Rate for the Interest Period in effect for such Borrowing plus the Applicable Rate.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000"/>
          </w:cols>
          <w:pgMar w:left="440" w:top="270" w:right="459" w:bottom="1440" w:gutter="0" w:footer="0" w:header="0"/>
        </w:sectPr>
      </w:pPr>
    </w:p>
    <w:bookmarkStart w:id="191" w:name="page192"/>
    <w:bookmarkEnd w:id="191"/>
    <w:p>
      <w:pPr>
        <w:ind w:right="40" w:firstLine="987"/>
        <w:spacing w:after="0" w:line="256" w:lineRule="auto"/>
        <w:tabs>
          <w:tab w:leader="none" w:pos="1236"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Revolving Commitment, 2.00% per annum plus the rate applicable to ABR Loans, as provided in paragraph (a) of this Section, or (iii) in the case of any other amount, 2.00% per annum plus the rate applicable to ABR Loans, as provided in paragraph (a) of this Section.</w:t>
      </w:r>
    </w:p>
    <w:p>
      <w:pPr>
        <w:spacing w:after="0" w:line="187" w:lineRule="exact"/>
        <w:rPr>
          <w:rFonts w:ascii="Times New Roman" w:cs="Times New Roman" w:eastAsia="Times New Roman" w:hAnsi="Times New Roman"/>
          <w:sz w:val="18"/>
          <w:szCs w:val="18"/>
          <w:color w:val="auto"/>
        </w:rPr>
      </w:pPr>
    </w:p>
    <w:p>
      <w:pPr>
        <w:ind w:right="40" w:firstLine="987"/>
        <w:spacing w:after="0" w:line="256" w:lineRule="auto"/>
        <w:tabs>
          <w:tab w:leader="none" w:pos="1246"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Accrued interest on each Loan shall be payable in arrears on each Interest Payment Date for such Loan and upon the termination of the Revolving Commitments;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interest accrued pursuant to paragraph (c) of this Section shall be payable on demand, (ii) in the event of any repayment or prepayment of any Loan (other than a prepayment of an ABR Loan prior to the end of the Revolving Availability Period),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187" w:lineRule="exact"/>
        <w:rPr>
          <w:rFonts w:ascii="Times New Roman" w:cs="Times New Roman" w:eastAsia="Times New Roman" w:hAnsi="Times New Roman"/>
          <w:sz w:val="18"/>
          <w:szCs w:val="18"/>
          <w:color w:val="auto"/>
        </w:rPr>
      </w:pPr>
    </w:p>
    <w:p>
      <w:pPr>
        <w:jc w:val="both"/>
        <w:ind w:right="80" w:firstLine="987"/>
        <w:spacing w:after="0" w:line="258" w:lineRule="auto"/>
        <w:tabs>
          <w:tab w:leader="none" w:pos="1236" w:val="left"/>
        </w:tabs>
        <w:numPr>
          <w:ilvl w:val="0"/>
          <w:numId w:val="1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Administrative Agent, and such determination shall be conclusive absent manifest error.</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u w:val="single" w:color="auto"/>
          <w:color w:val="auto"/>
        </w:rPr>
        <w:t>Inability to Determine Rates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firstLine="987"/>
        <w:spacing w:after="0" w:line="253" w:lineRule="auto"/>
        <w:tabs>
          <w:tab w:leader="none" w:pos="1236" w:val="left"/>
        </w:tabs>
        <w:numPr>
          <w:ilvl w:val="0"/>
          <w:numId w:val="1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in connection with any request for a Eurocurrency Loan or a conversion to or continuation thereof, (i) the Administrative Agent determines that (A) dollar deposits are not being offered to banks in the London interbank market for the applicable amount and Interest Period of such Eurocurrency Loan, or (B) (x) adequate and reasonable means do not exist for determining the LIBO Rate for any requested Interest Period with respect to a proposed Eurocurrency Loan or in connection with an existing or proposed ABR Loan and (y) the circumstances described in Section 2.11(c)(i) do not apply (in each case with respect to this clause (i), “</w:t>
      </w:r>
      <w:r>
        <w:rPr>
          <w:rFonts w:ascii="Times New Roman" w:cs="Times New Roman" w:eastAsia="Times New Roman" w:hAnsi="Times New Roman"/>
          <w:sz w:val="18"/>
          <w:szCs w:val="18"/>
          <w:u w:val="single" w:color="auto"/>
          <w:color w:val="auto"/>
        </w:rPr>
        <w:t>Impacted Loans</w:t>
      </w:r>
      <w:r>
        <w:rPr>
          <w:rFonts w:ascii="Times New Roman" w:cs="Times New Roman" w:eastAsia="Times New Roman" w:hAnsi="Times New Roman"/>
          <w:sz w:val="18"/>
          <w:szCs w:val="18"/>
          <w:color w:val="auto"/>
        </w:rPr>
        <w:t>”), or (ii) the Administrative Agent or the Required Lenders determine that for any reason the LIBO Rate for any requested Interest Period with respect to a proposed Eurocurrency Loan does not adequately and fairly reflect the cost to such Lenders of funding such Eurocurrency Loan, the Administrative Agent will promptly so notify the Company and each Lender. Thereafter, (x) the obligation of the Lenders to make or maintain Eurocurrency Loans shall be suspended, (to the extent of the affected Eurocurrency Loans or Interest Periods), and (y) in the event of a determination described in the preceding sentence with respect to the LIBO Rate component of the Alternate Base Rate, the utilization of the LIBO Rate</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0"/>
          </w:cols>
          <w:pgMar w:left="440" w:top="270" w:right="459" w:bottom="1440" w:gutter="0" w:footer="0" w:header="0"/>
        </w:sectPr>
      </w:pPr>
    </w:p>
    <w:bookmarkStart w:id="192" w:name="page193"/>
    <w:bookmarkEnd w:id="192"/>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component in determining the Alternate Base Rate shall be suspended, in each case until the Administrative Agent (or, in the case of a determination by the Required Lenders described in clause (ii) of Section 2.11(a), until the Administrative Agent upon instruction of the Required Lenders) revokes such notice. Upon receipt of such notice, the Company may revoke any pending request for a Borrowing of, conversion to or continuation of Eurocurrency Loans (to the extent of the affected Eurocurrency Loans or Interest Periods) or, failing that, will be deemed to have converted such request into a request for a Borrowing of ABR Loans in the amount specified therein.</w:t>
      </w:r>
    </w:p>
    <w:p>
      <w:pPr>
        <w:spacing w:after="0" w:line="183" w:lineRule="exact"/>
        <w:rPr>
          <w:sz w:val="20"/>
          <w:szCs w:val="20"/>
          <w:color w:val="auto"/>
        </w:rPr>
      </w:pPr>
    </w:p>
    <w:p>
      <w:pPr>
        <w:ind w:right="20" w:firstLine="987"/>
        <w:spacing w:after="0" w:line="253" w:lineRule="auto"/>
        <w:tabs>
          <w:tab w:leader="none" w:pos="1246" w:val="left"/>
        </w:tabs>
        <w:numPr>
          <w:ilvl w:val="1"/>
          <w:numId w:val="1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Notwithstanding the foregoing, if the Administrative Agent has made the determination described in clause (i) of Section 2.11(a), the Administrative Agent, in consultation with the Company and Required Lenders, may establish an alternative interest rate for the Impacted Loans, in which case, such alternative rate of interest shall apply with respect to the Impacted Loans until (i) the Administrative Agent revokes the notice delivered with respect to the Impacted Loans under </w:t>
      </w:r>
      <w:r>
        <w:rPr>
          <w:rFonts w:ascii="Times New Roman" w:cs="Times New Roman" w:eastAsia="Times New Roman" w:hAnsi="Times New Roman"/>
          <w:sz w:val="18"/>
          <w:szCs w:val="18"/>
          <w:u w:val="single" w:color="auto"/>
          <w:color w:val="auto"/>
        </w:rPr>
        <w:t>clause (i)</w:t>
      </w:r>
      <w:r>
        <w:rPr>
          <w:rFonts w:ascii="Times New Roman" w:cs="Times New Roman" w:eastAsia="Times New Roman" w:hAnsi="Times New Roman"/>
          <w:sz w:val="18"/>
          <w:szCs w:val="18"/>
          <w:color w:val="auto"/>
        </w:rPr>
        <w:t xml:space="preserve"> of the first sentence of Section 2.11(a), (ii) the Administrative Agent or the Required Lenders notify the Administrative Agent and the Company that such alternative interest rate does not adequately and fairly reflect the cost to such Lenders of funding the Impacted Loans, or (iii) any Lender determines that any applicable law has made it unlawful, or that any Governmental Authority has asserted that it is unlawful, for such Lender or its applicable lending office to make, maintain or fund Loans whose interest is determined by reference to such alternative rate of interest or to determine or charge interest rates based upon such rate or any Governmental Authority has imposed material restrictions on the authority of such Lender to do any of the foregoing and provides the Administrative Agent and the Company written notice thereof.</w:t>
      </w:r>
    </w:p>
    <w:p>
      <w:pPr>
        <w:spacing w:after="0" w:line="194" w:lineRule="exact"/>
        <w:rPr>
          <w:rFonts w:ascii="Times New Roman" w:cs="Times New Roman" w:eastAsia="Times New Roman" w:hAnsi="Times New Roman"/>
          <w:sz w:val="18"/>
          <w:szCs w:val="18"/>
          <w:color w:val="auto"/>
        </w:rPr>
      </w:pPr>
    </w:p>
    <w:p>
      <w:pPr>
        <w:ind w:firstLine="987"/>
        <w:spacing w:after="0" w:line="266" w:lineRule="auto"/>
        <w:tabs>
          <w:tab w:leader="none" w:pos="1236" w:val="left"/>
        </w:tabs>
        <w:numPr>
          <w:ilvl w:val="1"/>
          <w:numId w:val="1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in this Agreement or any other Loan Documents, if the Administrative Agent determines (which determination shall be conclusive absent manifest error), or the Company or Required Lenders notify the Administrative Agent (with, in the case of the Required Lenders, a copy to the Company) that the Company or Required Lenders (as applicable) have determined, that:</w:t>
      </w:r>
    </w:p>
    <w:p>
      <w:pPr>
        <w:spacing w:after="0" w:line="67" w:lineRule="exact"/>
        <w:rPr>
          <w:rFonts w:ascii="Times New Roman" w:cs="Times New Roman" w:eastAsia="Times New Roman" w:hAnsi="Times New Roman"/>
          <w:sz w:val="18"/>
          <w:szCs w:val="18"/>
          <w:color w:val="auto"/>
        </w:rPr>
      </w:pPr>
    </w:p>
    <w:p>
      <w:pPr>
        <w:ind w:left="440" w:right="20" w:firstLine="525"/>
        <w:spacing w:after="0" w:line="266" w:lineRule="auto"/>
        <w:tabs>
          <w:tab w:leader="none" w:pos="1183"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adequate and reasonable means do not exist for ascertaining the LIBO Screen Rate for any Interest Period hereunder or any other tenors of the LIBO Screen Rate including, without limitation, because the LIBO Screen Rate is not available or published on a current basis and such circumstances are unlikely to be temporary; or</w:t>
      </w:r>
    </w:p>
    <w:p>
      <w:pPr>
        <w:spacing w:after="0" w:line="67" w:lineRule="exact"/>
        <w:rPr>
          <w:rFonts w:ascii="Times New Roman" w:cs="Times New Roman" w:eastAsia="Times New Roman" w:hAnsi="Times New Roman"/>
          <w:sz w:val="18"/>
          <w:szCs w:val="18"/>
          <w:color w:val="auto"/>
        </w:rPr>
      </w:pPr>
    </w:p>
    <w:p>
      <w:pPr>
        <w:ind w:left="440" w:right="160" w:firstLine="525"/>
        <w:spacing w:after="0" w:line="258" w:lineRule="auto"/>
        <w:tabs>
          <w:tab w:leader="none" w:pos="1233" w:val="left"/>
        </w:tabs>
        <w:numPr>
          <w:ilvl w:val="0"/>
          <w:numId w:val="1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administrator of the LIBO Screen Rate or a Governmental Authority having jurisdiction over the Administrative Agent or such administrator has made a public statement identifying a specific date after which the LIBO Screen Rate or the LIBO Screen Rate shall no longer be made available, or used for determining the interest rate of loans, provided that, at the time of such statement, there is no successor administrator that is satisfactory to the Administrative Agent, that will continue to provide the LIBO Screen Rate after such specific date (such specific date, the “</w:t>
      </w:r>
      <w:r>
        <w:rPr>
          <w:rFonts w:ascii="Times New Roman" w:cs="Times New Roman" w:eastAsia="Times New Roman" w:hAnsi="Times New Roman"/>
          <w:sz w:val="18"/>
          <w:szCs w:val="18"/>
          <w:u w:val="single" w:color="auto"/>
          <w:color w:val="auto"/>
        </w:rPr>
        <w:t>Scheduled Unavailability Date</w:t>
      </w:r>
      <w:r>
        <w:rPr>
          <w:rFonts w:ascii="Times New Roman" w:cs="Times New Roman" w:eastAsia="Times New Roman" w:hAnsi="Times New Roman"/>
          <w:sz w:val="18"/>
          <w:szCs w:val="18"/>
          <w:color w:val="auto"/>
        </w:rPr>
        <w:t>”); or</w:t>
      </w:r>
    </w:p>
    <w:p>
      <w:pPr>
        <w:spacing w:after="0" w:line="11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0980"/>
          </w:cols>
          <w:pgMar w:left="440" w:top="270" w:right="479" w:bottom="1440" w:gutter="0" w:footer="0" w:header="0"/>
        </w:sectPr>
      </w:pPr>
    </w:p>
    <w:bookmarkStart w:id="193" w:name="page194"/>
    <w:bookmarkEnd w:id="193"/>
    <w:p>
      <w:pPr>
        <w:ind w:left="444" w:firstLine="525"/>
        <w:spacing w:after="0" w:line="282" w:lineRule="auto"/>
        <w:tabs>
          <w:tab w:leader="none" w:pos="1287"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administrator of the LIBO Screen Rate or a Governmental Authority having jurisdiction over such administrator has made a public statement announcing that all Interest Periods and other tenors of the LIBO Screen Rate are no longer representative; or</w:t>
      </w:r>
    </w:p>
    <w:p>
      <w:pPr>
        <w:spacing w:after="0" w:line="53" w:lineRule="exact"/>
        <w:rPr>
          <w:rFonts w:ascii="Times New Roman" w:cs="Times New Roman" w:eastAsia="Times New Roman" w:hAnsi="Times New Roman"/>
          <w:sz w:val="18"/>
          <w:szCs w:val="18"/>
          <w:color w:val="auto"/>
        </w:rPr>
      </w:pPr>
    </w:p>
    <w:p>
      <w:pPr>
        <w:ind w:left="444" w:firstLine="525"/>
        <w:spacing w:after="0" w:line="282" w:lineRule="auto"/>
        <w:tabs>
          <w:tab w:leader="none" w:pos="1277" w:val="left"/>
        </w:tabs>
        <w:numPr>
          <w:ilvl w:val="0"/>
          <w:numId w:val="1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syndicated loans currently being executed, or that include language similar to that contained in this Section 2.11, are being executed or amended (as applicable) to incorporate or adopt a new benchmark interest rate to replace the LIBO Screen Rate;</w:t>
      </w:r>
    </w:p>
    <w:p>
      <w:pPr>
        <w:spacing w:after="0" w:line="162" w:lineRule="exact"/>
        <w:rPr>
          <w:sz w:val="20"/>
          <w:szCs w:val="20"/>
          <w:color w:val="auto"/>
        </w:rPr>
      </w:pPr>
    </w:p>
    <w:p>
      <w:pPr>
        <w:ind w:left="4" w:right="180"/>
        <w:spacing w:after="0" w:line="272" w:lineRule="auto"/>
        <w:rPr>
          <w:sz w:val="20"/>
          <w:szCs w:val="20"/>
          <w:color w:val="auto"/>
        </w:rPr>
      </w:pPr>
      <w:r>
        <w:rPr>
          <w:rFonts w:ascii="Times New Roman" w:cs="Times New Roman" w:eastAsia="Times New Roman" w:hAnsi="Times New Roman"/>
          <w:sz w:val="17"/>
          <w:szCs w:val="17"/>
          <w:color w:val="auto"/>
        </w:rPr>
        <w:t>then, in the case of clauses (i)-(iii) above, on a date and time determined by the Administrative Agent (any such date, the “</w:t>
      </w:r>
      <w:r>
        <w:rPr>
          <w:rFonts w:ascii="Times New Roman" w:cs="Times New Roman" w:eastAsia="Times New Roman" w:hAnsi="Times New Roman"/>
          <w:sz w:val="17"/>
          <w:szCs w:val="17"/>
          <w:u w:val="single" w:color="auto"/>
          <w:color w:val="auto"/>
        </w:rPr>
        <w:t>LIBO Replacement Date</w:t>
      </w:r>
      <w:r>
        <w:rPr>
          <w:rFonts w:ascii="Times New Roman" w:cs="Times New Roman" w:eastAsia="Times New Roman" w:hAnsi="Times New Roman"/>
          <w:sz w:val="17"/>
          <w:szCs w:val="17"/>
          <w:color w:val="auto"/>
        </w:rPr>
        <w:t>”), which date shall be at the end of an Interest Period or on the relevant interest payment date, as applicable, for interest calculated and shall occur reasonably promptly upon the occurrence of any of the events or circumstances under clauses (i), (ii) or (iii) above and, solely with respect to clause</w:t>
      </w:r>
    </w:p>
    <w:p>
      <w:pPr>
        <w:spacing w:after="0" w:line="2" w:lineRule="exact"/>
        <w:rPr>
          <w:sz w:val="20"/>
          <w:szCs w:val="20"/>
          <w:color w:val="auto"/>
        </w:rPr>
      </w:pPr>
    </w:p>
    <w:p>
      <w:pPr>
        <w:ind w:left="4" w:right="140" w:hanging="4"/>
        <w:spacing w:after="0" w:line="253" w:lineRule="auto"/>
        <w:tabs>
          <w:tab w:leader="none" w:pos="269" w:val="left"/>
        </w:tabs>
        <w:numPr>
          <w:ilvl w:val="0"/>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no later than the Scheduled Unavailability Date, the LIBO Screen Rate will be replaced hereunder and under any Loan Document with, subject to the proviso below, the first available alternative set forth in the order below for any payment period for interest calculated that can be determined by the Administrative Agent, in each case, without any amendment to, or further action or consent of any other party to, this Agreement or any other Loan Document (the “</w:t>
      </w:r>
      <w:r>
        <w:rPr>
          <w:rFonts w:ascii="Times New Roman" w:cs="Times New Roman" w:eastAsia="Times New Roman" w:hAnsi="Times New Roman"/>
          <w:sz w:val="18"/>
          <w:szCs w:val="18"/>
          <w:u w:val="single" w:color="auto"/>
          <w:color w:val="auto"/>
        </w:rPr>
        <w:t>LIBO Successor Rate</w:t>
      </w:r>
      <w:r>
        <w:rPr>
          <w:rFonts w:ascii="Times New Roman" w:cs="Times New Roman" w:eastAsia="Times New Roman" w:hAnsi="Times New Roman"/>
          <w:sz w:val="18"/>
          <w:szCs w:val="18"/>
          <w:color w:val="auto"/>
        </w:rPr>
        <w:t>”; and any such rate before giving effect to the Related Adjustment, the “</w:t>
      </w:r>
      <w:r>
        <w:rPr>
          <w:rFonts w:ascii="Times New Roman" w:cs="Times New Roman" w:eastAsia="Times New Roman" w:hAnsi="Times New Roman"/>
          <w:sz w:val="18"/>
          <w:szCs w:val="18"/>
          <w:u w:val="single" w:color="auto"/>
          <w:color w:val="auto"/>
        </w:rPr>
        <w:t>Pre-Adjustment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Successor Rate</w:t>
      </w:r>
      <w:r>
        <w:rPr>
          <w:rFonts w:ascii="Times New Roman" w:cs="Times New Roman" w:eastAsia="Times New Roman" w:hAnsi="Times New Roman"/>
          <w:sz w:val="18"/>
          <w:szCs w:val="18"/>
          <w:color w:val="auto"/>
        </w:rPr>
        <w:t>”):</w:t>
      </w:r>
    </w:p>
    <w:p>
      <w:pPr>
        <w:spacing w:after="0" w:line="90" w:lineRule="exact"/>
        <w:rPr>
          <w:rFonts w:ascii="Times New Roman" w:cs="Times New Roman" w:eastAsia="Times New Roman" w:hAnsi="Times New Roman"/>
          <w:sz w:val="18"/>
          <w:szCs w:val="18"/>
          <w:color w:val="auto"/>
        </w:rPr>
      </w:pPr>
    </w:p>
    <w:p>
      <w:pPr>
        <w:ind w:left="964" w:hanging="532"/>
        <w:spacing w:after="0"/>
        <w:tabs>
          <w:tab w:leader="none" w:pos="964" w:val="left"/>
        </w:tabs>
        <w:numPr>
          <w:ilvl w:val="1"/>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Term SOFR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the Related Adjustment; and</w:t>
      </w:r>
    </w:p>
    <w:p>
      <w:pPr>
        <w:spacing w:after="0" w:line="130" w:lineRule="exact"/>
        <w:rPr>
          <w:rFonts w:ascii="Times New Roman" w:cs="Times New Roman" w:eastAsia="Times New Roman" w:hAnsi="Times New Roman"/>
          <w:sz w:val="18"/>
          <w:szCs w:val="18"/>
          <w:color w:val="auto"/>
        </w:rPr>
      </w:pPr>
    </w:p>
    <w:p>
      <w:pPr>
        <w:ind w:left="964" w:hanging="532"/>
        <w:spacing w:after="0"/>
        <w:tabs>
          <w:tab w:leader="none" w:pos="964" w:val="left"/>
        </w:tabs>
        <w:numPr>
          <w:ilvl w:val="1"/>
          <w:numId w:val="1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SOFR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the Related Adjustment;</w:t>
      </w:r>
    </w:p>
    <w:p>
      <w:pPr>
        <w:spacing w:after="0" w:line="227" w:lineRule="exact"/>
        <w:rPr>
          <w:sz w:val="20"/>
          <w:szCs w:val="20"/>
          <w:color w:val="auto"/>
        </w:rPr>
      </w:pPr>
    </w:p>
    <w:p>
      <w:pPr>
        <w:ind w:left="4" w:right="100"/>
        <w:spacing w:after="0" w:line="256" w:lineRule="auto"/>
        <w:rPr>
          <w:sz w:val="20"/>
          <w:szCs w:val="20"/>
          <w:color w:val="auto"/>
        </w:rPr>
      </w:pPr>
      <w:r>
        <w:rPr>
          <w:rFonts w:ascii="Times New Roman" w:cs="Times New Roman" w:eastAsia="Times New Roman" w:hAnsi="Times New Roman"/>
          <w:sz w:val="18"/>
          <w:szCs w:val="18"/>
          <w:color w:val="auto"/>
        </w:rPr>
        <w:t>and in the case of clause (iv) above, the Company and Administrative Agent may amend this Agreement solely for the purpose of replacing the LIBO Screen Rate under this Agreement and under any other Loan Document in accordance with the definition of “LIBO Successor Rate” and such amendment will become effective at 5:00 p.m., on the fifth Business Day after the Administrative Agent shall have notified all Lenders and the Company of the occurrence of the circumstances described in clause (iv) above unless, prior to such time, Lenders comprising the Required Lenders have delivered to the Administrative Agent written notice that such Required Lenders object to the implementation of a LIBO Successor Rate pursuant to such clause;</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Administrative Agent determines that Term SOFR has become available, is administratively feasible for the Administrative Agent and would have been identified as the Pre-Adjustment Successor Rate in accordance with the foregoing if it had been so available at the time that the LIBO Successor Rate then in effect was so identified, and the Administrative Agent notifies the Company and each Lender of such availability, then from and after the beginning of the Interest Period, relevant interest payment date or payment period for interest calculated, in each case, commencing no less than thirty (30) days after the date of such notice, the Pre-Adjustment Successor Rate shall be Term SOFR and the LIBO Successor Rate shall be Term SOFR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the relevant Related Adjustment.</w:t>
      </w:r>
    </w:p>
    <w:p>
      <w:pPr>
        <w:spacing w:after="0" w:line="120"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0964"/>
          </w:cols>
          <w:pgMar w:left="436" w:top="270" w:right="499" w:bottom="1440" w:gutter="0" w:footer="0" w:header="0"/>
        </w:sectPr>
      </w:pPr>
    </w:p>
    <w:bookmarkStart w:id="194" w:name="page195"/>
    <w:bookmarkEnd w:id="194"/>
    <w:p>
      <w:pPr>
        <w:ind w:right="6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will promptly (in one or more notices) notify the Company and each Lender of (x) any occurrence of any of the events, periods or circumstances under clauses (i) through (iii) above, (y) a LIBO Replacement Date and (z) the LIBO Successor Rate.</w:t>
      </w:r>
    </w:p>
    <w:p>
      <w:pPr>
        <w:spacing w:after="0" w:line="162"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 xml:space="preserve">Any LIBO Successor Rate shall be applied in a manner consistent with market practice;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to the extent such market practice is not administratively feasible for the Administrative Agent, such LIBO Successor Rate shall be applied in a manner as otherwise reasonably determined by the Administrative Agent.</w:t>
      </w:r>
    </w:p>
    <w:p>
      <w:pPr>
        <w:spacing w:after="0" w:line="176" w:lineRule="exact"/>
        <w:rPr>
          <w:sz w:val="20"/>
          <w:szCs w:val="20"/>
          <w:color w:val="auto"/>
        </w:rPr>
      </w:pPr>
    </w:p>
    <w:p>
      <w:pPr>
        <w:ind w:right="480" w:firstLine="440"/>
        <w:spacing w:after="0" w:line="282" w:lineRule="auto"/>
        <w:rPr>
          <w:sz w:val="20"/>
          <w:szCs w:val="20"/>
          <w:color w:val="auto"/>
        </w:rPr>
      </w:pPr>
      <w:r>
        <w:rPr>
          <w:rFonts w:ascii="Times New Roman" w:cs="Times New Roman" w:eastAsia="Times New Roman" w:hAnsi="Times New Roman"/>
          <w:sz w:val="18"/>
          <w:szCs w:val="18"/>
          <w:color w:val="auto"/>
        </w:rPr>
        <w:t>Notwithstanding anything else herein, if at any time any LIBO Successor Rate as so determined would otherwise be less than 0%, the LIBO Successor Rate will be deemed to be 0% for the purposes of this Agreement and the other Loan Documents.</w:t>
      </w:r>
    </w:p>
    <w:p>
      <w:pPr>
        <w:spacing w:after="0" w:line="162" w:lineRule="exact"/>
        <w:rPr>
          <w:sz w:val="20"/>
          <w:szCs w:val="20"/>
          <w:color w:val="auto"/>
        </w:rPr>
      </w:pPr>
    </w:p>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In connection with the implementation of a LIBO Successor Rate, the Administrative Agent will have the right to make LIBO Successor Rate Conforming Changes from time to time and, notwithstanding anything to the contrary herein or in any other Loan Document, any amendments implementing such LIBO Successor Rate Conforming Changes will become effective without any further action or consent of any other party to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with respect to any such amendment effected, the Administrative Agent shall post each such amendment implementing such LIBO Successor Rate Conforming Changes to the Company and the Lenders reasonably promptly after such amendment becomes effective.</w:t>
      </w:r>
    </w:p>
    <w:p>
      <w:pPr>
        <w:spacing w:after="0" w:line="183" w:lineRule="exact"/>
        <w:rPr>
          <w:sz w:val="20"/>
          <w:szCs w:val="20"/>
          <w:color w:val="auto"/>
        </w:rPr>
      </w:pPr>
    </w:p>
    <w:p>
      <w:pPr>
        <w:ind w:right="200" w:firstLine="440"/>
        <w:spacing w:after="0" w:line="282" w:lineRule="auto"/>
        <w:rPr>
          <w:sz w:val="20"/>
          <w:szCs w:val="20"/>
          <w:color w:val="auto"/>
        </w:rPr>
      </w:pPr>
      <w:r>
        <w:rPr>
          <w:rFonts w:ascii="Times New Roman" w:cs="Times New Roman" w:eastAsia="Times New Roman" w:hAnsi="Times New Roman"/>
          <w:sz w:val="18"/>
          <w:szCs w:val="18"/>
          <w:color w:val="auto"/>
        </w:rPr>
        <w:t>If the events or circumstances of the type described in 2.11(c)(i)-(iii) have occurred with respect to the LIBO Successor Rate then in effect, then the successor rate thereto shall be determined in accordance with the definition of “LIBO Successor Rate.”</w:t>
      </w:r>
    </w:p>
    <w:p>
      <w:pPr>
        <w:spacing w:after="0" w:line="162" w:lineRule="exact"/>
        <w:rPr>
          <w:sz w:val="20"/>
          <w:szCs w:val="20"/>
          <w:color w:val="auto"/>
        </w:rPr>
      </w:pPr>
    </w:p>
    <w:p>
      <w:pPr>
        <w:ind w:firstLine="987"/>
        <w:spacing w:after="0" w:line="253" w:lineRule="auto"/>
        <w:tabs>
          <w:tab w:leader="none" w:pos="1246" w:val="left"/>
        </w:tabs>
        <w:numPr>
          <w:ilvl w:val="0"/>
          <w:numId w:val="1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herein, (i) after any such determination by the Administrative Agent or receipt by the Administrative Agent of any such notice described under Section 2.11(c)(i)-(iii), as applicable, if the Administrative Agent determines that none of the LIBO Successor Rates is available on or prior to the LIBO Replacement Date, (ii) if the events or circumstances described in Section 2.11(c)(iv) have occurred but none of the LIBO Successor Rates is available, or (iii) if the events or circumstances of the type described in Section 2.11(c)(i)-(iii) have occurred with respect to the LIBO Successor Rate then in effect and the Administrative Agent determines that none of the LIBO Successor Rates is available, then in each case, the Administrative Agent and the Company may amend this Agreement solely for the purpose of replacing the LIBO Screen Rate or any then current LIBO Successor Rate in accordance with this Section 2.11 at the end of any Interest Period, relevant interest payment date or payment period for interest calculated, as applicable, with another alternate benchmark rate giving due consideration to any evolving or then existing convention for similar dollar denominated syndicated credit facilities for such alternative benchmarks and, in each case, including any Related Adjustments and any other mathematical or other adjustments to such benchmark giving due consideration to any evolving or then existing convention for similar dollar denominated syndicated credit facilities for such benchmarks, which adjustment or method for calculating such</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000"/>
          </w:cols>
          <w:pgMar w:left="440" w:top="270" w:right="459" w:bottom="1440" w:gutter="0" w:footer="0" w:header="0"/>
        </w:sectPr>
      </w:pPr>
    </w:p>
    <w:bookmarkStart w:id="195" w:name="page196"/>
    <w:bookmarkEnd w:id="195"/>
    <w:p>
      <w:pPr>
        <w:ind w:left="4"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adjustment shall be published on an information service as selected by the Administrative Agent from time to time in its reasonable discretion and may be periodically updated. For the avoidance of doubt, any such proposed rate and adjustments shall constitute a LIBO Successor Rate. Any such amendment shall become effective at 5:00 p.m. on the fifth Business Day after the Administrative Agent shall have posted such proposed amendment to all Lenders and the Company unless, prior to such time, Lenders comprising the Required Lenders have delivered to the Administrative Agent written notice that such Required Lenders object to such amendment.</w:t>
      </w:r>
    </w:p>
    <w:p>
      <w:pPr>
        <w:spacing w:after="0" w:line="183" w:lineRule="exact"/>
        <w:rPr>
          <w:sz w:val="20"/>
          <w:szCs w:val="20"/>
          <w:color w:val="auto"/>
        </w:rPr>
      </w:pPr>
    </w:p>
    <w:p>
      <w:pPr>
        <w:ind w:left="4" w:firstLine="987"/>
        <w:spacing w:after="0" w:line="272" w:lineRule="auto"/>
        <w:tabs>
          <w:tab w:leader="none" w:pos="1240" w:val="left"/>
        </w:tabs>
        <w:numPr>
          <w:ilvl w:val="1"/>
          <w:numId w:val="1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If, at the end of any Interest Period, relevant interest payment date or payment period for interest calculated, no LIBO Successor Rate has been determined in accordance with clauses (c) or (d) of this Section 2.11 and the circumstances under clauses (c)(i) or (c)(iii) above exist or the Scheduled Unavailability Date has occurred (as applicable), the Administrative Agent will promptly so notify the Company and each Lender. Thereafter,</w:t>
      </w:r>
    </w:p>
    <w:p>
      <w:pPr>
        <w:spacing w:after="0" w:line="1" w:lineRule="exact"/>
        <w:rPr>
          <w:rFonts w:ascii="Times New Roman" w:cs="Times New Roman" w:eastAsia="Times New Roman" w:hAnsi="Times New Roman"/>
          <w:sz w:val="17"/>
          <w:szCs w:val="17"/>
          <w:color w:val="auto"/>
        </w:rPr>
      </w:pPr>
    </w:p>
    <w:p>
      <w:pPr>
        <w:ind w:left="4" w:right="20" w:hanging="4"/>
        <w:spacing w:after="0" w:line="252" w:lineRule="auto"/>
        <w:tabs>
          <w:tab w:leader="none" w:pos="259" w:val="left"/>
        </w:tabs>
        <w:numPr>
          <w:ilvl w:val="0"/>
          <w:numId w:val="1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 of the Lenders to make or maintain Eurocurrency Loans shall be suspended, (to the extent of the affected Eurocurrency Loans, Interest Periods, interest payment dates or payment periods), and (y) the LIBO Rate component shall no longer be utilized in determining the Alternate Base Rate, until the LIBO Successor Rate has been determined in accordance with clauses (c) or (d). Upon receipt of such notice, the Company may revoke any pending request for a Borrowing of, conversion to or continuation of Eurocurrency Loans (to the extent of the affected Eurocurrency Loans, Interest Periods, interest payment dates or payment periods) or, failing that, will be deemed to have converted such request into a request for a Borrowing of ABR Loans (subject to the foregoing clause (y)) in the amount specified therein.</w:t>
      </w:r>
    </w:p>
    <w:p>
      <w:pPr>
        <w:spacing w:after="0" w:line="19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u w:val="single" w:color="auto"/>
          <w:color w:val="auto"/>
        </w:rPr>
        <w:t>Increased Costs; Illegality</w:t>
      </w:r>
      <w:r>
        <w:rPr>
          <w:rFonts w:ascii="Times New Roman" w:cs="Times New Roman" w:eastAsia="Times New Roman" w:hAnsi="Times New Roman"/>
          <w:sz w:val="18"/>
          <w:szCs w:val="18"/>
          <w:color w:val="auto"/>
        </w:rPr>
        <w:t>. (a) If any Change in Law shall:</w:t>
      </w:r>
    </w:p>
    <w:p>
      <w:pPr>
        <w:spacing w:after="0" w:line="117" w:lineRule="exact"/>
        <w:rPr>
          <w:sz w:val="20"/>
          <w:szCs w:val="20"/>
          <w:color w:val="auto"/>
        </w:rPr>
      </w:pPr>
    </w:p>
    <w:p>
      <w:pPr>
        <w:ind w:left="444" w:right="20" w:firstLine="525"/>
        <w:spacing w:after="0" w:line="266" w:lineRule="auto"/>
        <w:tabs>
          <w:tab w:leader="none" w:pos="1187"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67" w:lineRule="exact"/>
        <w:rPr>
          <w:rFonts w:ascii="Times New Roman" w:cs="Times New Roman" w:eastAsia="Times New Roman" w:hAnsi="Times New Roman"/>
          <w:sz w:val="18"/>
          <w:szCs w:val="18"/>
          <w:color w:val="auto"/>
        </w:rPr>
      </w:pPr>
    </w:p>
    <w:p>
      <w:pPr>
        <w:ind w:left="444" w:right="20" w:firstLine="525"/>
        <w:spacing w:after="0" w:line="282" w:lineRule="auto"/>
        <w:tabs>
          <w:tab w:leader="none" w:pos="1237"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on any Lender or the London interbank market any other condition, cost or expense (other than Taxes) affecting this Agreement or the Loans made by such Lender; or</w:t>
      </w:r>
    </w:p>
    <w:p>
      <w:pPr>
        <w:spacing w:after="0" w:line="53" w:lineRule="exact"/>
        <w:rPr>
          <w:rFonts w:ascii="Times New Roman" w:cs="Times New Roman" w:eastAsia="Times New Roman" w:hAnsi="Times New Roman"/>
          <w:sz w:val="18"/>
          <w:szCs w:val="18"/>
          <w:color w:val="auto"/>
        </w:rPr>
      </w:pPr>
    </w:p>
    <w:p>
      <w:pPr>
        <w:ind w:left="444" w:right="240" w:firstLine="525"/>
        <w:spacing w:after="0" w:line="266" w:lineRule="auto"/>
        <w:tabs>
          <w:tab w:leader="none" w:pos="1287" w:val="left"/>
        </w:tabs>
        <w:numPr>
          <w:ilvl w:val="0"/>
          <w:numId w:val="1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76" w:lineRule="exact"/>
        <w:rPr>
          <w:sz w:val="20"/>
          <w:szCs w:val="20"/>
          <w:color w:val="auto"/>
        </w:rPr>
      </w:pPr>
    </w:p>
    <w:p>
      <w:pPr>
        <w:ind w:left="4" w:right="80"/>
        <w:spacing w:after="0" w:line="282" w:lineRule="auto"/>
        <w:rPr>
          <w:sz w:val="20"/>
          <w:szCs w:val="20"/>
          <w:color w:val="auto"/>
        </w:rPr>
      </w:pPr>
      <w:r>
        <w:rPr>
          <w:rFonts w:ascii="Times New Roman" w:cs="Times New Roman" w:eastAsia="Times New Roman" w:hAnsi="Times New Roman"/>
          <w:sz w:val="18"/>
          <w:szCs w:val="18"/>
          <w:color w:val="auto"/>
        </w:rPr>
        <w:t>and the result of any of the foregoing shall be to increase the cost to such Lender or other Recipient of making, converting to, continuing or maintaining any Loan or of maintaining its obligation to make any Loan, or to reduce the amount of any sum</w:t>
      </w:r>
    </w:p>
    <w:p>
      <w:pPr>
        <w:spacing w:after="0" w:line="9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004"/>
          </w:cols>
          <w:pgMar w:left="436" w:top="270" w:right="459" w:bottom="1440" w:gutter="0" w:footer="0" w:header="0"/>
        </w:sectPr>
      </w:pPr>
    </w:p>
    <w:bookmarkStart w:id="196" w:name="page197"/>
    <w:bookmarkEnd w:id="196"/>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187" w:lineRule="exact"/>
        <w:rPr>
          <w:sz w:val="20"/>
          <w:szCs w:val="20"/>
          <w:color w:val="auto"/>
        </w:rPr>
      </w:pPr>
    </w:p>
    <w:p>
      <w:pPr>
        <w:ind w:firstLine="987"/>
        <w:spacing w:after="0" w:line="254" w:lineRule="auto"/>
        <w:tabs>
          <w:tab w:leader="none" w:pos="1246"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Revolving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188" w:lineRule="exact"/>
        <w:rPr>
          <w:rFonts w:ascii="Times New Roman" w:cs="Times New Roman" w:eastAsia="Times New Roman" w:hAnsi="Times New Roman"/>
          <w:sz w:val="18"/>
          <w:szCs w:val="18"/>
          <w:color w:val="auto"/>
        </w:rPr>
      </w:pPr>
    </w:p>
    <w:p>
      <w:pPr>
        <w:jc w:val="both"/>
        <w:ind w:right="260" w:firstLine="987"/>
        <w:spacing w:after="0" w:line="261" w:lineRule="auto"/>
        <w:tabs>
          <w:tab w:leader="none" w:pos="1236"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179" w:lineRule="exact"/>
        <w:rPr>
          <w:rFonts w:ascii="Times New Roman" w:cs="Times New Roman" w:eastAsia="Times New Roman" w:hAnsi="Times New Roman"/>
          <w:sz w:val="18"/>
          <w:szCs w:val="18"/>
          <w:color w:val="auto"/>
        </w:rPr>
      </w:pPr>
    </w:p>
    <w:p>
      <w:pPr>
        <w:ind w:right="40" w:firstLine="987"/>
        <w:spacing w:after="0" w:line="256" w:lineRule="auto"/>
        <w:tabs>
          <w:tab w:leader="none" w:pos="1246" w:val="left"/>
        </w:tabs>
        <w:numPr>
          <w:ilvl w:val="0"/>
          <w:numId w:val="1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Failure or delay on the part of any Lender to demand compensation pursuant to this Section shall not constitute a waiver of such Lender’s right to demand such compensation;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00"/>
          </w:cols>
          <w:pgMar w:left="440" w:top="270" w:right="459" w:bottom="1440" w:gutter="0" w:footer="0" w:header="0"/>
        </w:sectPr>
      </w:pPr>
    </w:p>
    <w:bookmarkStart w:id="197" w:name="page198"/>
    <w:bookmarkEnd w:id="197"/>
    <w:p>
      <w:pPr>
        <w:ind w:firstLine="987"/>
        <w:spacing w:after="0" w:line="252" w:lineRule="auto"/>
        <w:tabs>
          <w:tab w:leader="none" w:pos="1236" w:val="left"/>
        </w:tabs>
        <w:numPr>
          <w:ilvl w:val="0"/>
          <w:numId w:val="1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and the Administrative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Administrative Agent without reference to the Adjusted LIBO Rate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Eurocurrency Loans of such Lender to ABR Loans (the interest rate on which ABR Loans of such Lender shall, if necessary to avoid such illegality, be determined by the Administrative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Administrative Agent shall during the period of such suspension compute the Alternate Base Rate applicable to such Lender without reference to the Adjusted LIBO Rate component thereof until the Administrative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89"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2.13. </w:t>
      </w:r>
      <w:r>
        <w:rPr>
          <w:rFonts w:ascii="Times New Roman" w:cs="Times New Roman" w:eastAsia="Times New Roman" w:hAnsi="Times New Roman"/>
          <w:sz w:val="18"/>
          <w:szCs w:val="18"/>
          <w:u w:val="single" w:color="auto"/>
          <w:color w:val="auto"/>
        </w:rPr>
        <w:t>Break Funding Payments</w:t>
      </w:r>
      <w:r>
        <w:rPr>
          <w:rFonts w:ascii="Times New Roman" w:cs="Times New Roman" w:eastAsia="Times New Roman" w:hAnsi="Times New Roman"/>
          <w:sz w:val="18"/>
          <w:szCs w:val="18"/>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000"/>
          </w:cols>
          <w:pgMar w:left="440" w:top="270" w:right="459" w:bottom="1440" w:gutter="0" w:footer="0" w:header="0"/>
        </w:sectPr>
      </w:pPr>
    </w:p>
    <w:bookmarkStart w:id="198" w:name="page199"/>
    <w:bookmarkEnd w:id="198"/>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94"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2.14.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xml:space="preserve">. (a) </w:t>
      </w:r>
      <w:r>
        <w:rPr>
          <w:rFonts w:ascii="Times New Roman" w:cs="Times New Roman" w:eastAsia="Times New Roman" w:hAnsi="Times New Roman"/>
          <w:sz w:val="18"/>
          <w:szCs w:val="18"/>
          <w:u w:val="single" w:color="auto"/>
          <w:color w:val="auto"/>
        </w:rPr>
        <w:t>Payments Free of Taxes</w:t>
      </w:r>
      <w:r>
        <w:rPr>
          <w:rFonts w:ascii="Times New Roman" w:cs="Times New Roman" w:eastAsia="Times New Roman" w:hAnsi="Times New Roman"/>
          <w:sz w:val="18"/>
          <w:szCs w:val="18"/>
          <w:color w:val="auto"/>
        </w:rPr>
        <w:t>. Any and all payments by or on account of any obligation of the Company or any Guarantor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or such Guarantor, as applicable,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192" w:lineRule="exact"/>
        <w:rPr>
          <w:sz w:val="20"/>
          <w:szCs w:val="20"/>
          <w:color w:val="auto"/>
        </w:rPr>
      </w:pPr>
    </w:p>
    <w:p>
      <w:pPr>
        <w:ind w:right="160" w:firstLine="987"/>
        <w:spacing w:after="0" w:line="266" w:lineRule="auto"/>
        <w:tabs>
          <w:tab w:leader="none" w:pos="1246"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Payment of Other Taxes by the Company</w:t>
      </w:r>
      <w:r>
        <w:rPr>
          <w:rFonts w:ascii="Times New Roman" w:cs="Times New Roman" w:eastAsia="Times New Roman" w:hAnsi="Times New Roman"/>
          <w:sz w:val="18"/>
          <w:szCs w:val="18"/>
          <w:color w:val="auto"/>
        </w:rPr>
        <w:t>. The Company and the Guarantors shall timely pay to the relevant Governmental Authority in accordance with applicable law, or at the option of the Administrative Agent, timely reimburse the Administrative Agent for the payment of, any Other Taxes.</w:t>
      </w:r>
    </w:p>
    <w:p>
      <w:pPr>
        <w:spacing w:after="0" w:line="175" w:lineRule="exact"/>
        <w:rPr>
          <w:rFonts w:ascii="Times New Roman" w:cs="Times New Roman" w:eastAsia="Times New Roman" w:hAnsi="Times New Roman"/>
          <w:sz w:val="18"/>
          <w:szCs w:val="18"/>
          <w:color w:val="auto"/>
        </w:rPr>
      </w:pPr>
    </w:p>
    <w:p>
      <w:pPr>
        <w:ind w:right="60" w:firstLine="987"/>
        <w:spacing w:after="0" w:line="261" w:lineRule="auto"/>
        <w:tabs>
          <w:tab w:leader="none" w:pos="1236" w:val="left"/>
        </w:tabs>
        <w:numPr>
          <w:ilvl w:val="0"/>
          <w:numId w:val="1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Evidence of Payment</w:t>
      </w:r>
      <w:r>
        <w:rPr>
          <w:rFonts w:ascii="Times New Roman" w:cs="Times New Roman" w:eastAsia="Times New Roman" w:hAnsi="Times New Roman"/>
          <w:sz w:val="18"/>
          <w:szCs w:val="18"/>
          <w:color w:val="auto"/>
        </w:rPr>
        <w:t>. As soon as practicable after any payment of Taxes by the Company or a Guarantor to a Governmental Authority pursuant to this Section, the Company or such Guarantor, as applicable,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1000"/>
          </w:cols>
          <w:pgMar w:left="440" w:top="270" w:right="459" w:bottom="1440" w:gutter="0" w:footer="0" w:header="0"/>
        </w:sectPr>
      </w:pPr>
    </w:p>
    <w:bookmarkStart w:id="199" w:name="page200"/>
    <w:bookmarkEnd w:id="199"/>
    <w:p>
      <w:pPr>
        <w:ind w:right="240" w:firstLine="987"/>
        <w:spacing w:after="0" w:line="256" w:lineRule="auto"/>
        <w:tabs>
          <w:tab w:leader="none" w:pos="124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Indemnification by the Company</w:t>
      </w:r>
      <w:r>
        <w:rPr>
          <w:rFonts w:ascii="Times New Roman" w:cs="Times New Roman" w:eastAsia="Times New Roman" w:hAnsi="Times New Roman"/>
          <w:sz w:val="18"/>
          <w:szCs w:val="18"/>
          <w:color w:val="auto"/>
        </w:rPr>
        <w:t>. The Company and the Guarantors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187" w:lineRule="exact"/>
        <w:rPr>
          <w:rFonts w:ascii="Times New Roman" w:cs="Times New Roman" w:eastAsia="Times New Roman" w:hAnsi="Times New Roman"/>
          <w:sz w:val="18"/>
          <w:szCs w:val="18"/>
          <w:color w:val="auto"/>
        </w:rPr>
      </w:pPr>
    </w:p>
    <w:p>
      <w:pPr>
        <w:ind w:firstLine="987"/>
        <w:spacing w:after="0" w:line="253" w:lineRule="auto"/>
        <w:tabs>
          <w:tab w:leader="none" w:pos="123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Indemnification by the Lenders</w:t>
      </w:r>
      <w:r>
        <w:rPr>
          <w:rFonts w:ascii="Times New Roman" w:cs="Times New Roman" w:eastAsia="Times New Roman" w:hAnsi="Times New Roman"/>
          <w:sz w:val="18"/>
          <w:szCs w:val="18"/>
          <w:color w:val="auto"/>
        </w:rPr>
        <w:t>. Each Lender shall severally indemnify within 10 days after demand therefor (i) the Administrative Agent for any Indemnified Taxes attributable to such Lender (but only to the extent that the Company or a Guarantor has not already indemnified the Administrative Agent for such Indemnified Taxes and without limiting the obligation of the Company or the Guarantors to do so), (ii) the Administrative Agent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the Administrative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94" w:lineRule="exact"/>
        <w:rPr>
          <w:rFonts w:ascii="Times New Roman" w:cs="Times New Roman" w:eastAsia="Times New Roman" w:hAnsi="Times New Roman"/>
          <w:sz w:val="18"/>
          <w:szCs w:val="18"/>
          <w:color w:val="auto"/>
        </w:rPr>
      </w:pPr>
    </w:p>
    <w:p>
      <w:pPr>
        <w:ind w:right="60" w:firstLine="987"/>
        <w:spacing w:after="0" w:line="253" w:lineRule="auto"/>
        <w:tabs>
          <w:tab w:leader="none" w:pos="1216" w:val="left"/>
        </w:tabs>
        <w:numPr>
          <w:ilvl w:val="0"/>
          <w:numId w:val="1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Status of Lenders</w:t>
      </w:r>
      <w:r>
        <w:rPr>
          <w:rFonts w:ascii="Times New Roman" w:cs="Times New Roman" w:eastAsia="Times New Roman" w:hAnsi="Times New Roman"/>
          <w:sz w:val="18"/>
          <w:szCs w:val="18"/>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 of withholding. In addition, any Lender, if reasonably requested by the Company or the Administrative Agent, shall deliver such other documentation prescribed 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020"/>
          </w:cols>
          <w:pgMar w:left="440" w:top="270" w:right="439" w:bottom="1440" w:gutter="0" w:footer="0" w:header="0"/>
        </w:sectPr>
      </w:pPr>
    </w:p>
    <w:bookmarkStart w:id="200" w:name="page201"/>
    <w:bookmarkEnd w:id="200"/>
    <w:p>
      <w:pPr>
        <w:ind w:right="20" w:firstLine="987"/>
        <w:spacing w:after="0" w:line="254" w:lineRule="auto"/>
        <w:tabs>
          <w:tab w:leader="none" w:pos="1256" w:val="left"/>
        </w:tabs>
        <w:numPr>
          <w:ilvl w:val="0"/>
          <w:numId w:val="1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192" w:lineRule="exact"/>
        <w:rPr>
          <w:sz w:val="20"/>
          <w:szCs w:val="20"/>
          <w:color w:val="auto"/>
        </w:rPr>
      </w:pPr>
    </w:p>
    <w:p>
      <w:pPr>
        <w:ind w:right="360" w:firstLine="991"/>
        <w:spacing w:after="0" w:line="282" w:lineRule="auto"/>
        <w:rPr>
          <w:sz w:val="20"/>
          <w:szCs w:val="20"/>
          <w:color w:val="auto"/>
        </w:rPr>
      </w:pPr>
      <w:r>
        <w:rPr>
          <w:rFonts w:ascii="Times New Roman" w:cs="Times New Roman" w:eastAsia="Times New Roman" w:hAnsi="Times New Roman"/>
          <w:sz w:val="18"/>
          <w:szCs w:val="18"/>
          <w:color w:val="auto"/>
        </w:rPr>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162" w:lineRule="exact"/>
        <w:rPr>
          <w:sz w:val="20"/>
          <w:szCs w:val="20"/>
          <w:color w:val="auto"/>
        </w:rPr>
      </w:pPr>
    </w:p>
    <w:p>
      <w:pPr>
        <w:ind w:firstLine="987"/>
        <w:spacing w:after="0" w:line="253" w:lineRule="auto"/>
        <w:tabs>
          <w:tab w:leader="none" w:pos="1246"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Treatment of Certain Refunds</w:t>
      </w:r>
      <w:r>
        <w:rPr>
          <w:rFonts w:ascii="Times New Roman" w:cs="Times New Roman" w:eastAsia="Times New Roman" w:hAnsi="Times New Roman"/>
          <w:sz w:val="18"/>
          <w:szCs w:val="18"/>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187"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1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the term “applicable law” includes FATCA.</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000"/>
          </w:cols>
          <w:pgMar w:left="440" w:top="270" w:right="459" w:bottom="1440" w:gutter="0" w:footer="0" w:header="0"/>
        </w:sectPr>
      </w:pPr>
    </w:p>
    <w:bookmarkStart w:id="201" w:name="page202"/>
    <w:bookmarkEnd w:id="201"/>
    <w:p>
      <w:pPr>
        <w:ind w:right="80" w:firstLine="991"/>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2.15. </w:t>
      </w:r>
      <w:r>
        <w:rPr>
          <w:rFonts w:ascii="Times New Roman" w:cs="Times New Roman" w:eastAsia="Times New Roman" w:hAnsi="Times New Roman"/>
          <w:sz w:val="18"/>
          <w:szCs w:val="18"/>
          <w:u w:val="single" w:color="auto"/>
          <w:color w:val="auto"/>
        </w:rPr>
        <w:t>Payments Generally; Pro Rata Treatment; Sharing of Setoffs</w:t>
      </w:r>
      <w:r>
        <w:rPr>
          <w:rFonts w:ascii="Times New Roman" w:cs="Times New Roman" w:eastAsia="Times New Roman" w:hAnsi="Times New Roman"/>
          <w:sz w:val="18"/>
          <w:szCs w:val="18"/>
          <w:color w:val="auto"/>
        </w:rPr>
        <w:t>. (a) The Company shall make each payment or prepayment required to be made by it hereunder or under any other Loan Document prior to the time required hereunder or under such other Loan Document for such payment (or, if no such time is expressly required, prior to 1:00 p.m., New York City time), on the date when due or the date fixed for any prepayment hereunder,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92" w:lineRule="exact"/>
        <w:rPr>
          <w:sz w:val="20"/>
          <w:szCs w:val="20"/>
          <w:color w:val="auto"/>
        </w:rPr>
      </w:pPr>
    </w:p>
    <w:p>
      <w:pPr>
        <w:jc w:val="both"/>
        <w:ind w:right="20" w:firstLine="987"/>
        <w:spacing w:after="0" w:line="266" w:lineRule="auto"/>
        <w:tabs>
          <w:tab w:leader="none" w:pos="1246"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75" w:lineRule="exact"/>
        <w:rPr>
          <w:rFonts w:ascii="Times New Roman" w:cs="Times New Roman" w:eastAsia="Times New Roman" w:hAnsi="Times New Roman"/>
          <w:sz w:val="18"/>
          <w:szCs w:val="18"/>
          <w:color w:val="auto"/>
        </w:rPr>
      </w:pPr>
    </w:p>
    <w:p>
      <w:pPr>
        <w:ind w:firstLine="987"/>
        <w:spacing w:after="0" w:line="253" w:lineRule="auto"/>
        <w:tabs>
          <w:tab w:leader="none" w:pos="1236" w:val="left"/>
        </w:tabs>
        <w:numPr>
          <w:ilvl w:val="0"/>
          <w:numId w:val="1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0980"/>
          </w:cols>
          <w:pgMar w:left="440" w:top="270" w:right="479" w:bottom="1440" w:gutter="0" w:footer="0" w:header="0"/>
        </w:sectPr>
      </w:pPr>
    </w:p>
    <w:bookmarkStart w:id="202" w:name="page203"/>
    <w:bookmarkEnd w:id="202"/>
    <w:p>
      <w:pPr>
        <w:ind w:right="40" w:firstLine="987"/>
        <w:spacing w:after="0" w:line="255" w:lineRule="auto"/>
        <w:tabs>
          <w:tab w:leader="none" w:pos="1246"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188" w:lineRule="exact"/>
        <w:rPr>
          <w:rFonts w:ascii="Times New Roman" w:cs="Times New Roman" w:eastAsia="Times New Roman" w:hAnsi="Times New Roman"/>
          <w:sz w:val="18"/>
          <w:szCs w:val="18"/>
          <w:color w:val="auto"/>
        </w:rPr>
      </w:pPr>
    </w:p>
    <w:p>
      <w:pPr>
        <w:ind w:right="300" w:firstLine="987"/>
        <w:spacing w:after="0" w:line="261" w:lineRule="auto"/>
        <w:tabs>
          <w:tab w:leader="none" w:pos="1236" w:val="left"/>
        </w:tabs>
        <w:numPr>
          <w:ilvl w:val="0"/>
          <w:numId w:val="1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80"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2.16. </w:t>
      </w:r>
      <w:r>
        <w:rPr>
          <w:rFonts w:ascii="Times New Roman" w:cs="Times New Roman" w:eastAsia="Times New Roman" w:hAnsi="Times New Roman"/>
          <w:sz w:val="18"/>
          <w:szCs w:val="18"/>
          <w:u w:val="single" w:color="auto"/>
          <w:color w:val="auto"/>
        </w:rPr>
        <w:t>Mitigation Obligations; Replacement of Lenders</w:t>
      </w:r>
      <w:r>
        <w:rPr>
          <w:rFonts w:ascii="Times New Roman" w:cs="Times New Roman" w:eastAsia="Times New Roman" w:hAnsi="Times New Roman"/>
          <w:sz w:val="18"/>
          <w:szCs w:val="18"/>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188" w:lineRule="exact"/>
        <w:rPr>
          <w:sz w:val="20"/>
          <w:szCs w:val="20"/>
          <w:color w:val="auto"/>
        </w:rPr>
      </w:pPr>
    </w:p>
    <w:p>
      <w:pPr>
        <w:ind w:right="60" w:firstLine="987"/>
        <w:spacing w:after="0" w:line="258" w:lineRule="auto"/>
        <w:tabs>
          <w:tab w:leader="none" w:pos="1246" w:val="left"/>
        </w:tabs>
        <w:numPr>
          <w:ilvl w:val="0"/>
          <w:numId w:val="1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(i) any Lender requests compensation under Section 2.12, (ii) any Lender delivers a notice under Section 2.12(e), (iii) the Company is required to pay any Indemnified Taxes or additional amounts to any Lender or any Governmental Authority for the account of any Lender pursuant to Section 2.14, (iv) any Lender has become a Defaulting Lender or (v) any Lender has failed to consent to a proposed amendment, waiver, discharge or termination that under Section 9.02 requires the consent of all the Lenders (or all the affected Lenders) and with respect to which the Required Lenders shall have granted their consent, then the Company may, at its sole expense and effort,</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00"/>
          </w:cols>
          <w:pgMar w:left="440" w:top="270" w:right="459" w:bottom="1440" w:gutter="0" w:footer="0" w:header="0"/>
        </w:sectPr>
      </w:pPr>
    </w:p>
    <w:bookmarkStart w:id="203" w:name="page204"/>
    <w:bookmarkEnd w:id="203"/>
    <w:p>
      <w:pPr>
        <w:ind w:right="4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to an Eligible Assignee that shall assume such obligations (which may be another Lender, if a Lender accepts such assignment and delegation);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the Company shall have received the prior written consent of the Administrative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191"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2.17. </w:t>
      </w:r>
      <w:r>
        <w:rPr>
          <w:rFonts w:ascii="Times New Roman" w:cs="Times New Roman" w:eastAsia="Times New Roman" w:hAnsi="Times New Roman"/>
          <w:sz w:val="18"/>
          <w:szCs w:val="18"/>
          <w:u w:val="single" w:color="auto"/>
          <w:color w:val="auto"/>
        </w:rPr>
        <w:t>Defaulting Lenders</w:t>
      </w:r>
      <w:r>
        <w:rPr>
          <w:rFonts w:ascii="Times New Roman" w:cs="Times New Roman" w:eastAsia="Times New Roman" w:hAnsi="Times New Roman"/>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54" w:lineRule="exact"/>
        <w:rPr>
          <w:sz w:val="20"/>
          <w:szCs w:val="20"/>
          <w:color w:val="auto"/>
        </w:rPr>
      </w:pPr>
    </w:p>
    <w:p>
      <w:pPr>
        <w:ind w:left="1200" w:hanging="235"/>
        <w:spacing w:after="0"/>
        <w:tabs>
          <w:tab w:leader="none" w:pos="1200"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Revolving Commitment Fees shall cease to accrue on the unused amount of the Revolving Commitment of such Defaulting Lender;</w:t>
      </w:r>
    </w:p>
    <w:p>
      <w:pPr>
        <w:spacing w:after="0" w:line="117" w:lineRule="exact"/>
        <w:rPr>
          <w:rFonts w:ascii="Times New Roman" w:cs="Times New Roman" w:eastAsia="Times New Roman" w:hAnsi="Times New Roman"/>
          <w:sz w:val="18"/>
          <w:szCs w:val="18"/>
          <w:color w:val="auto"/>
        </w:rPr>
      </w:pPr>
    </w:p>
    <w:p>
      <w:pPr>
        <w:ind w:left="440" w:right="20" w:firstLine="525"/>
        <w:spacing w:after="0" w:line="258" w:lineRule="auto"/>
        <w:tabs>
          <w:tab w:leader="none" w:pos="1223" w:val="left"/>
        </w:tabs>
        <w:numPr>
          <w:ilvl w:val="0"/>
          <w:numId w:val="1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Revolving Commitment and the Revolving Exposure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000"/>
          </w:cols>
          <w:pgMar w:left="440" w:top="270" w:right="459" w:bottom="1440" w:gutter="0" w:footer="0" w:header="0"/>
        </w:sectPr>
      </w:pPr>
    </w:p>
    <w:bookmarkStart w:id="204" w:name="page205"/>
    <w:bookmarkEnd w:id="204"/>
    <w:p>
      <w:pPr>
        <w:ind w:left="440" w:firstLine="525"/>
        <w:spacing w:after="0" w:line="252" w:lineRule="auto"/>
        <w:tabs>
          <w:tab w:leader="none" w:pos="1213" w:val="left"/>
        </w:tabs>
        <w:numPr>
          <w:ilvl w:val="0"/>
          <w:numId w:val="1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Times New Roman" w:cs="Times New Roman" w:eastAsia="Times New Roman" w:hAnsi="Times New Roman"/>
          <w:sz w:val="18"/>
          <w:szCs w:val="18"/>
          <w:i w:val="1"/>
          <w:iCs w:val="1"/>
          <w:color w:val="auto"/>
        </w:rPr>
        <w:t>first</w:t>
      </w:r>
      <w:r>
        <w:rPr>
          <w:rFonts w:ascii="Times New Roman" w:cs="Times New Roman" w:eastAsia="Times New Roman" w:hAnsi="Times New Roman"/>
          <w:sz w:val="18"/>
          <w:szCs w:val="18"/>
          <w:color w:val="auto"/>
        </w:rPr>
        <w:t xml:space="preserve">, to the payment of any amounts owing by such Defaulting Lender to the Administrative Agent hereunder; </w:t>
      </w:r>
      <w:r>
        <w:rPr>
          <w:rFonts w:ascii="Times New Roman" w:cs="Times New Roman" w:eastAsia="Times New Roman" w:hAnsi="Times New Roman"/>
          <w:sz w:val="18"/>
          <w:szCs w:val="18"/>
          <w:i w:val="1"/>
          <w:iCs w:val="1"/>
          <w:color w:val="auto"/>
        </w:rPr>
        <w:t>second</w:t>
      </w:r>
      <w:r>
        <w:rPr>
          <w:rFonts w:ascii="Times New Roman" w:cs="Times New Roman" w:eastAsia="Times New Roman" w:hAnsi="Times New Roman"/>
          <w:sz w:val="18"/>
          <w:szCs w:val="18"/>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Times New Roman" w:cs="Times New Roman" w:eastAsia="Times New Roman" w:hAnsi="Times New Roman"/>
          <w:sz w:val="18"/>
          <w:szCs w:val="18"/>
          <w:i w:val="1"/>
          <w:iCs w:val="1"/>
          <w:color w:val="auto"/>
        </w:rPr>
        <w:t>third</w:t>
      </w:r>
      <w:r>
        <w:rPr>
          <w:rFonts w:ascii="Times New Roman" w:cs="Times New Roman" w:eastAsia="Times New Roman" w:hAnsi="Times New Roman"/>
          <w:sz w:val="18"/>
          <w:szCs w:val="18"/>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Times New Roman" w:cs="Times New Roman" w:eastAsia="Times New Roman" w:hAnsi="Times New Roman"/>
          <w:sz w:val="18"/>
          <w:szCs w:val="18"/>
          <w:i w:val="1"/>
          <w:iCs w:val="1"/>
          <w:color w:val="auto"/>
        </w:rPr>
        <w:t>fourth</w:t>
      </w:r>
      <w:r>
        <w:rPr>
          <w:rFonts w:ascii="Times New Roman" w:cs="Times New Roman" w:eastAsia="Times New Roman" w:hAnsi="Times New Roman"/>
          <w:sz w:val="18"/>
          <w:szCs w:val="18"/>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Times New Roman" w:cs="Times New Roman" w:eastAsia="Times New Roman" w:hAnsi="Times New Roman"/>
          <w:sz w:val="18"/>
          <w:szCs w:val="18"/>
          <w:i w:val="1"/>
          <w:iCs w:val="1"/>
          <w:color w:val="auto"/>
        </w:rPr>
        <w:t>fifth</w:t>
      </w:r>
      <w:r>
        <w:rPr>
          <w:rFonts w:ascii="Times New Roman" w:cs="Times New Roman" w:eastAsia="Times New Roman" w:hAnsi="Times New Roman"/>
          <w:sz w:val="18"/>
          <w:szCs w:val="18"/>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Times New Roman" w:cs="Times New Roman" w:eastAsia="Times New Roman" w:hAnsi="Times New Roman"/>
          <w:sz w:val="18"/>
          <w:szCs w:val="18"/>
          <w:i w:val="1"/>
          <w:iCs w:val="1"/>
          <w:color w:val="auto"/>
        </w:rPr>
        <w:t>sixth</w:t>
      </w:r>
      <w:r>
        <w:rPr>
          <w:rFonts w:ascii="Times New Roman" w:cs="Times New Roman" w:eastAsia="Times New Roman" w:hAnsi="Times New Roman"/>
          <w:sz w:val="18"/>
          <w:szCs w:val="18"/>
          <w:color w:val="auto"/>
        </w:rPr>
        <w:t xml:space="preserve">, to such Defaulting Lender or as otherwise directed by a court of competent jurisdiction;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(x) such payment is a payment of the principal amount of any Loans in respect of which such Defaulting Lender has not fully funded its appropriate share and (y) such Loans were made at a time when the conditions set forth in Section 4.02 were satisfied or waived, such payment shall be applied solely to pay the Loans of all non-Defaulting Lenders on a pro rata basis prior to being applied to the payment of any Loans of such Defaulting Lender until such time as all Loans are held by the Lenders pro rata in accordance with the Revolving Commitments.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91"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In the event that the Administrative Agent and the Company each agree that a Defaulting Lender that is a Lender has adequately remedied all matters that caused such Lender to be a Defaulting Lender, then such Lender shall purchase at par such of the Loans of the other Lenders as the Administrative Agent shall determine to be necessary in order for such Lender to hold such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0980"/>
          </w:cols>
          <w:pgMar w:left="440" w:top="270" w:right="479" w:bottom="1440" w:gutter="0" w:footer="0" w:header="0"/>
        </w:sectPr>
      </w:pPr>
    </w:p>
    <w:bookmarkStart w:id="205" w:name="page206"/>
    <w:bookmarkEnd w:id="205"/>
    <w:p>
      <w:pPr>
        <w:ind w:right="1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may terminate the unused amount of the Revolving Commitment of any Lender that is a Defaulting Lender upon not less than two Business Days’ prior notice to the Administrative Agent (which shall promptly notify the Lenders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no Event of Default shall have occurred and be continuing and (ii) such termination shall not be deemed to be a waiver or release of any claim the Company, the Administrative Agent or any Lender may have against such Defaulting Lender.</w:t>
      </w:r>
    </w:p>
    <w:p>
      <w:pPr>
        <w:spacing w:after="0" w:line="180"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284"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2.18. </w:t>
      </w:r>
      <w:r>
        <w:rPr>
          <w:rFonts w:ascii="Times New Roman" w:cs="Times New Roman" w:eastAsia="Times New Roman" w:hAnsi="Times New Roman"/>
          <w:sz w:val="18"/>
          <w:szCs w:val="18"/>
          <w:u w:val="single" w:color="auto"/>
          <w:color w:val="auto"/>
        </w:rPr>
        <w:t>Certain Permitted Amendments</w:t>
      </w:r>
      <w:r>
        <w:rPr>
          <w:rFonts w:ascii="Times New Roman" w:cs="Times New Roman" w:eastAsia="Times New Roman" w:hAnsi="Times New Roman"/>
          <w:sz w:val="18"/>
          <w:szCs w:val="18"/>
          <w:color w:val="auto"/>
        </w:rPr>
        <w:t>.</w:t>
      </w:r>
    </w:p>
    <w:p>
      <w:pPr>
        <w:spacing w:after="0" w:line="117" w:lineRule="exact"/>
        <w:rPr>
          <w:sz w:val="20"/>
          <w:szCs w:val="20"/>
          <w:color w:val="auto"/>
        </w:rPr>
      </w:pPr>
    </w:p>
    <w:p>
      <w:pPr>
        <w:ind w:left="440" w:firstLine="525"/>
        <w:spacing w:after="0" w:line="252" w:lineRule="auto"/>
        <w:tabs>
          <w:tab w:leader="none" w:pos="1213"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may, by written notice to the Administrative Agent from time to time beginning on the date that is 18 months after the Effective Date, but not more than three times during the term of this Agreement (and with no more than one such offer outstanding at any one time), make one or more offers (each, a “</w:t>
      </w:r>
      <w:r>
        <w:rPr>
          <w:rFonts w:ascii="Times New Roman" w:cs="Times New Roman" w:eastAsia="Times New Roman" w:hAnsi="Times New Roman"/>
          <w:sz w:val="18"/>
          <w:szCs w:val="18"/>
          <w:u w:val="single" w:color="auto"/>
          <w:color w:val="auto"/>
        </w:rPr>
        <w:t>Loan Modification Offer</w:t>
      </w:r>
      <w:r>
        <w:rPr>
          <w:rFonts w:ascii="Times New Roman" w:cs="Times New Roman" w:eastAsia="Times New Roman" w:hAnsi="Times New Roman"/>
          <w:sz w:val="18"/>
          <w:szCs w:val="18"/>
          <w:color w:val="auto"/>
        </w:rPr>
        <w:t>”) to all the Lenders to make one or more Permitted Amendments pursuant to procedures reasonably specified by the Administrative Agent and reasonably acceptable to the Company. Such notice shall set forth (i) the terms and conditions of the requested Permitted Amendment and (ii) the date on which such Permitted Amendment is requested to become effective. Notwithstanding anything to the contrary in Section 9.02, each Permitted Amendment shall only require the consent of the Company, the Administrative Agent and those Lenders that accept the applicable Loan Modification Offer (such Lenders, the “</w:t>
      </w:r>
      <w:r>
        <w:rPr>
          <w:rFonts w:ascii="Times New Roman" w:cs="Times New Roman" w:eastAsia="Times New Roman" w:hAnsi="Times New Roman"/>
          <w:sz w:val="18"/>
          <w:szCs w:val="18"/>
          <w:u w:val="single" w:color="auto"/>
          <w:color w:val="auto"/>
        </w:rPr>
        <w:t>Accepting Lenders</w:t>
      </w:r>
      <w:r>
        <w:rPr>
          <w:rFonts w:ascii="Times New Roman" w:cs="Times New Roman" w:eastAsia="Times New Roman" w:hAnsi="Times New Roman"/>
          <w:sz w:val="18"/>
          <w:szCs w:val="18"/>
          <w:color w:val="auto"/>
        </w:rPr>
        <w:t>”), and each Permitted Amendment shall become effective only with respect to the Loans of the Accepting Lenders. In connection with any Loan Modification Offer, the Company may, at its sole option, with respect to one or more of the Lenders that are not Accepting Lenders (each, a “</w:t>
      </w:r>
      <w:r>
        <w:rPr>
          <w:rFonts w:ascii="Times New Roman" w:cs="Times New Roman" w:eastAsia="Times New Roman" w:hAnsi="Times New Roman"/>
          <w:sz w:val="18"/>
          <w:szCs w:val="18"/>
          <w:u w:val="single" w:color="auto"/>
          <w:color w:val="auto"/>
        </w:rPr>
        <w:t>Non-Accepting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Lender</w:t>
      </w:r>
      <w:r>
        <w:rPr>
          <w:rFonts w:ascii="Times New Roman" w:cs="Times New Roman" w:eastAsia="Times New Roman" w:hAnsi="Times New Roman"/>
          <w:sz w:val="18"/>
          <w:szCs w:val="18"/>
          <w:color w:val="auto"/>
        </w:rPr>
        <w:t>”) replace such Non-Accepting Lender pursuant to Section 2.16(b). Upon the effectiveness of any Permitted Amendment and any assignment of any Non-Accepting Lender’s Revolving Commitments pursuant to Section 2.16(b), subject to the payment of applicable amounts pursuant to Section 2.13 in connection therewith, the Company shall be deemed to have made such borrowings and repayments of the Loans, and the Lenders shall make such adjustments of outstanding Loans between and among them, as shall be necessary to effect the reallocation of the Revolving Commitments such that, after giving effect thereto, the Loans shall be held by the Lenders (including the Eligible Assignees as the new Lenders) ratably in accordance with their Applicable Percentages.</w:t>
      </w:r>
    </w:p>
    <w:p>
      <w:pPr>
        <w:spacing w:after="0" w:line="87" w:lineRule="exact"/>
        <w:rPr>
          <w:rFonts w:ascii="Times New Roman" w:cs="Times New Roman" w:eastAsia="Times New Roman" w:hAnsi="Times New Roman"/>
          <w:sz w:val="18"/>
          <w:szCs w:val="18"/>
          <w:color w:val="auto"/>
        </w:rPr>
      </w:pPr>
    </w:p>
    <w:p>
      <w:pPr>
        <w:jc w:val="both"/>
        <w:ind w:left="440" w:right="80" w:firstLine="525"/>
        <w:spacing w:after="0" w:line="266" w:lineRule="auto"/>
        <w:tabs>
          <w:tab w:leader="none" w:pos="1223" w:val="left"/>
        </w:tabs>
        <w:numPr>
          <w:ilvl w:val="0"/>
          <w:numId w:val="1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Accepting Lender shall execute and deliver to the Administrative Agent a Loan Modification Agreement and such other documentation as the Administrative Agent shall reasonably specify to evidence the acceptance of the Permitted Amendments and the terms and conditions thereof. The Administrative Agent shall promptly notify each Lender as to the</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0960"/>
          </w:cols>
          <w:pgMar w:left="440" w:top="270" w:right="499" w:bottom="1440" w:gutter="0" w:footer="0" w:header="0"/>
        </w:sectPr>
      </w:pPr>
    </w:p>
    <w:bookmarkStart w:id="206" w:name="page207"/>
    <w:bookmarkEnd w:id="206"/>
    <w:p>
      <w:pPr>
        <w:ind w:left="4"/>
        <w:spacing w:after="0" w:line="273"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effectiveness of each Loan Modification Agreement. Each of the parties hereto hereby agrees that, upon the effectiveness of any Loan Modification Agreement, this Agreement shall be deemed amended to the extent (but only to the extent) necessary to reflect the existence and terms of the Permitted Amendment evidenced thereby and only with respect to the Loans and Revolving Commitments of the Accepting Lenders, including any amendments necessary to treat the applicable Loans and/or Revolving Commitments of the Accepting Lenders as a new “Class” or “Tranche” of loans and/or commitments hereunder. Notwithstanding the foregoing, no Permitted Amendment shall become effective unless the Administrative Agent, to the extent reasonably requested by the Administrative Agent, shall have received legal opinions, board resolutions, officer’s and secretary’s certificates and other documentation consistent with those delivered on the Effective Date under this Agreement.</w:t>
      </w:r>
    </w:p>
    <w:p>
      <w:pPr>
        <w:spacing w:after="0" w:line="63" w:lineRule="exact"/>
        <w:rPr>
          <w:sz w:val="20"/>
          <w:szCs w:val="20"/>
          <w:color w:val="auto"/>
        </w:rPr>
      </w:pPr>
    </w:p>
    <w:p>
      <w:pPr>
        <w:ind w:left="4" w:firstLine="525"/>
        <w:spacing w:after="0" w:line="267" w:lineRule="auto"/>
        <w:tabs>
          <w:tab w:leader="none" w:pos="777" w:val="left"/>
        </w:tabs>
        <w:numPr>
          <w:ilvl w:val="1"/>
          <w:numId w:val="18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Permitted Amendments</w:t>
      </w:r>
      <w:r>
        <w:rPr>
          <w:rFonts w:ascii="Times New Roman" w:cs="Times New Roman" w:eastAsia="Times New Roman" w:hAnsi="Times New Roman"/>
          <w:sz w:val="17"/>
          <w:szCs w:val="17"/>
          <w:color w:val="auto"/>
        </w:rPr>
        <w:t xml:space="preserve">” means any or all of the following: (i) an extension of the Maturity Date applicable solely to the Loans and/or Revolving Commitments of the Accepting Lenders, (ii) an increase in the interest rate with respect to the Loans and/or Revolving Commitments of the Accepting Lenders, (iii) the inclusion of additional fees to be payable to the Accepting Lenders in connection with the Permitted Amendment (including any commitment fees and upfront fees), (iv) such amendments to this Agreement and the other Loan Documents as shall be appropriate, in the reasonable judgment of the Administrative Agent, to provide the rights and benefits of this Agreement and other Loan Documents to each new “Class” or “Tranche” of loans and/or commitments resulting therefrom;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extensions of Borrowings shall be made pro rata across “Classes” or “Tranches” of loans and/or commitments and payments of principal and interest on Loans (including Loans of Accepting Lenders) shall continue to be shared pro rata in accordance with Section 2.15, except that notwithstanding Section 2.15 the Loans and Revolving Commitments of the Non-Accepting Lenders may be repaid and terminated on their applicable Maturity Date, and may be so repaid or terminated without any pro rata reduction of the commitments and repayment of Loans of Accepting Lenders with a different Maturity Date and</w:t>
      </w:r>
    </w:p>
    <w:p>
      <w:pPr>
        <w:spacing w:after="0" w:line="3" w:lineRule="exact"/>
        <w:rPr>
          <w:rFonts w:ascii="Times New Roman" w:cs="Times New Roman" w:eastAsia="Times New Roman" w:hAnsi="Times New Roman"/>
          <w:sz w:val="17"/>
          <w:szCs w:val="17"/>
          <w:color w:val="auto"/>
        </w:rPr>
      </w:pPr>
    </w:p>
    <w:p>
      <w:pPr>
        <w:ind w:left="4" w:right="800" w:hanging="4"/>
        <w:spacing w:after="0" w:line="260" w:lineRule="auto"/>
        <w:tabs>
          <w:tab w:leader="none" w:pos="258" w:val="left"/>
        </w:tabs>
        <w:numPr>
          <w:ilvl w:val="0"/>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other amendments to this Agreement and the other Loan Documents as shall be appropriate, in the reasonable judgment of the Administrative Agent, to give effect to the foregoing Permitted Amendments.</w:t>
      </w:r>
    </w:p>
    <w:p>
      <w:pPr>
        <w:spacing w:after="0" w:line="73" w:lineRule="exact"/>
        <w:rPr>
          <w:rFonts w:ascii="Times New Roman" w:cs="Times New Roman" w:eastAsia="Times New Roman" w:hAnsi="Times New Roman"/>
          <w:sz w:val="18"/>
          <w:szCs w:val="18"/>
          <w:color w:val="auto"/>
        </w:rPr>
      </w:pPr>
    </w:p>
    <w:p>
      <w:pPr>
        <w:jc w:val="both"/>
        <w:ind w:left="4" w:right="180" w:firstLine="525"/>
        <w:spacing w:after="0" w:line="266" w:lineRule="auto"/>
        <w:tabs>
          <w:tab w:leader="none" w:pos="787" w:val="left"/>
        </w:tabs>
        <w:numPr>
          <w:ilvl w:val="1"/>
          <w:numId w:val="1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Section 2.18 shall supersede any provision in Section 9.02 to the contrary. Notwithstanding any reallocation into extending and non-extending “Classes” or “Tranches” in connection with a Permitted Amendment, all Loans to the Company under this Agreement shall rank pari-passu in right of payment.</w:t>
      </w:r>
    </w:p>
    <w:p>
      <w:pPr>
        <w:spacing w:after="0" w:line="108" w:lineRule="exact"/>
        <w:rPr>
          <w:sz w:val="20"/>
          <w:szCs w:val="20"/>
          <w:color w:val="auto"/>
        </w:rPr>
      </w:pPr>
    </w:p>
    <w:p>
      <w:pPr>
        <w:jc w:val="center"/>
        <w:ind w:right="356"/>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0504"/>
          </w:cols>
          <w:pgMar w:left="876" w:top="270" w:right="519" w:bottom="1440" w:gutter="0" w:footer="0" w:header="0"/>
        </w:sectPr>
      </w:pPr>
    </w:p>
    <w:bookmarkStart w:id="207" w:name="page208"/>
    <w:bookmarkEnd w:id="207"/>
    <w:p>
      <w:pPr>
        <w:jc w:val="center"/>
        <w:ind w:right="-3"/>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III</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u w:val="single" w:color="auto"/>
          <w:color w:val="auto"/>
        </w:rPr>
        <w:t>Representations and Warranties</w:t>
      </w:r>
    </w:p>
    <w:p>
      <w:pPr>
        <w:spacing w:after="0" w:line="225" w:lineRule="exact"/>
        <w:rPr>
          <w:sz w:val="20"/>
          <w:szCs w:val="20"/>
          <w:color w:val="auto"/>
        </w:rPr>
      </w:pPr>
    </w:p>
    <w:p>
      <w:pPr>
        <w:ind w:left="4" w:right="740" w:firstLine="991"/>
        <w:spacing w:after="0" w:line="282" w:lineRule="auto"/>
        <w:rPr>
          <w:sz w:val="20"/>
          <w:szCs w:val="20"/>
          <w:color w:val="auto"/>
        </w:rPr>
      </w:pPr>
      <w:r>
        <w:rPr>
          <w:rFonts w:ascii="Times New Roman" w:cs="Times New Roman" w:eastAsia="Times New Roman" w:hAnsi="Times New Roman"/>
          <w:sz w:val="18"/>
          <w:szCs w:val="18"/>
          <w:color w:val="auto"/>
        </w:rPr>
        <w:t>The Company represents and warrants to the Lenders, on the Effective Date and on each other date on which representations and warranties are required to be, or are deemed to be, made under the Loan Documents, that:</w:t>
      </w:r>
    </w:p>
    <w:p>
      <w:pPr>
        <w:spacing w:after="0" w:line="162" w:lineRule="exact"/>
        <w:rPr>
          <w:sz w:val="20"/>
          <w:szCs w:val="20"/>
          <w:color w:val="auto"/>
        </w:rPr>
      </w:pPr>
    </w:p>
    <w:p>
      <w:pPr>
        <w:ind w:left="4" w:right="16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3.01. </w:t>
      </w:r>
      <w:r>
        <w:rPr>
          <w:rFonts w:ascii="Times New Roman" w:cs="Times New Roman" w:eastAsia="Times New Roman" w:hAnsi="Times New Roman"/>
          <w:sz w:val="18"/>
          <w:szCs w:val="18"/>
          <w:u w:val="single" w:color="auto"/>
          <w:color w:val="auto"/>
        </w:rPr>
        <w:t>Organization; Powers</w:t>
      </w:r>
      <w:r>
        <w:rPr>
          <w:rFonts w:ascii="Times New Roman" w:cs="Times New Roman" w:eastAsia="Times New Roman" w:hAnsi="Times New Roman"/>
          <w:sz w:val="18"/>
          <w:szCs w:val="18"/>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83" w:lineRule="exact"/>
        <w:rPr>
          <w:sz w:val="20"/>
          <w:szCs w:val="20"/>
          <w:color w:val="auto"/>
        </w:rPr>
      </w:pPr>
    </w:p>
    <w:p>
      <w:pPr>
        <w:ind w:left="4"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3.02. </w:t>
      </w:r>
      <w:r>
        <w:rPr>
          <w:rFonts w:ascii="Times New Roman" w:cs="Times New Roman" w:eastAsia="Times New Roman" w:hAnsi="Times New Roman"/>
          <w:sz w:val="18"/>
          <w:szCs w:val="18"/>
          <w:u w:val="single" w:color="auto"/>
          <w:color w:val="auto"/>
        </w:rPr>
        <w:t>Authorization; Enforceability</w:t>
      </w:r>
      <w:r>
        <w:rPr>
          <w:rFonts w:ascii="Times New Roman" w:cs="Times New Roman" w:eastAsia="Times New Roman" w:hAnsi="Times New Roman"/>
          <w:sz w:val="18"/>
          <w:szCs w:val="18"/>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87" w:lineRule="exact"/>
        <w:rPr>
          <w:sz w:val="20"/>
          <w:szCs w:val="20"/>
          <w:color w:val="auto"/>
        </w:rPr>
      </w:pPr>
    </w:p>
    <w:p>
      <w:pPr>
        <w:ind w:left="4" w:firstLine="991"/>
        <w:spacing w:after="0" w:line="276" w:lineRule="auto"/>
        <w:rPr>
          <w:sz w:val="20"/>
          <w:szCs w:val="20"/>
          <w:color w:val="auto"/>
        </w:rPr>
      </w:pPr>
      <w:r>
        <w:rPr>
          <w:rFonts w:ascii="Times New Roman" w:cs="Times New Roman" w:eastAsia="Times New Roman" w:hAnsi="Times New Roman"/>
          <w:sz w:val="17"/>
          <w:szCs w:val="17"/>
          <w:color w:val="auto"/>
        </w:rPr>
        <w:t xml:space="preserve">SECTION 3.03. </w:t>
      </w:r>
      <w:r>
        <w:rPr>
          <w:rFonts w:ascii="Times New Roman" w:cs="Times New Roman" w:eastAsia="Times New Roman" w:hAnsi="Times New Roman"/>
          <w:sz w:val="17"/>
          <w:szCs w:val="17"/>
          <w:u w:val="single" w:color="auto"/>
          <w:color w:val="auto"/>
        </w:rPr>
        <w:t>Governmental Approvals; Absence of Conflicts</w:t>
      </w:r>
      <w:r>
        <w:rPr>
          <w:rFonts w:ascii="Times New Roman" w:cs="Times New Roman" w:eastAsia="Times New Roman" w:hAnsi="Times New Roman"/>
          <w:sz w:val="17"/>
          <w:szCs w:val="17"/>
          <w:color w:val="auto"/>
        </w:rPr>
        <w:t>. The Transactions (a) do not require any consent or approval of, registration or filing with or any other action by any Governmental Authority, except such as have been obtained or made and are in full force and effect,</w:t>
      </w:r>
    </w:p>
    <w:p>
      <w:pPr>
        <w:spacing w:after="0" w:line="1" w:lineRule="exact"/>
        <w:rPr>
          <w:sz w:val="20"/>
          <w:szCs w:val="20"/>
          <w:color w:val="auto"/>
        </w:rPr>
      </w:pPr>
    </w:p>
    <w:p>
      <w:pPr>
        <w:ind w:left="4" w:hanging="4"/>
        <w:spacing w:after="0" w:line="265" w:lineRule="auto"/>
        <w:tabs>
          <w:tab w:leader="none" w:pos="259" w:val="left"/>
        </w:tabs>
        <w:numPr>
          <w:ilvl w:val="0"/>
          <w:numId w:val="19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will not violate any applicable law, including any order of any Governmental Authority, except to the extent any such violations, individually or in the aggregate, would not reasonably be expected to result in a Material Adverse Effect, (c) do not require consent or approval, except such as have been obtained and are in full force and effect, under, and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to the extent that the foregoing, individually or in the aggregate, would not reasonably be expected to result in a Material Adverse Effect and</w:t>
      </w:r>
    </w:p>
    <w:p>
      <w:pPr>
        <w:spacing w:after="0" w:line="1" w:lineRule="exact"/>
        <w:rPr>
          <w:rFonts w:ascii="Times New Roman" w:cs="Times New Roman" w:eastAsia="Times New Roman" w:hAnsi="Times New Roman"/>
          <w:sz w:val="17"/>
          <w:szCs w:val="17"/>
          <w:color w:val="auto"/>
        </w:rPr>
      </w:pPr>
    </w:p>
    <w:p>
      <w:pPr>
        <w:ind w:left="4" w:right="360" w:hanging="4"/>
        <w:spacing w:after="0" w:line="260" w:lineRule="auto"/>
        <w:tabs>
          <w:tab w:leader="none" w:pos="249" w:val="left"/>
        </w:tabs>
        <w:numPr>
          <w:ilvl w:val="0"/>
          <w:numId w:val="1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for Liens created under the Loan Documents, will not result in the creation or imposition of any Lien on any asset of the Company or any Subsidiary.</w:t>
      </w:r>
    </w:p>
    <w:p>
      <w:pPr>
        <w:spacing w:after="0" w:line="11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004"/>
          </w:cols>
          <w:pgMar w:left="436" w:top="270" w:right="459" w:bottom="1440" w:gutter="0" w:footer="0" w:header="0"/>
        </w:sectPr>
      </w:pPr>
    </w:p>
    <w:bookmarkStart w:id="208" w:name="page209"/>
    <w:bookmarkEnd w:id="208"/>
    <w:p>
      <w:pPr>
        <w:ind w:right="20" w:firstLine="991"/>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3.04. </w:t>
      </w:r>
      <w:r>
        <w:rPr>
          <w:rFonts w:ascii="Times New Roman" w:cs="Times New Roman" w:eastAsia="Times New Roman" w:hAnsi="Times New Roman"/>
          <w:sz w:val="18"/>
          <w:szCs w:val="18"/>
          <w:u w:val="single" w:color="auto"/>
          <w:color w:val="auto"/>
        </w:rPr>
        <w:t>Financial Condition; No Material Adverse Change</w:t>
      </w:r>
      <w:r>
        <w:rPr>
          <w:rFonts w:ascii="Times New Roman" w:cs="Times New Roman" w:eastAsia="Times New Roman" w:hAnsi="Times New Roman"/>
          <w:sz w:val="18"/>
          <w:szCs w:val="18"/>
          <w:color w:val="auto"/>
        </w:rPr>
        <w:t>. (a) The Company has heretofore furnished to the Lenders its consolidated balance sheet and related consolidated statements of operations, shareholders’ equity and cash flows as of and for the fiscal year ended February 1, 2020, audited by and accompanied by the opinion of Deloitte &amp; Touche LLP, and (b) as of and for the fiscal quarter and the portion of the fiscal year ended October 31, 2020. Such financial statements present fairly, in all material respects, the financial position, results of operations and cash flows of the Company and its consolidated Subsidiaries as of such dates and for such periods in accordance with GAAP, subject to normal year-end audit adjustments and the absence of footnotes in the case of the statements referred to in clause (b) above.</w:t>
      </w:r>
    </w:p>
    <w:p>
      <w:pPr>
        <w:spacing w:after="0" w:line="187" w:lineRule="exact"/>
        <w:rPr>
          <w:sz w:val="20"/>
          <w:szCs w:val="20"/>
          <w:color w:val="auto"/>
        </w:rPr>
      </w:pPr>
    </w:p>
    <w:p>
      <w:pPr>
        <w:ind w:right="80" w:firstLine="987"/>
        <w:spacing w:after="0" w:line="282" w:lineRule="auto"/>
        <w:tabs>
          <w:tab w:leader="none" w:pos="1246" w:val="left"/>
        </w:tabs>
        <w:numPr>
          <w:ilvl w:val="0"/>
          <w:numId w:val="1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February 1, 2020,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62"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3.05. </w:t>
      </w:r>
      <w:r>
        <w:rPr>
          <w:rFonts w:ascii="Times New Roman" w:cs="Times New Roman" w:eastAsia="Times New Roman" w:hAnsi="Times New Roman"/>
          <w:sz w:val="18"/>
          <w:szCs w:val="18"/>
          <w:u w:val="single" w:color="auto"/>
          <w:color w:val="auto"/>
        </w:rPr>
        <w:t>Properties</w:t>
      </w:r>
      <w:r>
        <w:rPr>
          <w:rFonts w:ascii="Times New Roman" w:cs="Times New Roman" w:eastAsia="Times New Roman" w:hAnsi="Times New Roman"/>
          <w:sz w:val="18"/>
          <w:szCs w:val="18"/>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180" w:lineRule="exact"/>
        <w:rPr>
          <w:sz w:val="20"/>
          <w:szCs w:val="20"/>
          <w:color w:val="auto"/>
        </w:rPr>
      </w:pPr>
    </w:p>
    <w:p>
      <w:pPr>
        <w:ind w:right="20" w:firstLine="987"/>
        <w:spacing w:after="0" w:line="254" w:lineRule="auto"/>
        <w:tabs>
          <w:tab w:leader="none" w:pos="1246" w:val="left"/>
        </w:tabs>
        <w:numPr>
          <w:ilvl w:val="0"/>
          <w:numId w:val="1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misappropriates or otherwise violates the rights of any other Person, except for any such infringements, misappropriations or other violations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88" w:lineRule="exact"/>
        <w:rPr>
          <w:sz w:val="20"/>
          <w:szCs w:val="20"/>
          <w:color w:val="auto"/>
        </w:rPr>
      </w:pPr>
    </w:p>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3.06. </w:t>
      </w:r>
      <w:r>
        <w:rPr>
          <w:rFonts w:ascii="Times New Roman" w:cs="Times New Roman" w:eastAsia="Times New Roman" w:hAnsi="Times New Roman"/>
          <w:sz w:val="18"/>
          <w:szCs w:val="18"/>
          <w:u w:val="single" w:color="auto"/>
          <w:color w:val="auto"/>
        </w:rPr>
        <w:t>Litigation and Environmental Matters</w:t>
      </w:r>
      <w:r>
        <w:rPr>
          <w:rFonts w:ascii="Times New Roman" w:cs="Times New Roman" w:eastAsia="Times New Roman" w:hAnsi="Times New Roman"/>
          <w:sz w:val="18"/>
          <w:szCs w:val="18"/>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 (ii) involve any of the Loan Documents.</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000"/>
          </w:cols>
          <w:pgMar w:left="440" w:top="270" w:right="459" w:bottom="1440" w:gutter="0" w:footer="0" w:header="0"/>
        </w:sectPr>
      </w:pPr>
    </w:p>
    <w:bookmarkStart w:id="209" w:name="page210"/>
    <w:bookmarkEnd w:id="209"/>
    <w:p>
      <w:pPr>
        <w:ind w:firstLine="987"/>
        <w:spacing w:after="0" w:line="258" w:lineRule="auto"/>
        <w:tabs>
          <w:tab w:leader="none" w:pos="1246"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183" w:lineRule="exact"/>
        <w:rPr>
          <w:rFonts w:ascii="Times New Roman" w:cs="Times New Roman" w:eastAsia="Times New Roman" w:hAnsi="Times New Roman"/>
          <w:sz w:val="18"/>
          <w:szCs w:val="18"/>
          <w:color w:val="auto"/>
        </w:rPr>
      </w:pPr>
    </w:p>
    <w:p>
      <w:pPr>
        <w:ind w:right="100" w:firstLine="987"/>
        <w:spacing w:after="0" w:line="282" w:lineRule="auto"/>
        <w:tabs>
          <w:tab w:leader="none" w:pos="1236" w:val="left"/>
        </w:tabs>
        <w:numPr>
          <w:ilvl w:val="0"/>
          <w:numId w:val="1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62"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3.07.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176" w:lineRule="exact"/>
        <w:rPr>
          <w:sz w:val="20"/>
          <w:szCs w:val="20"/>
          <w:color w:val="auto"/>
        </w:rPr>
      </w:pPr>
    </w:p>
    <w:p>
      <w:pPr>
        <w:ind w:right="80" w:firstLine="987"/>
        <w:spacing w:after="0" w:line="273" w:lineRule="auto"/>
        <w:tabs>
          <w:tab w:leader="none" w:pos="1246" w:val="left"/>
        </w:tabs>
        <w:numPr>
          <w:ilvl w:val="0"/>
          <w:numId w:val="19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the USA PATRIOT Act or applicable Sanctions.</w:t>
      </w:r>
    </w:p>
    <w:p>
      <w:pPr>
        <w:spacing w:after="0" w:line="171" w:lineRule="exact"/>
        <w:rPr>
          <w:sz w:val="20"/>
          <w:szCs w:val="20"/>
          <w:color w:val="auto"/>
        </w:rPr>
      </w:pPr>
    </w:p>
    <w:p>
      <w:pPr>
        <w:ind w:right="1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3.08. </w:t>
      </w:r>
      <w:r>
        <w:rPr>
          <w:rFonts w:ascii="Times New Roman" w:cs="Times New Roman" w:eastAsia="Times New Roman" w:hAnsi="Times New Roman"/>
          <w:sz w:val="18"/>
          <w:szCs w:val="18"/>
          <w:u w:val="single" w:color="auto"/>
          <w:color w:val="auto"/>
        </w:rPr>
        <w:t>Investment Company Status</w:t>
      </w:r>
      <w:r>
        <w:rPr>
          <w:rFonts w:ascii="Times New Roman" w:cs="Times New Roman" w:eastAsia="Times New Roman" w:hAnsi="Times New Roman"/>
          <w:sz w:val="18"/>
          <w:szCs w:val="18"/>
          <w:color w:val="auto"/>
        </w:rPr>
        <w:t>. The Company is not an “investment company” as defined in, or subject to regulation under, the Investment Company Act of 1940.</w:t>
      </w:r>
    </w:p>
    <w:p>
      <w:pPr>
        <w:spacing w:after="0" w:line="162"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3.09.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000"/>
          </w:cols>
          <w:pgMar w:left="440" w:top="270" w:right="459" w:bottom="1440" w:gutter="0" w:footer="0" w:header="0"/>
        </w:sectPr>
      </w:pPr>
    </w:p>
    <w:bookmarkStart w:id="210" w:name="page211"/>
    <w:bookmarkEnd w:id="210"/>
    <w:p>
      <w:pPr>
        <w:ind w:firstLine="991"/>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3.10. </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Revolving Commitments.</w:t>
      </w:r>
    </w:p>
    <w:p>
      <w:pPr>
        <w:spacing w:after="0" w:line="188" w:lineRule="exact"/>
        <w:rPr>
          <w:sz w:val="20"/>
          <w:szCs w:val="20"/>
          <w:color w:val="auto"/>
        </w:rPr>
      </w:pPr>
    </w:p>
    <w:p>
      <w:pPr>
        <w:ind w:right="2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3.11. </w:t>
      </w:r>
      <w:r>
        <w:rPr>
          <w:rFonts w:ascii="Times New Roman" w:cs="Times New Roman" w:eastAsia="Times New Roman" w:hAnsi="Times New Roman"/>
          <w:sz w:val="18"/>
          <w:szCs w:val="18"/>
          <w:u w:val="single" w:color="auto"/>
          <w:color w:val="auto"/>
        </w:rPr>
        <w:t>Solvency</w:t>
      </w:r>
      <w:r>
        <w:rPr>
          <w:rFonts w:ascii="Times New Roman" w:cs="Times New Roman" w:eastAsia="Times New Roman" w:hAnsi="Times New Roman"/>
          <w:sz w:val="18"/>
          <w:szCs w:val="18"/>
          <w:color w:val="auto"/>
        </w:rPr>
        <w:t>. On the Effective Date, immediately after giving effect to the consummation of the Transactions to occur on such date, including the making of any Loans and the application of the proceeds thereof, (i) the fair value of the assets of the Company and the Subsidiaries on a consolidated basis, at a fair valuation on a going concern basis, will exceed the debts and liabilities, direct, subordinated, contingent or otherwise, of the Company and the Subsidiaries on a consolidated basis; (ii) the present fair saleable value of the property of the Company and the Subsidiaries on a consolidated and going concern basis will be greater than the amount that will be required to pay the probable liability of the Company and the Subsidiaries on a consolidated basis on their debts and other liabilities, direct, subordinated, contingent or otherwise, as such debts and other liabilities become absolute and matured in the ordinary course of business; (iii) the Company and the Subsidiaries on a consolidated basis will be able to pay their debts and liabilities, direct, subordinated, contingent or otherwise, as such debts and liabilities become absolute and matured in the ordinary course of business; and (iv) the Company and the Subsidiaries on a consolidated basis will not have unreasonably small capital with which to conduct the businesses in which they are engaged as such businesses are now conducted.</w:t>
      </w:r>
    </w:p>
    <w:p>
      <w:pPr>
        <w:spacing w:after="0" w:line="194" w:lineRule="exact"/>
        <w:rPr>
          <w:sz w:val="20"/>
          <w:szCs w:val="20"/>
          <w:color w:val="auto"/>
        </w:rPr>
      </w:pPr>
    </w:p>
    <w:p>
      <w:pPr>
        <w:ind w:right="2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3.12. </w:t>
      </w:r>
      <w:r>
        <w:rPr>
          <w:rFonts w:ascii="Times New Roman" w:cs="Times New Roman" w:eastAsia="Times New Roman" w:hAnsi="Times New Roman"/>
          <w:sz w:val="18"/>
          <w:szCs w:val="18"/>
          <w:u w:val="single" w:color="auto"/>
          <w:color w:val="auto"/>
        </w:rPr>
        <w:t>Disclosure</w:t>
      </w:r>
      <w:r>
        <w:rPr>
          <w:rFonts w:ascii="Times New Roman" w:cs="Times New Roman" w:eastAsia="Times New Roman" w:hAnsi="Times New Roman"/>
          <w:sz w:val="18"/>
          <w:szCs w:val="18"/>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000"/>
          </w:cols>
          <w:pgMar w:left="440" w:top="270" w:right="459" w:bottom="1440" w:gutter="0" w:footer="0" w:header="0"/>
        </w:sectPr>
      </w:pPr>
    </w:p>
    <w:bookmarkStart w:id="211" w:name="page212"/>
    <w:bookmarkEnd w:id="211"/>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on behalf of the Company or any Subsidiary to the Administrative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the Administrative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Inphi’s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84" w:lineRule="exact"/>
        <w:rPr>
          <w:sz w:val="20"/>
          <w:szCs w:val="20"/>
          <w:color w:val="auto"/>
        </w:rPr>
      </w:pPr>
    </w:p>
    <w:p>
      <w:pPr>
        <w:jc w:val="both"/>
        <w:ind w:left="440" w:right="480" w:firstLine="525"/>
        <w:spacing w:after="0" w:line="261" w:lineRule="auto"/>
        <w:tabs>
          <w:tab w:leader="none" w:pos="1223" w:val="left"/>
        </w:tabs>
        <w:numPr>
          <w:ilvl w:val="0"/>
          <w:numId w:val="1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Beneficial Ownership Certification is required to be delivered pursuant to Section 4.01(h), then, as of the Effective Date, the information set forth in such Beneficial Ownership Certification is true and correct in all respects. If a Beneficial Ownership Certification is required to be delivered pursuant to Section 6.04(a), then, as of the date of the delivery thereof, the information set forth in such Beneficial Ownership Certification is true and correct in all respects.</w:t>
      </w:r>
    </w:p>
    <w:p>
      <w:pPr>
        <w:spacing w:after="0" w:line="180"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3.13. </w:t>
      </w:r>
      <w:r>
        <w:rPr>
          <w:rFonts w:ascii="Times New Roman" w:cs="Times New Roman" w:eastAsia="Times New Roman" w:hAnsi="Times New Roman"/>
          <w:sz w:val="18"/>
          <w:szCs w:val="18"/>
          <w:u w:val="single" w:color="auto"/>
          <w:color w:val="auto"/>
        </w:rPr>
        <w:t>Federal Reserve Regulations</w:t>
      </w:r>
      <w:r>
        <w:rPr>
          <w:rFonts w:ascii="Times New Roman" w:cs="Times New Roman" w:eastAsia="Times New Roman" w:hAnsi="Times New Roman"/>
          <w:sz w:val="18"/>
          <w:szCs w:val="18"/>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83" w:lineRule="exact"/>
        <w:rPr>
          <w:sz w:val="20"/>
          <w:szCs w:val="20"/>
          <w:color w:val="auto"/>
        </w:rPr>
      </w:pPr>
    </w:p>
    <w:p>
      <w:pPr>
        <w:ind w:right="1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3.14.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The Company will use the proceeds of the Loans for working capital in the ordinary course of business and for general corporate purposes of the Company and the Subsidiaries.</w:t>
      </w:r>
    </w:p>
    <w:p>
      <w:pPr>
        <w:spacing w:after="0" w:line="162" w:lineRule="exact"/>
        <w:rPr>
          <w:sz w:val="20"/>
          <w:szCs w:val="20"/>
          <w:color w:val="auto"/>
        </w:rPr>
      </w:pPr>
    </w:p>
    <w:p>
      <w:pPr>
        <w:ind w:right="14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3.15. </w:t>
      </w:r>
      <w:r>
        <w:rPr>
          <w:rFonts w:ascii="Times New Roman" w:cs="Times New Roman" w:eastAsia="Times New Roman" w:hAnsi="Times New Roman"/>
          <w:sz w:val="18"/>
          <w:szCs w:val="18"/>
          <w:u w:val="single" w:color="auto"/>
          <w:color w:val="auto"/>
        </w:rPr>
        <w:t>Ranking of Obligations</w:t>
      </w:r>
      <w:r>
        <w:rPr>
          <w:rFonts w:ascii="Times New Roman" w:cs="Times New Roman" w:eastAsia="Times New Roman" w:hAnsi="Times New Roman"/>
          <w:sz w:val="18"/>
          <w:szCs w:val="18"/>
          <w:color w:val="auto"/>
        </w:rPr>
        <w:t>. The obligations of the Company under the Loan Documents rank at least equally with all of the unsubordinated unsecured Indebtedness of the Company, and ahead of all subordinated Indebtedness, if any, of the Company.</w:t>
      </w:r>
    </w:p>
    <w:p>
      <w:pPr>
        <w:spacing w:after="0" w:line="162"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3.16. </w:t>
      </w:r>
      <w:r>
        <w:rPr>
          <w:rFonts w:ascii="Times New Roman" w:cs="Times New Roman" w:eastAsia="Times New Roman" w:hAnsi="Times New Roman"/>
          <w:sz w:val="18"/>
          <w:szCs w:val="18"/>
          <w:u w:val="single" w:color="auto"/>
          <w:color w:val="auto"/>
        </w:rPr>
        <w:t>Choice of Law Provisions</w:t>
      </w:r>
      <w:r>
        <w:rPr>
          <w:rFonts w:ascii="Times New Roman" w:cs="Times New Roman" w:eastAsia="Times New Roman" w:hAnsi="Times New Roman"/>
          <w:sz w:val="18"/>
          <w:szCs w:val="18"/>
          <w:color w:val="auto"/>
        </w:rPr>
        <w:t>. The choice of law provisions set forth in Section 9.09 are legal, valid and binding under the laws of Bermuda, and Marvell knows of no reason why the courts of Bermuda will not give effect to the choice of law of the State of New York as the proper law, other than through the exercise by any such court of discretionary powers under general principles of equity or public policy limitations in each case not specifically relating to such provisions. Marvell has the power to submit, and has irrevocably submitted, to the jurisdiction of the Supreme Court</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0980"/>
          </w:cols>
          <w:pgMar w:left="440" w:top="270" w:right="479" w:bottom="1440" w:gutter="0" w:footer="0" w:header="0"/>
        </w:sectPr>
      </w:pPr>
    </w:p>
    <w:bookmarkStart w:id="212" w:name="page213"/>
    <w:bookmarkEnd w:id="212"/>
    <w:p>
      <w:pPr>
        <w:ind w:right="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the State of New York sitting in New York County and of the United States District Court of the Southern District of New York, and any appellate court from any thereof, and such irrevocable submission and the waiver by Marvell of any immunity and any objection to the venue of the proceedings in such State or Federal court are legal, valid and binding obligations of Marvell, and Marvell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83" w:lineRule="exact"/>
        <w:rPr>
          <w:sz w:val="20"/>
          <w:szCs w:val="20"/>
          <w:color w:val="auto"/>
        </w:rPr>
      </w:pPr>
    </w:p>
    <w:p>
      <w:pPr>
        <w:ind w:right="10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3.17. </w:t>
      </w:r>
      <w:r>
        <w:rPr>
          <w:rFonts w:ascii="Times New Roman" w:cs="Times New Roman" w:eastAsia="Times New Roman" w:hAnsi="Times New Roman"/>
          <w:sz w:val="18"/>
          <w:szCs w:val="18"/>
          <w:u w:val="single" w:color="auto"/>
          <w:color w:val="auto"/>
        </w:rPr>
        <w:t>No Immunity</w:t>
      </w:r>
      <w:r>
        <w:rPr>
          <w:rFonts w:ascii="Times New Roman" w:cs="Times New Roman" w:eastAsia="Times New Roman" w:hAnsi="Times New Roman"/>
          <w:sz w:val="18"/>
          <w:szCs w:val="18"/>
          <w:color w:val="auto"/>
        </w:rPr>
        <w:t>. Marvell is subject to civil and commercial laws with respect to its obligations under the Loan Documents, and the execution, delivery and performance by Marvell of any Loan Document constitute and will constitute private and commercial acts and not public or governmental acts. Neither Marvell nor any of its properties has any immunity from jurisdiction of any court or from any legal process (whether through service or notice, attachment prior to judgment, attachment in aid of execution, execution or otherwise) under the laws of the jurisdiction in which Marvell is organized in respect of its obligations under any Loan Document.</w:t>
      </w:r>
    </w:p>
    <w:p>
      <w:pPr>
        <w:spacing w:after="0" w:line="183"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3.18. </w:t>
      </w:r>
      <w:r>
        <w:rPr>
          <w:rFonts w:ascii="Times New Roman" w:cs="Times New Roman" w:eastAsia="Times New Roman" w:hAnsi="Times New Roman"/>
          <w:sz w:val="18"/>
          <w:szCs w:val="18"/>
          <w:u w:val="single" w:color="auto"/>
          <w:color w:val="auto"/>
        </w:rPr>
        <w:t>Proper Form; No Recordation</w:t>
      </w:r>
      <w:r>
        <w:rPr>
          <w:rFonts w:ascii="Times New Roman" w:cs="Times New Roman" w:eastAsia="Times New Roman" w:hAnsi="Times New Roman"/>
          <w:sz w:val="18"/>
          <w:szCs w:val="18"/>
          <w:color w:val="auto"/>
        </w:rPr>
        <w:t>. Each Loan Document is in proper legal form under the laws of Bermuda for the enforcement thereof against Marvell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Marvell.</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3.19. </w:t>
      </w:r>
      <w:r>
        <w:rPr>
          <w:rFonts w:ascii="Times New Roman" w:cs="Times New Roman" w:eastAsia="Times New Roman" w:hAnsi="Times New Roman"/>
          <w:sz w:val="18"/>
          <w:szCs w:val="18"/>
          <w:u w:val="single" w:color="auto"/>
          <w:color w:val="auto"/>
        </w:rPr>
        <w:t>Affected Financial Institutions</w:t>
      </w:r>
      <w:r>
        <w:rPr>
          <w:rFonts w:ascii="Times New Roman" w:cs="Times New Roman" w:eastAsia="Times New Roman" w:hAnsi="Times New Roman"/>
          <w:sz w:val="18"/>
          <w:szCs w:val="18"/>
          <w:color w:val="auto"/>
        </w:rPr>
        <w:t>. The Company is not an Affected Financial Institution.</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Conditions</w:t>
      </w:r>
    </w:p>
    <w:p>
      <w:pPr>
        <w:spacing w:after="0" w:line="225"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4.01. </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54" w:lineRule="exact"/>
        <w:rPr>
          <w:sz w:val="20"/>
          <w:szCs w:val="20"/>
          <w:color w:val="auto"/>
        </w:rPr>
      </w:pPr>
    </w:p>
    <w:p>
      <w:pPr>
        <w:ind w:left="440" w:right="320" w:firstLine="525"/>
        <w:spacing w:after="0" w:line="266" w:lineRule="auto"/>
        <w:tabs>
          <w:tab w:leader="none" w:pos="1213" w:val="left"/>
        </w:tabs>
        <w:numPr>
          <w:ilvl w:val="0"/>
          <w:numId w:val="1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counterpart of this Agreement executed by each party hereto (which, subject to Section 9.06(b), may include any Electronic Signatures transmitted by telecopy, emailed pdf. or any other electronic means that reproduces an image of an actual executed signature page).</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0980"/>
          </w:cols>
          <w:pgMar w:left="440" w:top="270" w:right="479" w:bottom="1440" w:gutter="0" w:footer="0" w:header="0"/>
        </w:sectPr>
      </w:pPr>
    </w:p>
    <w:bookmarkStart w:id="213" w:name="page214"/>
    <w:bookmarkEnd w:id="213"/>
    <w:p>
      <w:pPr>
        <w:jc w:val="both"/>
        <w:ind w:right="140" w:firstLine="525"/>
        <w:spacing w:after="0" w:line="266" w:lineRule="auto"/>
        <w:tabs>
          <w:tab w:leader="none" w:pos="783"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Administrative Agent shall have received written opinions (addressed to the Administrative Agent and the Lenders and dated the Effective Date) of Hogan Lovells US LLP and Appleby (Bermuda) Limited, in each case, in form and substance customary for financings of this type.</w:t>
      </w:r>
    </w:p>
    <w:p>
      <w:pPr>
        <w:spacing w:after="0" w:line="67" w:lineRule="exact"/>
        <w:rPr>
          <w:rFonts w:ascii="Times New Roman" w:cs="Times New Roman" w:eastAsia="Times New Roman" w:hAnsi="Times New Roman"/>
          <w:sz w:val="18"/>
          <w:szCs w:val="18"/>
          <w:color w:val="auto"/>
        </w:rPr>
      </w:pPr>
    </w:p>
    <w:p>
      <w:pPr>
        <w:ind w:right="20" w:firstLine="525"/>
        <w:spacing w:after="0" w:line="254" w:lineRule="auto"/>
        <w:tabs>
          <w:tab w:leader="none" w:pos="773"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certificate of each of Marvell and Maui Topco, dated the Effective Date and executed by the secretary, an assistant secretary or a director of Marvell or Maui Topco, as applicable, attaching (i) a copy of each organizational document of Marvell or Maui Topco, as applicable, which shall, to the extent applicable, be certified as of the Effective Date or a recent date prior thereto by the appropriate Governmental Authority, (ii) signature and incumbency certificates of the officers of Marvell or Maui Topco, as applicable executing each Loan Document, (iii) resolutions of the board of directors of Marvell or Maui Topco, as applicable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by the Secretary of State of Delaware or a certificate of compliance from the Registrar of Companies of Bermuda, as applicable, dated the Effective Date or a recent date prior thereto, in each case, in form and substance customary for financings of this type.</w:t>
      </w:r>
    </w:p>
    <w:p>
      <w:pPr>
        <w:spacing w:after="0" w:line="80" w:lineRule="exact"/>
        <w:rPr>
          <w:rFonts w:ascii="Times New Roman" w:cs="Times New Roman" w:eastAsia="Times New Roman" w:hAnsi="Times New Roman"/>
          <w:sz w:val="18"/>
          <w:szCs w:val="18"/>
          <w:color w:val="auto"/>
        </w:rPr>
      </w:pPr>
    </w:p>
    <w:p>
      <w:pPr>
        <w:ind w:right="40" w:firstLine="525"/>
        <w:spacing w:after="0" w:line="258" w:lineRule="auto"/>
        <w:tabs>
          <w:tab w:leader="none" w:pos="783"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 (i) 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75" w:lineRule="exact"/>
        <w:rPr>
          <w:rFonts w:ascii="Times New Roman" w:cs="Times New Roman" w:eastAsia="Times New Roman" w:hAnsi="Times New Roman"/>
          <w:sz w:val="18"/>
          <w:szCs w:val="18"/>
          <w:color w:val="auto"/>
        </w:rPr>
      </w:pPr>
    </w:p>
    <w:p>
      <w:pPr>
        <w:ind w:right="300" w:firstLine="525"/>
        <w:spacing w:after="0" w:line="282" w:lineRule="auto"/>
        <w:tabs>
          <w:tab w:leader="none" w:pos="773" w:val="left"/>
        </w:tabs>
        <w:numPr>
          <w:ilvl w:val="0"/>
          <w:numId w:val="1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shall have received a certificate in the form of Exhibit E from the Company, dated the Effective Date and signed by its chief financial officer.</w:t>
      </w:r>
    </w:p>
    <w:p>
      <w:pPr>
        <w:spacing w:after="0" w:line="53" w:lineRule="exact"/>
        <w:rPr>
          <w:rFonts w:ascii="Times New Roman" w:cs="Times New Roman" w:eastAsia="Times New Roman" w:hAnsi="Times New Roman"/>
          <w:sz w:val="18"/>
          <w:szCs w:val="18"/>
          <w:color w:val="auto"/>
        </w:rPr>
      </w:pPr>
    </w:p>
    <w:p>
      <w:pPr>
        <w:ind w:firstLine="525"/>
        <w:spacing w:after="0" w:line="281" w:lineRule="auto"/>
        <w:tabs>
          <w:tab w:leader="none" w:pos="753" w:val="left"/>
        </w:tabs>
        <w:numPr>
          <w:ilvl w:val="0"/>
          <w:numId w:val="19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their Affiliates), the Administrative Agent or the Lenders shall have been paid on or prior to the Effective Date, in each case, to the extent required to be paid on or prior to the Effective Date and, in the case of costs and expenses, invoiced at least three (3) Business Days prior to the Effective Date.</w:t>
      </w:r>
    </w:p>
    <w:p>
      <w:pPr>
        <w:spacing w:after="0" w:line="97"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0560"/>
          </w:cols>
          <w:pgMar w:left="880" w:top="270" w:right="459" w:bottom="1440" w:gutter="0" w:footer="0" w:header="0"/>
        </w:sectPr>
      </w:pPr>
    </w:p>
    <w:bookmarkStart w:id="214" w:name="page215"/>
    <w:bookmarkEnd w:id="214"/>
    <w:p>
      <w:pPr>
        <w:ind w:left="440" w:right="100" w:firstLine="525"/>
        <w:spacing w:after="0" w:line="258" w:lineRule="auto"/>
        <w:tabs>
          <w:tab w:leader="none" w:pos="1223" w:val="left"/>
        </w:tabs>
        <w:numPr>
          <w:ilvl w:val="0"/>
          <w:numId w:val="2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Lenders shall have received at least three Business Days prior to the Effective Date, to the extent reasonably requested by the Administrative Agent or any Lender at least ten Business Days prior to the Effective Date, all documentation and other information required by regulatory authorities under applicable “know your customer” and anti-money laundering rules and regulations, including, without limitation, the USA PATRIOT Act and the Beneficial Ownership Regulation, including, to each Lender that so requests, a Beneficial Ownership Certification to the extent the Company qualifies as a “legal entity” customer under the Beneficial Ownership Regulation.</w:t>
      </w:r>
    </w:p>
    <w:p>
      <w:pPr>
        <w:spacing w:after="0" w:line="73" w:lineRule="exact"/>
        <w:rPr>
          <w:rFonts w:ascii="Times New Roman" w:cs="Times New Roman" w:eastAsia="Times New Roman" w:hAnsi="Times New Roman"/>
          <w:sz w:val="18"/>
          <w:szCs w:val="18"/>
          <w:color w:val="auto"/>
        </w:rPr>
      </w:pPr>
    </w:p>
    <w:p>
      <w:pPr>
        <w:ind w:left="440" w:right="160" w:firstLine="525"/>
        <w:spacing w:after="0" w:line="261" w:lineRule="auto"/>
        <w:tabs>
          <w:tab w:leader="none" w:pos="1223" w:val="left"/>
        </w:tabs>
        <w:numPr>
          <w:ilvl w:val="0"/>
          <w:numId w:val="2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“Revolving Commitments” under, and as defined in, that certain Credit Agreement dated as of June 13, 2018 among, </w:t>
      </w:r>
      <w:r>
        <w:rPr>
          <w:rFonts w:ascii="Times New Roman" w:cs="Times New Roman" w:eastAsia="Times New Roman" w:hAnsi="Times New Roman"/>
          <w:sz w:val="18"/>
          <w:szCs w:val="18"/>
          <w:i w:val="1"/>
          <w:iCs w:val="1"/>
          <w:color w:val="auto"/>
        </w:rPr>
        <w:t>inter alia</w:t>
      </w:r>
      <w:r>
        <w:rPr>
          <w:rFonts w:ascii="Times New Roman" w:cs="Times New Roman" w:eastAsia="Times New Roman" w:hAnsi="Times New Roman"/>
          <w:sz w:val="18"/>
          <w:szCs w:val="18"/>
          <w:color w:val="auto"/>
        </w:rPr>
        <w:t>, Marvell, Bank of America, N.A. as the Revolving Facility Agent (as defined therein) and the lenders party thereto, shall have been terminated in full, all amounts outstanding thereunder shall have been repaid in full and the Administrative Agent shall have received customary documentary evidence thereof.</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Administrative Agent shall notify the Company and the Lenders of the Effective Date, and such notice shall be conclusive and binding.</w:t>
      </w:r>
    </w:p>
    <w:p>
      <w:pPr>
        <w:spacing w:after="0" w:line="225"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4.02. </w:t>
      </w:r>
      <w:r>
        <w:rPr>
          <w:rFonts w:ascii="Times New Roman" w:cs="Times New Roman" w:eastAsia="Times New Roman" w:hAnsi="Times New Roman"/>
          <w:sz w:val="18"/>
          <w:szCs w:val="18"/>
          <w:u w:val="single" w:color="auto"/>
          <w:color w:val="auto"/>
        </w:rPr>
        <w:t>Each Revolving Credit Event</w:t>
      </w:r>
      <w:r>
        <w:rPr>
          <w:rFonts w:ascii="Times New Roman" w:cs="Times New Roman" w:eastAsia="Times New Roman" w:hAnsi="Times New Roman"/>
          <w:sz w:val="18"/>
          <w:szCs w:val="18"/>
          <w:color w:val="auto"/>
        </w:rPr>
        <w:t>. The obligation of each Lender to make a Loan on the occasion of each Borrowing (other than any conversion or continuation of any outstanding Loans) is subject to receipt of the Borrowing Request therefor in accordance herewith and to the satisfaction of the following conditions:</w:t>
      </w:r>
    </w:p>
    <w:p>
      <w:pPr>
        <w:spacing w:after="0" w:line="68" w:lineRule="exact"/>
        <w:rPr>
          <w:sz w:val="20"/>
          <w:szCs w:val="20"/>
          <w:color w:val="auto"/>
        </w:rPr>
      </w:pPr>
    </w:p>
    <w:p>
      <w:pPr>
        <w:ind w:left="440" w:right="20" w:firstLine="525"/>
        <w:spacing w:after="0" w:line="270" w:lineRule="auto"/>
        <w:tabs>
          <w:tab w:leader="none" w:pos="1213" w:val="left"/>
        </w:tabs>
        <w:numPr>
          <w:ilvl w:val="1"/>
          <w:numId w:val="20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w:t>
      </w:r>
    </w:p>
    <w:p>
      <w:pPr>
        <w:spacing w:after="0" w:line="2" w:lineRule="exact"/>
        <w:rPr>
          <w:rFonts w:ascii="Times New Roman" w:cs="Times New Roman" w:eastAsia="Times New Roman" w:hAnsi="Times New Roman"/>
          <w:sz w:val="17"/>
          <w:szCs w:val="17"/>
          <w:color w:val="auto"/>
        </w:rPr>
      </w:pPr>
    </w:p>
    <w:p>
      <w:pPr>
        <w:ind w:left="440" w:right="300" w:hanging="4"/>
        <w:spacing w:after="0" w:line="260" w:lineRule="auto"/>
        <w:tabs>
          <w:tab w:leader="none" w:pos="655" w:val="left"/>
        </w:tabs>
        <w:numPr>
          <w:ilvl w:val="0"/>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the representations and warranties qualified as to materiality, in all respects and (ii) otherwise, in all material respects, in each case, on and as of such prior date.</w:t>
      </w:r>
    </w:p>
    <w:p>
      <w:pPr>
        <w:spacing w:after="0" w:line="7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1"/>
          <w:numId w:val="2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time of and immediately after giving effect to such Borrowing, no Default shall have occurred and be continuing.</w:t>
      </w:r>
    </w:p>
    <w:p>
      <w:pPr>
        <w:spacing w:after="0" w:line="225"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On the date of any Borrowing (other than any conversion or continuation of any outstanding Loans), the Company shall be deemed to have represented and warranted that the conditions specified in paragraphs (a) and (b) of this Section have been satisfied.</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000"/>
          </w:cols>
          <w:pgMar w:left="440" w:top="270" w:right="459" w:bottom="1440" w:gutter="0" w:footer="0" w:header="0"/>
        </w:sectPr>
      </w:pPr>
    </w:p>
    <w:bookmarkStart w:id="215" w:name="page216"/>
    <w:bookmarkEnd w:id="215"/>
    <w:p>
      <w:pPr>
        <w:jc w:val="center"/>
        <w:ind w:right="-5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ARTICLE V</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Affirmative Covenants</w:t>
      </w:r>
    </w:p>
    <w:p>
      <w:pPr>
        <w:spacing w:after="0" w:line="225" w:lineRule="exact"/>
        <w:rPr>
          <w:sz w:val="20"/>
          <w:szCs w:val="20"/>
          <w:color w:val="auto"/>
        </w:rPr>
      </w:pPr>
    </w:p>
    <w:p>
      <w:pPr>
        <w:jc w:val="both"/>
        <w:ind w:right="120" w:firstLine="991"/>
        <w:spacing w:after="0" w:line="266" w:lineRule="auto"/>
        <w:rPr>
          <w:sz w:val="20"/>
          <w:szCs w:val="20"/>
          <w:color w:val="auto"/>
        </w:rPr>
      </w:pPr>
      <w:r>
        <w:rPr>
          <w:rFonts w:ascii="Times New Roman" w:cs="Times New Roman" w:eastAsia="Times New Roman" w:hAnsi="Times New Roman"/>
          <w:sz w:val="18"/>
          <w:szCs w:val="18"/>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5.01. </w:t>
      </w:r>
      <w:r>
        <w:rPr>
          <w:rFonts w:ascii="Times New Roman" w:cs="Times New Roman" w:eastAsia="Times New Roman" w:hAnsi="Times New Roman"/>
          <w:sz w:val="18"/>
          <w:szCs w:val="18"/>
          <w:u w:val="single" w:color="auto"/>
          <w:color w:val="auto"/>
        </w:rPr>
        <w:t>Financial Statements and Other Information</w:t>
      </w:r>
      <w:r>
        <w:rPr>
          <w:rFonts w:ascii="Times New Roman" w:cs="Times New Roman" w:eastAsia="Times New Roman" w:hAnsi="Times New Roman"/>
          <w:sz w:val="18"/>
          <w:szCs w:val="18"/>
          <w:color w:val="auto"/>
        </w:rPr>
        <w:t>. The Company will furnish to the Administrative Agent, on behalf of each</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Lender:</w:t>
      </w:r>
    </w:p>
    <w:p>
      <w:pPr>
        <w:spacing w:after="0" w:line="99" w:lineRule="exact"/>
        <w:rPr>
          <w:sz w:val="20"/>
          <w:szCs w:val="20"/>
          <w:color w:val="auto"/>
        </w:rPr>
      </w:pPr>
    </w:p>
    <w:p>
      <w:pPr>
        <w:ind w:left="440" w:firstLine="525"/>
        <w:spacing w:after="0" w:line="254" w:lineRule="auto"/>
        <w:tabs>
          <w:tab w:leader="none" w:pos="1213"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90 days after the end of each fiscal year of the Company, commencing with the fiscal year ending January 30, 2021,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80" w:lineRule="exact"/>
        <w:rPr>
          <w:rFonts w:ascii="Times New Roman" w:cs="Times New Roman" w:eastAsia="Times New Roman" w:hAnsi="Times New Roman"/>
          <w:sz w:val="18"/>
          <w:szCs w:val="18"/>
          <w:color w:val="auto"/>
        </w:rPr>
      </w:pPr>
    </w:p>
    <w:p>
      <w:pPr>
        <w:ind w:left="440" w:right="80" w:firstLine="525"/>
        <w:spacing w:after="0" w:line="255" w:lineRule="auto"/>
        <w:tabs>
          <w:tab w:leader="none" w:pos="1223"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80" w:lineRule="exact"/>
        <w:rPr>
          <w:rFonts w:ascii="Times New Roman" w:cs="Times New Roman" w:eastAsia="Times New Roman" w:hAnsi="Times New Roman"/>
          <w:sz w:val="18"/>
          <w:szCs w:val="18"/>
          <w:color w:val="auto"/>
        </w:rPr>
      </w:pPr>
    </w:p>
    <w:p>
      <w:pPr>
        <w:ind w:left="440" w:right="100" w:firstLine="525"/>
        <w:spacing w:after="0" w:line="282" w:lineRule="auto"/>
        <w:tabs>
          <w:tab w:leader="none" w:pos="1213" w:val="left"/>
        </w:tabs>
        <w:numPr>
          <w:ilvl w:val="0"/>
          <w:numId w:val="2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concurrently with each delivery of financial statements under clause (a) or (b) above, a completed Compliance Certificate signed by a Financial Officer of the Company, (i) certifying as to whether a Default has occurred and is</w:t>
      </w:r>
    </w:p>
    <w:p>
      <w:pPr>
        <w:spacing w:after="0" w:line="9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0940"/>
          </w:cols>
          <w:pgMar w:left="440" w:top="270" w:right="519" w:bottom="1440" w:gutter="0" w:footer="0" w:header="0"/>
        </w:sectPr>
      </w:pPr>
    </w:p>
    <w:bookmarkStart w:id="216" w:name="page217"/>
    <w:bookmarkEnd w:id="216"/>
    <w:p>
      <w:pPr>
        <w:ind w:left="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79" w:lineRule="exact"/>
        <w:rPr>
          <w:sz w:val="20"/>
          <w:szCs w:val="20"/>
          <w:color w:val="auto"/>
        </w:rPr>
      </w:pPr>
    </w:p>
    <w:p>
      <w:pPr>
        <w:ind w:left="440" w:right="160" w:firstLine="525"/>
        <w:spacing w:after="0" w:line="282" w:lineRule="auto"/>
        <w:tabs>
          <w:tab w:leader="none" w:pos="1223"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the same become publicly available, copies of all periodic and other reports, proxy statements and other materials filed by the Company or any Subsidiary with the SEC or with any national securities exchange;</w:t>
      </w:r>
    </w:p>
    <w:p>
      <w:pPr>
        <w:spacing w:after="0" w:line="53" w:lineRule="exact"/>
        <w:rPr>
          <w:rFonts w:ascii="Times New Roman" w:cs="Times New Roman" w:eastAsia="Times New Roman" w:hAnsi="Times New Roman"/>
          <w:sz w:val="18"/>
          <w:szCs w:val="18"/>
          <w:color w:val="auto"/>
        </w:rPr>
      </w:pPr>
    </w:p>
    <w:p>
      <w:pPr>
        <w:ind w:left="440" w:right="480" w:firstLine="525"/>
        <w:spacing w:after="0" w:line="261" w:lineRule="auto"/>
        <w:tabs>
          <w:tab w:leader="none" w:pos="1213"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any request therefor, such other information regarding the operations, business affairs, assets, liabilities (including contingent liabilities) and financial condition of the Company or any Subsidiary (subject to the limitations described in the last sentence of Section 5.07), or compliance with the terms of any Loan Document, as the Administrative Agent or any Lender (through the Administrative Agent) may reasonably request in writing; and</w:t>
      </w:r>
    </w:p>
    <w:p>
      <w:pPr>
        <w:spacing w:after="0" w:line="71" w:lineRule="exact"/>
        <w:rPr>
          <w:rFonts w:ascii="Times New Roman" w:cs="Times New Roman" w:eastAsia="Times New Roman" w:hAnsi="Times New Roman"/>
          <w:sz w:val="18"/>
          <w:szCs w:val="18"/>
          <w:color w:val="auto"/>
        </w:rPr>
      </w:pPr>
    </w:p>
    <w:p>
      <w:pPr>
        <w:ind w:left="440" w:right="140" w:firstLine="525"/>
        <w:spacing w:after="0" w:line="266" w:lineRule="auto"/>
        <w:tabs>
          <w:tab w:leader="none" w:pos="1193" w:val="left"/>
        </w:tabs>
        <w:numPr>
          <w:ilvl w:val="0"/>
          <w:numId w:val="2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following any request therefor, provide information and documentation reasonably requested by the Administrative Agent or any Lender for purposes of compliance with applicable “know your customer” and anti-money-laundering rules and regulations, including, without limitation, the USA PATRIOT Act and the Beneficial Ownership Regulation.</w:t>
      </w:r>
    </w:p>
    <w:p>
      <w:pPr>
        <w:spacing w:after="0" w:line="176"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Information required to be delivered pursuant to clause (a), (b) or (d)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5.02. </w:t>
      </w:r>
      <w:r>
        <w:rPr>
          <w:rFonts w:ascii="Times New Roman" w:cs="Times New Roman" w:eastAsia="Times New Roman" w:hAnsi="Times New Roman"/>
          <w:sz w:val="18"/>
          <w:szCs w:val="18"/>
          <w:u w:val="single" w:color="auto"/>
          <w:color w:val="auto"/>
        </w:rPr>
        <w:t>Notices of Material Events</w:t>
      </w:r>
      <w:r>
        <w:rPr>
          <w:rFonts w:ascii="Times New Roman" w:cs="Times New Roman" w:eastAsia="Times New Roman" w:hAnsi="Times New Roman"/>
          <w:sz w:val="18"/>
          <w:szCs w:val="18"/>
          <w:color w:val="auto"/>
        </w:rPr>
        <w:t>. Promptly after any Responsible Officer of the Company obtains actual knowledge thereof,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will furnish to the Administrative Agent written notice of the following:</w:t>
      </w:r>
    </w:p>
    <w:p>
      <w:pPr>
        <w:spacing w:after="0" w:line="99" w:lineRule="exact"/>
        <w:rPr>
          <w:sz w:val="20"/>
          <w:szCs w:val="20"/>
          <w:color w:val="auto"/>
        </w:rPr>
      </w:pPr>
    </w:p>
    <w:p>
      <w:pPr>
        <w:ind w:left="1200" w:hanging="235"/>
        <w:spacing w:after="0"/>
        <w:tabs>
          <w:tab w:leader="none" w:pos="1200" w:val="left"/>
        </w:tabs>
        <w:numPr>
          <w:ilvl w:val="0"/>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or receipt by the Company of any written notice claiming the occurrence of, any Default;</w:t>
      </w:r>
    </w:p>
    <w:p>
      <w:pPr>
        <w:spacing w:after="0" w:line="117" w:lineRule="exact"/>
        <w:rPr>
          <w:rFonts w:ascii="Times New Roman" w:cs="Times New Roman" w:eastAsia="Times New Roman" w:hAnsi="Times New Roman"/>
          <w:sz w:val="18"/>
          <w:szCs w:val="18"/>
          <w:color w:val="auto"/>
        </w:rPr>
      </w:pPr>
    </w:p>
    <w:p>
      <w:pPr>
        <w:ind w:left="440" w:right="660" w:firstLine="525"/>
        <w:spacing w:after="0" w:line="282" w:lineRule="auto"/>
        <w:tabs>
          <w:tab w:leader="none" w:pos="1223" w:val="left"/>
        </w:tabs>
        <w:numPr>
          <w:ilvl w:val="0"/>
          <w:numId w:val="2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filing or commencement of any action, suit or proceeding by or before any arbitrator or Governmental Authority against or affecting the Company</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1000"/>
          </w:cols>
          <w:pgMar w:left="440" w:top="270" w:right="459" w:bottom="1440" w:gutter="0" w:footer="0" w:header="0"/>
        </w:sectPr>
      </w:pPr>
    </w:p>
    <w:bookmarkStart w:id="217" w:name="page218"/>
    <w:bookmarkEnd w:id="217"/>
    <w:p>
      <w:pPr>
        <w:jc w:val="both"/>
        <w:ind w:left="440"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68" w:lineRule="exact"/>
        <w:rPr>
          <w:sz w:val="20"/>
          <w:szCs w:val="20"/>
          <w:color w:val="auto"/>
        </w:rPr>
      </w:pPr>
    </w:p>
    <w:p>
      <w:pPr>
        <w:ind w:left="440" w:right="500" w:firstLine="525"/>
        <w:spacing w:after="0" w:line="282" w:lineRule="auto"/>
        <w:tabs>
          <w:tab w:leader="none" w:pos="1213"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any ERISA Event that, alone or together with any other ERISA Events that have occurred would reasonably be expected to result in a Material Adverse Effect;</w:t>
      </w:r>
    </w:p>
    <w:p>
      <w:pPr>
        <w:spacing w:after="0" w:line="53" w:lineRule="exact"/>
        <w:rPr>
          <w:rFonts w:ascii="Times New Roman" w:cs="Times New Roman" w:eastAsia="Times New Roman" w:hAnsi="Times New Roman"/>
          <w:sz w:val="18"/>
          <w:szCs w:val="18"/>
          <w:color w:val="auto"/>
        </w:rPr>
      </w:pPr>
    </w:p>
    <w:p>
      <w:pPr>
        <w:ind w:left="440" w:right="100" w:firstLine="525"/>
        <w:spacing w:after="0" w:line="282" w:lineRule="auto"/>
        <w:tabs>
          <w:tab w:leader="none" w:pos="1223"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53" w:lineRule="exact"/>
        <w:rPr>
          <w:rFonts w:ascii="Times New Roman" w:cs="Times New Roman" w:eastAsia="Times New Roman" w:hAnsi="Times New Roman"/>
          <w:sz w:val="18"/>
          <w:szCs w:val="18"/>
          <w:color w:val="auto"/>
        </w:rPr>
      </w:pPr>
    </w:p>
    <w:p>
      <w:pPr>
        <w:ind w:left="1200" w:hanging="235"/>
        <w:spacing w:after="0"/>
        <w:tabs>
          <w:tab w:leader="none" w:pos="1200" w:val="left"/>
        </w:tabs>
        <w:numPr>
          <w:ilvl w:val="0"/>
          <w:numId w:val="2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62" w:lineRule="exact"/>
        <w:rPr>
          <w:sz w:val="20"/>
          <w:szCs w:val="20"/>
          <w:color w:val="auto"/>
        </w:rPr>
      </w:pPr>
    </w:p>
    <w:p>
      <w:pPr>
        <w:ind w:right="18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5.03. </w:t>
      </w:r>
      <w:r>
        <w:rPr>
          <w:rFonts w:ascii="Times New Roman" w:cs="Times New Roman" w:eastAsia="Times New Roman" w:hAnsi="Times New Roman"/>
          <w:sz w:val="18"/>
          <w:szCs w:val="18"/>
          <w:u w:val="single" w:color="auto"/>
          <w:color w:val="auto"/>
        </w:rPr>
        <w:t>Existence; Conduct of Business</w:t>
      </w:r>
      <w:r>
        <w:rPr>
          <w:rFonts w:ascii="Times New Roman" w:cs="Times New Roman" w:eastAsia="Times New Roman" w:hAnsi="Times New Roman"/>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83"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5.04. </w:t>
      </w:r>
      <w:r>
        <w:rPr>
          <w:rFonts w:ascii="Times New Roman" w:cs="Times New Roman" w:eastAsia="Times New Roman" w:hAnsi="Times New Roman"/>
          <w:sz w:val="18"/>
          <w:szCs w:val="18"/>
          <w:u w:val="single" w:color="auto"/>
          <w:color w:val="auto"/>
        </w:rPr>
        <w:t>Payment of Taxes</w:t>
      </w:r>
      <w:r>
        <w:rPr>
          <w:rFonts w:ascii="Times New Roman" w:cs="Times New Roman" w:eastAsia="Times New Roman" w:hAnsi="Times New Roman"/>
          <w:sz w:val="18"/>
          <w:szCs w:val="18"/>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83" w:lineRule="exact"/>
        <w:rPr>
          <w:sz w:val="20"/>
          <w:szCs w:val="20"/>
          <w:color w:val="auto"/>
        </w:rPr>
      </w:pPr>
    </w:p>
    <w:p>
      <w:pPr>
        <w:ind w:right="12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5.05. </w:t>
      </w:r>
      <w:r>
        <w:rPr>
          <w:rFonts w:ascii="Times New Roman" w:cs="Times New Roman" w:eastAsia="Times New Roman" w:hAnsi="Times New Roman"/>
          <w:sz w:val="18"/>
          <w:szCs w:val="18"/>
          <w:u w:val="single" w:color="auto"/>
          <w:color w:val="auto"/>
        </w:rPr>
        <w:t>Maintenance of Properties and Rights</w:t>
      </w:r>
      <w:r>
        <w:rPr>
          <w:rFonts w:ascii="Times New Roman" w:cs="Times New Roman" w:eastAsia="Times New Roman" w:hAnsi="Times New Roman"/>
          <w:sz w:val="18"/>
          <w:szCs w:val="18"/>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maintain and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1000"/>
          </w:cols>
          <w:pgMar w:left="440" w:top="270" w:right="459" w:bottom="1440" w:gutter="0" w:footer="0" w:header="0"/>
        </w:sectPr>
      </w:pPr>
    </w:p>
    <w:bookmarkStart w:id="218" w:name="page219"/>
    <w:bookmarkEnd w:id="218"/>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5.06.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0"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5.07. </w:t>
      </w:r>
      <w:r>
        <w:rPr>
          <w:rFonts w:ascii="Times New Roman" w:cs="Times New Roman" w:eastAsia="Times New Roman" w:hAnsi="Times New Roman"/>
          <w:sz w:val="18"/>
          <w:szCs w:val="18"/>
          <w:u w:val="single" w:color="auto"/>
          <w:color w:val="auto"/>
        </w:rPr>
        <w:t>Books and Records; Inspection and Audit Rights</w:t>
      </w:r>
      <w:r>
        <w:rPr>
          <w:rFonts w:ascii="Times New Roman" w:cs="Times New Roman" w:eastAsia="Times New Roman" w:hAnsi="Times New Roman"/>
          <w:sz w:val="18"/>
          <w:szCs w:val="18"/>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collectively may not exercise such rights more often than once during any calendar year and unless an Event of Default exists, the costs and expenses of such a visitation or inspection shall be the responsibility of the inspecting party or parties;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xml:space="preserve">, that when an Event of Default exists, the Administrative Agent (or any of their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the Company shall (x) use commercially reasonable efforts to communicate, to the extent permitted, the applicable information in a way that would not violate the applicable law or agreement, and (y) to the extent the Company is unable to disclose any such information, the Company shall notify the Administrative Agent if any such information is being withheld as a result of any such obligation of confidentiality (but solely if providing such notice would not violate such confidentiality obligation).</w:t>
      </w:r>
    </w:p>
    <w:p>
      <w:pPr>
        <w:spacing w:after="0" w:line="12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440" w:top="270" w:right="459" w:bottom="1440" w:gutter="0" w:footer="0" w:header="0"/>
        </w:sectPr>
      </w:pPr>
    </w:p>
    <w:bookmarkStart w:id="219" w:name="page220"/>
    <w:bookmarkEnd w:id="219"/>
    <w:p>
      <w:pPr>
        <w:ind w:left="4" w:right="80"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5.08.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3" w:lineRule="exact"/>
        <w:rPr>
          <w:sz w:val="20"/>
          <w:szCs w:val="20"/>
          <w:color w:val="auto"/>
        </w:rPr>
      </w:pPr>
    </w:p>
    <w:p>
      <w:pPr>
        <w:ind w:left="4" w:right="24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5.09.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(a) The proceeds of the Loans will be used for working capital in the ordinary course of business and general corporate purposes of the Company and the Subsidiaries.</w:t>
      </w:r>
    </w:p>
    <w:p>
      <w:pPr>
        <w:spacing w:after="0" w:line="162" w:lineRule="exact"/>
        <w:rPr>
          <w:sz w:val="20"/>
          <w:szCs w:val="20"/>
          <w:color w:val="auto"/>
        </w:rPr>
      </w:pPr>
    </w:p>
    <w:p>
      <w:pPr>
        <w:ind w:left="4" w:right="100" w:firstLine="987"/>
        <w:spacing w:after="0" w:line="255" w:lineRule="auto"/>
        <w:tabs>
          <w:tab w:leader="none" w:pos="1250" w:val="left"/>
        </w:tabs>
        <w:numPr>
          <w:ilvl w:val="1"/>
          <w:numId w:val="2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w:t>
      </w:r>
    </w:p>
    <w:p>
      <w:pPr>
        <w:spacing w:after="0" w:line="2" w:lineRule="exact"/>
        <w:rPr>
          <w:rFonts w:ascii="Times New Roman" w:cs="Times New Roman" w:eastAsia="Times New Roman" w:hAnsi="Times New Roman"/>
          <w:sz w:val="18"/>
          <w:szCs w:val="18"/>
          <w:color w:val="auto"/>
        </w:rPr>
      </w:pPr>
    </w:p>
    <w:p>
      <w:pPr>
        <w:ind w:left="4" w:hanging="4"/>
        <w:spacing w:after="0" w:line="255" w:lineRule="auto"/>
        <w:tabs>
          <w:tab w:leader="none" w:pos="319" w:val="left"/>
        </w:tabs>
        <w:numPr>
          <w:ilvl w:val="0"/>
          <w:numId w:val="2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any manner that would result in the violation of any Sanctions applicable to any party hereto, or (iv) directly or indirectly, to purchase or carry margin stock or to extend credit to others for the purpose of purchasing or carrying margin stock or for any other purpose that would result in a violation of Regulations T, U and X of the Board of Governors.</w:t>
      </w:r>
    </w:p>
    <w:p>
      <w:pPr>
        <w:spacing w:after="0" w:line="186" w:lineRule="exact"/>
        <w:rPr>
          <w:sz w:val="20"/>
          <w:szCs w:val="20"/>
          <w:color w:val="auto"/>
        </w:rPr>
      </w:pPr>
    </w:p>
    <w:p>
      <w:pPr>
        <w:ind w:left="4" w:right="40" w:firstLine="991"/>
        <w:spacing w:after="0" w:line="276" w:lineRule="auto"/>
        <w:rPr>
          <w:sz w:val="20"/>
          <w:szCs w:val="20"/>
          <w:color w:val="auto"/>
        </w:rPr>
      </w:pPr>
      <w:r>
        <w:rPr>
          <w:rFonts w:ascii="Times New Roman" w:cs="Times New Roman" w:eastAsia="Times New Roman" w:hAnsi="Times New Roman"/>
          <w:sz w:val="17"/>
          <w:szCs w:val="17"/>
          <w:color w:val="auto"/>
        </w:rPr>
        <w:t xml:space="preserve">SECTION 5.10. </w:t>
      </w:r>
      <w:r>
        <w:rPr>
          <w:rFonts w:ascii="Times New Roman" w:cs="Times New Roman" w:eastAsia="Times New Roman" w:hAnsi="Times New Roman"/>
          <w:sz w:val="17"/>
          <w:szCs w:val="17"/>
          <w:u w:val="single" w:color="auto"/>
          <w:color w:val="auto"/>
        </w:rPr>
        <w:t>Guaranty</w:t>
      </w:r>
      <w:r>
        <w:rPr>
          <w:rFonts w:ascii="Times New Roman" w:cs="Times New Roman" w:eastAsia="Times New Roman" w:hAnsi="Times New Roman"/>
          <w:sz w:val="17"/>
          <w:szCs w:val="17"/>
          <w:color w:val="auto"/>
        </w:rPr>
        <w:t>. (a) On and after the Inphi Acquisition Closing Date (following consummation of the Permitted Reorganization on the Inphi Acquisition Closing Date), the payment and performance of the Obligations of the Company shall be unconditionally guaranteed by</w:t>
      </w:r>
    </w:p>
    <w:p>
      <w:pPr>
        <w:spacing w:after="0" w:line="1" w:lineRule="exact"/>
        <w:rPr>
          <w:sz w:val="20"/>
          <w:szCs w:val="20"/>
          <w:color w:val="auto"/>
        </w:rPr>
      </w:pPr>
    </w:p>
    <w:p>
      <w:pPr>
        <w:ind w:left="4" w:hanging="4"/>
        <w:spacing w:after="0" w:line="251" w:lineRule="auto"/>
        <w:tabs>
          <w:tab w:leader="none" w:pos="259" w:val="left"/>
        </w:tabs>
        <w:numPr>
          <w:ilvl w:val="0"/>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Marvell, so long as Marvell is the issuer, borrower or guarantor of Indebtedness of the type contemplated by clauses (a) and (b) of the definition thereof (including, for the avoidance of doubt, the Marvell 2018 Senior Unsecured Notes) in an aggregate outstanding principal amount in excess of $100,000,000 and/or (y) Inphi, so long as Inphi is the issuer, borrower or guarantor of Indebtedness of the type contemplated by clauses (a) and (b) of the definition thereof (including, solely, to the extent outstanding on or after the date that is 90 days following the Inphi Acquisition Closing Date, the Inphi Convertible Notes) in an aggregate outstanding principal amount in excess of $100,000,000, in each case, pursuant to Article X hereof or pursuant to one or more supplements hereto or other guaranty agreements in form and substance reasonably acceptable to the Administrative Agent, as the same may be amended, modified or supplemented from time to time (individually a “Subsidiary </w:t>
      </w:r>
      <w:r>
        <w:rPr>
          <w:rFonts w:ascii="Times New Roman" w:cs="Times New Roman" w:eastAsia="Times New Roman" w:hAnsi="Times New Roman"/>
          <w:sz w:val="18"/>
          <w:szCs w:val="18"/>
          <w:u w:val="single" w:color="auto"/>
          <w:color w:val="auto"/>
        </w:rPr>
        <w:t>Guaranty</w:t>
      </w:r>
      <w:r>
        <w:rPr>
          <w:rFonts w:ascii="Times New Roman" w:cs="Times New Roman" w:eastAsia="Times New Roman" w:hAnsi="Times New Roman"/>
          <w:sz w:val="18"/>
          <w:szCs w:val="18"/>
          <w:color w:val="auto"/>
        </w:rPr>
        <w:t xml:space="preserve">” and collectively the “Subsidiary </w:t>
      </w:r>
      <w:r>
        <w:rPr>
          <w:rFonts w:ascii="Times New Roman" w:cs="Times New Roman" w:eastAsia="Times New Roman" w:hAnsi="Times New Roman"/>
          <w:sz w:val="18"/>
          <w:szCs w:val="18"/>
          <w:u w:val="single" w:color="auto"/>
          <w:color w:val="auto"/>
        </w:rPr>
        <w:t>Guaranties</w:t>
      </w:r>
      <w:r>
        <w:rPr>
          <w:rFonts w:ascii="Times New Roman" w:cs="Times New Roman" w:eastAsia="Times New Roman" w:hAnsi="Times New Roman"/>
          <w:sz w:val="18"/>
          <w:szCs w:val="18"/>
          <w:color w:val="auto"/>
        </w:rPr>
        <w:t>”; and each of Marvell and Inphi, upon the execution and delivery of a Guarantee, a “</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and collectively the “</w:t>
      </w:r>
      <w:r>
        <w:rPr>
          <w:rFonts w:ascii="Times New Roman" w:cs="Times New Roman" w:eastAsia="Times New Roman" w:hAnsi="Times New Roman"/>
          <w:sz w:val="18"/>
          <w:szCs w:val="18"/>
          <w:u w:val="single" w:color="auto"/>
          <w:color w:val="auto"/>
        </w:rPr>
        <w:t>Guarantors</w:t>
      </w:r>
      <w:r>
        <w:rPr>
          <w:rFonts w:ascii="Times New Roman" w:cs="Times New Roman" w:eastAsia="Times New Roman" w:hAnsi="Times New Roman"/>
          <w:sz w:val="18"/>
          <w:szCs w:val="18"/>
          <w:color w:val="auto"/>
        </w:rPr>
        <w:t>”).</w:t>
      </w:r>
    </w:p>
    <w:p>
      <w:pPr>
        <w:spacing w:after="0" w:line="193" w:lineRule="exact"/>
        <w:rPr>
          <w:rFonts w:ascii="Times New Roman" w:cs="Times New Roman" w:eastAsia="Times New Roman" w:hAnsi="Times New Roman"/>
          <w:sz w:val="18"/>
          <w:szCs w:val="18"/>
          <w:color w:val="auto"/>
        </w:rPr>
      </w:pPr>
    </w:p>
    <w:p>
      <w:pPr>
        <w:ind w:left="4" w:right="200" w:firstLine="987"/>
        <w:spacing w:after="0" w:line="282" w:lineRule="auto"/>
        <w:tabs>
          <w:tab w:leader="none" w:pos="1250" w:val="left"/>
        </w:tabs>
        <w:numPr>
          <w:ilvl w:val="1"/>
          <w:numId w:val="2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that Marvell or Inphi are required, pursuant to the terms of Section 5.10(a) above, or any Subsidiary otherwise elects, to become a Guarantor</w:t>
      </w:r>
    </w:p>
    <w:p>
      <w:pPr>
        <w:spacing w:after="0" w:line="94"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0964"/>
          </w:cols>
          <w:pgMar w:left="436" w:top="270" w:right="499" w:bottom="1440" w:gutter="0" w:footer="0" w:header="0"/>
        </w:sectPr>
      </w:pPr>
    </w:p>
    <w:bookmarkStart w:id="220" w:name="page221"/>
    <w:bookmarkEnd w:id="220"/>
    <w:p>
      <w:pPr>
        <w:ind w:right="10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hereunder, the Company shall cause such person to execute and deliver to the Administrative Agent an Additional Guarantor Supplement substantially in the form attached as Exhibit F or such other form reasonably acceptable to the Administrative Agent (or, in the case of Marvell, shall automatically and immediately be bound by the terms of Article X hereof without further required action by any Person), and the Company shall also deliver to the Administrative Agent, or cause such person to deliver to the Administrative Agent, at the Company’s cost and expense, such other instruments, documents, certificates and opinions of the type delivered on the Effective Date pursuant to Section 4.01(b), 4.01(c) and 4.01(d), to the extent reasonably required by the Administrative Agent in connection therewith.</w:t>
      </w:r>
    </w:p>
    <w:p>
      <w:pPr>
        <w:spacing w:after="0" w:line="187" w:lineRule="exact"/>
        <w:rPr>
          <w:sz w:val="20"/>
          <w:szCs w:val="20"/>
          <w:color w:val="auto"/>
        </w:rPr>
      </w:pPr>
    </w:p>
    <w:p>
      <w:pPr>
        <w:ind w:firstLine="987"/>
        <w:spacing w:after="0" w:line="256" w:lineRule="auto"/>
        <w:tabs>
          <w:tab w:leader="none" w:pos="1236"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delivery of written notice to the Administrative Agent by a Responsible Officer of the Company certifying that, as to a particular Guarantor, (i) such Guarantor is electing to be released from its Guarantee hereunder and (ii) the conditions set forth in clause (a) that would require such Guarantor to remain a Guarantor do not apply or, after giving effect to any substantially concurrent transactions, including any repayment of Indebtedness or release of a guaranty, will not apply, such Guarantor shall be automatically released from its obligations (including its Subsidiary Guaranty) hereunder without further required action by any Person. The Administrative Agent, at the Company’s expense, shall execute and deliver to the applicable Guarantor any documents or instruments as such Guarantor may reasonably request to evidence the release of such Subsidiary Guaranty.</w:t>
      </w:r>
    </w:p>
    <w:p>
      <w:pPr>
        <w:spacing w:after="0" w:line="187" w:lineRule="exact"/>
        <w:rPr>
          <w:rFonts w:ascii="Times New Roman" w:cs="Times New Roman" w:eastAsia="Times New Roman" w:hAnsi="Times New Roman"/>
          <w:sz w:val="18"/>
          <w:szCs w:val="18"/>
          <w:color w:val="auto"/>
        </w:rPr>
      </w:pPr>
    </w:p>
    <w:p>
      <w:pPr>
        <w:jc w:val="both"/>
        <w:ind w:firstLine="987"/>
        <w:spacing w:after="0" w:line="266" w:lineRule="auto"/>
        <w:tabs>
          <w:tab w:leader="none" w:pos="1246" w:val="left"/>
        </w:tabs>
        <w:numPr>
          <w:ilvl w:val="0"/>
          <w:numId w:val="2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 avoidance of doubt, in the event any Guarantor is released from its Guarantee pursuant to clause (c) above, the requirements of Section 5.10(a) shall no longer apply going forward with respect to such former Guarantor (and Section 5.10(a) shall not cause any springing Guarantee with respect to such released Guarantor after such release occurs).</w:t>
      </w:r>
    </w:p>
    <w:p>
      <w:pPr>
        <w:spacing w:after="0" w:line="176"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ARTICLE VI</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Negative Covenants</w:t>
      </w:r>
    </w:p>
    <w:p>
      <w:pPr>
        <w:spacing w:after="0" w:line="225" w:lineRule="exact"/>
        <w:rPr>
          <w:sz w:val="20"/>
          <w:szCs w:val="20"/>
          <w:color w:val="auto"/>
        </w:rPr>
      </w:pPr>
    </w:p>
    <w:p>
      <w:pPr>
        <w:jc w:val="both"/>
        <w:ind w:right="120" w:firstLine="991"/>
        <w:spacing w:after="0" w:line="266" w:lineRule="auto"/>
        <w:rPr>
          <w:sz w:val="20"/>
          <w:szCs w:val="20"/>
          <w:color w:val="auto"/>
        </w:rPr>
      </w:pPr>
      <w:r>
        <w:rPr>
          <w:rFonts w:ascii="Times New Roman" w:cs="Times New Roman" w:eastAsia="Times New Roman" w:hAnsi="Times New Roman"/>
          <w:sz w:val="18"/>
          <w:szCs w:val="18"/>
          <w:color w:val="auto"/>
        </w:rPr>
        <w:t>Until the Revolving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6.01. </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The Company will not permit any Subsidiary to create, incur, assume or permit to exist any Indebtedness,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other than:</w:t>
      </w:r>
    </w:p>
    <w:p>
      <w:pPr>
        <w:spacing w:after="0" w:line="99" w:lineRule="exact"/>
        <w:rPr>
          <w:sz w:val="20"/>
          <w:szCs w:val="20"/>
          <w:color w:val="auto"/>
        </w:rPr>
      </w:pPr>
    </w:p>
    <w:p>
      <w:pPr>
        <w:ind w:left="440" w:right="20" w:firstLine="525"/>
        <w:spacing w:after="0" w:line="261" w:lineRule="auto"/>
        <w:tabs>
          <w:tab w:leader="none" w:pos="1213" w:val="left"/>
        </w:tabs>
        <w:numPr>
          <w:ilvl w:val="0"/>
          <w:numId w:val="2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existing on the Effective Date that either is set forth on Schedule 6.01 or has a committed or principal amount of not greater than $25,000,000 individually or $50,000,000 in the aggregate, and any renewals, 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0940"/>
          </w:cols>
          <w:pgMar w:left="440" w:top="270" w:right="519" w:bottom="1440" w:gutter="0" w:footer="0" w:header="0"/>
        </w:sectPr>
      </w:pPr>
    </w:p>
    <w:bookmarkStart w:id="221" w:name="page222"/>
    <w:bookmarkEnd w:id="221"/>
    <w:p>
      <w:pPr>
        <w:ind w:left="4" w:right="340" w:firstLine="525"/>
        <w:spacing w:after="0" w:line="282" w:lineRule="auto"/>
        <w:tabs>
          <w:tab w:leader="none" w:pos="787" w:val="left"/>
        </w:tabs>
        <w:numPr>
          <w:ilvl w:val="1"/>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Indebtedness of any Subsidiary owed to the Company or any other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shall not have been transferred to any Person other than the Company or a Subsidiary;</w:t>
      </w:r>
    </w:p>
    <w:p>
      <w:pPr>
        <w:spacing w:after="0" w:line="53" w:lineRule="exact"/>
        <w:rPr>
          <w:rFonts w:ascii="Times New Roman" w:cs="Times New Roman" w:eastAsia="Times New Roman" w:hAnsi="Times New Roman"/>
          <w:sz w:val="18"/>
          <w:szCs w:val="18"/>
          <w:color w:val="auto"/>
        </w:rPr>
      </w:pPr>
    </w:p>
    <w:p>
      <w:pPr>
        <w:ind w:left="4" w:right="580" w:firstLine="525"/>
        <w:spacing w:after="0" w:line="312" w:lineRule="auto"/>
        <w:tabs>
          <w:tab w:leader="none" w:pos="777" w:val="left"/>
        </w:tabs>
        <w:numPr>
          <w:ilvl w:val="1"/>
          <w:numId w:val="21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Guarantees by any Subsidiary of Indebtedness of any other Subsidiary;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that a Subsidiary shall not Guarantee any Indebtedness of any other Subsidiary that it would not have been permitted to incur under this Section if it were a primary obligor thereon;</w:t>
      </w:r>
    </w:p>
    <w:p>
      <w:pPr>
        <w:spacing w:after="0" w:line="31" w:lineRule="exact"/>
        <w:rPr>
          <w:rFonts w:ascii="Times New Roman" w:cs="Times New Roman" w:eastAsia="Times New Roman" w:hAnsi="Times New Roman"/>
          <w:sz w:val="17"/>
          <w:szCs w:val="17"/>
          <w:color w:val="auto"/>
        </w:rPr>
      </w:pPr>
    </w:p>
    <w:p>
      <w:pPr>
        <w:ind w:left="4" w:firstLine="525"/>
        <w:spacing w:after="0" w:line="255" w:lineRule="auto"/>
        <w:tabs>
          <w:tab w:leader="none" w:pos="787" w:val="left"/>
        </w:tabs>
        <w:numPr>
          <w:ilvl w:val="1"/>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Subsidiary (i) incurred to finance the acquisition, construction or improvement of any fixed or capital assets, including Capital Lease Obligations,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0" w:lineRule="exact"/>
        <w:rPr>
          <w:rFonts w:ascii="Times New Roman" w:cs="Times New Roman" w:eastAsia="Times New Roman" w:hAnsi="Times New Roman"/>
          <w:sz w:val="18"/>
          <w:szCs w:val="18"/>
          <w:color w:val="auto"/>
        </w:rPr>
      </w:pPr>
    </w:p>
    <w:p>
      <w:pPr>
        <w:ind w:left="4" w:firstLine="525"/>
        <w:spacing w:after="0" w:line="254" w:lineRule="auto"/>
        <w:tabs>
          <w:tab w:leader="none" w:pos="777" w:val="left"/>
        </w:tabs>
        <w:numPr>
          <w:ilvl w:val="1"/>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Person that becomes a Subsidiary (or of any Person not previously a Subsidiary that is merged, amalgamated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exists at the time such Person becomes a Subsidiary (or is so merged, amalgamated or consolidated) or such assets are acquired and is not created in contemplation of or in connection with such Person becoming a Subsidiary (or such merger, amalgamation or consolidation) or such assets being acquired, and any renewals, extensions and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principal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3" w:lineRule="exact"/>
        <w:rPr>
          <w:rFonts w:ascii="Times New Roman" w:cs="Times New Roman" w:eastAsia="Times New Roman" w:hAnsi="Times New Roman"/>
          <w:sz w:val="18"/>
          <w:szCs w:val="18"/>
          <w:color w:val="auto"/>
        </w:rPr>
      </w:pPr>
    </w:p>
    <w:p>
      <w:pPr>
        <w:jc w:val="both"/>
        <w:ind w:left="4" w:right="400" w:firstLine="525"/>
        <w:spacing w:after="0" w:line="261" w:lineRule="auto"/>
        <w:tabs>
          <w:tab w:leader="none" w:pos="757" w:val="left"/>
        </w:tabs>
        <w:numPr>
          <w:ilvl w:val="1"/>
          <w:numId w:val="2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360" w:hanging="4"/>
        <w:spacing w:after="0" w:line="260" w:lineRule="auto"/>
        <w:tabs>
          <w:tab w:leader="none" w:pos="268" w:val="left"/>
        </w:tabs>
        <w:numPr>
          <w:ilvl w:val="0"/>
          <w:numId w:val="2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114" w:lineRule="exact"/>
        <w:rPr>
          <w:sz w:val="20"/>
          <w:szCs w:val="20"/>
          <w:color w:val="auto"/>
        </w:rPr>
      </w:pPr>
    </w:p>
    <w:p>
      <w:pPr>
        <w:jc w:val="center"/>
        <w:ind w:right="416"/>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0564"/>
          </w:cols>
          <w:pgMar w:left="876" w:top="270" w:right="459" w:bottom="1440" w:gutter="0" w:footer="0" w:header="0"/>
        </w:sectPr>
      </w:pPr>
    </w:p>
    <w:bookmarkStart w:id="222" w:name="page223"/>
    <w:bookmarkEnd w:id="222"/>
    <w:p>
      <w:pPr>
        <w:ind w:left="440" w:right="60" w:firstLine="525"/>
        <w:spacing w:after="0" w:line="266" w:lineRule="auto"/>
        <w:tabs>
          <w:tab w:leader="none" w:pos="122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67" w:lineRule="exact"/>
        <w:rPr>
          <w:rFonts w:ascii="Times New Roman" w:cs="Times New Roman" w:eastAsia="Times New Roman" w:hAnsi="Times New Roman"/>
          <w:sz w:val="18"/>
          <w:szCs w:val="18"/>
          <w:color w:val="auto"/>
        </w:rPr>
      </w:pPr>
    </w:p>
    <w:p>
      <w:pPr>
        <w:ind w:left="440" w:right="420" w:firstLine="525"/>
        <w:spacing w:after="0" w:line="282" w:lineRule="auto"/>
        <w:tabs>
          <w:tab w:leader="none" w:pos="122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the form of purchase price adjustments and earn-outs incurred in connection with any Acquisition or joint venture investment not prohibited hereunder;</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Lease Obligations arising under any Sale/Leaseback Transaction set forth on Schedule 6.03;</w:t>
      </w:r>
    </w:p>
    <w:p>
      <w:pPr>
        <w:spacing w:after="0" w:line="117" w:lineRule="exact"/>
        <w:rPr>
          <w:rFonts w:ascii="Times New Roman" w:cs="Times New Roman" w:eastAsia="Times New Roman" w:hAnsi="Times New Roman"/>
          <w:sz w:val="18"/>
          <w:szCs w:val="18"/>
          <w:color w:val="auto"/>
        </w:rPr>
      </w:pPr>
    </w:p>
    <w:p>
      <w:pPr>
        <w:ind w:left="440" w:right="320" w:firstLine="525"/>
        <w:spacing w:after="0" w:line="282" w:lineRule="auto"/>
        <w:tabs>
          <w:tab w:leader="none" w:pos="118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owing to any insurance company in connection with the financing of insurance premiums permitted by such insurance company in the ordinary course of business;</w:t>
      </w:r>
    </w:p>
    <w:p>
      <w:pPr>
        <w:spacing w:after="0" w:line="53" w:lineRule="exact"/>
        <w:rPr>
          <w:rFonts w:ascii="Times New Roman" w:cs="Times New Roman" w:eastAsia="Times New Roman" w:hAnsi="Times New Roman"/>
          <w:sz w:val="18"/>
          <w:szCs w:val="18"/>
          <w:color w:val="auto"/>
        </w:rPr>
      </w:pPr>
    </w:p>
    <w:p>
      <w:pPr>
        <w:ind w:left="440" w:right="160" w:firstLine="525"/>
        <w:spacing w:after="0" w:line="256" w:lineRule="auto"/>
        <w:tabs>
          <w:tab w:leader="none" w:pos="122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79"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Marvell 2018 Senior Unsecured Notes and the Inphi Convertible Notes;</w:t>
      </w:r>
    </w:p>
    <w:p>
      <w:pPr>
        <w:spacing w:after="0" w:line="117" w:lineRule="exact"/>
        <w:rPr>
          <w:rFonts w:ascii="Times New Roman" w:cs="Times New Roman" w:eastAsia="Times New Roman" w:hAnsi="Times New Roman"/>
          <w:sz w:val="18"/>
          <w:szCs w:val="18"/>
          <w:color w:val="auto"/>
        </w:rPr>
      </w:pPr>
    </w:p>
    <w:p>
      <w:pPr>
        <w:ind w:left="440" w:right="700" w:firstLine="525"/>
        <w:spacing w:after="0" w:line="282" w:lineRule="auto"/>
        <w:tabs>
          <w:tab w:leader="none" w:pos="127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Guarantees by any Subsidiary of any Indebtedness solely to the extent such Subsidiary also Guarantees the Obligations of the Company on a pari passu basis in accordance with, and otherwise complies with the applicable requirements of, Section 5.10(b); and</w:t>
      </w:r>
    </w:p>
    <w:p>
      <w:pPr>
        <w:spacing w:after="0" w:line="53" w:lineRule="exact"/>
        <w:rPr>
          <w:rFonts w:ascii="Times New Roman" w:cs="Times New Roman" w:eastAsia="Times New Roman" w:hAnsi="Times New Roman"/>
          <w:sz w:val="18"/>
          <w:szCs w:val="18"/>
          <w:color w:val="auto"/>
        </w:rPr>
      </w:pPr>
    </w:p>
    <w:p>
      <w:pPr>
        <w:jc w:val="both"/>
        <w:ind w:left="440" w:right="80" w:firstLine="525"/>
        <w:spacing w:after="0" w:line="266" w:lineRule="auto"/>
        <w:tabs>
          <w:tab w:leader="none" w:pos="1223" w:val="left"/>
        </w:tabs>
        <w:numPr>
          <w:ilvl w:val="0"/>
          <w:numId w:val="2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date of the consummation of the Inphi Acquisition, Acquisition Indebtedness of Maui Topco constituting Inphi Acquisition Indebtedness, including any senior unsecured notes that rank (or will rank on the Inphi Acquisition Closing Date) pari passu with the Obligations of the Company.</w:t>
      </w:r>
    </w:p>
    <w:p>
      <w:pPr>
        <w:spacing w:after="0" w:line="176"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6.01, if any item of Indebtedness meets the criteria of more than one of the categories of Indebtedness described in clauses (a) through (m)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1000"/>
          </w:cols>
          <w:pgMar w:left="440" w:top="270" w:right="459" w:bottom="1440" w:gutter="0" w:footer="0" w:header="0"/>
        </w:sectPr>
      </w:pPr>
    </w:p>
    <w:bookmarkStart w:id="223" w:name="page224"/>
    <w:bookmarkEnd w:id="223"/>
    <w:p>
      <w:pPr>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except as set forth below with respect to clauses (k) and (m), not into any clause under which it could not have been included at the time it was incurred) or, solely in the case of clauses (k) and (m) above, at the time of such reclassification.</w:t>
      </w:r>
    </w:p>
    <w:p>
      <w:pPr>
        <w:spacing w:after="0" w:line="162"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u w:val="single" w:color="auto"/>
          <w:color w:val="auto"/>
        </w:rPr>
        <w:t>Liens</w:t>
      </w:r>
      <w:r>
        <w:rPr>
          <w:rFonts w:ascii="Times New Roman" w:cs="Times New Roman" w:eastAsia="Times New Roman" w:hAnsi="Times New Roman"/>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68" w:lineRule="exact"/>
        <w:rPr>
          <w:sz w:val="20"/>
          <w:szCs w:val="20"/>
          <w:color w:val="auto"/>
        </w:rPr>
      </w:pPr>
    </w:p>
    <w:p>
      <w:pPr>
        <w:ind w:left="1200" w:hanging="235"/>
        <w:spacing w:after="0"/>
        <w:tabs>
          <w:tab w:leader="none" w:pos="1200"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Permitted Liens;</w:t>
      </w:r>
    </w:p>
    <w:p>
      <w:pPr>
        <w:spacing w:after="0" w:line="117" w:lineRule="exact"/>
        <w:rPr>
          <w:rFonts w:ascii="Times New Roman" w:cs="Times New Roman" w:eastAsia="Times New Roman" w:hAnsi="Times New Roman"/>
          <w:sz w:val="18"/>
          <w:szCs w:val="18"/>
          <w:color w:val="auto"/>
        </w:rPr>
      </w:pPr>
    </w:p>
    <w:p>
      <w:pPr>
        <w:ind w:left="440" w:right="120" w:firstLine="525"/>
        <w:spacing w:after="0" w:line="255" w:lineRule="auto"/>
        <w:tabs>
          <w:tab w:leader="none" w:pos="1223"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Lien on any asset of the Company or any Subsidiary existing on the Effective Date and that either is set forth on Schedule 6.02 or encumbers property or assets with a fair market value, and securing obligations having a committed or principal amount, in each case, of not greater than $25,000,000 individually or $50,000,000 in the aggregate;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0" w:lineRule="exact"/>
        <w:rPr>
          <w:rFonts w:ascii="Times New Roman" w:cs="Times New Roman" w:eastAsia="Times New Roman" w:hAnsi="Times New Roman"/>
          <w:sz w:val="18"/>
          <w:szCs w:val="18"/>
          <w:color w:val="auto"/>
        </w:rPr>
      </w:pPr>
    </w:p>
    <w:p>
      <w:pPr>
        <w:ind w:left="440" w:right="20" w:firstLine="525"/>
        <w:spacing w:after="0" w:line="271" w:lineRule="auto"/>
        <w:tabs>
          <w:tab w:leader="none" w:pos="1213" w:val="left"/>
        </w:tabs>
        <w:numPr>
          <w:ilvl w:val="0"/>
          <w:numId w:val="2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Liens on fixed or capital assets acquired, constructed or improved by the Company or any Subsidiary securing Indebtedness, including Capital Lease Obligations,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Times New Roman" w:cs="Times New Roman" w:eastAsia="Times New Roman" w:hAnsi="Times New Roman"/>
          <w:sz w:val="17"/>
          <w:szCs w:val="17"/>
          <w:u w:val="single" w:color="auto"/>
          <w:color w:val="auto"/>
        </w:rPr>
        <w:t>provided further</w:t>
      </w:r>
      <w:r>
        <w:rPr>
          <w:rFonts w:ascii="Times New Roman" w:cs="Times New Roman" w:eastAsia="Times New Roman" w:hAnsi="Times New Roman"/>
          <w:sz w:val="17"/>
          <w:szCs w:val="17"/>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65" w:lineRule="exact"/>
        <w:rPr>
          <w:rFonts w:ascii="Times New Roman" w:cs="Times New Roman" w:eastAsia="Times New Roman" w:hAnsi="Times New Roman"/>
          <w:sz w:val="17"/>
          <w:szCs w:val="17"/>
          <w:color w:val="auto"/>
        </w:rPr>
      </w:pPr>
    </w:p>
    <w:p>
      <w:pPr>
        <w:ind w:left="440" w:firstLine="525"/>
        <w:spacing w:after="0" w:line="261" w:lineRule="auto"/>
        <w:tabs>
          <w:tab w:leader="none" w:pos="1223" w:val="left"/>
        </w:tabs>
        <w:numPr>
          <w:ilvl w:val="0"/>
          <w:numId w:val="2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Lien on any asset acquired by the Company or any Subsidiary after the Effective Date existing at the time of the acquisition thereof or existing on any asset of any Person that becomes a Subsidiary (or of any Person not previously a Subsidiary that is merged, amalgamated or consolidated with or into the Company or a Subsidiary in a transaction permitted hereunder) after the Effective Date and prior to the time such Person becomes a Subsidiary (or is so</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0980"/>
          </w:cols>
          <w:pgMar w:left="440" w:top="270" w:right="479" w:bottom="1440" w:gutter="0" w:footer="0" w:header="0"/>
        </w:sectPr>
      </w:pPr>
    </w:p>
    <w:bookmarkStart w:id="224" w:name="page225"/>
    <w:bookmarkEnd w:id="224"/>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merged, amalgamated or consolidated),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such Lien is not created in contemplation of or in connection with such acquisition or such Person becoming a Subsidiary (or such merger, amalgamation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amalgamated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1" w:lineRule="exact"/>
        <w:rPr>
          <w:sz w:val="20"/>
          <w:szCs w:val="20"/>
          <w:color w:val="auto"/>
        </w:rPr>
      </w:pPr>
    </w:p>
    <w:p>
      <w:pPr>
        <w:ind w:right="200" w:firstLine="525"/>
        <w:spacing w:after="0" w:line="282" w:lineRule="auto"/>
        <w:tabs>
          <w:tab w:leader="none" w:pos="773"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53" w:lineRule="exact"/>
        <w:rPr>
          <w:rFonts w:ascii="Times New Roman" w:cs="Times New Roman" w:eastAsia="Times New Roman" w:hAnsi="Times New Roman"/>
          <w:sz w:val="18"/>
          <w:szCs w:val="18"/>
          <w:color w:val="auto"/>
        </w:rPr>
      </w:pPr>
    </w:p>
    <w:p>
      <w:pPr>
        <w:ind w:right="100" w:firstLine="525"/>
        <w:spacing w:after="0" w:line="289" w:lineRule="auto"/>
        <w:tabs>
          <w:tab w:leader="none" w:pos="753" w:val="left"/>
        </w:tabs>
        <w:numPr>
          <w:ilvl w:val="0"/>
          <w:numId w:val="21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9" w:lineRule="exact"/>
        <w:rPr>
          <w:rFonts w:ascii="Times New Roman" w:cs="Times New Roman" w:eastAsia="Times New Roman" w:hAnsi="Times New Roman"/>
          <w:sz w:val="17"/>
          <w:szCs w:val="17"/>
          <w:color w:val="auto"/>
        </w:rPr>
      </w:pPr>
    </w:p>
    <w:p>
      <w:pPr>
        <w:ind w:right="760" w:firstLine="525"/>
        <w:spacing w:after="0" w:line="312" w:lineRule="auto"/>
        <w:tabs>
          <w:tab w:leader="none" w:pos="783" w:val="left"/>
        </w:tabs>
        <w:numPr>
          <w:ilvl w:val="0"/>
          <w:numId w:val="21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31" w:lineRule="exact"/>
        <w:rPr>
          <w:rFonts w:ascii="Times New Roman" w:cs="Times New Roman" w:eastAsia="Times New Roman" w:hAnsi="Times New Roman"/>
          <w:sz w:val="17"/>
          <w:szCs w:val="17"/>
          <w:color w:val="auto"/>
        </w:rPr>
      </w:pPr>
    </w:p>
    <w:p>
      <w:pPr>
        <w:ind w:left="780" w:hanging="255"/>
        <w:spacing w:after="0"/>
        <w:tabs>
          <w:tab w:leader="none" w:pos="780"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deemed to exist in connection with Sale/Leaseback Transactions set forth on Schedule 6.03 or permitted by Section 6.03(a);</w:t>
      </w:r>
    </w:p>
    <w:p>
      <w:pPr>
        <w:spacing w:after="0" w:line="117" w:lineRule="exact"/>
        <w:rPr>
          <w:rFonts w:ascii="Times New Roman" w:cs="Times New Roman" w:eastAsia="Times New Roman" w:hAnsi="Times New Roman"/>
          <w:sz w:val="18"/>
          <w:szCs w:val="18"/>
          <w:color w:val="auto"/>
        </w:rPr>
      </w:pPr>
    </w:p>
    <w:p>
      <w:pPr>
        <w:ind w:right="440" w:firstLine="525"/>
        <w:spacing w:after="0" w:line="266" w:lineRule="auto"/>
        <w:tabs>
          <w:tab w:leader="none" w:pos="743"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67" w:lineRule="exact"/>
        <w:rPr>
          <w:rFonts w:ascii="Times New Roman" w:cs="Times New Roman" w:eastAsia="Times New Roman" w:hAnsi="Times New Roman"/>
          <w:sz w:val="18"/>
          <w:szCs w:val="18"/>
          <w:color w:val="auto"/>
        </w:rPr>
      </w:pPr>
    </w:p>
    <w:p>
      <w:pPr>
        <w:ind w:right="80" w:firstLine="525"/>
        <w:spacing w:after="0" w:line="282" w:lineRule="auto"/>
        <w:tabs>
          <w:tab w:leader="none" w:pos="743"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the net cash proceeds of any Acquisition Indebtedness held in escrow by a third party escrow agent prior to the release thereof from escrow; and</w:t>
      </w:r>
    </w:p>
    <w:p>
      <w:pPr>
        <w:spacing w:after="0" w:line="53" w:lineRule="exact"/>
        <w:rPr>
          <w:rFonts w:ascii="Times New Roman" w:cs="Times New Roman" w:eastAsia="Times New Roman" w:hAnsi="Times New Roman"/>
          <w:sz w:val="18"/>
          <w:szCs w:val="18"/>
          <w:color w:val="auto"/>
        </w:rPr>
      </w:pPr>
    </w:p>
    <w:p>
      <w:pPr>
        <w:ind w:right="40" w:firstLine="525"/>
        <w:spacing w:after="0" w:line="261" w:lineRule="auto"/>
        <w:tabs>
          <w:tab w:leader="none" w:pos="783" w:val="left"/>
        </w:tabs>
        <w:numPr>
          <w:ilvl w:val="0"/>
          <w:numId w:val="2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Liens,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w:t>
      </w:r>
    </w:p>
    <w:p>
      <w:pPr>
        <w:spacing w:after="0" w:line="112"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0560"/>
          </w:cols>
          <w:pgMar w:left="880" w:top="270" w:right="459" w:bottom="1440" w:gutter="0" w:footer="0" w:header="0"/>
        </w:sectPr>
      </w:pPr>
    </w:p>
    <w:bookmarkStart w:id="225" w:name="page226"/>
    <w:bookmarkEnd w:id="225"/>
    <w:p>
      <w:pPr>
        <w:jc w:val="both"/>
        <w:ind w:left="440" w:right="2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Attributable Debt in respect of all outstanding Sale/Leaseback Transactions permitted by Section 6.03(b)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176"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87"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u w:val="single" w:color="auto"/>
          <w:color w:val="auto"/>
        </w:rPr>
        <w:t>Sale/Leaseback Transactions</w:t>
      </w:r>
      <w:r>
        <w:rPr>
          <w:rFonts w:ascii="Times New Roman" w:cs="Times New Roman" w:eastAsia="Times New Roman" w:hAnsi="Times New Roman"/>
          <w:sz w:val="18"/>
          <w:szCs w:val="18"/>
          <w:color w:val="auto"/>
        </w:rPr>
        <w:t>. The Company will not, and will not permit any Subsidiary to, enter into any Sale/Leaseback Transaction, except Sale/Leaseback Transactions set forth on Schedule 6.03 and the following:</w:t>
      </w:r>
    </w:p>
    <w:p>
      <w:pPr>
        <w:spacing w:after="0" w:line="162" w:lineRule="exact"/>
        <w:rPr>
          <w:sz w:val="20"/>
          <w:szCs w:val="20"/>
          <w:color w:val="auto"/>
        </w:rPr>
      </w:pPr>
    </w:p>
    <w:p>
      <w:pPr>
        <w:ind w:right="40" w:firstLine="987"/>
        <w:spacing w:after="0" w:line="266" w:lineRule="auto"/>
        <w:tabs>
          <w:tab w:leader="none" w:pos="1236"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Sale/Leaseback Transaction entered into to finance the acquisition or construction of any fixed or capital assets by the Company or any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175" w:lineRule="exact"/>
        <w:rPr>
          <w:rFonts w:ascii="Times New Roman" w:cs="Times New Roman" w:eastAsia="Times New Roman" w:hAnsi="Times New Roman"/>
          <w:sz w:val="18"/>
          <w:szCs w:val="18"/>
          <w:color w:val="auto"/>
        </w:rPr>
      </w:pPr>
    </w:p>
    <w:p>
      <w:pPr>
        <w:ind w:right="100" w:firstLine="987"/>
        <w:spacing w:after="0" w:line="256" w:lineRule="auto"/>
        <w:tabs>
          <w:tab w:leader="none" w:pos="1246" w:val="left"/>
        </w:tabs>
        <w:numPr>
          <w:ilvl w:val="0"/>
          <w:numId w:val="2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Sale/Leaseback Transactions,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(x) prior to the Inphi Acquisition Closing Date, the greater of $300,000,000 and 15% of Consolidated Net Tangible Assets and (y) on and after the Inphi Acquisition Closing Date, the greater of $400,000,000 and 15% of Consolidated Net Tangible Assets.</w:t>
      </w:r>
    </w:p>
    <w:p>
      <w:pPr>
        <w:spacing w:after="0" w:line="187" w:lineRule="exact"/>
        <w:rPr>
          <w:sz w:val="20"/>
          <w:szCs w:val="20"/>
          <w:color w:val="auto"/>
        </w:rPr>
      </w:pPr>
    </w:p>
    <w:p>
      <w:pPr>
        <w:ind w:right="8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6.04. </w:t>
      </w:r>
      <w:r>
        <w:rPr>
          <w:rFonts w:ascii="Times New Roman" w:cs="Times New Roman" w:eastAsia="Times New Roman" w:hAnsi="Times New Roman"/>
          <w:sz w:val="18"/>
          <w:szCs w:val="18"/>
          <w:u w:val="single" w:color="auto"/>
          <w:color w:val="auto"/>
        </w:rPr>
        <w:t>Fundamental Changes; Business Activities</w:t>
      </w:r>
      <w:r>
        <w:rPr>
          <w:rFonts w:ascii="Times New Roman" w:cs="Times New Roman" w:eastAsia="Times New Roman" w:hAnsi="Times New Roman"/>
          <w:sz w:val="18"/>
          <w:szCs w:val="18"/>
          <w:color w:val="auto"/>
        </w:rPr>
        <w:t>. (a) The Company will not, and will not permit any Subsidiary to, amalgamate with, merge into or consolidate with any other Person, or permit any other Person to amalgamate with, merge into or consolidate with it, or liquidate or dissolve, except that (i) the Inphi Acquisition and the Permitted Reorganization may be consummated and (ii) if at the time thereof and immediately after giving effect thereto no Event of Default shall have occurred and be continuing and, in the case of clause (D) below, the Company shall be in compliance on a pro forma basis with the covenant set forth in Section 6.06, (A) any Person may</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71</w:t>
      </w:r>
    </w:p>
    <w:p>
      <w:pPr>
        <w:sectPr>
          <w:pgSz w:w="11900" w:h="16838" w:orient="portrait"/>
          <w:cols w:equalWidth="0" w:num="1">
            <w:col w:w="11000"/>
          </w:cols>
          <w:pgMar w:left="440" w:top="270" w:right="459" w:bottom="1440" w:gutter="0" w:footer="0" w:header="0"/>
        </w:sectPr>
      </w:pPr>
    </w:p>
    <w:bookmarkStart w:id="226" w:name="page227"/>
    <w:bookmarkEnd w:id="226"/>
    <w:p>
      <w:pPr>
        <w:ind w:right="6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amalgamate, merge or consolidate with the Company in a transaction in which the Company is the surviving entity, (B) the Company may amalgamate, merge or consolidate with any Person (including the Permitted Reorganization Merger Subsidiary) in a transaction in which such Person is the surviving entity,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(1) such Person is a corporation organized under the laws of the State of Delaware, (2) prior to or substantially concurrently with the consummation of such amalgamation, merger or consolidation, (x) such Person shall execute and deliver to the Administrative Agent an assumption agreement (the “</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in form and substance reasonably satisfactory to the Administrative Agent, pursuant to which such Person shall assume all of the obligations of the Company under this Agreement and the other Loan Documents, and (y) such Person shall deliver to the Administrative Agent such documents, certificates and opinions as the Administrative Agent may reasonably request relating to such Person, such amalgamation, merger or consolidation or the Assumption Agreement, all in form and substance reasonably satisfactory to the Administrative Agent, and (3) the Lenders shall have received, at least five Business Days prior to the date of the consummation of such amalgamation,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88" w:lineRule="exact"/>
        <w:rPr>
          <w:sz w:val="20"/>
          <w:szCs w:val="20"/>
          <w:color w:val="auto"/>
        </w:rPr>
      </w:pPr>
    </w:p>
    <w:p>
      <w:pPr>
        <w:ind w:right="240" w:firstLine="987"/>
        <w:spacing w:after="0" w:line="289" w:lineRule="auto"/>
        <w:tabs>
          <w:tab w:leader="none" w:pos="1246" w:val="left"/>
        </w:tabs>
        <w:numPr>
          <w:ilvl w:val="0"/>
          <w:numId w:val="21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its Subsidiaries (whether now owned or hereafter acquired), taken as a whole.</w:t>
      </w:r>
    </w:p>
    <w:p>
      <w:pPr>
        <w:spacing w:after="0" w:line="157" w:lineRule="exact"/>
        <w:rPr>
          <w:rFonts w:ascii="Times New Roman" w:cs="Times New Roman" w:eastAsia="Times New Roman" w:hAnsi="Times New Roman"/>
          <w:sz w:val="17"/>
          <w:szCs w:val="17"/>
          <w:color w:val="auto"/>
        </w:rPr>
      </w:pPr>
    </w:p>
    <w:p>
      <w:pPr>
        <w:ind w:firstLine="987"/>
        <w:spacing w:after="0" w:line="282" w:lineRule="auto"/>
        <w:tabs>
          <w:tab w:leader="none" w:pos="1236" w:val="left"/>
        </w:tabs>
        <w:numPr>
          <w:ilvl w:val="0"/>
          <w:numId w:val="2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not, and will not permit any Subsidiary to, engage to any material extent in any business other than businesses of the type conducted by the</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020"/>
          </w:cols>
          <w:pgMar w:left="440" w:top="270" w:right="439" w:bottom="1440" w:gutter="0" w:footer="0" w:header="0"/>
        </w:sectPr>
      </w:pPr>
    </w:p>
    <w:bookmarkStart w:id="227" w:name="page228"/>
    <w:bookmarkEnd w:id="227"/>
    <w:p>
      <w:pPr>
        <w:ind w:right="40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Company and the Subsidiaries on the Effective Date and businesses that are extensions thereof or otherwise incidental, complementary, reasonably related or ancillary thereto, including the business of Inphi and its subsidiaries conducted by them on the Effective Date.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6.05. </w:t>
      </w:r>
      <w:r>
        <w:rPr>
          <w:rFonts w:ascii="Times New Roman" w:cs="Times New Roman" w:eastAsia="Times New Roman" w:hAnsi="Times New Roman"/>
          <w:sz w:val="18"/>
          <w:szCs w:val="18"/>
          <w:u w:val="single" w:color="auto"/>
          <w:color w:val="auto"/>
        </w:rPr>
        <w:t>[Reserved]</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6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6.06. </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The Company will not permit the Leverage Ratio on the last day of any fiscal quarter of the Company to exceed, (a) commencing with the first fiscal quarter ended after the Effective Date, 3.00 to 1.00 and (b) commencing with the fiscal quarter following the Inphi Acquisition Closing Date (or, with respect to any pro forma calculation required to be made on or after the Inphi Acquisition Closing Date, commencing with the Inphi Acquisition Closing Date), (i) initially, 4.75 to 1.00, (ii) from and after the fiscal quarter ending on or about April 30, 2022, 4.50 to 1.00, (iii) from and after the fiscal quarter ending on or about October 31, 2022, 4.25 to 1.00, (iv) from and after the fiscal quarter ending on or about April 30, 2023, 4.00 to 1.00, (v) from and after the fiscal quarter ending on or about October 31, 2023, 3.50 to 1.00 and (vi) from and after the fiscal quarter ending on or about April 30, 2024 and thereafter, 3.25 to 1.00.</w:t>
      </w:r>
    </w:p>
    <w:p>
      <w:pPr>
        <w:spacing w:after="0" w:line="200" w:lineRule="exact"/>
        <w:rPr>
          <w:sz w:val="20"/>
          <w:szCs w:val="20"/>
          <w:color w:val="auto"/>
        </w:rPr>
      </w:pPr>
    </w:p>
    <w:p>
      <w:pPr>
        <w:spacing w:after="0" w:line="20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VII</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7.01. </w:t>
      </w:r>
      <w:r>
        <w:rPr>
          <w:rFonts w:ascii="Times New Roman" w:cs="Times New Roman" w:eastAsia="Times New Roman" w:hAnsi="Times New Roman"/>
          <w:sz w:val="18"/>
          <w:szCs w:val="18"/>
          <w:u w:val="single" w:color="auto"/>
          <w:color w:val="auto"/>
        </w:rPr>
        <w:t>Events of Default; Remedies</w:t>
      </w:r>
      <w:r>
        <w:rPr>
          <w:rFonts w:ascii="Times New Roman" w:cs="Times New Roman" w:eastAsia="Times New Roman" w:hAnsi="Times New Roman"/>
          <w:sz w:val="18"/>
          <w:szCs w:val="18"/>
          <w:color w:val="auto"/>
        </w:rPr>
        <w:t>. If any of the following events (“</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shall occur:</w:t>
      </w:r>
    </w:p>
    <w:p>
      <w:pPr>
        <w:spacing w:after="0" w:line="117" w:lineRule="exact"/>
        <w:rPr>
          <w:sz w:val="20"/>
          <w:szCs w:val="20"/>
          <w:color w:val="auto"/>
        </w:rPr>
      </w:pPr>
    </w:p>
    <w:p>
      <w:pPr>
        <w:ind w:left="440" w:right="160" w:firstLine="525"/>
        <w:spacing w:after="0" w:line="282" w:lineRule="auto"/>
        <w:tabs>
          <w:tab w:leader="none" w:pos="1213"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principal of any Loan when and as the same shall become due and payable, whether at the due date thereof or at a date fixed for prepayment thereof or otherwise;</w:t>
      </w:r>
    </w:p>
    <w:p>
      <w:pPr>
        <w:spacing w:after="0" w:line="53" w:lineRule="exact"/>
        <w:rPr>
          <w:rFonts w:ascii="Times New Roman" w:cs="Times New Roman" w:eastAsia="Times New Roman" w:hAnsi="Times New Roman"/>
          <w:sz w:val="18"/>
          <w:szCs w:val="18"/>
          <w:color w:val="auto"/>
        </w:rPr>
      </w:pPr>
    </w:p>
    <w:p>
      <w:pPr>
        <w:ind w:left="440" w:firstLine="525"/>
        <w:spacing w:after="0" w:line="266" w:lineRule="auto"/>
        <w:tabs>
          <w:tab w:leader="none" w:pos="1223"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67" w:lineRule="exact"/>
        <w:rPr>
          <w:rFonts w:ascii="Times New Roman" w:cs="Times New Roman" w:eastAsia="Times New Roman" w:hAnsi="Times New Roman"/>
          <w:sz w:val="18"/>
          <w:szCs w:val="18"/>
          <w:color w:val="auto"/>
        </w:rPr>
      </w:pPr>
    </w:p>
    <w:p>
      <w:pPr>
        <w:ind w:left="440" w:right="140" w:firstLine="525"/>
        <w:spacing w:after="0" w:line="289" w:lineRule="auto"/>
        <w:tabs>
          <w:tab w:leader="none" w:pos="1213" w:val="left"/>
        </w:tabs>
        <w:numPr>
          <w:ilvl w:val="0"/>
          <w:numId w:val="21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49" w:lineRule="exact"/>
        <w:rPr>
          <w:rFonts w:ascii="Times New Roman" w:cs="Times New Roman" w:eastAsia="Times New Roman" w:hAnsi="Times New Roman"/>
          <w:sz w:val="17"/>
          <w:szCs w:val="17"/>
          <w:color w:val="auto"/>
        </w:rPr>
      </w:pPr>
    </w:p>
    <w:p>
      <w:pPr>
        <w:ind w:left="440" w:right="120" w:firstLine="525"/>
        <w:spacing w:after="0" w:line="282" w:lineRule="auto"/>
        <w:tabs>
          <w:tab w:leader="none" w:pos="1223" w:val="left"/>
        </w:tabs>
        <w:numPr>
          <w:ilvl w:val="0"/>
          <w:numId w:val="2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observe or perform any covenant, condition or agreement contained in Section 5.02(a), 5.03 (with respect to the existence of the Company) or 5.09 or in Article VI;</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0980"/>
          </w:cols>
          <w:pgMar w:left="440" w:top="270" w:right="479" w:bottom="1440" w:gutter="0" w:footer="0" w:header="0"/>
        </w:sectPr>
      </w:pPr>
    </w:p>
    <w:bookmarkStart w:id="228" w:name="page229"/>
    <w:bookmarkEnd w:id="228"/>
    <w:p>
      <w:pPr>
        <w:ind w:left="4" w:right="120" w:firstLine="525"/>
        <w:spacing w:after="0" w:line="261" w:lineRule="auto"/>
        <w:tabs>
          <w:tab w:leader="none" w:pos="777" w:val="left"/>
        </w:tabs>
        <w:numPr>
          <w:ilvl w:val="1"/>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the Administrative Agent in the case of any such notice from a Lender);</w:t>
      </w:r>
    </w:p>
    <w:p>
      <w:pPr>
        <w:spacing w:after="0" w:line="71" w:lineRule="exact"/>
        <w:rPr>
          <w:rFonts w:ascii="Times New Roman" w:cs="Times New Roman" w:eastAsia="Times New Roman" w:hAnsi="Times New Roman"/>
          <w:sz w:val="18"/>
          <w:szCs w:val="18"/>
          <w:color w:val="auto"/>
        </w:rPr>
      </w:pPr>
    </w:p>
    <w:p>
      <w:pPr>
        <w:ind w:left="4" w:right="220" w:firstLine="525"/>
        <w:spacing w:after="0" w:line="282" w:lineRule="auto"/>
        <w:tabs>
          <w:tab w:leader="none" w:pos="757" w:val="left"/>
        </w:tabs>
        <w:numPr>
          <w:ilvl w:val="1"/>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53" w:lineRule="exact"/>
        <w:rPr>
          <w:rFonts w:ascii="Times New Roman" w:cs="Times New Roman" w:eastAsia="Times New Roman" w:hAnsi="Times New Roman"/>
          <w:sz w:val="18"/>
          <w:szCs w:val="18"/>
          <w:color w:val="auto"/>
        </w:rPr>
      </w:pPr>
    </w:p>
    <w:p>
      <w:pPr>
        <w:ind w:left="4" w:firstLine="525"/>
        <w:spacing w:after="0" w:line="253" w:lineRule="auto"/>
        <w:tabs>
          <w:tab w:leader="none" w:pos="787" w:val="left"/>
        </w:tabs>
        <w:numPr>
          <w:ilvl w:val="1"/>
          <w:numId w:val="2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83" w:lineRule="exact"/>
        <w:rPr>
          <w:rFonts w:ascii="Times New Roman" w:cs="Times New Roman" w:eastAsia="Times New Roman" w:hAnsi="Times New Roman"/>
          <w:sz w:val="18"/>
          <w:szCs w:val="18"/>
          <w:color w:val="auto"/>
        </w:rPr>
      </w:pPr>
    </w:p>
    <w:p>
      <w:pPr>
        <w:ind w:left="4" w:right="120" w:firstLine="525"/>
        <w:spacing w:after="0" w:line="272" w:lineRule="auto"/>
        <w:tabs>
          <w:tab w:leader="none" w:pos="787" w:val="left"/>
        </w:tabs>
        <w:numPr>
          <w:ilvl w:val="1"/>
          <w:numId w:val="22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1" w:lineRule="exact"/>
        <w:rPr>
          <w:rFonts w:ascii="Times New Roman" w:cs="Times New Roman" w:eastAsia="Times New Roman" w:hAnsi="Times New Roman"/>
          <w:sz w:val="17"/>
          <w:szCs w:val="17"/>
          <w:color w:val="auto"/>
        </w:rPr>
      </w:pPr>
    </w:p>
    <w:p>
      <w:pPr>
        <w:ind w:left="4" w:right="300" w:hanging="4"/>
        <w:spacing w:after="0" w:line="255" w:lineRule="auto"/>
        <w:tabs>
          <w:tab w:leader="none" w:pos="268" w:val="left"/>
        </w:tabs>
        <w:numPr>
          <w:ilvl w:val="0"/>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77" w:lineRule="exact"/>
        <w:rPr>
          <w:rFonts w:ascii="Times New Roman" w:cs="Times New Roman" w:eastAsia="Times New Roman" w:hAnsi="Times New Roman"/>
          <w:sz w:val="18"/>
          <w:szCs w:val="18"/>
          <w:color w:val="auto"/>
        </w:rPr>
      </w:pPr>
    </w:p>
    <w:p>
      <w:pPr>
        <w:ind w:left="4" w:right="660" w:firstLine="525"/>
        <w:spacing w:after="0" w:line="282" w:lineRule="auto"/>
        <w:tabs>
          <w:tab w:leader="none" w:pos="747" w:val="left"/>
        </w:tabs>
        <w:numPr>
          <w:ilvl w:val="1"/>
          <w:numId w:val="2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(i) voluntarily commence any proceeding or file any petition seeking liquidation, reorganization, winding-up or other relief under any United States (Federal or state) or foreign</w:t>
      </w:r>
    </w:p>
    <w:p>
      <w:pPr>
        <w:spacing w:after="0" w:line="94" w:lineRule="exact"/>
        <w:rPr>
          <w:sz w:val="20"/>
          <w:szCs w:val="20"/>
          <w:color w:val="auto"/>
        </w:rPr>
      </w:pPr>
    </w:p>
    <w:p>
      <w:pPr>
        <w:jc w:val="center"/>
        <w:ind w:right="436"/>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0584"/>
          </w:cols>
          <w:pgMar w:left="876" w:top="270" w:right="439" w:bottom="1440" w:gutter="0" w:footer="0" w:header="0"/>
        </w:sectPr>
      </w:pPr>
    </w:p>
    <w:bookmarkStart w:id="229" w:name="page230"/>
    <w:bookmarkEnd w:id="229"/>
    <w:p>
      <w:pPr>
        <w:ind w:left="440"/>
        <w:spacing w:after="0" w:line="273"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bankruptcy, insolvency, receivership, winding-up or similar law now or hereafter in effect (other than, in the case of any Subsidiary, a voluntary liquidation or dissolution permitted by Section 6.04(a)(ii)(E)),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63" w:lineRule="exact"/>
        <w:rPr>
          <w:sz w:val="20"/>
          <w:szCs w:val="20"/>
          <w:color w:val="auto"/>
        </w:rPr>
      </w:pPr>
    </w:p>
    <w:p>
      <w:pPr>
        <w:ind w:left="440" w:right="380" w:firstLine="525"/>
        <w:spacing w:after="0" w:line="282" w:lineRule="auto"/>
        <w:tabs>
          <w:tab w:leader="none" w:pos="1183"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become unable, admit in writing its inability or fail generally to pay its debts as they become due;</w:t>
      </w:r>
    </w:p>
    <w:p>
      <w:pPr>
        <w:spacing w:after="0" w:line="53" w:lineRule="exact"/>
        <w:rPr>
          <w:rFonts w:ascii="Times New Roman" w:cs="Times New Roman" w:eastAsia="Times New Roman" w:hAnsi="Times New Roman"/>
          <w:sz w:val="18"/>
          <w:szCs w:val="18"/>
          <w:color w:val="auto"/>
        </w:rPr>
      </w:pPr>
    </w:p>
    <w:p>
      <w:pPr>
        <w:ind w:left="440" w:firstLine="525"/>
        <w:spacing w:after="0" w:line="256" w:lineRule="auto"/>
        <w:tabs>
          <w:tab w:leader="none" w:pos="1223"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79" w:lineRule="exact"/>
        <w:rPr>
          <w:rFonts w:ascii="Times New Roman" w:cs="Times New Roman" w:eastAsia="Times New Roman" w:hAnsi="Times New Roman"/>
          <w:sz w:val="18"/>
          <w:szCs w:val="18"/>
          <w:color w:val="auto"/>
        </w:rPr>
      </w:pPr>
    </w:p>
    <w:p>
      <w:pPr>
        <w:ind w:left="440" w:right="520" w:firstLine="525"/>
        <w:spacing w:after="0" w:line="282" w:lineRule="auto"/>
        <w:tabs>
          <w:tab w:leader="none" w:pos="1183"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ERISA Events shall have occurred that, individually or in the aggregate, would reasonably be expected to result in a Material Adverse Effect;</w:t>
      </w:r>
    </w:p>
    <w:p>
      <w:pPr>
        <w:spacing w:after="0" w:line="53"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Change in Control shall occur; or</w:t>
      </w:r>
    </w:p>
    <w:p>
      <w:pPr>
        <w:spacing w:after="0" w:line="117" w:lineRule="exact"/>
        <w:rPr>
          <w:rFonts w:ascii="Times New Roman" w:cs="Times New Roman" w:eastAsia="Times New Roman" w:hAnsi="Times New Roman"/>
          <w:sz w:val="18"/>
          <w:szCs w:val="18"/>
          <w:color w:val="auto"/>
        </w:rPr>
      </w:pPr>
    </w:p>
    <w:p>
      <w:pPr>
        <w:ind w:left="440" w:firstLine="525"/>
        <w:spacing w:after="0" w:line="258" w:lineRule="auto"/>
        <w:tabs>
          <w:tab w:leader="none" w:pos="1223" w:val="left"/>
        </w:tabs>
        <w:numPr>
          <w:ilvl w:val="0"/>
          <w:numId w:val="2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Subsidiary Guaranty, at any time after its execution and delivery and for any reason other than as expressly permitted hereunder or thereunder or satisfaction in full of all the Obligations (other than contingent obligations that survive the termination of this Agreement), ceases to be in full force and effect; or the Company or any Guarantor contests in writing the validity or enforceability of any Subsidiary Guaranty; or the Company or any Guarantor denies in writing that it has any or further liability or obligation under any Subsidiary Guaranty, or in writing purports to revoke, terminate or rescind any Subsidiary Guaranty for any reason other than as expressly permitted hereunder or thereunder;</w:t>
      </w:r>
    </w:p>
    <w:p>
      <w:pPr>
        <w:spacing w:after="0" w:line="183"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then, and in every such event (other than an event with respect to the Company described in clause (h) or (i) of this Section), and at any time thereafter during the continuance of such event, the Administrative Agent may, and at the request of the Required Lenders</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0980"/>
          </w:cols>
          <w:pgMar w:left="440" w:top="270" w:right="479" w:bottom="1440" w:gutter="0" w:footer="0" w:header="0"/>
        </w:sectPr>
      </w:pPr>
    </w:p>
    <w:bookmarkStart w:id="230" w:name="page231"/>
    <w:bookmarkEnd w:id="230"/>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shall, by notice to the Company, take any or all of the following actions, at the same or different times: (A) terminate the Revolving Commitments and thereupon the Revolving Commitments shall terminate immediately, and (B) declare the Loans then outstanding to be due and payable in whole (or in part,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VIII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The Administrative Agent</w:t>
      </w:r>
    </w:p>
    <w:p>
      <w:pPr>
        <w:spacing w:after="0" w:line="225"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Each of the Lenders hereby irrevocably appoints the entity named as the Administrative Agent in the heading of this Agreement and its successors to serve in the applicable capacity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80" w:lineRule="exact"/>
        <w:rPr>
          <w:sz w:val="20"/>
          <w:szCs w:val="20"/>
          <w:color w:val="auto"/>
        </w:rPr>
      </w:pPr>
    </w:p>
    <w:p>
      <w:pPr>
        <w:ind w:right="160" w:firstLine="991"/>
        <w:spacing w:after="0" w:line="258" w:lineRule="auto"/>
        <w:rPr>
          <w:sz w:val="20"/>
          <w:szCs w:val="20"/>
          <w:color w:val="auto"/>
        </w:rPr>
      </w:pPr>
      <w:r>
        <w:rPr>
          <w:rFonts w:ascii="Times New Roman" w:cs="Times New Roman" w:eastAsia="Times New Roman" w:hAnsi="Times New Roman"/>
          <w:sz w:val="18"/>
          <w:szCs w:val="18"/>
          <w:color w:val="auto"/>
        </w:rPr>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3" w:lineRule="exact"/>
        <w:rPr>
          <w:sz w:val="20"/>
          <w:szCs w:val="20"/>
          <w:color w:val="auto"/>
        </w:rPr>
      </w:pPr>
    </w:p>
    <w:p>
      <w:pPr>
        <w:ind w:right="120" w:firstLine="991"/>
        <w:spacing w:after="0" w:line="255" w:lineRule="auto"/>
        <w:rPr>
          <w:sz w:val="20"/>
          <w:szCs w:val="20"/>
          <w:color w:val="auto"/>
        </w:rPr>
      </w:pPr>
      <w:r>
        <w:rPr>
          <w:rFonts w:ascii="Times New Roman" w:cs="Times New Roman" w:eastAsia="Times New Roman" w:hAnsi="Times New Roman"/>
          <w:sz w:val="18"/>
          <w:szCs w:val="18"/>
          <w:color w:val="auto"/>
        </w:rPr>
        <w:t>The Administrative Agent and each of the Arrangers, as applicable, shall not have any duties or obligations except those expressly set forth in the Loan Documents, and their duties hereunder shall be administrative in nature. Without limiting the generality of the foregoing, the Administrative Agent and each of the Arrangers, as applicable: (a) shall not be subject to any fiduciary or other implied duties, regardless of whether a Default has occurred and is continuing (and it is understood and agreed that the use of the term “agent” herein or in any other Loan 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shall not have</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0980"/>
          </w:cols>
          <w:pgMar w:left="440" w:top="270" w:right="479" w:bottom="1440" w:gutter="0" w:footer="0" w:header="0"/>
        </w:sectPr>
      </w:pPr>
    </w:p>
    <w:bookmarkStart w:id="231" w:name="page232"/>
    <w:bookmarkEnd w:id="231"/>
    <w:p>
      <w:pPr>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duty to take any discretionary action or to exercise any discretionary power, except discretionary rights and powers expressly contemplated by the Loan Documents that the Administrative Agent are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shall not be required to take any action that, in its opinion, could expose the Administrative Agent to liability or be contrary to any Loan Document or applicable law, (c) shall not have any duty or responsibility to disclose, and shall not be liable for the failure to disclose, to any Lender, any credit or other information concerning the business, prospects, operations, property, financial and other condition or creditworthiness of either of Marvell or Maui Topco or any of their Affiliates, that is communicated to, obtained or in the possession of, the Administrative Agent, the Arrangers or any of their Related Parties in any capacity, except for notices, reports and other documents expressly required to be furnished to the Lenders by the Administrative Agent herein, (d)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(e) shall be deemed not to have knowledge of any Default unless and until written notice thereof (stating that it is a “notice of default”) is given to the Administrative Agent by the Company or any Lender, and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(including, for the avoidance of doubt, in connection with the Administrative Agent’s or each Arranger’s reliance on any Electronic Signature transmitted by telecopy, emailed pdf. or any other electronic means that reproduces an image of an actual executed signature page),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206"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000"/>
          </w:cols>
          <w:pgMar w:left="440" w:top="270" w:right="459" w:bottom="1440" w:gutter="0" w:footer="0" w:header="0"/>
        </w:sectPr>
      </w:pPr>
    </w:p>
    <w:bookmarkStart w:id="232" w:name="page233"/>
    <w:bookmarkEnd w:id="232"/>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 any liability arising from, or be responsible for any loss, cost or expense suffered on account of, (i) any errors or omissions in the records maintained by the Administrative Agent as contemplated by Section 9.04(b)(iv) or (ii)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92" w:lineRule="exact"/>
        <w:rPr>
          <w:sz w:val="20"/>
          <w:szCs w:val="20"/>
          <w:color w:val="auto"/>
        </w:rPr>
      </w:pPr>
    </w:p>
    <w:p>
      <w:pPr>
        <w:ind w:right="160" w:firstLine="991"/>
        <w:spacing w:after="0" w:line="254" w:lineRule="auto"/>
        <w:rPr>
          <w:sz w:val="20"/>
          <w:szCs w:val="20"/>
          <w:color w:val="auto"/>
        </w:rPr>
      </w:pPr>
      <w:r>
        <w:rPr>
          <w:rFonts w:ascii="Times New Roman" w:cs="Times New Roman" w:eastAsia="Times New Roman" w:hAnsi="Times New Roman"/>
          <w:sz w:val="18"/>
          <w:szCs w:val="18"/>
          <w:color w:val="auto"/>
        </w:rPr>
        <w:t>The Administrative Agent may perform any of and all its duties and exercise its rights and powers hereunder or under any other Loan Document by or through any one or more sub-agents appointed by the Administrative Agent. The Administrative Agent and any such sub-agent may perform any of and all their duties and exercise their rights and powers through their respective Related Parties. The exculpatory provisions of this Article shall apply to any such sub-agent and to the Related Parties of the Administrative Agent and any such sub-agent, and shall apply to their respective activities in connection with the syndication of the credit facilities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92" w:lineRule="exact"/>
        <w:rPr>
          <w:sz w:val="20"/>
          <w:szCs w:val="20"/>
          <w:color w:val="auto"/>
        </w:rPr>
      </w:pPr>
    </w:p>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t>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the Administrative Agent is a Defaulting Lender pursuant to clause (d) of the definition thereof, the Required Lenders may, to the extent permitted by applicable law, by notice in</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1000"/>
          </w:cols>
          <w:pgMar w:left="440" w:top="270" w:right="459" w:bottom="1440" w:gutter="0" w:footer="0" w:header="0"/>
        </w:sectPr>
      </w:pPr>
    </w:p>
    <w:bookmarkStart w:id="233" w:name="page234"/>
    <w:bookmarkEnd w:id="233"/>
    <w:p>
      <w:pPr>
        <w:ind w:left="4" w:right="4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writing to the Company and such Person remove such Person as the Administrative Agent and, subject to the consent of the Company (not to be unreasonably withheld, conditioned or delayed) so long as no Event of Default under clause (a), (b), (h) or (i) of Section 7.01 shall have occurred and be continuing, appoint a successor. Upon the acceptance of its appointment as the Administrative Agent hereunder by a successor, such successor shall succeed to and become vested with all the rights, powers, privileges and duties of the retiring or removed Administrative Agent, and the retiring or removed Administrative Agent shall be discharged from its duties and obligations hereunder and under the other Loan Documents. The fees payable by the Company to a successor Administrative Agent shall be the same as those payable to its predecessor unless otherwise agreed by the Company and such successor. Notwithstanding the foregoing, in the event no successor Administrative Agent shall have been so appointed and shall have accepted such appointment within 30 days after the retiring Administrative Agent gives notice of its intent to resign, the retiring Administrative Agent may give notice of the effectiveness of its resignation to the Lenders and the Company, whereupon, on the date of effectiveness of such resignation stated in such notice, (a) the retiring Administrative Agent shall be discharged from its duties and obligations hereunder and under the other Loan Documents, and</w:t>
      </w:r>
    </w:p>
    <w:p>
      <w:pPr>
        <w:spacing w:after="0" w:line="5" w:lineRule="exact"/>
        <w:rPr>
          <w:sz w:val="20"/>
          <w:szCs w:val="20"/>
          <w:color w:val="auto"/>
        </w:rPr>
      </w:pPr>
    </w:p>
    <w:p>
      <w:pPr>
        <w:ind w:left="4" w:right="20" w:hanging="4"/>
        <w:spacing w:after="0" w:line="251" w:lineRule="auto"/>
        <w:tabs>
          <w:tab w:leader="none" w:pos="259" w:val="left"/>
        </w:tabs>
        <w:numPr>
          <w:ilvl w:val="0"/>
          <w:numId w:val="2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Required Lenders shall succeed to and become vested with all the rights, powers, privileges and duties of the retiring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all payments required to be made hereunder or under any other Loan Document to the retiring Administrative Agent for the account of any Person other than the retiring Administrative Agent shall be made directly to such Person and (ii) all notices and other communications required or contemplated to be given or made to the retiring Administrative Agent shall also directly be given or made to each Lender. Following the effectiveness of the Administrative Agent’s resignation or removal from its capacity as such, the provisions of this Article and Section 9.03, as well as any exculpatory, reimbursement and indemnification provisions set forth in any other Loan Document, shall continue in effect for the benefit of such retiring or removed Administrative Agent, its sub-agents and their respective Related Parties in respect of any actions taken or omitted to be taken by any of them while it was acting as the Administrative Agent.</w:t>
      </w:r>
    </w:p>
    <w:p>
      <w:pPr>
        <w:spacing w:after="0" w:line="194" w:lineRule="exact"/>
        <w:rPr>
          <w:sz w:val="20"/>
          <w:szCs w:val="20"/>
          <w:color w:val="auto"/>
        </w:rPr>
      </w:pPr>
    </w:p>
    <w:p>
      <w:pPr>
        <w:ind w:left="4" w:firstLine="991"/>
        <w:spacing w:after="0" w:line="253" w:lineRule="auto"/>
        <w:rPr>
          <w:sz w:val="20"/>
          <w:szCs w:val="20"/>
          <w:color w:val="auto"/>
        </w:rPr>
      </w:pPr>
      <w:r>
        <w:rPr>
          <w:rFonts w:ascii="Times New Roman" w:cs="Times New Roman" w:eastAsia="Times New Roman" w:hAnsi="Times New Roman"/>
          <w:sz w:val="18"/>
          <w:szCs w:val="18"/>
          <w:color w:val="auto"/>
        </w:rPr>
        <w:t>Each Lender expressly acknowledges that none of the Administrative Agent nor the Arrangers has made any representation or warranty to it, and that no act by the Administrative Agent or the Arrangers hereafter taken, including any consent to, and acceptance of any assignment or review of the affairs of the Company or any Affiliate thereof, shall be deemed to constitute any representation or warranty by the Administrative Agent or the Arrangers to any Lender as to any matter, including whether the Administrative Agent or the Arrangers have disclosed material information in their (or their Related Parties’) possession. Each Lender represents to the Administrative Agent and the Arranger that it has, independently and without reliance upon the Administrative Agent, the Arrangers, any other Lender or any of their Related Parties and based on such documents and information as it has deemed appropriate, made its own credit analysis of, appraisal of, and investigation into, the business, prospects, operations, property, financial and other condition and creditworthiness of Marvell, Maui Topco and their Subsidiaries, and all applicable bank or other regulatory laws relating to the transactions contemplated hereby, and made its own decision to enter into this Agreement and to extend credit to the Company hereunder. Each Lender also acknowledges that it</w:t>
      </w:r>
    </w:p>
    <w:p>
      <w:pPr>
        <w:spacing w:after="0" w:line="127"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004"/>
          </w:cols>
          <w:pgMar w:left="436" w:top="270" w:right="459" w:bottom="1440" w:gutter="0" w:footer="0" w:header="0"/>
        </w:sectPr>
      </w:pPr>
    </w:p>
    <w:bookmarkStart w:id="234" w:name="page235"/>
    <w:bookmarkEnd w:id="234"/>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will, independently and without reliance upon the Administrative Agent, the Arrangers, any other Lender or any of their Related Parties and based on such documents and information as it shall from time to time deem appropriate, continue to make its own credit analysis, appraisals and decisions in taking or not taking action under or based upon this Agreement, any other Loan Document or any related agreement or any document furnished hereunder or thereunder, and to make such investigations as it deems necessary to inform itself as to the business, prospects, operations, property, financial and other condition and creditworthiness of each of Marvell and Maui Topco. Each Lender represents and warrants that (i) the Loan Documents set forth the terms of a commercial lending facility and (ii) it is engaged in making, acquiring or holding commercial loans in the ordinary course and is entering into this Agreement as a Lender for the purpose of making, acquiring or holding commercial loans and providing other facilities set forth herein as may be applicable to such Lender, and not for the purpose of purchasing, acquiring or holding any other type of financial instrument, and each Lender agrees not to assert a claim in contravention of the foregoing. Each Lender represents and warrants that it is sophisticated with respect to decisions to make, acquire and/or hold commercial loans and to provide other facilities set forth herein, as may be applicable to such Lender, and either it, or the Person exercising discretion in making its decision to make, acquire and/or hold such commercial loans or to provide such other facilities, is experienced in making, acquiring or holding such commercial loans or providing such other facilities.</w:t>
      </w:r>
    </w:p>
    <w:p>
      <w:pPr>
        <w:spacing w:after="0" w:line="190" w:lineRule="exact"/>
        <w:rPr>
          <w:sz w:val="20"/>
          <w:szCs w:val="20"/>
          <w:color w:val="auto"/>
        </w:rPr>
      </w:pPr>
    </w:p>
    <w:p>
      <w:pPr>
        <w:ind w:right="80" w:firstLine="991"/>
        <w:spacing w:after="0" w:line="281" w:lineRule="auto"/>
        <w:rPr>
          <w:sz w:val="20"/>
          <w:szCs w:val="20"/>
          <w:color w:val="auto"/>
        </w:rPr>
      </w:pPr>
      <w:r>
        <w:rPr>
          <w:rFonts w:ascii="Times New Roman" w:cs="Times New Roman" w:eastAsia="Times New Roman" w:hAnsi="Times New Roman"/>
          <w:sz w:val="17"/>
          <w:szCs w:val="17"/>
          <w:color w:val="auto"/>
        </w:rPr>
        <w:t>Each Lender acknowledges and agrees that the Administrative Agent or one or more of its Affiliates may (but is not obligated to) act as administrative agent or a similar representative for the holders of any Inphi Acquisition Indebtedness. Each Lender and the Company waives any conflict of interest, now contemplated or arising hereafter, in connection therewith and agrees not to assert against the Administrative Agent, any of its Affiliates or any Related Party of any of the foregoing any claims, causes of action, damages or liabilities of whatever kind or nature relating thereto.</w:t>
      </w:r>
    </w:p>
    <w:p>
      <w:pPr>
        <w:spacing w:after="0" w:line="164"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Effective Date or the Inphi Acquisition Closing Date.</w:t>
      </w:r>
    </w:p>
    <w:p>
      <w:pPr>
        <w:spacing w:after="0" w:line="180" w:lineRule="exact"/>
        <w:rPr>
          <w:sz w:val="20"/>
          <w:szCs w:val="20"/>
          <w:color w:val="auto"/>
        </w:rPr>
      </w:pPr>
    </w:p>
    <w:p>
      <w:pPr>
        <w:ind w:right="80" w:firstLine="991"/>
        <w:spacing w:after="0" w:line="281" w:lineRule="auto"/>
        <w:rPr>
          <w:sz w:val="20"/>
          <w:szCs w:val="20"/>
          <w:color w:val="auto"/>
        </w:rPr>
      </w:pPr>
      <w:r>
        <w:rPr>
          <w:rFonts w:ascii="Times New Roman" w:cs="Times New Roman" w:eastAsia="Times New Roman" w:hAnsi="Times New Roman"/>
          <w:sz w:val="17"/>
          <w:szCs w:val="17"/>
          <w:color w:val="auto"/>
        </w:rPr>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56" w:lineRule="exact"/>
        <w:rPr>
          <w:sz w:val="20"/>
          <w:szCs w:val="20"/>
          <w:color w:val="auto"/>
        </w:rPr>
      </w:pPr>
    </w:p>
    <w:p>
      <w:pPr>
        <w:ind w:left="440" w:right="380" w:firstLine="525"/>
        <w:spacing w:after="0" w:line="282" w:lineRule="auto"/>
        <w:tabs>
          <w:tab w:leader="none" w:pos="1213" w:val="left"/>
        </w:tabs>
        <w:numPr>
          <w:ilvl w:val="0"/>
          <w:numId w:val="2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and prove a claim for the whole amount of the principal and interest owing and unpaid in respect of the Loans and all other Obligations that</w:t>
      </w:r>
    </w:p>
    <w:p>
      <w:pPr>
        <w:spacing w:after="0" w:line="94"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0920"/>
          </w:cols>
          <w:pgMar w:left="440" w:top="270" w:right="539" w:bottom="1440" w:gutter="0" w:footer="0" w:header="0"/>
        </w:sectPr>
      </w:pPr>
    </w:p>
    <w:bookmarkStart w:id="235" w:name="page236"/>
    <w:bookmarkEnd w:id="235"/>
    <w:p>
      <w:pPr>
        <w:ind w:left="440" w:right="5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54" w:lineRule="exact"/>
        <w:rPr>
          <w:sz w:val="20"/>
          <w:szCs w:val="20"/>
          <w:color w:val="auto"/>
        </w:rPr>
      </w:pPr>
    </w:p>
    <w:p>
      <w:pPr>
        <w:jc w:val="center"/>
        <w:ind w:right="100"/>
        <w:spacing w:after="0"/>
        <w:rPr>
          <w:sz w:val="20"/>
          <w:szCs w:val="20"/>
          <w:color w:val="auto"/>
        </w:rPr>
      </w:pPr>
      <w:r>
        <w:rPr>
          <w:rFonts w:ascii="Times New Roman" w:cs="Times New Roman" w:eastAsia="Times New Roman" w:hAnsi="Times New Roman"/>
          <w:sz w:val="18"/>
          <w:szCs w:val="18"/>
          <w:color w:val="auto"/>
        </w:rPr>
        <w:t>(b) to collect and receive any monies or other property payable or deliverable on any such claims and to distribute the same;</w:t>
      </w:r>
    </w:p>
    <w:p>
      <w:pPr>
        <w:spacing w:after="0" w:line="225"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80"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Each Lender (x) represents and warrants, as of the date such Person became a Lender party hereto, to, and (y) covenants, from the date such Person became a Lender party hereto to the date such Person ceases being a Lender party hereto, for the benefit of, the Administrative Agent,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Revolving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Revolving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Revolving Commitments and this Agreement, (C) the entrance into, participation in, administration of and performance of the Loans, the Revolving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Revolving Commitments and this Agreement or (iv) such other representation, warranty and covenant as may be agreed in writing between the Administrative Agent and such Lender.</w:t>
      </w:r>
    </w:p>
    <w:p>
      <w:pPr>
        <w:spacing w:after="0" w:line="193" w:lineRule="exact"/>
        <w:rPr>
          <w:sz w:val="20"/>
          <w:szCs w:val="20"/>
          <w:color w:val="auto"/>
        </w:rPr>
      </w:pPr>
    </w:p>
    <w:p>
      <w:pPr>
        <w:ind w:right="380" w:firstLine="991"/>
        <w:spacing w:after="0" w:line="282" w:lineRule="auto"/>
        <w:rPr>
          <w:sz w:val="20"/>
          <w:szCs w:val="20"/>
          <w:color w:val="auto"/>
        </w:rPr>
      </w:pPr>
      <w:r>
        <w:rPr>
          <w:rFonts w:ascii="Times New Roman" w:cs="Times New Roman" w:eastAsia="Times New Roman" w:hAnsi="Times New Roman"/>
          <w:sz w:val="18"/>
          <w:szCs w:val="18"/>
          <w:color w:val="auto"/>
        </w:rPr>
        <w:t>In addition, unless clause (i) of the immediately preceding paragraph is true with respect to a Lender or such Lender has not provided another representation,</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0960"/>
          </w:cols>
          <w:pgMar w:left="440" w:top="270" w:right="499" w:bottom="1440" w:gutter="0" w:footer="0" w:header="0"/>
        </w:sectPr>
      </w:pPr>
    </w:p>
    <w:bookmarkStart w:id="236" w:name="page237"/>
    <w:bookmarkEnd w:id="236"/>
    <w:p>
      <w:pPr>
        <w:ind w:right="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Administrative Agent, the Arrangers and their Affiliates, and not, for the avoidance of doubt, to or for the benefit of the Company, that: none of the Administrative Agent, the Arrangers or any of their Affiliates is a fiduciary with respect to the assets of such Lender (including in connection with the reservation or exercise of any rights by the Administrative Agent under this Agreement, any Loan Document or any documents related hereto or thereto).</w:t>
      </w:r>
    </w:p>
    <w:p>
      <w:pPr>
        <w:spacing w:after="0" w:line="187" w:lineRule="exact"/>
        <w:rPr>
          <w:sz w:val="20"/>
          <w:szCs w:val="20"/>
          <w:color w:val="auto"/>
        </w:rPr>
      </w:pPr>
    </w:p>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t>The Administrative Agent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Revolving Commitments and this Agreement, (b) may recognize a gain if it extended the Loans or the Revolving Commitments for an amount less than the amount being paid for an interest in the Loans or the Revolving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88" w:lineRule="exact"/>
        <w:rPr>
          <w:sz w:val="20"/>
          <w:szCs w:val="20"/>
          <w:color w:val="auto"/>
        </w:rPr>
      </w:pPr>
    </w:p>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t>Notwithstanding anything herein to the contrary, the Arrangers shall not have any duties or obligations under this Agreement or any other Loan Document (except in their capacities, as applicable, as an Administrative Agent or a Lender), but all such Persons shall have the benefit of the indemnities and exculpatory provisions provided for hereunder or thereunder.</w:t>
      </w:r>
    </w:p>
    <w:p>
      <w:pPr>
        <w:spacing w:after="0" w:line="176"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The Lenders irrevocably authorize and direct the release of any Guarantor from its obligations under its Subsidiary Guaranty automatically as set forth in Section 5.10(c) and authorize and direct the Administrative Agent to, at the Company’s expense, execute and deliver to the applicable Guarantor any documents or instruments as such Guarantor may reasonably request to evidence the release of such Subsidiary Guaranty.</w:t>
      </w:r>
    </w:p>
    <w:p>
      <w:pPr>
        <w:spacing w:after="0" w:line="176" w:lineRule="exact"/>
        <w:rPr>
          <w:sz w:val="20"/>
          <w:szCs w:val="20"/>
          <w:color w:val="auto"/>
        </w:rPr>
      </w:pPr>
    </w:p>
    <w:p>
      <w:pPr>
        <w:jc w:val="both"/>
        <w:ind w:right="100" w:firstLine="991"/>
        <w:spacing w:after="0" w:line="266" w:lineRule="auto"/>
        <w:rPr>
          <w:sz w:val="20"/>
          <w:szCs w:val="20"/>
          <w:color w:val="auto"/>
        </w:rPr>
      </w:pPr>
      <w:r>
        <w:rPr>
          <w:rFonts w:ascii="Times New Roman" w:cs="Times New Roman" w:eastAsia="Times New Roman" w:hAnsi="Times New Roman"/>
          <w:sz w:val="18"/>
          <w:szCs w:val="18"/>
          <w:color w:val="auto"/>
        </w:rPr>
        <w:t>The provisions of this Article are solely for the benefit of the Administrative Agent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000"/>
          </w:cols>
          <w:pgMar w:left="440" w:top="270" w:right="459" w:bottom="1440" w:gutter="0" w:footer="0" w:header="0"/>
        </w:sectPr>
      </w:pPr>
    </w:p>
    <w:bookmarkStart w:id="237" w:name="page238"/>
    <w:bookmarkEnd w:id="237"/>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right="2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9.01. </w:t>
      </w:r>
      <w:r>
        <w:rPr>
          <w:rFonts w:ascii="Times New Roman" w:cs="Times New Roman" w:eastAsia="Times New Roman" w:hAnsi="Times New Roman"/>
          <w:sz w:val="18"/>
          <w:szCs w:val="18"/>
          <w:u w:val="single" w:color="auto"/>
          <w:color w:val="auto"/>
        </w:rPr>
        <w:t>Notices</w:t>
      </w:r>
      <w:r>
        <w:rPr>
          <w:rFonts w:ascii="Times New Roman" w:cs="Times New Roman" w:eastAsia="Times New Roman" w:hAnsi="Times New Roman"/>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68" w:lineRule="exact"/>
        <w:rPr>
          <w:sz w:val="20"/>
          <w:szCs w:val="20"/>
          <w:color w:val="auto"/>
        </w:rPr>
      </w:pPr>
    </w:p>
    <w:p>
      <w:pPr>
        <w:ind w:left="440" w:right="180" w:firstLine="525"/>
        <w:spacing w:after="0" w:line="282" w:lineRule="auto"/>
        <w:tabs>
          <w:tab w:leader="none" w:pos="1183"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Company or the Administrative Agent, to the address (or fax number) or electronic mail address specified for such Person on Schedule 9.01; and</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2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340" w:firstLine="991"/>
        <w:spacing w:after="0" w:line="261" w:lineRule="auto"/>
        <w:rPr>
          <w:sz w:val="20"/>
          <w:szCs w:val="20"/>
          <w:color w:val="auto"/>
        </w:rPr>
      </w:pPr>
      <w:r>
        <w:rPr>
          <w:rFonts w:ascii="Times New Roman" w:cs="Times New Roman" w:eastAsia="Times New Roman" w:hAnsi="Times New Roman"/>
          <w:sz w:val="18"/>
          <w:szCs w:val="18"/>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80" w:lineRule="exact"/>
        <w:rPr>
          <w:sz w:val="20"/>
          <w:szCs w:val="20"/>
          <w:color w:val="auto"/>
        </w:rPr>
      </w:pPr>
    </w:p>
    <w:p>
      <w:pPr>
        <w:ind w:firstLine="987"/>
        <w:spacing w:after="0" w:line="253" w:lineRule="auto"/>
        <w:tabs>
          <w:tab w:leader="none" w:pos="1246" w:val="left"/>
        </w:tabs>
        <w:numPr>
          <w:ilvl w:val="0"/>
          <w:numId w:val="2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2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0980"/>
          </w:cols>
          <w:pgMar w:left="440" w:top="270" w:right="479" w:bottom="1440" w:gutter="0" w:footer="0" w:header="0"/>
        </w:sectPr>
      </w:pPr>
    </w:p>
    <w:bookmarkStart w:id="238" w:name="page239"/>
    <w:bookmarkEnd w:id="238"/>
    <w:p>
      <w:pPr>
        <w:ind w:firstLine="987"/>
        <w:spacing w:after="0" w:line="282" w:lineRule="auto"/>
        <w:tabs>
          <w:tab w:leader="none" w:pos="1236"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party hereto may change its address, fax number or email address for notices and other communications hereunder by notice to the other parties hereto.</w:t>
      </w:r>
    </w:p>
    <w:p>
      <w:pPr>
        <w:spacing w:after="0" w:line="161" w:lineRule="exact"/>
        <w:rPr>
          <w:rFonts w:ascii="Times New Roman" w:cs="Times New Roman" w:eastAsia="Times New Roman" w:hAnsi="Times New Roman"/>
          <w:sz w:val="18"/>
          <w:szCs w:val="18"/>
          <w:color w:val="auto"/>
        </w:rPr>
      </w:pPr>
    </w:p>
    <w:p>
      <w:pPr>
        <w:ind w:firstLine="987"/>
        <w:spacing w:after="0" w:line="254" w:lineRule="auto"/>
        <w:tabs>
          <w:tab w:leader="none" w:pos="1246" w:val="left"/>
        </w:tabs>
        <w:numPr>
          <w:ilvl w:val="0"/>
          <w:numId w:val="2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may, but shall not be obligated to, make any Communication by posting such Communication on Debt Domain, IntraLinks, SyndTrak or a similar electronic transmission system (the “</w:t>
      </w:r>
      <w:r>
        <w:rPr>
          <w:rFonts w:ascii="Times New Roman" w:cs="Times New Roman" w:eastAsia="Times New Roman" w:hAnsi="Times New Roman"/>
          <w:sz w:val="18"/>
          <w:szCs w:val="18"/>
          <w:u w:val="single" w:color="auto"/>
          <w:color w:val="auto"/>
        </w:rPr>
        <w:t>Platform</w:t>
      </w:r>
      <w:r>
        <w:rPr>
          <w:rFonts w:ascii="Times New Roman" w:cs="Times New Roman" w:eastAsia="Times New Roman" w:hAnsi="Times New Roman"/>
          <w:sz w:val="18"/>
          <w:szCs w:val="18"/>
          <w:color w:val="auto"/>
        </w:rPr>
        <w:t>”). The Platform is provided “as is” and “as available”. None of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188"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9.02. </w:t>
      </w:r>
      <w:r>
        <w:rPr>
          <w:rFonts w:ascii="Times New Roman" w:cs="Times New Roman" w:eastAsia="Times New Roman" w:hAnsi="Times New Roman"/>
          <w:sz w:val="18"/>
          <w:szCs w:val="18"/>
          <w:u w:val="single" w:color="auto"/>
          <w:color w:val="auto"/>
        </w:rPr>
        <w:t>Waivers; Amendments</w:t>
      </w:r>
      <w:r>
        <w:rPr>
          <w:rFonts w:ascii="Times New Roman" w:cs="Times New Roman" w:eastAsia="Times New Roman" w:hAnsi="Times New Roman"/>
          <w:sz w:val="18"/>
          <w:szCs w:val="18"/>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188" w:lineRule="exact"/>
        <w:rPr>
          <w:sz w:val="20"/>
          <w:szCs w:val="20"/>
          <w:color w:val="auto"/>
        </w:rPr>
      </w:pPr>
    </w:p>
    <w:p>
      <w:pPr>
        <w:ind w:right="20" w:firstLine="987"/>
        <w:spacing w:after="0" w:line="256" w:lineRule="auto"/>
        <w:tabs>
          <w:tab w:leader="none" w:pos="1246" w:val="left"/>
        </w:tabs>
        <w:numPr>
          <w:ilvl w:val="0"/>
          <w:numId w:val="2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Section 2.11(b), (c) and (d) and Section 9.02(c) below,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agreement shall (i) increase the Revolving Commitment of any Lender without the written consent of such Lender, (ii) reduce the principal amount of any Loan or reduce the rate of interest thereon or reduce any fees payable hereunder, without the written</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0980"/>
          </w:cols>
          <w:pgMar w:left="440" w:top="270" w:right="479" w:bottom="1440" w:gutter="0" w:footer="0" w:header="0"/>
        </w:sectPr>
      </w:pPr>
    </w:p>
    <w:bookmarkStart w:id="239" w:name="page240"/>
    <w:bookmarkEnd w:id="239"/>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consent of each Lender directly and adversely affected thereby (other than any waiver of or amendment to any default interest applicable pursuant to Section 2.10(c)), (iii) postpone the scheduled maturity date of any Loan, or any date for the payment of any interest or fees payable hereunder, or reduce the amount of, waive or excuse any such payment, or postpone the scheduled date of expiration of any Revolving Commitment, without the written consent of each Lender directly and adversely affected thereby (subject to an extension of the Maturity Date in accordance with Section 2.18), (iv) change Section 2.08, 2.15(b) or 2.15(c) in a manner that would alter the pro rata sharing of payments required thereby without the written consent of each Lender, (v) change any of the provisions of this paragraph or the percentage set forth in the definition of the term “Required Lenders” or any other provision of any Loan Document specifying the number or percentage of Lenders required to waive, amend or modify any rights thereunder or make any determination or grant any consent thereunder, without the written consent of each Lender,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or (vi) release any Guarantor from its obligations under the Loan Documents without the written consent of each Lender (except as otherwise provided for in Section 5.01(c) or otherwise in the Loan Documents);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xml:space="preserve"> that no such agreement shall amend, modify, extend or otherwise affect the rights or obligations of the Administrative Agent without the written consent of the Administrative Agent.</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(c) Notwithstanding anything to the contrary in paragraph (b) of this Section:</w:t>
      </w:r>
    </w:p>
    <w:p>
      <w:pPr>
        <w:spacing w:after="0" w:line="225" w:lineRule="exact"/>
        <w:rPr>
          <w:sz w:val="20"/>
          <w:szCs w:val="20"/>
          <w:color w:val="auto"/>
        </w:rPr>
      </w:pPr>
    </w:p>
    <w:p>
      <w:pPr>
        <w:ind w:right="20" w:firstLine="987"/>
        <w:spacing w:after="0" w:line="261" w:lineRule="auto"/>
        <w:tabs>
          <w:tab w:leader="none" w:pos="1206"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179" w:lineRule="exact"/>
        <w:rPr>
          <w:rFonts w:ascii="Times New Roman" w:cs="Times New Roman" w:eastAsia="Times New Roman" w:hAnsi="Times New Roman"/>
          <w:sz w:val="18"/>
          <w:szCs w:val="18"/>
          <w:color w:val="auto"/>
        </w:rPr>
      </w:pPr>
    </w:p>
    <w:p>
      <w:pPr>
        <w:ind w:right="80" w:firstLine="987"/>
        <w:spacing w:after="0" w:line="261" w:lineRule="auto"/>
        <w:tabs>
          <w:tab w:leader="none" w:pos="1256"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179" w:lineRule="exact"/>
        <w:rPr>
          <w:rFonts w:ascii="Times New Roman" w:cs="Times New Roman" w:eastAsia="Times New Roman" w:hAnsi="Times New Roman"/>
          <w:sz w:val="18"/>
          <w:szCs w:val="18"/>
          <w:color w:val="auto"/>
        </w:rPr>
      </w:pPr>
    </w:p>
    <w:p>
      <w:pPr>
        <w:ind w:right="20" w:firstLine="987"/>
        <w:spacing w:after="0" w:line="258" w:lineRule="auto"/>
        <w:tabs>
          <w:tab w:leader="none" w:pos="1306" w:val="left"/>
        </w:tabs>
        <w:numPr>
          <w:ilvl w:val="0"/>
          <w:numId w:val="2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Revolving Commitments terminate by the terms and upon the effectiveness of such amendment, waiver or other modification;</w:t>
      </w:r>
    </w:p>
    <w:p>
      <w:pPr>
        <w:spacing w:after="0" w:line="116"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0960"/>
          </w:cols>
          <w:pgMar w:left="440" w:top="270" w:right="499" w:bottom="1440" w:gutter="0" w:footer="0" w:header="0"/>
        </w:sectPr>
      </w:pPr>
    </w:p>
    <w:bookmarkStart w:id="240" w:name="page241"/>
    <w:bookmarkEnd w:id="240"/>
    <w:p>
      <w:pPr>
        <w:ind w:left="1300" w:hanging="313"/>
        <w:spacing w:after="0"/>
        <w:tabs>
          <w:tab w:leader="none" w:pos="130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this Agreement and the other Loan Documents may be amended in the manner provided in Sections 2.11, 2.18 and 9.19;</w:t>
      </w:r>
    </w:p>
    <w:p>
      <w:pPr>
        <w:spacing w:after="0" w:line="225" w:lineRule="exact"/>
        <w:rPr>
          <w:rFonts w:ascii="Times New Roman" w:cs="Times New Roman" w:eastAsia="Times New Roman" w:hAnsi="Times New Roman"/>
          <w:sz w:val="18"/>
          <w:szCs w:val="18"/>
          <w:color w:val="auto"/>
        </w:rPr>
      </w:pPr>
    </w:p>
    <w:p>
      <w:pPr>
        <w:ind w:right="500" w:firstLine="987"/>
        <w:spacing w:after="0" w:line="282" w:lineRule="auto"/>
        <w:tabs>
          <w:tab w:leader="none" w:pos="1246"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amendment to this Agreement contemplated by the last sentence of the definition of the term “Applicable Rate” may be made pursuant to an agreement or agreements in writing entered into by the Company, the Administrative Agent and the Required Lenders; and</w:t>
      </w:r>
    </w:p>
    <w:p>
      <w:pPr>
        <w:spacing w:after="0" w:line="161" w:lineRule="exact"/>
        <w:rPr>
          <w:rFonts w:ascii="Times New Roman" w:cs="Times New Roman" w:eastAsia="Times New Roman" w:hAnsi="Times New Roman"/>
          <w:sz w:val="18"/>
          <w:szCs w:val="18"/>
          <w:color w:val="auto"/>
        </w:rPr>
      </w:pPr>
    </w:p>
    <w:p>
      <w:pPr>
        <w:ind w:left="1300" w:hanging="313"/>
        <w:spacing w:after="0"/>
        <w:tabs>
          <w:tab w:leader="none" w:pos="1300" w:val="left"/>
        </w:tabs>
        <w:numPr>
          <w:ilvl w:val="0"/>
          <w:numId w:val="2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Fee Letter may be amended, or rights or privileges thereunder waived, in a writing executed only by the parties thereto.</w:t>
      </w:r>
    </w:p>
    <w:p>
      <w:pPr>
        <w:spacing w:after="0" w:line="225" w:lineRule="exact"/>
        <w:rPr>
          <w:sz w:val="20"/>
          <w:szCs w:val="20"/>
          <w:color w:val="auto"/>
        </w:rPr>
      </w:pPr>
    </w:p>
    <w:p>
      <w:pPr>
        <w:jc w:val="both"/>
        <w:ind w:right="160" w:firstLine="987"/>
        <w:spacing w:after="0" w:line="266" w:lineRule="auto"/>
        <w:tabs>
          <w:tab w:leader="none" w:pos="1246"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75" w:lineRule="exact"/>
        <w:rPr>
          <w:rFonts w:ascii="Times New Roman" w:cs="Times New Roman" w:eastAsia="Times New Roman" w:hAnsi="Times New Roman"/>
          <w:sz w:val="18"/>
          <w:szCs w:val="18"/>
          <w:color w:val="auto"/>
        </w:rPr>
      </w:pPr>
    </w:p>
    <w:p>
      <w:pPr>
        <w:ind w:right="80" w:firstLine="987"/>
        <w:spacing w:after="0" w:line="255" w:lineRule="auto"/>
        <w:tabs>
          <w:tab w:leader="none" w:pos="1236" w:val="left"/>
        </w:tabs>
        <w:numPr>
          <w:ilvl w:val="0"/>
          <w:numId w:val="2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Notwithstanding the foregoing, this Agreement may be amended (or amended and restated) with the written consent of the Required Lenders, the Administrative Agent and the Company (i) to add one or more additional credit facilities to this Agreement, to permit the extensions of credit from time to time outstanding hereunder and the accrued interest and fees in respect thereof to share ratably in the benefits of this Agreement and the other Loan Documents with the Loans and the accrued interest and fees in respect thereof and to include appropriately the Lenders holding such credit facilities in any determination of the Required Lenders and (ii) to change, modify or alter </w:t>
      </w:r>
      <w:r>
        <w:rPr>
          <w:rFonts w:ascii="Times New Roman" w:cs="Times New Roman" w:eastAsia="Times New Roman" w:hAnsi="Times New Roman"/>
          <w:sz w:val="18"/>
          <w:szCs w:val="18"/>
          <w:u w:val="single" w:color="auto"/>
          <w:color w:val="auto"/>
        </w:rPr>
        <w:t>Section 2.15</w:t>
      </w:r>
      <w:r>
        <w:rPr>
          <w:rFonts w:ascii="Times New Roman" w:cs="Times New Roman" w:eastAsia="Times New Roman" w:hAnsi="Times New Roman"/>
          <w:sz w:val="18"/>
          <w:szCs w:val="18"/>
          <w:color w:val="auto"/>
        </w:rPr>
        <w:t xml:space="preserve"> or any other provision hereof relating to pro rata sharing of payments among the Lenders to the extent necessary to effectuate any of the amendments (or amendments and restatements) enumerated in clause (e)(i) above.</w:t>
      </w:r>
    </w:p>
    <w:p>
      <w:pPr>
        <w:spacing w:after="0" w:line="189"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9.03. </w:t>
      </w:r>
      <w:r>
        <w:rPr>
          <w:rFonts w:ascii="Times New Roman" w:cs="Times New Roman" w:eastAsia="Times New Roman" w:hAnsi="Times New Roman"/>
          <w:sz w:val="18"/>
          <w:szCs w:val="18"/>
          <w:u w:val="single" w:color="auto"/>
          <w:color w:val="auto"/>
        </w:rPr>
        <w:t>Expenses; Indemnity; Damage Waiver</w:t>
      </w:r>
      <w:r>
        <w:rPr>
          <w:rFonts w:ascii="Times New Roman" w:cs="Times New Roman" w:eastAsia="Times New Roman" w:hAnsi="Times New Roman"/>
          <w:sz w:val="18"/>
          <w:szCs w:val="18"/>
          <w:color w:val="auto"/>
        </w:rPr>
        <w:t>. (a) The Company shall pay (i) all reasonable and documented out-of-pocket expenses incurred by the Administrative Agent, the Arrangers and their Affiliates, including the reasonable and documented fees, charges and disbursements of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any Arranger and their Affiliates taken as a whole, in connection with the structuring, arrangement and syndication of the credit facilities provided for herein, including the preparation, execution and delivery of the Commitment Letter and the Fee Letter, as well as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1000"/>
          </w:cols>
          <w:pgMar w:left="440" w:top="270" w:right="459" w:bottom="1440" w:gutter="0" w:footer="0" w:header="0"/>
        </w:sectPr>
      </w:pPr>
    </w:p>
    <w:bookmarkStart w:id="241" w:name="page242"/>
    <w:bookmarkEnd w:id="241"/>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by the Administrative Agent, the Arrangers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Administrative Agent, the Arrangers and the Lenders, taken as a whole and, in the case of an actual or perceived conflict of interest, where the party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such affected Person).</w:t>
      </w:r>
    </w:p>
    <w:p>
      <w:pPr>
        <w:spacing w:after="0" w:line="194" w:lineRule="exact"/>
        <w:rPr>
          <w:sz w:val="20"/>
          <w:szCs w:val="20"/>
          <w:color w:val="auto"/>
        </w:rPr>
      </w:pPr>
    </w:p>
    <w:p>
      <w:pPr>
        <w:ind w:firstLine="987"/>
        <w:spacing w:after="0" w:line="252" w:lineRule="auto"/>
        <w:tabs>
          <w:tab w:leader="none" w:pos="1246" w:val="left"/>
        </w:tabs>
        <w:numPr>
          <w:ilvl w:val="0"/>
          <w:numId w:val="2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indemnify the Administrative Agent (and any sub-agent thereof), the Arrangers, the Syndication Agent, the Documentation Agents, each Lender and each Related Party of any of the foregoing (each such Person being called an “</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against, and hold each Indemnitee harmless from, any and all Liabilities and related expenses, including the fees, charges and disbursements of any counsel for any Indemnitee (but limited to a single U.S. counsel, if reasonably necessary, a single regulatory counsel in each relevant regulatory field,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if reasonably necessary, one regulatory counsel in each relevant regulatory field,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 this Agreement, the other Loan Documents or any other agreement or instrument contemplated hereby or thereby, the performance by the parties to the Commitment Letter, the Fee Letter,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or any Subsidiary (or Person that was formerly a Subsidiary) of any of them, or (iv) any actual or prospective claim, litigation, investigation or</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0980"/>
          </w:cols>
          <w:pgMar w:left="440" w:top="270" w:right="479" w:bottom="1440" w:gutter="0" w:footer="0" w:header="0"/>
        </w:sectPr>
      </w:pPr>
    </w:p>
    <w:bookmarkStart w:id="242" w:name="page243"/>
    <w:bookmarkEnd w:id="242"/>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proceeding relating to any of the foregoing, whether based on contract, tort or any other theory and whether initiated against or by any party to the Commitment Letter, the Fee Letter, this Agreement or any other Loan Document, any Affiliate of any of the foregoing or any third party (and regardless of whether any Indemnitee is a party thereto);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the Arrangers, Syndication Agent or Documentation Agents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 Notwithstanding that Maui Topco does not constitute the “Company” prior to the consummation of the Permitted Reorganization, Maui Topco hereby agrees to pay or cause to paid, and to be jointly and severally liable with Marvell for, any fees payable by and other payment obligations of the Company under any Loan Document on or prior to the Permitted Reorganization, as if Maui Topco was named as the “Company” during such time.</w:t>
      </w:r>
    </w:p>
    <w:p>
      <w:pPr>
        <w:spacing w:after="0" w:line="195" w:lineRule="exact"/>
        <w:rPr>
          <w:sz w:val="20"/>
          <w:szCs w:val="20"/>
          <w:color w:val="auto"/>
        </w:rPr>
      </w:pPr>
    </w:p>
    <w:p>
      <w:pPr>
        <w:ind w:right="80" w:firstLine="987"/>
        <w:spacing w:after="0" w:line="254" w:lineRule="auto"/>
        <w:tabs>
          <w:tab w:leader="none" w:pos="1236" w:val="left"/>
        </w:tabs>
        <w:numPr>
          <w:ilvl w:val="0"/>
          <w:numId w:val="2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unreimbursed expense or indemnified loss, claim, damage, liability or related expense, as the case may be, was incurred by or asserted against the Administrative Agent (or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Loans and unused Revolving Commitments at the time outstanding or in effect (or most recently outstanding or in effect, if none of the foregoing shall be outstanding or in effect at such time).</w:t>
      </w:r>
    </w:p>
    <w:p>
      <w:pPr>
        <w:spacing w:after="0" w:line="188" w:lineRule="exact"/>
        <w:rPr>
          <w:rFonts w:ascii="Times New Roman" w:cs="Times New Roman" w:eastAsia="Times New Roman" w:hAnsi="Times New Roman"/>
          <w:sz w:val="18"/>
          <w:szCs w:val="18"/>
          <w:color w:val="auto"/>
        </w:rPr>
      </w:pPr>
    </w:p>
    <w:p>
      <w:pPr>
        <w:ind w:right="420" w:firstLine="987"/>
        <w:spacing w:after="0" w:line="282" w:lineRule="auto"/>
        <w:tabs>
          <w:tab w:leader="none" w:pos="1246" w:val="left"/>
        </w:tabs>
        <w:numPr>
          <w:ilvl w:val="0"/>
          <w:numId w:val="2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fullest extent permitted by applicable law, the Company shall not assert, or permit any of its Affiliates or Related Parties to assert, and the Company</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88</w:t>
      </w:r>
    </w:p>
    <w:p>
      <w:pPr>
        <w:sectPr>
          <w:pgSz w:w="11900" w:h="16838" w:orient="portrait"/>
          <w:cols w:equalWidth="0" w:num="1">
            <w:col w:w="11000"/>
          </w:cols>
          <w:pgMar w:left="440" w:top="270" w:right="459" w:bottom="1440" w:gutter="0" w:footer="0" w:header="0"/>
        </w:sectPr>
      </w:pPr>
    </w:p>
    <w:bookmarkStart w:id="243" w:name="page244"/>
    <w:bookmarkEnd w:id="243"/>
    <w:p>
      <w:pPr>
        <w:ind w:left="4"/>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hereby waives, any claim against the Administrative Agent (and any sub-agent thereof), the Arrangers, the Syndication Agent, the Documentation Agents, each Lender and each Related Party of any of the foregoing (each such Person being called a “</w:t>
      </w:r>
      <w:r>
        <w:rPr>
          <w:rFonts w:ascii="Times New Roman" w:cs="Times New Roman" w:eastAsia="Times New Roman" w:hAnsi="Times New Roman"/>
          <w:sz w:val="18"/>
          <w:szCs w:val="18"/>
          <w:u w:val="single" w:color="auto"/>
          <w:color w:val="auto"/>
        </w:rPr>
        <w:t>Lender-Related Person</w:t>
      </w:r>
      <w:r>
        <w:rPr>
          <w:rFonts w:ascii="Times New Roman" w:cs="Times New Roman" w:eastAsia="Times New Roman" w:hAnsi="Times New Roman"/>
          <w:sz w:val="18"/>
          <w:szCs w:val="18"/>
          <w:color w:val="auto"/>
        </w:rPr>
        <w:t>”) (i) for any damages arising from the use by others of information or other materials obtained through telecommunications, electronic or other information transmission systems (including the Internet) other than for direct, actual damages resulting from the gross negligence or willful misconduct of such Lender-Related Person as determined by a final, non-appealable judgment of a court of competent jurisdiction,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89" w:lineRule="exact"/>
        <w:rPr>
          <w:sz w:val="20"/>
          <w:szCs w:val="20"/>
          <w:color w:val="auto"/>
        </w:rPr>
      </w:pPr>
    </w:p>
    <w:p>
      <w:pPr>
        <w:ind w:left="4" w:right="40" w:firstLine="987"/>
        <w:spacing w:after="0" w:line="256" w:lineRule="auto"/>
        <w:tabs>
          <w:tab w:leader="none" w:pos="1240"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the fullest extent permitted by applicable law, the Administrative Agent, the Arrangers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nothing in this paragraph (e) shall limit the Company’s indemnity and reimbursement obligations set forth in this Section or separately agreed.</w:t>
      </w:r>
    </w:p>
    <w:p>
      <w:pPr>
        <w:spacing w:after="0" w:line="187" w:lineRule="exact"/>
        <w:rPr>
          <w:rFonts w:ascii="Times New Roman" w:cs="Times New Roman" w:eastAsia="Times New Roman" w:hAnsi="Times New Roman"/>
          <w:sz w:val="18"/>
          <w:szCs w:val="18"/>
          <w:color w:val="auto"/>
        </w:rPr>
      </w:pPr>
    </w:p>
    <w:p>
      <w:pPr>
        <w:ind w:left="1224" w:hanging="233"/>
        <w:spacing w:after="0"/>
        <w:tabs>
          <w:tab w:leader="none" w:pos="1224" w:val="left"/>
        </w:tabs>
        <w:numPr>
          <w:ilvl w:val="0"/>
          <w:numId w:val="2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amounts due under this Section shall be payable promptly after written demand therefor.</w:t>
      </w:r>
    </w:p>
    <w:p>
      <w:pPr>
        <w:spacing w:after="0" w:line="225" w:lineRule="exact"/>
        <w:rPr>
          <w:sz w:val="20"/>
          <w:szCs w:val="20"/>
          <w:color w:val="auto"/>
        </w:rPr>
      </w:pPr>
    </w:p>
    <w:p>
      <w:pPr>
        <w:ind w:left="4" w:right="2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9.04. </w:t>
      </w:r>
      <w:r>
        <w:rPr>
          <w:rFonts w:ascii="Times New Roman" w:cs="Times New Roman" w:eastAsia="Times New Roman" w:hAnsi="Times New Roman"/>
          <w:sz w:val="18"/>
          <w:szCs w:val="18"/>
          <w:u w:val="single" w:color="auto"/>
          <w:color w:val="auto"/>
        </w:rPr>
        <w:t>Successors and Assigns</w:t>
      </w:r>
      <w:r>
        <w:rPr>
          <w:rFonts w:ascii="Times New Roman" w:cs="Times New Roman" w:eastAsia="Times New Roman" w:hAnsi="Times New Roman"/>
          <w:sz w:val="18"/>
          <w:szCs w:val="18"/>
          <w:color w:val="auto"/>
        </w:rPr>
        <w:t>. (a) The provisions of this Agreement shall be binding upon and inure to the benefit of the parties hereto and their respective successors and assigns permitted hereby, except that (i) other than as expressly provided in Section 6.04(a)(ii)(B) and Section 9.19, the Company may not assign or otherwise transfer any of its rights or obligations hereunder without the prior written consent of the Administrative Agent and each Lender (and any attempted assignment or transfer by the Company without such consent shall be null and void) and</w:t>
      </w:r>
    </w:p>
    <w:p>
      <w:pPr>
        <w:spacing w:after="0" w:line="3" w:lineRule="exact"/>
        <w:rPr>
          <w:sz w:val="20"/>
          <w:szCs w:val="20"/>
          <w:color w:val="auto"/>
        </w:rPr>
      </w:pPr>
    </w:p>
    <w:p>
      <w:pPr>
        <w:ind w:left="4" w:right="40" w:hanging="4"/>
        <w:spacing w:after="0" w:line="273" w:lineRule="auto"/>
        <w:tabs>
          <w:tab w:leader="none" w:pos="269" w:val="left"/>
        </w:tabs>
        <w:numPr>
          <w:ilvl w:val="0"/>
          <w:numId w:val="23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Arrangers and, to the extent expressly contemplated hereby, the Related Parties of the foregoing) any legal or equitable right, remedy or claim under or by reason of this Agreement.</w:t>
      </w:r>
    </w:p>
    <w:p>
      <w:pPr>
        <w:spacing w:after="0" w:line="172" w:lineRule="exact"/>
        <w:rPr>
          <w:rFonts w:ascii="Times New Roman" w:cs="Times New Roman" w:eastAsia="Times New Roman" w:hAnsi="Times New Roman"/>
          <w:sz w:val="17"/>
          <w:szCs w:val="17"/>
          <w:color w:val="auto"/>
        </w:rPr>
      </w:pPr>
    </w:p>
    <w:p>
      <w:pPr>
        <w:ind w:left="4" w:right="140" w:firstLine="987"/>
        <w:spacing w:after="0" w:line="266" w:lineRule="auto"/>
        <w:tabs>
          <w:tab w:leader="none" w:pos="1250" w:val="left"/>
        </w:tabs>
        <w:numPr>
          <w:ilvl w:val="1"/>
          <w:numId w:val="2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Subject to the conditions set forth in paragraph (b)(ii) below, any Lender may assign to one or more Eligible Assignees all or a portion of its rights and obligations under this Agreement (including all or a portion of its Revolving Commitments and the Loans at the time owing to it) with the prior written consent (such consent not to be unreasonably withheld, delayed or conditioned) of:</w:t>
      </w:r>
    </w:p>
    <w:p>
      <w:pPr>
        <w:spacing w:after="0" w:line="108"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0984"/>
          </w:cols>
          <w:pgMar w:left="436" w:top="270" w:right="479" w:bottom="1440" w:gutter="0" w:footer="0" w:header="0"/>
        </w:sectPr>
      </w:pPr>
    </w:p>
    <w:bookmarkStart w:id="244" w:name="page245"/>
    <w:bookmarkEnd w:id="244"/>
    <w:p>
      <w:pPr>
        <w:ind w:left="433" w:right="80" w:firstLine="391"/>
        <w:spacing w:after="0" w:line="261" w:lineRule="auto"/>
        <w:tabs>
          <w:tab w:leader="none" w:pos="1111" w:val="left"/>
        </w:tabs>
        <w:numPr>
          <w:ilvl w:val="1"/>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the Company;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Company shall be required (x) for an assignment to a Lender, an Affiliate of a Lender or an Approved Fund or (y) if an Event of Default under clause (a), (b), (h) or (i) of Section 7.01 shall have occurred and be continuing;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71" w:lineRule="exact"/>
        <w:rPr>
          <w:rFonts w:ascii="Times New Roman" w:cs="Times New Roman" w:eastAsia="Times New Roman" w:hAnsi="Times New Roman"/>
          <w:sz w:val="18"/>
          <w:szCs w:val="18"/>
          <w:color w:val="auto"/>
        </w:rPr>
      </w:pPr>
    </w:p>
    <w:p>
      <w:pPr>
        <w:ind w:left="433" w:right="260" w:firstLine="391"/>
        <w:spacing w:after="0" w:line="282" w:lineRule="auto"/>
        <w:tabs>
          <w:tab w:leader="none" w:pos="1101" w:val="left"/>
        </w:tabs>
        <w:numPr>
          <w:ilvl w:val="1"/>
          <w:numId w:val="2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Administrative Agent shall be required for an assignment to a Lender, an Affiliate of a Lender or an Approved Fund.</w:t>
      </w:r>
    </w:p>
    <w:p>
      <w:pPr>
        <w:spacing w:after="0" w:line="161" w:lineRule="exact"/>
        <w:rPr>
          <w:rFonts w:ascii="Times New Roman" w:cs="Times New Roman" w:eastAsia="Times New Roman" w:hAnsi="Times New Roman"/>
          <w:sz w:val="18"/>
          <w:szCs w:val="18"/>
          <w:color w:val="auto"/>
        </w:rPr>
      </w:pPr>
    </w:p>
    <w:p>
      <w:pPr>
        <w:ind w:left="273" w:hanging="273"/>
        <w:spacing w:after="0"/>
        <w:tabs>
          <w:tab w:leader="none" w:pos="273" w:val="left"/>
        </w:tabs>
        <w:numPr>
          <w:ilvl w:val="0"/>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Assignments shall be subject to the following additional conditions:</w:t>
      </w:r>
    </w:p>
    <w:p>
      <w:pPr>
        <w:spacing w:after="0" w:line="117" w:lineRule="exact"/>
        <w:rPr>
          <w:rFonts w:ascii="Times New Roman" w:cs="Times New Roman" w:eastAsia="Times New Roman" w:hAnsi="Times New Roman"/>
          <w:sz w:val="18"/>
          <w:szCs w:val="18"/>
          <w:color w:val="auto"/>
        </w:rPr>
      </w:pPr>
    </w:p>
    <w:p>
      <w:pPr>
        <w:ind w:left="433" w:right="60" w:firstLine="391"/>
        <w:spacing w:after="0" w:line="254" w:lineRule="auto"/>
        <w:tabs>
          <w:tab w:leader="none" w:pos="1111" w:val="left"/>
        </w:tabs>
        <w:numPr>
          <w:ilvl w:val="1"/>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except in the case of an assignment to a Lender, an Affiliate of a Lender or an Approved Fund or an assignment of the entire remaining amount of the assigning Lender’s Revolving Commitment or Loans, the amount of the Revolving Commitment or Loans of the assigning Lender subject to each such assignment (determined as of the date the Assignment and Assumption with respect to such assignment is delivered to the Administrative Agent) shall not be less than $1,000,000 unless each of the Company and the Administrative Agent otherwise consents;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(1) no such consent of the Company shall be required if an Event of Default under clause (a), (b), (h) or (i) of Section 7.01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83" w:lineRule="exact"/>
        <w:rPr>
          <w:rFonts w:ascii="Times New Roman" w:cs="Times New Roman" w:eastAsia="Times New Roman" w:hAnsi="Times New Roman"/>
          <w:sz w:val="18"/>
          <w:szCs w:val="18"/>
          <w:color w:val="auto"/>
        </w:rPr>
      </w:pPr>
    </w:p>
    <w:p>
      <w:pPr>
        <w:ind w:left="433" w:right="400" w:firstLine="391"/>
        <w:spacing w:after="0" w:line="282" w:lineRule="auto"/>
        <w:tabs>
          <w:tab w:leader="none" w:pos="1101" w:val="left"/>
        </w:tabs>
        <w:numPr>
          <w:ilvl w:val="1"/>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partial assignment shall be made as an assignment of a proportionate part of all the assigning Lender’s rights and obligations under this Agreement;</w:t>
      </w:r>
    </w:p>
    <w:p>
      <w:pPr>
        <w:spacing w:after="0" w:line="53" w:lineRule="exact"/>
        <w:rPr>
          <w:rFonts w:ascii="Times New Roman" w:cs="Times New Roman" w:eastAsia="Times New Roman" w:hAnsi="Times New Roman"/>
          <w:sz w:val="18"/>
          <w:szCs w:val="18"/>
          <w:color w:val="auto"/>
        </w:rPr>
      </w:pPr>
    </w:p>
    <w:p>
      <w:pPr>
        <w:jc w:val="both"/>
        <w:ind w:left="433" w:firstLine="391"/>
        <w:spacing w:after="0" w:line="261" w:lineRule="auto"/>
        <w:tabs>
          <w:tab w:leader="none" w:pos="1101" w:val="left"/>
        </w:tabs>
        <w:numPr>
          <w:ilvl w:val="1"/>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71" w:lineRule="exact"/>
        <w:rPr>
          <w:rFonts w:ascii="Times New Roman" w:cs="Times New Roman" w:eastAsia="Times New Roman" w:hAnsi="Times New Roman"/>
          <w:sz w:val="18"/>
          <w:szCs w:val="18"/>
          <w:color w:val="auto"/>
        </w:rPr>
      </w:pPr>
    </w:p>
    <w:p>
      <w:pPr>
        <w:ind w:left="433" w:right="120" w:firstLine="391"/>
        <w:spacing w:after="0" w:line="266" w:lineRule="auto"/>
        <w:tabs>
          <w:tab w:leader="none" w:pos="1111" w:val="left"/>
        </w:tabs>
        <w:numPr>
          <w:ilvl w:val="1"/>
          <w:numId w:val="2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assignee, if it shall not already be a Lender, shall deliver to the Administrative Agent an Administrative Questionnaire in which the assignee designates one or more credit contacts to whom all syndicate-level information (which may contain MNPI) will be made available and</w:t>
      </w:r>
    </w:p>
    <w:p>
      <w:pPr>
        <w:spacing w:after="0" w:line="108" w:lineRule="exact"/>
        <w:rPr>
          <w:sz w:val="20"/>
          <w:szCs w:val="20"/>
          <w:color w:val="auto"/>
        </w:rPr>
      </w:pPr>
    </w:p>
    <w:p>
      <w:pPr>
        <w:ind w:left="4433"/>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0013"/>
          </w:cols>
          <w:pgMar w:left="1427" w:top="270" w:right="459" w:bottom="1440" w:gutter="0" w:footer="0" w:header="0"/>
        </w:sectPr>
      </w:pPr>
    </w:p>
    <w:bookmarkStart w:id="245" w:name="page246"/>
    <w:bookmarkEnd w:id="245"/>
    <w:p>
      <w:pPr>
        <w:ind w:left="1400" w:right="2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who may receive such information in accordance with the assignee’s compliance procedures and applicable law, including United States (Federal or State) and foreign securities laws.</w:t>
      </w:r>
    </w:p>
    <w:p>
      <w:pPr>
        <w:spacing w:after="0" w:line="162" w:lineRule="exact"/>
        <w:rPr>
          <w:sz w:val="20"/>
          <w:szCs w:val="20"/>
          <w:color w:val="auto"/>
        </w:rPr>
      </w:pPr>
    </w:p>
    <w:p>
      <w:pPr>
        <w:ind w:left="-20" w:right="80" w:firstLine="987"/>
        <w:spacing w:after="0" w:line="253" w:lineRule="auto"/>
        <w:tabs>
          <w:tab w:leader="none" w:pos="1286"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 to the benefits of Sections 2.12, 2.13, 2.14, 9.03 and 9.17);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194" w:lineRule="exact"/>
        <w:rPr>
          <w:rFonts w:ascii="Times New Roman" w:cs="Times New Roman" w:eastAsia="Times New Roman" w:hAnsi="Times New Roman"/>
          <w:sz w:val="18"/>
          <w:szCs w:val="18"/>
          <w:color w:val="auto"/>
        </w:rPr>
      </w:pPr>
    </w:p>
    <w:p>
      <w:pPr>
        <w:ind w:left="-20" w:firstLine="987"/>
        <w:spacing w:after="0" w:line="255" w:lineRule="auto"/>
        <w:tabs>
          <w:tab w:leader="none" w:pos="1276"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Administrative Agent, acting solely for this purpose as a non-fiduciary agent of the Company, shall maintain at one of its offices a copy of each Assignment and Assumption with respect to the Revolving Facility delivered to it and records of the names and addresses of the Lenders, and the Revolving Commitments of, and principal amount (and stated interest) of the Loans owing to, each Lender pursuant to the terms hereof from time to time (the “</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the Administrative Agent and, as to entries pertaining to it, any Lender, at any reasonable time and from time to time upon reasonable prior notice.</w:t>
      </w:r>
    </w:p>
    <w:p>
      <w:pPr>
        <w:spacing w:after="0" w:line="188" w:lineRule="exact"/>
        <w:rPr>
          <w:rFonts w:ascii="Times New Roman" w:cs="Times New Roman" w:eastAsia="Times New Roman" w:hAnsi="Times New Roman"/>
          <w:sz w:val="18"/>
          <w:szCs w:val="18"/>
          <w:color w:val="auto"/>
        </w:rPr>
      </w:pPr>
    </w:p>
    <w:p>
      <w:pPr>
        <w:ind w:left="-20" w:right="140" w:firstLine="987"/>
        <w:spacing w:after="0" w:line="254" w:lineRule="auto"/>
        <w:tabs>
          <w:tab w:leader="none" w:pos="1226" w:val="left"/>
        </w:tabs>
        <w:numPr>
          <w:ilvl w:val="0"/>
          <w:numId w:val="2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hereunder) and the processing and recordation fee referred to in this Section, the Administrative Agent shall accept such Assignment and Assumption and record the information contained therein in the Register;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0960"/>
          </w:cols>
          <w:pgMar w:left="460" w:top="270" w:right="479" w:bottom="1440" w:gutter="0" w:footer="0" w:header="0"/>
        </w:sectPr>
      </w:pPr>
    </w:p>
    <w:bookmarkStart w:id="246" w:name="page247"/>
    <w:bookmarkEnd w:id="246"/>
    <w:p>
      <w:pPr>
        <w:ind w:left="4"/>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194" w:lineRule="exact"/>
        <w:rPr>
          <w:sz w:val="20"/>
          <w:szCs w:val="20"/>
          <w:color w:val="auto"/>
        </w:rPr>
      </w:pPr>
    </w:p>
    <w:p>
      <w:pPr>
        <w:ind w:left="4" w:right="20" w:firstLine="987"/>
        <w:spacing w:after="0" w:line="266" w:lineRule="auto"/>
        <w:tabs>
          <w:tab w:leader="none" w:pos="1240" w:val="left"/>
        </w:tabs>
        <w:numPr>
          <w:ilvl w:val="1"/>
          <w:numId w:val="23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 Any Lender may, without the consent of the Company or the Administrative Agent, sell participations to one or more Eligible Assignees (“</w:t>
      </w:r>
      <w:r>
        <w:rPr>
          <w:rFonts w:ascii="Times New Roman" w:cs="Times New Roman" w:eastAsia="Times New Roman" w:hAnsi="Times New Roman"/>
          <w:sz w:val="17"/>
          <w:szCs w:val="17"/>
          <w:u w:val="single" w:color="auto"/>
          <w:color w:val="auto"/>
        </w:rPr>
        <w:t>Participants</w:t>
      </w:r>
      <w:r>
        <w:rPr>
          <w:rFonts w:ascii="Times New Roman" w:cs="Times New Roman" w:eastAsia="Times New Roman" w:hAnsi="Times New Roman"/>
          <w:sz w:val="17"/>
          <w:szCs w:val="17"/>
          <w:color w:val="auto"/>
        </w:rPr>
        <w:t xml:space="preserve">”) in all or a portion of such Lender’s rights and/or obligations under this Agreement (including all or a portion of its Revolving Commitments and Loans);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Participant (x) agrees to be subject to the provisions of Sections 2.15 and 2.16 as if it were an assignee under paragraph (b) of this Section and</w:t>
      </w:r>
    </w:p>
    <w:p>
      <w:pPr>
        <w:spacing w:after="0" w:line="9" w:lineRule="exact"/>
        <w:rPr>
          <w:rFonts w:ascii="Times New Roman" w:cs="Times New Roman" w:eastAsia="Times New Roman" w:hAnsi="Times New Roman"/>
          <w:sz w:val="17"/>
          <w:szCs w:val="17"/>
          <w:color w:val="auto"/>
        </w:rPr>
      </w:pPr>
    </w:p>
    <w:p>
      <w:pPr>
        <w:ind w:left="4" w:right="100" w:hanging="4"/>
        <w:spacing w:after="0" w:line="252" w:lineRule="auto"/>
        <w:tabs>
          <w:tab w:leader="none" w:pos="259" w:val="left"/>
        </w:tabs>
        <w:numPr>
          <w:ilvl w:val="0"/>
          <w:numId w:val="2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Participant agrees to be subject to Section 2.15(c) as though it were a Lender.</w:t>
      </w:r>
    </w:p>
    <w:p>
      <w:pPr>
        <w:spacing w:after="0" w:line="122"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0984"/>
          </w:cols>
          <w:pgMar w:left="436" w:top="270" w:right="479" w:bottom="1440" w:gutter="0" w:footer="0" w:header="0"/>
        </w:sectPr>
      </w:pPr>
    </w:p>
    <w:bookmarkStart w:id="247" w:name="page248"/>
    <w:bookmarkEnd w:id="247"/>
    <w:p>
      <w:pPr>
        <w:ind w:left="440" w:right="80" w:firstLine="525"/>
        <w:spacing w:after="0" w:line="253" w:lineRule="auto"/>
        <w:tabs>
          <w:tab w:leader="none" w:pos="1233" w:val="left"/>
        </w:tabs>
        <w:numPr>
          <w:ilvl w:val="0"/>
          <w:numId w:val="2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Lender shall have any obligation to disclose all or any portion of the Participant Register (including the identity of any Participant or any information relating to a Participant’s interest in any Revolving Commitments, Loans or other rights and/or obligations under this Agreement or any other Loan Document) to any Person except to the extent that such disclosure is necessary to establish that any such Revolving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the Administrative Agent (in its capacity as the Administrative Agent) shall not have any responsibility for maintaining a Participant Register.</w:t>
      </w:r>
    </w:p>
    <w:p>
      <w:pPr>
        <w:spacing w:after="0" w:line="194" w:lineRule="exact"/>
        <w:rPr>
          <w:rFonts w:ascii="Times New Roman" w:cs="Times New Roman" w:eastAsia="Times New Roman" w:hAnsi="Times New Roman"/>
          <w:sz w:val="18"/>
          <w:szCs w:val="18"/>
          <w:color w:val="auto"/>
        </w:rPr>
      </w:pPr>
    </w:p>
    <w:p>
      <w:pPr>
        <w:ind w:right="20" w:firstLine="987"/>
        <w:spacing w:after="0" w:line="261" w:lineRule="auto"/>
        <w:tabs>
          <w:tab w:leader="none" w:pos="1246" w:val="left"/>
        </w:tabs>
        <w:numPr>
          <w:ilvl w:val="1"/>
          <w:numId w:val="2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pledge or grant of a security interest shall release a Lender from any of its obligations hereunder or substitute any such pledgee or assignee for such Lender as a party hereto.</w:t>
      </w:r>
    </w:p>
    <w:p>
      <w:pPr>
        <w:spacing w:after="0" w:line="18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9.05. </w:t>
      </w:r>
      <w:r>
        <w:rPr>
          <w:rFonts w:ascii="Times New Roman" w:cs="Times New Roman" w:eastAsia="Times New Roman" w:hAnsi="Times New Roman"/>
          <w:sz w:val="18"/>
          <w:szCs w:val="18"/>
          <w:u w:val="single" w:color="auto"/>
          <w:color w:val="auto"/>
        </w:rPr>
        <w:t>Survival</w:t>
      </w:r>
      <w:r>
        <w:rPr>
          <w:rFonts w:ascii="Times New Roman" w:cs="Times New Roman" w:eastAsia="Times New Roman" w:hAnsi="Times New Roman"/>
          <w:sz w:val="18"/>
          <w:szCs w:val="18"/>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Administrative Agent, the Arrangers, the Syndication Agent, the 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Revolving Commitments have not expired or terminated. The provisions of Sections 2.12, 2.13, 2.14, 2.15(d), 2.15(e), 9.03 and 9.17 and Article VIII shall survive and remain in full force and effect</w:t>
      </w:r>
    </w:p>
    <w:p>
      <w:pPr>
        <w:spacing w:after="0" w:line="1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1000"/>
          </w:cols>
          <w:pgMar w:left="440" w:top="270" w:right="459" w:bottom="1440" w:gutter="0" w:footer="0" w:header="0"/>
        </w:sectPr>
      </w:pPr>
    </w:p>
    <w:bookmarkStart w:id="248" w:name="page249"/>
    <w:bookmarkEnd w:id="248"/>
    <w:p>
      <w:pPr>
        <w:ind w:right="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regardless of the consummation of the transactions contemplated hereby, the repayment of the Loans and the expiration or termination of the Revolving Commitments or the termination of this Agreement or any provision hereof.</w:t>
      </w:r>
    </w:p>
    <w:p>
      <w:pPr>
        <w:spacing w:after="0" w:line="162"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9.06. </w:t>
      </w:r>
      <w:r>
        <w:rPr>
          <w:rFonts w:ascii="Times New Roman" w:cs="Times New Roman" w:eastAsia="Times New Roman" w:hAnsi="Times New Roman"/>
          <w:sz w:val="18"/>
          <w:szCs w:val="18"/>
          <w:u w:val="single" w:color="auto"/>
          <w:color w:val="auto"/>
        </w:rPr>
        <w:t>Counterparts; Integration; Effectiveness; Electronic Execution</w:t>
      </w:r>
      <w:r>
        <w:rPr>
          <w:rFonts w:ascii="Times New Roman" w:cs="Times New Roman" w:eastAsia="Times New Roman" w:hAnsi="Times New Roman"/>
          <w:sz w:val="18"/>
          <w:szCs w:val="18"/>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Revolving Facility under the Commitment Letter and any commitment advices with respect to the Revolving Facility submitted by any Lender (but do not supersede any other provisions of the Commitment Letter or the Fee Letter that do not by the terms of such documents terminate upon the effectiveness of this Agreement, all of which provisions shall remain in full force and effect). Except as provided in Section 4.01,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w:t>
      </w:r>
    </w:p>
    <w:p>
      <w:pPr>
        <w:spacing w:after="0" w:line="86" w:lineRule="exact"/>
        <w:rPr>
          <w:sz w:val="20"/>
          <w:szCs w:val="20"/>
          <w:color w:val="auto"/>
        </w:rPr>
      </w:pPr>
    </w:p>
    <w:p>
      <w:pPr>
        <w:ind w:left="440" w:right="20" w:firstLine="525"/>
        <w:spacing w:after="0" w:line="269" w:lineRule="auto"/>
        <w:tabs>
          <w:tab w:leader="none" w:pos="1223" w:val="left"/>
        </w:tabs>
        <w:numPr>
          <w:ilvl w:val="0"/>
          <w:numId w:val="24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This Agreement and any document, amendment, approval, consent, information, notice, certificate, request, statement, disclosure or authorization related to this Agreement (each a “</w:t>
      </w:r>
      <w:r>
        <w:rPr>
          <w:rFonts w:ascii="Times New Roman" w:cs="Times New Roman" w:eastAsia="Times New Roman" w:hAnsi="Times New Roman"/>
          <w:sz w:val="17"/>
          <w:szCs w:val="17"/>
          <w:u w:val="single" w:color="auto"/>
          <w:color w:val="auto"/>
        </w:rPr>
        <w:t>Communication</w:t>
      </w:r>
      <w:r>
        <w:rPr>
          <w:rFonts w:ascii="Times New Roman" w:cs="Times New Roman" w:eastAsia="Times New Roman" w:hAnsi="Times New Roman"/>
          <w:sz w:val="17"/>
          <w:szCs w:val="17"/>
          <w:color w:val="auto"/>
        </w:rPr>
        <w:t>”), including Communications required to be in writing, may be in the form of an Electronic Record and may be executed using Electronic Signatures. The Company agrees that any Electronic Signature on or associated with any Communication shall be valid and binding on the Company to the same extent as a manual, original signature, and that any Communication entered into by Electronic Signature, will constitute the legal, valid and binding obligation of the Company enforceable against such in accordance with the terms thereof to the same extent as if a manually executed original signature was delivered. Any Communication may be executed in as many counterparts as necessary or convenient, including both paper and electronic counterparts, but all such counterparts are one and the same Communication. For the avoidance of doubt, the authorization under this paragraph may include, without limitation, use or acceptance by the Administrative Agent and each of the Lenders of a manually signed paper Communication which has been converted into electronic form (such as scanned into PDF format), or an electronically signed Communication converted into another format, for transmission, delivery and/or retention. The Administrative Agent and each of the Lenders may, at its option, create one or more copies of any Communication in the form of an imaged Electronic Record (“</w:t>
      </w:r>
      <w:r>
        <w:rPr>
          <w:rFonts w:ascii="Times New Roman" w:cs="Times New Roman" w:eastAsia="Times New Roman" w:hAnsi="Times New Roman"/>
          <w:sz w:val="17"/>
          <w:szCs w:val="17"/>
          <w:u w:val="single" w:color="auto"/>
          <w:color w:val="auto"/>
        </w:rPr>
        <w:t>Electronic Copy</w:t>
      </w:r>
      <w:r>
        <w:rPr>
          <w:rFonts w:ascii="Times New Roman" w:cs="Times New Roman" w:eastAsia="Times New Roman" w:hAnsi="Times New Roman"/>
          <w:sz w:val="17"/>
          <w:szCs w:val="17"/>
          <w:color w:val="auto"/>
        </w:rPr>
        <w:t>”), which shall be deemed created in the ordinary course of the such Person’s business, and destroy the original paper document. All Communications in the form of an Electronic Record, including an Electronic Copy, shall be considered</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94</w:t>
      </w:r>
    </w:p>
    <w:p>
      <w:pPr>
        <w:sectPr>
          <w:pgSz w:w="11900" w:h="16838" w:orient="portrait"/>
          <w:cols w:equalWidth="0" w:num="1">
            <w:col w:w="11000"/>
          </w:cols>
          <w:pgMar w:left="440" w:top="270" w:right="459" w:bottom="1440" w:gutter="0" w:footer="0" w:header="0"/>
        </w:sectPr>
      </w:pPr>
    </w:p>
    <w:bookmarkStart w:id="249" w:name="page250"/>
    <w:bookmarkEnd w:id="249"/>
    <w:p>
      <w:pPr>
        <w:ind w:left="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 original for all purposes, and shall have the same legal effect, validity and enforceability as a paper record. Notwithstanding anything contained herein to the contrary, the Administrative Agent is under no obligation to accept an Electronic Signature in any form or in any format unless expressly agreed to by the Administrative Agent pursuant to procedures approved by it; provided, further, without limiting the foregoing, (i) to the extent the Administrative Agent has agreed to accept such Electronic Signature, the Administrative Agent and each of the Lenders shall be entitled to rely on any such Electronic Signature purportedly given by or on behalf of the Company without further verification and (ii) upon the request of the Administrative Agent or any Lender, any Electronic Signature shall be promptly followed by such manually executed counterpart. For purposes hereof, “</w:t>
      </w:r>
      <w:r>
        <w:rPr>
          <w:rFonts w:ascii="Times New Roman" w:cs="Times New Roman" w:eastAsia="Times New Roman" w:hAnsi="Times New Roman"/>
          <w:sz w:val="18"/>
          <w:szCs w:val="18"/>
          <w:u w:val="single" w:color="auto"/>
          <w:color w:val="auto"/>
        </w:rPr>
        <w:t>Electronic Record</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Electronic Signature</w:t>
      </w:r>
      <w:r>
        <w:rPr>
          <w:rFonts w:ascii="Times New Roman" w:cs="Times New Roman" w:eastAsia="Times New Roman" w:hAnsi="Times New Roman"/>
          <w:sz w:val="18"/>
          <w:szCs w:val="18"/>
          <w:color w:val="auto"/>
        </w:rPr>
        <w:t>” shall have the meanings assigned to them, respectively, by 15 USC §7006, as it may be amended from time to time.</w:t>
      </w:r>
    </w:p>
    <w:p>
      <w:pPr>
        <w:spacing w:after="0" w:line="192"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9.07.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0" w:lineRule="exact"/>
        <w:rPr>
          <w:sz w:val="20"/>
          <w:szCs w:val="20"/>
          <w:color w:val="auto"/>
        </w:rPr>
      </w:pPr>
    </w:p>
    <w:p>
      <w:pPr>
        <w:ind w:right="60"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9.08. </w:t>
      </w:r>
      <w:r>
        <w:rPr>
          <w:rFonts w:ascii="Times New Roman" w:cs="Times New Roman" w:eastAsia="Times New Roman" w:hAnsi="Times New Roman"/>
          <w:sz w:val="18"/>
          <w:szCs w:val="18"/>
          <w:u w:val="single" w:color="auto"/>
          <w:color w:val="auto"/>
        </w:rPr>
        <w:t>Right of Setoff</w:t>
      </w:r>
      <w:r>
        <w:rPr>
          <w:rFonts w:ascii="Times New Roman" w:cs="Times New Roman" w:eastAsia="Times New Roman" w:hAnsi="Times New Roman"/>
          <w:sz w:val="18"/>
          <w:szCs w:val="18"/>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in the event that any Defaulting Lender shall exercise any such right of setoff, (x) all amounts so set off shall be paid over immediately to the Administrative Agent for further application in accordance with the provisions of Section 2.17 and, pending such payment, shall be segregated by such Defaulting Lender from its other funds and deemed held in trust for the benefit of the Administrative Agent and the Lenders and (y) the Defaulting Lender shall provide promptly to the Administrative Agent a statement describing in reasonable detail the Obligations owing to such Defaulting Lender as to which it exercised such right of setoff.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failure to give notice shall not affect the validity of such setoff and application.</w:t>
      </w:r>
    </w:p>
    <w:p>
      <w:pPr>
        <w:spacing w:after="0" w:line="13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1000"/>
          </w:cols>
          <w:pgMar w:left="440" w:top="270" w:right="459" w:bottom="1440" w:gutter="0" w:footer="0" w:header="0"/>
        </w:sectPr>
      </w:pPr>
    </w:p>
    <w:bookmarkStart w:id="250" w:name="page251"/>
    <w:bookmarkEnd w:id="250"/>
    <w:p>
      <w:pPr>
        <w:ind w:right="14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9.09. </w:t>
      </w:r>
      <w:r>
        <w:rPr>
          <w:rFonts w:ascii="Times New Roman" w:cs="Times New Roman" w:eastAsia="Times New Roman" w:hAnsi="Times New Roman"/>
          <w:sz w:val="18"/>
          <w:szCs w:val="18"/>
          <w:u w:val="single" w:color="auto"/>
          <w:color w:val="auto"/>
        </w:rPr>
        <w:t>Governing Law; Jurisdiction; Consent to Service of Process</w:t>
      </w:r>
      <w:r>
        <w:rPr>
          <w:rFonts w:ascii="Times New Roman" w:cs="Times New Roman" w:eastAsia="Times New Roman" w:hAnsi="Times New Roman"/>
          <w:sz w:val="18"/>
          <w:szCs w:val="18"/>
          <w:color w:val="auto"/>
        </w:rPr>
        <w:t>. (a) This Agreement shall be governed by, and construed in accordance with, the law of the State of New York.</w:t>
      </w:r>
    </w:p>
    <w:p>
      <w:pPr>
        <w:spacing w:after="0" w:line="162" w:lineRule="exact"/>
        <w:rPr>
          <w:sz w:val="20"/>
          <w:szCs w:val="20"/>
          <w:color w:val="auto"/>
        </w:rPr>
      </w:pPr>
    </w:p>
    <w:p>
      <w:pPr>
        <w:ind w:firstLine="987"/>
        <w:spacing w:after="0" w:line="253" w:lineRule="auto"/>
        <w:tabs>
          <w:tab w:leader="none" w:pos="1246"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hereto hereby irrevocably and unconditionally submits, for itself and its property, to the jurisdiction of the United States District Court of the Southern District of New York (or if such court lacks subject matter jurisdiction,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194" w:lineRule="exact"/>
        <w:rPr>
          <w:rFonts w:ascii="Times New Roman" w:cs="Times New Roman" w:eastAsia="Times New Roman" w:hAnsi="Times New Roman"/>
          <w:sz w:val="18"/>
          <w:szCs w:val="18"/>
          <w:color w:val="auto"/>
        </w:rPr>
      </w:pPr>
    </w:p>
    <w:p>
      <w:pPr>
        <w:ind w:right="100" w:firstLine="987"/>
        <w:spacing w:after="0" w:line="261" w:lineRule="auto"/>
        <w:tabs>
          <w:tab w:leader="none" w:pos="1236"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79" w:lineRule="exact"/>
        <w:rPr>
          <w:rFonts w:ascii="Times New Roman" w:cs="Times New Roman" w:eastAsia="Times New Roman" w:hAnsi="Times New Roman"/>
          <w:sz w:val="18"/>
          <w:szCs w:val="18"/>
          <w:color w:val="auto"/>
        </w:rPr>
      </w:pPr>
    </w:p>
    <w:p>
      <w:pPr>
        <w:ind w:right="160" w:firstLine="987"/>
        <w:spacing w:after="0" w:line="266" w:lineRule="auto"/>
        <w:tabs>
          <w:tab w:leader="none" w:pos="1246"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to this Agreement (other than Marvell)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75" w:lineRule="exact"/>
        <w:rPr>
          <w:rFonts w:ascii="Times New Roman" w:cs="Times New Roman" w:eastAsia="Times New Roman" w:hAnsi="Times New Roman"/>
          <w:sz w:val="18"/>
          <w:szCs w:val="18"/>
          <w:color w:val="auto"/>
        </w:rPr>
      </w:pPr>
    </w:p>
    <w:p>
      <w:pPr>
        <w:ind w:right="360" w:firstLine="987"/>
        <w:spacing w:after="0" w:line="256" w:lineRule="auto"/>
        <w:tabs>
          <w:tab w:leader="none" w:pos="1236"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SERVICE OF PROCESS (MARVELL). WITHOUT PREJUDICE TO ANY OTHER MODE OF SERVICE ALLOWED UNDER ANY RELEVANT LAW, MARVELL: (i) IRREVOCABLY APPOINTS MAUI TOPCO AS ITS AGENT FOR SERVICE OF PROCESS IN RELATION TO ANY PROCEEDINGS BEFORE THE COURTS OF THE STATE OF NEW YORK IN CONNECTION WITH ANY LOAN DOCUMENT AND (ii) AGREES THAT FAILURE BY A PROCESS AGENT TO NOTIFY MARVELL OF THE PROCESS WILL NOT INVALIDATE THE PROCEEDINGS CONCERNED. MARVELL EXPRESSLY AGREES AND CONSENTS TO THE PROVISIONS OF THIS SECTION 9.09(e).</w:t>
      </w:r>
    </w:p>
    <w:p>
      <w:pPr>
        <w:spacing w:after="0" w:line="187" w:lineRule="exact"/>
        <w:rPr>
          <w:rFonts w:ascii="Times New Roman" w:cs="Times New Roman" w:eastAsia="Times New Roman" w:hAnsi="Times New Roman"/>
          <w:sz w:val="18"/>
          <w:szCs w:val="18"/>
          <w:color w:val="auto"/>
        </w:rPr>
      </w:pPr>
    </w:p>
    <w:p>
      <w:pPr>
        <w:ind w:right="300" w:firstLine="987"/>
        <w:spacing w:after="0" w:line="282" w:lineRule="auto"/>
        <w:tabs>
          <w:tab w:leader="none" w:pos="1216" w:val="left"/>
        </w:tabs>
        <w:numPr>
          <w:ilvl w:val="0"/>
          <w:numId w:val="2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the Company or any of its assets has or hereafter acquires, in any jurisdiction in which judicial proceedings may at any time be commenced with</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0960"/>
          </w:cols>
          <w:pgMar w:left="440" w:top="270" w:right="499" w:bottom="1440" w:gutter="0" w:footer="0" w:header="0"/>
        </w:sectPr>
      </w:pPr>
    </w:p>
    <w:bookmarkStart w:id="251" w:name="page252"/>
    <w:bookmarkEnd w:id="251"/>
    <w:p>
      <w:pPr>
        <w:ind w:left="4" w:right="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76" w:lineRule="exact"/>
        <w:rPr>
          <w:sz w:val="20"/>
          <w:szCs w:val="20"/>
          <w:color w:val="auto"/>
        </w:rPr>
      </w:pPr>
    </w:p>
    <w:p>
      <w:pPr>
        <w:ind w:left="4" w:right="60"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9.10. </w:t>
      </w:r>
      <w:r>
        <w:rPr>
          <w:rFonts w:ascii="Times New Roman" w:cs="Times New Roman" w:eastAsia="Times New Roman" w:hAnsi="Times New Roman"/>
          <w:sz w:val="17"/>
          <w:szCs w:val="17"/>
          <w:u w:val="single" w:color="auto"/>
          <w:color w:val="auto"/>
        </w:rPr>
        <w:t>WAIVER OF JURY TRIAL</w:t>
      </w:r>
      <w:r>
        <w:rPr>
          <w:rFonts w:ascii="Times New Roman" w:cs="Times New Roman" w:eastAsia="Times New Roman" w:hAnsi="Times New Roman"/>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2" w:lineRule="exact"/>
        <w:rPr>
          <w:sz w:val="20"/>
          <w:szCs w:val="20"/>
          <w:color w:val="auto"/>
        </w:rPr>
      </w:pPr>
    </w:p>
    <w:p>
      <w:pPr>
        <w:ind w:left="4" w:right="1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9.11. </w:t>
      </w:r>
      <w:r>
        <w:rPr>
          <w:rFonts w:ascii="Times New Roman" w:cs="Times New Roman" w:eastAsia="Times New Roman" w:hAnsi="Times New Roman"/>
          <w:sz w:val="18"/>
          <w:szCs w:val="18"/>
          <w:u w:val="single" w:color="auto"/>
          <w:color w:val="auto"/>
        </w:rPr>
        <w:t>Headings</w:t>
      </w:r>
      <w:r>
        <w:rPr>
          <w:rFonts w:ascii="Times New Roman" w:cs="Times New Roman" w:eastAsia="Times New Roman" w:hAnsi="Times New Roman"/>
          <w:sz w:val="18"/>
          <w:szCs w:val="18"/>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62" w:lineRule="exact"/>
        <w:rPr>
          <w:sz w:val="20"/>
          <w:szCs w:val="20"/>
          <w:color w:val="auto"/>
        </w:rPr>
      </w:pPr>
    </w:p>
    <w:p>
      <w:pPr>
        <w:ind w:left="4" w:firstLine="991"/>
        <w:spacing w:after="0" w:line="267" w:lineRule="auto"/>
        <w:rPr>
          <w:sz w:val="20"/>
          <w:szCs w:val="20"/>
          <w:color w:val="auto"/>
        </w:rPr>
      </w:pPr>
      <w:r>
        <w:rPr>
          <w:rFonts w:ascii="Times New Roman" w:cs="Times New Roman" w:eastAsia="Times New Roman" w:hAnsi="Times New Roman"/>
          <w:sz w:val="17"/>
          <w:szCs w:val="17"/>
          <w:color w:val="auto"/>
        </w:rPr>
        <w:t xml:space="preserve">SECTION 9.12. </w:t>
      </w:r>
      <w:r>
        <w:rPr>
          <w:rFonts w:ascii="Times New Roman" w:cs="Times New Roman" w:eastAsia="Times New Roman" w:hAnsi="Times New Roman"/>
          <w:sz w:val="17"/>
          <w:szCs w:val="17"/>
          <w:u w:val="single" w:color="auto"/>
          <w:color w:val="auto"/>
        </w:rPr>
        <w:t>Confidentiality</w:t>
      </w:r>
      <w:r>
        <w:rPr>
          <w:rFonts w:ascii="Times New Roman" w:cs="Times New Roman" w:eastAsia="Times New Roman" w:hAnsi="Times New Roman"/>
          <w:sz w:val="17"/>
          <w:szCs w:val="17"/>
          <w:color w:val="auto"/>
        </w:rPr>
        <w:t xml:space="preserve">. Each of the Administrative Agent and the Lenders agrees to maintain the confidentiality of, and not disclose,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w:t>
      </w:r>
    </w:p>
    <w:p>
      <w:pPr>
        <w:spacing w:after="0" w:line="5" w:lineRule="exact"/>
        <w:rPr>
          <w:sz w:val="20"/>
          <w:szCs w:val="20"/>
          <w:color w:val="auto"/>
        </w:rPr>
      </w:pPr>
    </w:p>
    <w:p>
      <w:pPr>
        <w:ind w:left="4" w:right="60" w:hanging="4"/>
        <w:spacing w:after="0" w:line="253" w:lineRule="auto"/>
        <w:tabs>
          <w:tab w:leader="none" w:pos="249" w:val="left"/>
        </w:tabs>
        <w:numPr>
          <w:ilvl w:val="0"/>
          <w:numId w:val="2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w:t>
      </w:r>
    </w:p>
    <w:p>
      <w:pPr>
        <w:spacing w:after="0" w:line="121" w:lineRule="exact"/>
        <w:rPr>
          <w:sz w:val="20"/>
          <w:szCs w:val="20"/>
          <w:color w:val="auto"/>
        </w:rPr>
      </w:pPr>
    </w:p>
    <w:p>
      <w:pPr>
        <w:jc w:val="center"/>
        <w:ind w:right="-83"/>
        <w:spacing w:after="0"/>
        <w:rPr>
          <w:sz w:val="20"/>
          <w:szCs w:val="20"/>
          <w:color w:val="auto"/>
        </w:rPr>
      </w:pPr>
      <w:r>
        <w:rPr>
          <w:rFonts w:ascii="Times New Roman" w:cs="Times New Roman" w:eastAsia="Times New Roman" w:hAnsi="Times New Roman"/>
          <w:sz w:val="18"/>
          <w:szCs w:val="18"/>
          <w:color w:val="auto"/>
        </w:rPr>
        <w:t>97</w:t>
      </w:r>
    </w:p>
    <w:p>
      <w:pPr>
        <w:sectPr>
          <w:pgSz w:w="11900" w:h="16838" w:orient="portrait"/>
          <w:cols w:equalWidth="0" w:num="1">
            <w:col w:w="10944"/>
          </w:cols>
          <w:pgMar w:left="436" w:top="270" w:right="519" w:bottom="1440" w:gutter="0" w:footer="0" w:header="0"/>
        </w:sectPr>
      </w:pPr>
    </w:p>
    <w:bookmarkStart w:id="252" w:name="page253"/>
    <w:bookmarkEnd w:id="252"/>
    <w:p>
      <w:pPr>
        <w:jc w:val="both"/>
        <w:ind w:left="4" w:hanging="4"/>
        <w:spacing w:after="0" w:line="272" w:lineRule="auto"/>
        <w:tabs>
          <w:tab w:leader="none" w:pos="229" w:val="left"/>
        </w:tabs>
        <w:numPr>
          <w:ilvl w:val="0"/>
          <w:numId w:val="24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w:t>
      </w:r>
    </w:p>
    <w:p>
      <w:pPr>
        <w:spacing w:after="0" w:line="1" w:lineRule="exact"/>
        <w:rPr>
          <w:rFonts w:ascii="Times New Roman" w:cs="Times New Roman" w:eastAsia="Times New Roman" w:hAnsi="Times New Roman"/>
          <w:sz w:val="17"/>
          <w:szCs w:val="17"/>
          <w:color w:val="auto"/>
        </w:rPr>
      </w:pPr>
    </w:p>
    <w:p>
      <w:pPr>
        <w:ind w:left="4" w:hanging="4"/>
        <w:spacing w:after="0" w:line="251" w:lineRule="auto"/>
        <w:tabs>
          <w:tab w:leader="none" w:pos="269" w:val="left"/>
        </w:tabs>
        <w:numPr>
          <w:ilvl w:val="0"/>
          <w:numId w:val="2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actual or prospective counterparty (or its Related Parties) to any swap or derivative transaction relating to the Company 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information is limited to the information about this Agreement and the other Loan Documents, (j) to the extent such Information (i) becomes publicly available other than as a result of a breach of this Section, (ii) becomes available to the Administrative Agent, any Lender or any Affiliate of any of the foregoing on a nonconfidential basis from a source other than the Company or any Subsidiary that is not known by the Administrative Agent, Lender or Affiliate to be prohibited from disclosing such Information to such Person by a legal, contractual, or fiduciary obligation owed to the Company or any of its Subsidiaries or (iii) is independently developed by the Administrative Agent, any Lender or any Affiliate of the foregoing, or (k) to any credit insurance provider relating to the Company and its Obligations. For purposes of this Section, “</w:t>
      </w:r>
      <w:r>
        <w:rPr>
          <w:rFonts w:ascii="Times New Roman" w:cs="Times New Roman" w:eastAsia="Times New Roman" w:hAnsi="Times New Roman"/>
          <w:sz w:val="18"/>
          <w:szCs w:val="18"/>
          <w:u w:val="single" w:color="auto"/>
          <w:color w:val="auto"/>
        </w:rPr>
        <w:t>Information</w:t>
      </w:r>
      <w:r>
        <w:rPr>
          <w:rFonts w:ascii="Times New Roman" w:cs="Times New Roman" w:eastAsia="Times New Roman" w:hAnsi="Times New Roman"/>
          <w:sz w:val="18"/>
          <w:szCs w:val="18"/>
          <w:color w:val="auto"/>
        </w:rPr>
        <w:t>” means all information received from the Company or any Subsidiary relating to the Company or any Subsidiary or its businesses (including information regarding Inphi and its subsidiaries), other than any such information that is available to the Administrative Agent, any Lender or any Affiliate of any of the foregoing on a nonconfidential basis prior to disclosure by the Company or any Subsidiary. It is agreed that, notwithstanding the restrictions of any prior confidentiality agreement binding on the Administrative Agent or the Arrangers, such Persons may disclose Information as provided in this Section.</w:t>
      </w:r>
    </w:p>
    <w:p>
      <w:pPr>
        <w:spacing w:after="0" w:line="190" w:lineRule="exact"/>
        <w:rPr>
          <w:sz w:val="20"/>
          <w:szCs w:val="20"/>
          <w:color w:val="auto"/>
        </w:rPr>
      </w:pPr>
    </w:p>
    <w:p>
      <w:pPr>
        <w:ind w:left="4" w:right="6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9.13. </w:t>
      </w:r>
      <w:r>
        <w:rPr>
          <w:rFonts w:ascii="Times New Roman" w:cs="Times New Roman" w:eastAsia="Times New Roman" w:hAnsi="Times New Roman"/>
          <w:sz w:val="18"/>
          <w:szCs w:val="18"/>
          <w:u w:val="single" w:color="auto"/>
          <w:color w:val="auto"/>
        </w:rPr>
        <w:t>Interest Rate Limitation</w:t>
      </w:r>
      <w:r>
        <w:rPr>
          <w:rFonts w:ascii="Times New Roman" w:cs="Times New Roman" w:eastAsia="Times New Roman" w:hAnsi="Times New Roman"/>
          <w:sz w:val="18"/>
          <w:szCs w:val="18"/>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shall exceed the maximum lawful rate (the “</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2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98</w:t>
      </w:r>
    </w:p>
    <w:p>
      <w:pPr>
        <w:sectPr>
          <w:pgSz w:w="11900" w:h="16838" w:orient="portrait"/>
          <w:cols w:equalWidth="0" w:num="1">
            <w:col w:w="10984"/>
          </w:cols>
          <w:pgMar w:left="436" w:top="270" w:right="479" w:bottom="1440" w:gutter="0" w:footer="0" w:header="0"/>
        </w:sectPr>
      </w:pPr>
    </w:p>
    <w:bookmarkStart w:id="253" w:name="page254"/>
    <w:bookmarkEnd w:id="253"/>
    <w:p>
      <w:pPr>
        <w:ind w:left="4" w:firstLine="991"/>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9.14. </w:t>
      </w:r>
      <w:r>
        <w:rPr>
          <w:rFonts w:ascii="Times New Roman" w:cs="Times New Roman" w:eastAsia="Times New Roman" w:hAnsi="Times New Roman"/>
          <w:sz w:val="18"/>
          <w:szCs w:val="18"/>
          <w:u w:val="single" w:color="auto"/>
          <w:color w:val="auto"/>
        </w:rPr>
        <w:t>USA PATRIOT Act Notice</w:t>
      </w:r>
      <w:r>
        <w:rPr>
          <w:rFonts w:ascii="Times New Roman" w:cs="Times New Roman" w:eastAsia="Times New Roman" w:hAnsi="Times New Roman"/>
          <w:sz w:val="18"/>
          <w:szCs w:val="18"/>
          <w:color w:val="auto"/>
        </w:rPr>
        <w:t>. Each Lender and the Administrative Agent (for itself and not on behalf of any Lender) hereby notifies the Company that pursuant to the requirements of the USA PATRIOT Act and the Beneficial Ownership Regulation it is required to obtain, verify and record information that identifies Marvell and Maui Topco, which information includes the name and address of Marvell and Maui Topco and other information that will allow such Lender or the Administrative Agent, as applicable, to identify Marvell and Maui Topco in accordance with the USA PATRIOT Act and the Beneficial Ownership Regulation.</w:t>
      </w:r>
    </w:p>
    <w:p>
      <w:pPr>
        <w:spacing w:after="0" w:line="183" w:lineRule="exact"/>
        <w:rPr>
          <w:sz w:val="20"/>
          <w:szCs w:val="20"/>
          <w:color w:val="auto"/>
        </w:rPr>
      </w:pPr>
    </w:p>
    <w:p>
      <w:pPr>
        <w:ind w:left="4" w:right="4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9.15. </w:t>
      </w:r>
      <w:r>
        <w:rPr>
          <w:rFonts w:ascii="Times New Roman" w:cs="Times New Roman" w:eastAsia="Times New Roman" w:hAnsi="Times New Roman"/>
          <w:sz w:val="18"/>
          <w:szCs w:val="18"/>
          <w:u w:val="single" w:color="auto"/>
          <w:color w:val="auto"/>
        </w:rPr>
        <w:t>No Fiduciary Relationship</w:t>
      </w:r>
      <w:r>
        <w:rPr>
          <w:rFonts w:ascii="Times New Roman" w:cs="Times New Roman" w:eastAsia="Times New Roman" w:hAnsi="Times New Roman"/>
          <w:sz w:val="18"/>
          <w:szCs w:val="18"/>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Arrangers, the Lenders and their Affiliates may be engaged, for their own accounts or the accounts of customers, in a broad range of transactions that involve interests that differ from those of the Company and its Affiliates, and none of the Administrative Agent,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Arrangers, the Lenders or their Affiliates with respect to any breach or alleged breach of agency or fiduciary duty in connection with any aspect of any transaction contemplated hereby.</w:t>
      </w:r>
    </w:p>
    <w:p>
      <w:pPr>
        <w:spacing w:after="0" w:line="194" w:lineRule="exact"/>
        <w:rPr>
          <w:sz w:val="20"/>
          <w:szCs w:val="20"/>
          <w:color w:val="auto"/>
        </w:rPr>
      </w:pPr>
    </w:p>
    <w:p>
      <w:pPr>
        <w:ind w:left="4" w:right="220"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9.16. </w:t>
      </w:r>
      <w:r>
        <w:rPr>
          <w:rFonts w:ascii="Times New Roman" w:cs="Times New Roman" w:eastAsia="Times New Roman" w:hAnsi="Times New Roman"/>
          <w:sz w:val="17"/>
          <w:szCs w:val="17"/>
          <w:u w:val="single" w:color="auto"/>
          <w:color w:val="auto"/>
        </w:rPr>
        <w:t>Non-Public Information</w:t>
      </w:r>
      <w:r>
        <w:rPr>
          <w:rFonts w:ascii="Times New Roman" w:cs="Times New Roman" w:eastAsia="Times New Roman" w:hAnsi="Times New Roman"/>
          <w:sz w:val="17"/>
          <w:szCs w:val="17"/>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spacing w:after="0" w:line="2" w:lineRule="exact"/>
        <w:rPr>
          <w:sz w:val="20"/>
          <w:szCs w:val="20"/>
          <w:color w:val="auto"/>
        </w:rPr>
      </w:pPr>
    </w:p>
    <w:p>
      <w:pPr>
        <w:ind w:left="4" w:right="120" w:hanging="4"/>
        <w:spacing w:after="0" w:line="253" w:lineRule="auto"/>
        <w:tabs>
          <w:tab w:leader="none" w:pos="219" w:val="left"/>
        </w:tabs>
        <w:numPr>
          <w:ilvl w:val="0"/>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88" w:lineRule="exact"/>
        <w:rPr>
          <w:rFonts w:ascii="Times New Roman" w:cs="Times New Roman" w:eastAsia="Times New Roman" w:hAnsi="Times New Roman"/>
          <w:sz w:val="18"/>
          <w:szCs w:val="18"/>
          <w:color w:val="auto"/>
        </w:rPr>
      </w:pPr>
    </w:p>
    <w:p>
      <w:pPr>
        <w:ind w:left="4" w:right="500" w:firstLine="987"/>
        <w:spacing w:after="0" w:line="266" w:lineRule="auto"/>
        <w:tabs>
          <w:tab w:leader="none" w:pos="1250" w:val="left"/>
        </w:tabs>
        <w:numPr>
          <w:ilvl w:val="1"/>
          <w:numId w:val="2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w:t>
      </w:r>
    </w:p>
    <w:p>
      <w:pPr>
        <w:spacing w:after="0" w:line="10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99</w:t>
      </w:r>
    </w:p>
    <w:p>
      <w:pPr>
        <w:sectPr>
          <w:pgSz w:w="11900" w:h="16838" w:orient="portrait"/>
          <w:cols w:equalWidth="0" w:num="1">
            <w:col w:w="11004"/>
          </w:cols>
          <w:pgMar w:left="436" w:top="270" w:right="459" w:bottom="1440" w:gutter="0" w:footer="0" w:header="0"/>
        </w:sectPr>
      </w:pPr>
    </w:p>
    <w:bookmarkStart w:id="254" w:name="page255"/>
    <w:bookmarkEnd w:id="254"/>
    <w:p>
      <w:pPr>
        <w:ind w:right="1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183" w:lineRule="exact"/>
        <w:rPr>
          <w:sz w:val="20"/>
          <w:szCs w:val="20"/>
          <w:color w:val="auto"/>
        </w:rPr>
      </w:pPr>
    </w:p>
    <w:p>
      <w:pPr>
        <w:ind w:right="20" w:firstLine="987"/>
        <w:spacing w:after="0" w:line="261" w:lineRule="auto"/>
        <w:tabs>
          <w:tab w:leader="none" w:pos="1236"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79" w:lineRule="exact"/>
        <w:rPr>
          <w:rFonts w:ascii="Times New Roman" w:cs="Times New Roman" w:eastAsia="Times New Roman" w:hAnsi="Times New Roman"/>
          <w:sz w:val="18"/>
          <w:szCs w:val="18"/>
          <w:color w:val="auto"/>
        </w:rPr>
      </w:pPr>
    </w:p>
    <w:p>
      <w:pPr>
        <w:ind w:firstLine="987"/>
        <w:spacing w:after="0" w:line="266" w:lineRule="auto"/>
        <w:tabs>
          <w:tab w:leader="none" w:pos="1246" w:val="left"/>
        </w:tabs>
        <w:numPr>
          <w:ilvl w:val="0"/>
          <w:numId w:val="2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76"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9.17.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80" w:lineRule="exact"/>
        <w:rPr>
          <w:sz w:val="20"/>
          <w:szCs w:val="20"/>
          <w:color w:val="auto"/>
        </w:rPr>
      </w:pPr>
    </w:p>
    <w:p>
      <w:pPr>
        <w:ind w:right="60" w:firstLine="987"/>
        <w:spacing w:after="0" w:line="255" w:lineRule="auto"/>
        <w:tabs>
          <w:tab w:leader="none" w:pos="1246" w:val="left"/>
        </w:tabs>
        <w:numPr>
          <w:ilvl w:val="0"/>
          <w:numId w:val="2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of each party hereto in respect of any sum due to any other party hereto or any holder of the obligations owing hereunder (the “</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shall, notwithstanding any judgment in a currency (the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89"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9.18. </w:t>
      </w:r>
      <w:r>
        <w:rPr>
          <w:rFonts w:ascii="Times New Roman" w:cs="Times New Roman" w:eastAsia="Times New Roman" w:hAnsi="Times New Roman"/>
          <w:sz w:val="18"/>
          <w:szCs w:val="18"/>
          <w:u w:val="single" w:color="auto"/>
          <w:color w:val="auto"/>
        </w:rPr>
        <w:t>Acknowledgement and Consent to Bail-In of Affected Financial Institutions</w:t>
      </w:r>
      <w:r>
        <w:rPr>
          <w:rFonts w:ascii="Times New Roman" w:cs="Times New Roman" w:eastAsia="Times New Roman" w:hAnsi="Times New Roman"/>
          <w:sz w:val="18"/>
          <w:szCs w:val="18"/>
          <w:color w:val="auto"/>
        </w:rPr>
        <w:t>. Notwithstanding anything to the contrary in any Loan Document or in any other agreement, arrangement or understanding among any such parties, each</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100</w:t>
      </w:r>
    </w:p>
    <w:p>
      <w:pPr>
        <w:sectPr>
          <w:pgSz w:w="11900" w:h="16838" w:orient="portrait"/>
          <w:cols w:equalWidth="0" w:num="1">
            <w:col w:w="10980"/>
          </w:cols>
          <w:pgMar w:left="440" w:top="270" w:right="479" w:bottom="1440" w:gutter="0" w:footer="0" w:header="0"/>
        </w:sectPr>
      </w:pPr>
    </w:p>
    <w:bookmarkStart w:id="255" w:name="page256"/>
    <w:bookmarkEnd w:id="255"/>
    <w:p>
      <w:pPr>
        <w:ind w:right="16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party hereto acknowledges that any liability of any Affected Financial Institution arising under any Loan Document may be subject to the Write-Down and Conversion Powers of the applicable Resolution Authority and agrees and consents to, and acknowledges and agrees to be bound by:</w:t>
      </w:r>
    </w:p>
    <w:p>
      <w:pPr>
        <w:spacing w:after="0" w:line="54" w:lineRule="exact"/>
        <w:rPr>
          <w:sz w:val="20"/>
          <w:szCs w:val="20"/>
          <w:color w:val="auto"/>
        </w:rPr>
      </w:pPr>
    </w:p>
    <w:p>
      <w:pPr>
        <w:ind w:left="440" w:right="580" w:firstLine="525"/>
        <w:spacing w:after="0" w:line="282" w:lineRule="auto"/>
        <w:tabs>
          <w:tab w:leader="none" w:pos="1213" w:val="left"/>
        </w:tabs>
        <w:numPr>
          <w:ilvl w:val="0"/>
          <w:numId w:val="2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application of any Write-Down and Conversion Powers by the applicable Resolution Authority to any such liabilities arising hereunder which may be payable to it by any party hereto that is an Affected Financial Institution; and</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2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effects of any Bail-In Action on any such liability, including, if applicable:</w:t>
      </w:r>
    </w:p>
    <w:p>
      <w:pPr>
        <w:spacing w:after="0" w:line="117" w:lineRule="exact"/>
        <w:rPr>
          <w:sz w:val="20"/>
          <w:szCs w:val="20"/>
          <w:color w:val="auto"/>
        </w:rPr>
      </w:pPr>
    </w:p>
    <w:p>
      <w:pPr>
        <w:ind w:left="1180" w:hanging="215"/>
        <w:spacing w:after="0"/>
        <w:tabs>
          <w:tab w:leader="none" w:pos="1180" w:val="left"/>
        </w:tabs>
        <w:numPr>
          <w:ilvl w:val="0"/>
          <w:numId w:val="2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reduction in full or in part or cancellation of any such liability;</w:t>
      </w:r>
    </w:p>
    <w:p>
      <w:pPr>
        <w:spacing w:after="0" w:line="117" w:lineRule="exact"/>
        <w:rPr>
          <w:rFonts w:ascii="Times New Roman" w:cs="Times New Roman" w:eastAsia="Times New Roman" w:hAnsi="Times New Roman"/>
          <w:sz w:val="18"/>
          <w:szCs w:val="18"/>
          <w:color w:val="auto"/>
        </w:rPr>
      </w:pPr>
    </w:p>
    <w:p>
      <w:pPr>
        <w:ind w:left="440" w:firstLine="525"/>
        <w:spacing w:after="0" w:line="266" w:lineRule="auto"/>
        <w:tabs>
          <w:tab w:leader="none" w:pos="1233" w:val="left"/>
        </w:tabs>
        <w:numPr>
          <w:ilvl w:val="0"/>
          <w:numId w:val="2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conversion of all, or a portion of, such liability into shares or other instruments of ownership in such Affected Financial Institution, its parent entity,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67" w:lineRule="exact"/>
        <w:rPr>
          <w:rFonts w:ascii="Times New Roman" w:cs="Times New Roman" w:eastAsia="Times New Roman" w:hAnsi="Times New Roman"/>
          <w:sz w:val="18"/>
          <w:szCs w:val="18"/>
          <w:color w:val="auto"/>
        </w:rPr>
      </w:pPr>
    </w:p>
    <w:p>
      <w:pPr>
        <w:ind w:left="440" w:right="40" w:firstLine="525"/>
        <w:spacing w:after="0" w:line="282" w:lineRule="auto"/>
        <w:tabs>
          <w:tab w:leader="none" w:pos="1283" w:val="left"/>
        </w:tabs>
        <w:numPr>
          <w:ilvl w:val="0"/>
          <w:numId w:val="2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variation of the terms of such liability in connection with the exercise of the Write-Down and Conversion Powers of the applicable Resolution Authority.</w:t>
      </w:r>
    </w:p>
    <w:p>
      <w:pPr>
        <w:spacing w:after="0" w:line="162" w:lineRule="exact"/>
        <w:rPr>
          <w:sz w:val="20"/>
          <w:szCs w:val="20"/>
          <w:color w:val="auto"/>
        </w:rPr>
      </w:pPr>
    </w:p>
    <w:p>
      <w:pPr>
        <w:ind w:right="14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9.19. </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Notwithstanding any other provision of this Agreement, concurrently with the consummation of the Inphi Acquisition on the Inphi Acquisition Closing Date, Marvell shall become a wholly-owned subsidiary of Maui Topco by means of a merger of Marvell Acquisition Company Ltd., a Bermuda exempted company and wholly owned subsidiary of Maui Topco (the “</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Merger Subsidiary</w:t>
      </w:r>
      <w:r>
        <w:rPr>
          <w:rFonts w:ascii="Times New Roman" w:cs="Times New Roman" w:eastAsia="Times New Roman" w:hAnsi="Times New Roman"/>
          <w:sz w:val="18"/>
          <w:szCs w:val="18"/>
          <w:color w:val="auto"/>
        </w:rPr>
        <w:t>”) with and into Marvell, with Marvell surviving as a Wholly-Owned Subsidiary of Maui Topco as contemplated by the Inphi Acquisition Agreement. The Company shall promptly notify the Administrative Agent of the Permitted Reorganization upon consummation of the occurrence of Inphi Acquisition and the Permitted Reorganization on the Inphi Acquisition Closing Date.</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X</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Guarantees</w:t>
      </w:r>
    </w:p>
    <w:p>
      <w:pPr>
        <w:spacing w:after="0" w:line="225" w:lineRule="exact"/>
        <w:rPr>
          <w:sz w:val="20"/>
          <w:szCs w:val="20"/>
          <w:color w:val="auto"/>
        </w:rPr>
      </w:pPr>
    </w:p>
    <w:p>
      <w:pPr>
        <w:ind w:right="140" w:firstLine="991"/>
        <w:spacing w:after="0" w:line="261" w:lineRule="auto"/>
        <w:rPr>
          <w:sz w:val="20"/>
          <w:szCs w:val="20"/>
          <w:color w:val="auto"/>
        </w:rPr>
      </w:pPr>
      <w:r>
        <w:rPr>
          <w:rFonts w:ascii="Times New Roman" w:cs="Times New Roman" w:eastAsia="Times New Roman" w:hAnsi="Times New Roman"/>
          <w:sz w:val="18"/>
          <w:szCs w:val="18"/>
          <w:color w:val="auto"/>
        </w:rPr>
        <w:t>SECTION 10.01. The Guarantees. To induce the Lenders to provide the Loans described herein and in consideration of benefits expected to accrue to the Company by reason of the Revolving Commitments and the Loans and for other good and valuable consideration, receipt of which is hereby acknowledged, each Guarantor party hereto (including any Subsidiary executing an Additional Guarantor Supplement in substantially the form attached hereto as Exhibit F (an “</w:t>
      </w:r>
      <w:r>
        <w:rPr>
          <w:rFonts w:ascii="Times New Roman" w:cs="Times New Roman" w:eastAsia="Times New Roman" w:hAnsi="Times New Roman"/>
          <w:sz w:val="18"/>
          <w:szCs w:val="18"/>
          <w:u w:val="single" w:color="auto"/>
          <w:color w:val="auto"/>
        </w:rPr>
        <w:t>Additional Guarantor Supplement</w:t>
      </w:r>
      <w:r>
        <w:rPr>
          <w:rFonts w:ascii="Times New Roman" w:cs="Times New Roman" w:eastAsia="Times New Roman" w:hAnsi="Times New Roman"/>
          <w:sz w:val="18"/>
          <w:szCs w:val="18"/>
          <w:color w:val="auto"/>
        </w:rPr>
        <w:t>”) or such other form reasonably acceptable to the Administrative Agent)</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101</w:t>
      </w:r>
    </w:p>
    <w:p>
      <w:pPr>
        <w:sectPr>
          <w:pgSz w:w="11900" w:h="16838" w:orient="portrait"/>
          <w:cols w:equalWidth="0" w:num="1">
            <w:col w:w="11000"/>
          </w:cols>
          <w:pgMar w:left="440" w:top="270" w:right="459" w:bottom="1440" w:gutter="0" w:footer="0" w:header="0"/>
        </w:sectPr>
      </w:pPr>
    </w:p>
    <w:bookmarkStart w:id="256" w:name="page257"/>
    <w:bookmarkEnd w:id="256"/>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hereby unconditionally and irrevocably guarantees jointly and severally to the Administrative Agent, for the ratable benefit of the Administrative Agent and the Lenders, the due and punctual payment of all present and future Obligations of the Company, in each case as and when the same shall become due and payable, whether at stated maturity, by acceleration, or otherwise, according to the terms hereof or any other applicable Loan Document (including all interest, costs, fees, and charges after the entry of an order for relief against the Company or such other obligor in a case under the United States Bankruptcy Code or any similar proceeding, whether or not such interest, costs, fees and charges would be an allowed claim against the Company or any such obligor in any such proceeding). In case of failure by the Company punctually to pay any Obligations guaranteed hereby, each Guarantor of the Company’s Obligations under this Section 10.01 hereby unconditionally agrees to make such payment or to cause such payment to be made punctually as and when the same shall become due and payable, whether at stated maturity, by acceleration, or otherwise, and as if such payment were made by the Company.</w:t>
      </w:r>
    </w:p>
    <w:p>
      <w:pPr>
        <w:spacing w:after="0" w:line="188"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SECTION 10.02. Guarantee Unconditional. The obligations of each Guarantor under this Article X shall be unconditional and absolute and, without limiting the generality of the foregoing, shall not be released, discharged, or otherwise affected by:</w:t>
      </w:r>
    </w:p>
    <w:p>
      <w:pPr>
        <w:spacing w:after="0" w:line="54" w:lineRule="exact"/>
        <w:rPr>
          <w:sz w:val="20"/>
          <w:szCs w:val="20"/>
          <w:color w:val="auto"/>
        </w:rPr>
      </w:pPr>
    </w:p>
    <w:p>
      <w:pPr>
        <w:ind w:left="440" w:right="160" w:firstLine="525"/>
        <w:spacing w:after="0" w:line="282" w:lineRule="auto"/>
        <w:tabs>
          <w:tab w:leader="none" w:pos="1213"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extension, renewal, settlement, compromise, waiver, or release in respect of any obligation of the Company or other obligor or of any other guarantor under this Agreement or any other Loan Document or by operation of law or otherwise;</w:t>
      </w:r>
    </w:p>
    <w:p>
      <w:pPr>
        <w:spacing w:after="0" w:line="53" w:lineRule="exact"/>
        <w:rPr>
          <w:rFonts w:ascii="Times New Roman" w:cs="Times New Roman" w:eastAsia="Times New Roman" w:hAnsi="Times New Roman"/>
          <w:sz w:val="18"/>
          <w:szCs w:val="18"/>
          <w:color w:val="auto"/>
        </w:rPr>
      </w:pPr>
    </w:p>
    <w:p>
      <w:pPr>
        <w:ind w:left="1220" w:hanging="255"/>
        <w:spacing w:after="0"/>
        <w:tabs>
          <w:tab w:leader="none" w:pos="1220"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modification or amendment of or supplement to this Agreement or any other Loan Document;</w:t>
      </w:r>
    </w:p>
    <w:p>
      <w:pPr>
        <w:spacing w:after="0" w:line="117" w:lineRule="exact"/>
        <w:rPr>
          <w:rFonts w:ascii="Times New Roman" w:cs="Times New Roman" w:eastAsia="Times New Roman" w:hAnsi="Times New Roman"/>
          <w:sz w:val="18"/>
          <w:szCs w:val="18"/>
          <w:color w:val="auto"/>
        </w:rPr>
      </w:pPr>
    </w:p>
    <w:p>
      <w:pPr>
        <w:ind w:left="440" w:right="120" w:firstLine="525"/>
        <w:spacing w:after="0" w:line="266" w:lineRule="auto"/>
        <w:tabs>
          <w:tab w:leader="none" w:pos="1213"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change in the corporate existence, structure, or ownership of, or any insolvency, bankruptcy, reorganization, or other similar proceeding affecting, the Company or other obligor, any other guarantor, or any of their respective assets, or any resulting release or discharge of any obligation of the Company or other obligor or of any other guarantor contained in any Loan Document;</w:t>
      </w:r>
    </w:p>
    <w:p>
      <w:pPr>
        <w:spacing w:after="0" w:line="67" w:lineRule="exact"/>
        <w:rPr>
          <w:rFonts w:ascii="Times New Roman" w:cs="Times New Roman" w:eastAsia="Times New Roman" w:hAnsi="Times New Roman"/>
          <w:sz w:val="18"/>
          <w:szCs w:val="18"/>
          <w:color w:val="auto"/>
        </w:rPr>
      </w:pPr>
    </w:p>
    <w:p>
      <w:pPr>
        <w:ind w:left="440" w:right="320" w:firstLine="525"/>
        <w:spacing w:after="0" w:line="282" w:lineRule="auto"/>
        <w:tabs>
          <w:tab w:leader="none" w:pos="1223"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existence of any claim, set-off, or other rights which the Company or other obligor or any other guarantor may have at any time against the Administrative Agent, any Lender or any other Person, whether or not arising in connection herewith;</w:t>
      </w:r>
    </w:p>
    <w:p>
      <w:pPr>
        <w:spacing w:after="0" w:line="53" w:lineRule="exact"/>
        <w:rPr>
          <w:rFonts w:ascii="Times New Roman" w:cs="Times New Roman" w:eastAsia="Times New Roman" w:hAnsi="Times New Roman"/>
          <w:sz w:val="18"/>
          <w:szCs w:val="18"/>
          <w:color w:val="auto"/>
        </w:rPr>
      </w:pPr>
    </w:p>
    <w:p>
      <w:pPr>
        <w:ind w:left="440" w:right="180" w:firstLine="525"/>
        <w:spacing w:after="0" w:line="282" w:lineRule="auto"/>
        <w:tabs>
          <w:tab w:leader="none" w:pos="1213"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failure to assert, or any assertion of, any claim or demand or any exercise of, or failure to exercise, any rights or remedies against the Company or other obligor, any other guarantor, or any other Person or property such Person;</w:t>
      </w:r>
    </w:p>
    <w:p>
      <w:pPr>
        <w:spacing w:after="0" w:line="53" w:lineRule="exact"/>
        <w:rPr>
          <w:rFonts w:ascii="Times New Roman" w:cs="Times New Roman" w:eastAsia="Times New Roman" w:hAnsi="Times New Roman"/>
          <w:sz w:val="18"/>
          <w:szCs w:val="18"/>
          <w:color w:val="auto"/>
        </w:rPr>
      </w:pPr>
    </w:p>
    <w:p>
      <w:pPr>
        <w:ind w:left="440" w:right="140" w:firstLine="525"/>
        <w:spacing w:after="0" w:line="282" w:lineRule="auto"/>
        <w:tabs>
          <w:tab w:leader="none" w:pos="1193" w:val="left"/>
        </w:tabs>
        <w:numPr>
          <w:ilvl w:val="0"/>
          <w:numId w:val="2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application of any sums by whomsoever paid or howsoever realized to any obligation of the Company or other obligor, regardless of what obligations of the Company or other obligor remain unpaid;</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102</w:t>
      </w:r>
    </w:p>
    <w:p>
      <w:pPr>
        <w:sectPr>
          <w:pgSz w:w="11900" w:h="16838" w:orient="portrait"/>
          <w:cols w:equalWidth="0" w:num="1">
            <w:col w:w="10980"/>
          </w:cols>
          <w:pgMar w:left="440" w:top="270" w:right="479" w:bottom="1440" w:gutter="0" w:footer="0" w:header="0"/>
        </w:sectPr>
      </w:pPr>
    </w:p>
    <w:bookmarkStart w:id="257" w:name="page258"/>
    <w:bookmarkEnd w:id="257"/>
    <w:p>
      <w:pPr>
        <w:ind w:left="440" w:firstLine="525"/>
        <w:spacing w:after="0" w:line="266" w:lineRule="auto"/>
        <w:tabs>
          <w:tab w:leader="none" w:pos="1223"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invalidity or unenforceability relating to or against the Company or other obligor or any other guarantor for any reason of this Agreement or of any other Loan Document or any provision of applicable law or regulation purporting to prohibit the payment by the Company or other obligor or any other guarantor of the principal of or interest on any Loan or any other amount payable under the Loan Documents; or</w:t>
      </w:r>
    </w:p>
    <w:p>
      <w:pPr>
        <w:spacing w:after="0" w:line="67" w:lineRule="exact"/>
        <w:rPr>
          <w:rFonts w:ascii="Times New Roman" w:cs="Times New Roman" w:eastAsia="Times New Roman" w:hAnsi="Times New Roman"/>
          <w:sz w:val="18"/>
          <w:szCs w:val="18"/>
          <w:color w:val="auto"/>
        </w:rPr>
      </w:pPr>
    </w:p>
    <w:p>
      <w:pPr>
        <w:ind w:left="440" w:right="320" w:firstLine="525"/>
        <w:spacing w:after="0" w:line="266" w:lineRule="auto"/>
        <w:tabs>
          <w:tab w:leader="none" w:pos="1223" w:val="left"/>
        </w:tabs>
        <w:numPr>
          <w:ilvl w:val="0"/>
          <w:numId w:val="2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act or omission to act or delay of any kind by the Administrative Agent, any Lender or any other Person or any other circumstance whatsoever that might, but for the provisions of this paragraph, constitute a legal or equitable discharge of the obligations of any Guarantor under this Article X.</w:t>
      </w:r>
    </w:p>
    <w:p>
      <w:pPr>
        <w:spacing w:after="0" w:line="6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Each Subsidiary Guaranty hereunder shall be a guaranty of payment and not of collection.</w:t>
      </w:r>
    </w:p>
    <w:p>
      <w:pPr>
        <w:spacing w:after="0" w:line="225" w:lineRule="exact"/>
        <w:rPr>
          <w:sz w:val="20"/>
          <w:szCs w:val="20"/>
          <w:color w:val="auto"/>
        </w:rPr>
      </w:pPr>
    </w:p>
    <w:p>
      <w:pPr>
        <w:ind w:right="40" w:firstLine="991"/>
        <w:spacing w:after="0" w:line="254" w:lineRule="auto"/>
        <w:rPr>
          <w:sz w:val="20"/>
          <w:szCs w:val="20"/>
          <w:color w:val="auto"/>
        </w:rPr>
      </w:pPr>
      <w:r>
        <w:rPr>
          <w:rFonts w:ascii="Times New Roman" w:cs="Times New Roman" w:eastAsia="Times New Roman" w:hAnsi="Times New Roman"/>
          <w:sz w:val="18"/>
          <w:szCs w:val="18"/>
          <w:color w:val="auto"/>
        </w:rPr>
        <w:t>SECTION 10.03. Discharge Only upon Payment in Full; Reinstatement in Certain Circumstances. Except as set forth in Section 5.10 or the penultimate paragraph of Article VIII, each Guarantor’s obligations under this Article X shall remain in full force and effect until the Revolving Commitments are terminated and the principal of and interest on the Loans and all other amounts payable by the Company and Guarantors under this Agreement and all other Loan Documents (other than contingent obligations for which no claim has been made) have been paid in full in cash. If at any time any payment of the principal of or interest on any Loan or any other amount payable by the Company or other obligor or any Guarantor under the Loan Documents is rescinded or must be otherwise restored or returned upon the insolvency, bankruptcy, or reorganization of the Company or other obligor or of any guarantor, or otherwise, each Guarantor’s obligations under this Article X with respect to such payment shall be reinstated at such time as though such payment had become due but had not been made at such time.</w:t>
      </w:r>
    </w:p>
    <w:p>
      <w:pPr>
        <w:spacing w:after="0" w:line="192" w:lineRule="exact"/>
        <w:rPr>
          <w:sz w:val="20"/>
          <w:szCs w:val="20"/>
          <w:color w:val="auto"/>
        </w:rPr>
      </w:pPr>
    </w:p>
    <w:p>
      <w:pPr>
        <w:ind w:right="40" w:firstLine="991"/>
        <w:spacing w:after="0" w:line="255" w:lineRule="auto"/>
        <w:rPr>
          <w:sz w:val="20"/>
          <w:szCs w:val="20"/>
          <w:color w:val="auto"/>
        </w:rPr>
      </w:pPr>
      <w:r>
        <w:rPr>
          <w:rFonts w:ascii="Times New Roman" w:cs="Times New Roman" w:eastAsia="Times New Roman" w:hAnsi="Times New Roman"/>
          <w:sz w:val="18"/>
          <w:szCs w:val="18"/>
          <w:color w:val="auto"/>
        </w:rPr>
        <w:t>SECTION 10.04. Subrogation. Each Guarantor agrees it will not exercise any rights which it may acquire by way of subrogation by any payment made hereunder, or otherwise, until all the Obligations shall have been paid in full subsequent to the termination of all the Revolving Commitments. If any amount shall be paid to a Guarantor on account of such subrogation rights at any time prior to the payment in full of the Obligations and all other amounts payable by the Company hereunder and the other Loan Documents (other than contingent obligations for which no claim has been made) and the termination of the Revolving Commitments, such amount shall be held in trust for the benefit of the Administrative Agent and the Lenders and shall forthwith be paid to the Administrative Agent for the benefit of the Lenders or be credited and applied upon the Obligations, whether matured or unmatured, in accordance with the terms of this Agreement.</w:t>
      </w:r>
    </w:p>
    <w:p>
      <w:pPr>
        <w:spacing w:after="0" w:line="189"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SECTION 10.05. Waivers. Each Guarantor irrevocably waives acceptance hereof, presentment, demand, protest, and any notice not provided for herein, as well as any requirement that at any time any action be taken by the Administrative Agent, any Lender or any other Person against the Company or other obligor, another guarantor, or any other Person.</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103</w:t>
      </w:r>
    </w:p>
    <w:p>
      <w:pPr>
        <w:sectPr>
          <w:pgSz w:w="11900" w:h="16838" w:orient="portrait"/>
          <w:cols w:equalWidth="0" w:num="1">
            <w:col w:w="11000"/>
          </w:cols>
          <w:pgMar w:left="440" w:top="270" w:right="459" w:bottom="1440" w:gutter="0" w:footer="0" w:header="0"/>
        </w:sectPr>
      </w:pPr>
    </w:p>
    <w:bookmarkStart w:id="258" w:name="page259"/>
    <w:bookmarkEnd w:id="258"/>
    <w:p>
      <w:pPr>
        <w:jc w:val="both"/>
        <w:ind w:right="6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10.06. Limit on Liability. The obligations of each Guarantor under this Article X shall be limited to an aggregate amount equal to the largest amount that would not render such Subsidiary Guaranty subject to avoidance under Section 548 of the United States Bankruptcy Code or any comparable provisions of applicable law.</w:t>
      </w:r>
    </w:p>
    <w:p>
      <w:pPr>
        <w:spacing w:after="0" w:line="176"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SECTION 10.07. Stay of Acceleration. If acceleration of the time for payment of any amount payable by the Company or other obligor under this Agreement or any other Loan Document is stayed upon the insolvency, bankruptcy or reorganization of the Company or such obligor, all such amounts otherwise subject to acceleration under the terms of this Agreement or the other Loan Documents shall nonetheless be payable by the Guarantors hereunder forthwith on demand by the Administrative Agent made at the request of the Required Lenders.</w:t>
      </w:r>
    </w:p>
    <w:p>
      <w:pPr>
        <w:spacing w:after="0" w:line="180" w:lineRule="exact"/>
        <w:rPr>
          <w:sz w:val="20"/>
          <w:szCs w:val="20"/>
          <w:color w:val="auto"/>
        </w:rPr>
      </w:pPr>
    </w:p>
    <w:p>
      <w:pPr>
        <w:ind w:right="320" w:firstLine="991"/>
        <w:spacing w:after="0" w:line="266" w:lineRule="auto"/>
        <w:rPr>
          <w:sz w:val="20"/>
          <w:szCs w:val="20"/>
          <w:color w:val="auto"/>
        </w:rPr>
      </w:pPr>
      <w:r>
        <w:rPr>
          <w:rFonts w:ascii="Times New Roman" w:cs="Times New Roman" w:eastAsia="Times New Roman" w:hAnsi="Times New Roman"/>
          <w:sz w:val="18"/>
          <w:szCs w:val="18"/>
          <w:color w:val="auto"/>
        </w:rPr>
        <w:t>SECTION 10.08. Benefit to Guarantors. The Company and the Guarantors are engaged in related businesses and integrated to such an extent that the financial strength and flexibility of the Company has a direct impact on the success of each Guarantor. Each Guarantor will derive substantial direct and indirect benefit from the extensions of credit hereunder.</w:t>
      </w:r>
    </w:p>
    <w:p>
      <w:pPr>
        <w:spacing w:after="0" w:line="176" w:lineRule="exact"/>
        <w:rPr>
          <w:sz w:val="20"/>
          <w:szCs w:val="20"/>
          <w:color w:val="auto"/>
        </w:rPr>
      </w:pPr>
    </w:p>
    <w:p>
      <w:pPr>
        <w:ind w:right="80" w:firstLine="991"/>
        <w:spacing w:after="0" w:line="312" w:lineRule="auto"/>
        <w:rPr>
          <w:sz w:val="20"/>
          <w:szCs w:val="20"/>
          <w:color w:val="auto"/>
        </w:rPr>
      </w:pPr>
      <w:r>
        <w:rPr>
          <w:rFonts w:ascii="Times New Roman" w:cs="Times New Roman" w:eastAsia="Times New Roman" w:hAnsi="Times New Roman"/>
          <w:sz w:val="17"/>
          <w:szCs w:val="17"/>
          <w:color w:val="auto"/>
        </w:rPr>
        <w:t>SECTION 10.09. Guarantor Covenants. Each Guarantor shall take such action as the Company is required by this Agreement to cause such Guarantor to take, and shall refrain from taking such action as the Company is required by this Agreement to prohibit such Guarantor from taking.</w:t>
      </w:r>
    </w:p>
    <w:p>
      <w:pPr>
        <w:spacing w:after="0" w:line="14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[Signature pages follow]</w:t>
      </w:r>
    </w:p>
    <w:p>
      <w:pPr>
        <w:spacing w:after="0" w:line="15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104</w:t>
      </w:r>
    </w:p>
    <w:p>
      <w:pPr>
        <w:sectPr>
          <w:pgSz w:w="11900" w:h="16838" w:orient="portrait"/>
          <w:cols w:equalWidth="0" w:num="1">
            <w:col w:w="10980"/>
          </w:cols>
          <w:pgMar w:left="440" w:top="270" w:right="479" w:bottom="1440" w:gutter="0" w:footer="0" w:header="0"/>
        </w:sectPr>
      </w:pPr>
    </w:p>
    <w:bookmarkStart w:id="259" w:name="page260"/>
    <w:bookmarkEnd w:id="259"/>
    <w:p>
      <w:pPr>
        <w:ind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8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66" w:lineRule="exact"/>
        <w:rPr>
          <w:sz w:val="20"/>
          <w:szCs w:val="20"/>
          <w:color w:val="auto"/>
        </w:rPr>
      </w:pPr>
    </w:p>
    <w:p>
      <w:pPr>
        <w:ind w:left="680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4540885</wp:posOffset>
            </wp:positionH>
            <wp:positionV relativeFrom="paragraph">
              <wp:posOffset>17145</wp:posOffset>
            </wp:positionV>
            <wp:extent cx="2451735" cy="825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16" w:lineRule="exact"/>
        <w:rPr>
          <w:sz w:val="20"/>
          <w:szCs w:val="20"/>
          <w:color w:val="auto"/>
        </w:rPr>
      </w:pPr>
    </w:p>
    <w:p>
      <w:pPr>
        <w:ind w:left="7160"/>
        <w:spacing w:after="0"/>
        <w:rPr>
          <w:sz w:val="20"/>
          <w:szCs w:val="20"/>
          <w:color w:val="auto"/>
        </w:rPr>
      </w:pPr>
      <w:r>
        <w:rPr>
          <w:rFonts w:ascii="Times New Roman" w:cs="Times New Roman" w:eastAsia="Times New Roman" w:hAnsi="Times New Roman"/>
          <w:sz w:val="18"/>
          <w:szCs w:val="18"/>
          <w:color w:val="auto"/>
        </w:rPr>
        <w:t>Name: Jean Hu</w:t>
      </w:r>
    </w:p>
    <w:p>
      <w:pPr>
        <w:spacing w:after="0" w:line="27" w:lineRule="exact"/>
        <w:rPr>
          <w:sz w:val="20"/>
          <w:szCs w:val="20"/>
          <w:color w:val="auto"/>
        </w:rPr>
      </w:pPr>
    </w:p>
    <w:p>
      <w:pPr>
        <w:ind w:left="716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234"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MAUI HOLDCO, INC.</w:t>
      </w:r>
    </w:p>
    <w:p>
      <w:pPr>
        <w:spacing w:after="0" w:line="266" w:lineRule="exact"/>
        <w:rPr>
          <w:sz w:val="20"/>
          <w:szCs w:val="20"/>
          <w:color w:val="auto"/>
        </w:rPr>
      </w:pPr>
    </w:p>
    <w:p>
      <w:pPr>
        <w:ind w:left="680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4540885</wp:posOffset>
            </wp:positionH>
            <wp:positionV relativeFrom="paragraph">
              <wp:posOffset>17145</wp:posOffset>
            </wp:positionV>
            <wp:extent cx="2451735" cy="889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2451735" cy="8890"/>
                    </a:xfrm>
                    <a:prstGeom prst="rect">
                      <a:avLst/>
                    </a:prstGeom>
                    <a:noFill/>
                  </pic:spPr>
                </pic:pic>
              </a:graphicData>
            </a:graphic>
          </wp:anchor>
        </w:drawing>
      </w:r>
    </w:p>
    <w:p>
      <w:pPr>
        <w:spacing w:after="0" w:line="16" w:lineRule="exact"/>
        <w:rPr>
          <w:sz w:val="20"/>
          <w:szCs w:val="20"/>
          <w:color w:val="auto"/>
        </w:rPr>
      </w:pPr>
    </w:p>
    <w:p>
      <w:pPr>
        <w:ind w:left="7160"/>
        <w:spacing w:after="0"/>
        <w:rPr>
          <w:sz w:val="20"/>
          <w:szCs w:val="20"/>
          <w:color w:val="auto"/>
        </w:rPr>
      </w:pPr>
      <w:r>
        <w:rPr>
          <w:rFonts w:ascii="Times New Roman" w:cs="Times New Roman" w:eastAsia="Times New Roman" w:hAnsi="Times New Roman"/>
          <w:sz w:val="18"/>
          <w:szCs w:val="18"/>
          <w:color w:val="auto"/>
        </w:rPr>
        <w:t>Name: Jean Hu</w:t>
      </w:r>
    </w:p>
    <w:p>
      <w:pPr>
        <w:spacing w:after="0" w:line="27" w:lineRule="exact"/>
        <w:rPr>
          <w:sz w:val="20"/>
          <w:szCs w:val="20"/>
          <w:color w:val="auto"/>
        </w:rPr>
      </w:pPr>
    </w:p>
    <w:p>
      <w:pPr>
        <w:ind w:left="716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105</w:t>
      </w:r>
    </w:p>
    <w:p>
      <w:pPr>
        <w:sectPr>
          <w:pgSz w:w="11900" w:h="16838" w:orient="portrait"/>
          <w:cols w:equalWidth="0" w:num="1">
            <w:col w:w="10900"/>
          </w:cols>
          <w:pgMar w:left="440" w:top="270" w:right="559" w:bottom="1440" w:gutter="0" w:footer="0" w:header="0"/>
        </w:sectPr>
      </w:pPr>
    </w:p>
    <w:bookmarkStart w:id="260" w:name="page261"/>
    <w:bookmarkEnd w:id="260"/>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as the</w:t>
      </w:r>
    </w:p>
    <w:p>
      <w:pPr>
        <w:spacing w:after="0" w:line="14"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Administrative Agent</w:t>
      </w:r>
    </w:p>
    <w:p>
      <w:pPr>
        <w:spacing w:after="0" w:line="182" w:lineRule="exact"/>
        <w:rPr>
          <w:sz w:val="20"/>
          <w:szCs w:val="20"/>
          <w:color w:val="auto"/>
        </w:rPr>
      </w:pPr>
    </w:p>
    <w:p>
      <w:pPr>
        <w:ind w:left="5940"/>
        <w:spacing w:after="0"/>
        <w:rPr>
          <w:sz w:val="20"/>
          <w:szCs w:val="20"/>
          <w:color w:val="auto"/>
        </w:rPr>
      </w:pPr>
      <w:r>
        <w:rPr>
          <w:rFonts w:ascii="Times New Roman" w:cs="Times New Roman" w:eastAsia="Times New Roman" w:hAnsi="Times New Roman"/>
          <w:sz w:val="22"/>
          <w:szCs w:val="22"/>
          <w:color w:val="auto"/>
        </w:rPr>
        <w:t>By: /s/ Gavin Shak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9"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22"/>
          <w:szCs w:val="22"/>
          <w:color w:val="auto"/>
        </w:rPr>
        <w:t>Name: Gavin Shak</w:t>
      </w:r>
    </w:p>
    <w:p>
      <w:pPr>
        <w:spacing w:after="0" w:line="2"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21"/>
          <w:szCs w:val="21"/>
          <w:color w:val="auto"/>
        </w:rPr>
        <w:t>Title: Assistant Vice President</w:t>
      </w:r>
    </w:p>
    <w:p>
      <w:pPr>
        <w:spacing w:after="0" w:line="126" w:lineRule="exact"/>
        <w:rPr>
          <w:sz w:val="20"/>
          <w:szCs w:val="20"/>
          <w:color w:val="auto"/>
        </w:rPr>
      </w:pPr>
    </w:p>
    <w:p>
      <w:pPr>
        <w:ind w:left="2380"/>
        <w:spacing w:after="0"/>
        <w:rPr>
          <w:sz w:val="20"/>
          <w:szCs w:val="20"/>
          <w:color w:val="auto"/>
        </w:rPr>
      </w:pPr>
      <w:r>
        <w:rPr>
          <w:rFonts w:ascii="Times New Roman" w:cs="Times New Roman" w:eastAsia="Times New Roman" w:hAnsi="Times New Roman"/>
          <w:sz w:val="22"/>
          <w:szCs w:val="22"/>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1" w:name="page262"/>
    <w:bookmarkEnd w:id="261"/>
    <w:p>
      <w:pPr>
        <w:jc w:val="right"/>
        <w:ind w:right="27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JPMORGAN CHASE BANK, N.A.</w:t>
      </w:r>
    </w:p>
    <w:p>
      <w:pPr>
        <w:spacing w:after="0" w:line="206" w:lineRule="exact"/>
        <w:rPr>
          <w:sz w:val="20"/>
          <w:szCs w:val="20"/>
          <w:color w:val="auto"/>
        </w:rPr>
      </w:pPr>
    </w:p>
    <w:p>
      <w:pPr>
        <w:ind w:left="5940"/>
        <w:spacing w:after="0"/>
        <w:rPr>
          <w:sz w:val="20"/>
          <w:szCs w:val="20"/>
          <w:color w:val="auto"/>
        </w:rPr>
      </w:pPr>
      <w:r>
        <w:rPr>
          <w:rFonts w:ascii="Times New Roman" w:cs="Times New Roman" w:eastAsia="Times New Roman" w:hAnsi="Times New Roman"/>
          <w:sz w:val="22"/>
          <w:szCs w:val="22"/>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10795</wp:posOffset>
            </wp:positionV>
            <wp:extent cx="2314575"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9"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22"/>
          <w:szCs w:val="22"/>
          <w:color w:val="auto"/>
        </w:rPr>
        <w:t>Name: Ryan Zimmerman</w:t>
      </w:r>
    </w:p>
    <w:p>
      <w:pPr>
        <w:spacing w:after="0" w:line="2" w:lineRule="exact"/>
        <w:rPr>
          <w:sz w:val="20"/>
          <w:szCs w:val="20"/>
          <w:color w:val="auto"/>
        </w:rPr>
      </w:pPr>
    </w:p>
    <w:p>
      <w:pPr>
        <w:ind w:left="6360"/>
        <w:spacing w:after="0"/>
        <w:tabs>
          <w:tab w:leader="none" w:pos="7040" w:val="left"/>
        </w:tabs>
        <w:rPr>
          <w:sz w:val="20"/>
          <w:szCs w:val="20"/>
          <w:color w:val="auto"/>
        </w:rPr>
      </w:pPr>
      <w:r>
        <w:rPr>
          <w:rFonts w:ascii="Times New Roman" w:cs="Times New Roman" w:eastAsia="Times New Roman" w:hAnsi="Times New Roman"/>
          <w:sz w:val="22"/>
          <w:szCs w:val="22"/>
          <w:color w:val="auto"/>
        </w:rPr>
        <w:t>Title:</w:t>
        <w:tab/>
        <w:t>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2" w:name="page263"/>
    <w:bookmarkEnd w:id="262"/>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18"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25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2537460" cy="8255"/>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Name: Amanuel Assefa</w:t>
      </w:r>
    </w:p>
    <w:p>
      <w:pPr>
        <w:spacing w:after="0" w:line="2" w:lineRule="exact"/>
        <w:rPr>
          <w:sz w:val="20"/>
          <w:szCs w:val="20"/>
          <w:color w:val="auto"/>
        </w:rPr>
      </w:pPr>
    </w:p>
    <w:p>
      <w:pPr>
        <w:ind w:left="6020"/>
        <w:spacing w:after="0"/>
        <w:tabs>
          <w:tab w:leader="none" w:pos="6700" w:val="left"/>
        </w:tabs>
        <w:rPr>
          <w:sz w:val="20"/>
          <w:szCs w:val="20"/>
          <w:color w:val="auto"/>
        </w:rPr>
      </w:pPr>
      <w:r>
        <w:rPr>
          <w:rFonts w:ascii="Times New Roman" w:cs="Times New Roman" w:eastAsia="Times New Roman" w:hAnsi="Times New Roman"/>
          <w:sz w:val="22"/>
          <w:szCs w:val="22"/>
          <w:color w:val="auto"/>
        </w:rPr>
        <w:t>Title:</w:t>
        <w:tab/>
        <w:t>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3" w:name="page264"/>
    <w:bookmarkEnd w:id="263"/>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CITIBANK, N.A.</w:t>
      </w:r>
    </w:p>
    <w:p>
      <w:pPr>
        <w:spacing w:after="0" w:line="355"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Susan M. Olsen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3811270</wp:posOffset>
            </wp:positionH>
            <wp:positionV relativeFrom="paragraph">
              <wp:posOffset>10795</wp:posOffset>
            </wp:positionV>
            <wp:extent cx="2545715" cy="889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2545715" cy="8890"/>
                    </a:xfrm>
                    <a:prstGeom prst="rect">
                      <a:avLst/>
                    </a:prstGeom>
                    <a:noFill/>
                  </pic:spPr>
                </pic:pic>
              </a:graphicData>
            </a:graphic>
          </wp:anchor>
        </w:drawing>
      </w:r>
    </w:p>
    <w:p>
      <w:pPr>
        <w:spacing w:after="0" w:line="9" w:lineRule="exact"/>
        <w:rPr>
          <w:sz w:val="20"/>
          <w:szCs w:val="20"/>
          <w:color w:val="auto"/>
        </w:rPr>
      </w:pPr>
    </w:p>
    <w:p>
      <w:pPr>
        <w:jc w:val="right"/>
        <w:ind w:right="1019"/>
        <w:spacing w:after="0"/>
        <w:rPr>
          <w:sz w:val="20"/>
          <w:szCs w:val="20"/>
          <w:color w:val="auto"/>
        </w:rPr>
      </w:pPr>
      <w:r>
        <w:rPr>
          <w:rFonts w:ascii="Times New Roman" w:cs="Times New Roman" w:eastAsia="Times New Roman" w:hAnsi="Times New Roman"/>
          <w:sz w:val="22"/>
          <w:szCs w:val="22"/>
          <w:color w:val="auto"/>
        </w:rPr>
        <w:t>Name: Susan M. Olsen</w:t>
      </w:r>
    </w:p>
    <w:p>
      <w:pPr>
        <w:spacing w:after="0" w:line="2"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115" w:lineRule="exact"/>
        <w:rPr>
          <w:sz w:val="20"/>
          <w:szCs w:val="20"/>
          <w:color w:val="auto"/>
        </w:rPr>
      </w:pPr>
    </w:p>
    <w:p>
      <w:pPr>
        <w:ind w:left="2380"/>
        <w:spacing w:after="0"/>
        <w:rPr>
          <w:sz w:val="20"/>
          <w:szCs w:val="20"/>
          <w:color w:val="auto"/>
        </w:rPr>
      </w:pPr>
      <w:r>
        <w:rPr>
          <w:rFonts w:ascii="Times New Roman" w:cs="Times New Roman" w:eastAsia="Times New Roman" w:hAnsi="Times New Roman"/>
          <w:sz w:val="22"/>
          <w:szCs w:val="22"/>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4" w:name="page265"/>
    <w:bookmarkEnd w:id="264"/>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85" w:lineRule="exact"/>
        <w:rPr>
          <w:sz w:val="20"/>
          <w:szCs w:val="20"/>
          <w:color w:val="auto"/>
        </w:rPr>
      </w:pPr>
    </w:p>
    <w:p>
      <w:pPr>
        <w:ind w:left="5620"/>
        <w:spacing w:after="0"/>
        <w:tabs>
          <w:tab w:leader="none" w:pos="6100" w:val="left"/>
        </w:tabs>
        <w:rPr>
          <w:sz w:val="20"/>
          <w:szCs w:val="20"/>
          <w:color w:val="auto"/>
        </w:rPr>
      </w:pPr>
      <w:r>
        <w:rPr>
          <w:rFonts w:ascii="Times New Roman" w:cs="Times New Roman" w:eastAsia="Times New Roman" w:hAnsi="Times New Roman"/>
          <w:sz w:val="22"/>
          <w:szCs w:val="22"/>
          <w:color w:val="auto"/>
        </w:rPr>
        <w:t>By:</w:t>
      </w:r>
      <w:r>
        <w:rPr>
          <w:sz w:val="20"/>
          <w:szCs w:val="20"/>
          <w:color w:val="auto"/>
        </w:rPr>
        <w:tab/>
      </w:r>
      <w:r>
        <w:rPr>
          <w:rFonts w:ascii="Times New Roman" w:cs="Times New Roman" w:eastAsia="Times New Roman" w:hAnsi="Times New Roman"/>
          <w:sz w:val="21"/>
          <w:szCs w:val="21"/>
          <w:color w:val="auto"/>
        </w:rPr>
        <w:t>/s/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3879850</wp:posOffset>
            </wp:positionH>
            <wp:positionV relativeFrom="paragraph">
              <wp:posOffset>10795</wp:posOffset>
            </wp:positionV>
            <wp:extent cx="2477135" cy="825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2477135" cy="8255"/>
                    </a:xfrm>
                    <a:prstGeom prst="rect">
                      <a:avLst/>
                    </a:prstGeom>
                    <a:noFill/>
                  </pic:spPr>
                </pic:pic>
              </a:graphicData>
            </a:graphic>
          </wp:anchor>
        </w:drawing>
      </w:r>
    </w:p>
    <w:p>
      <w:pPr>
        <w:spacing w:after="0" w:line="9"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2"/>
          <w:szCs w:val="22"/>
          <w:color w:val="auto"/>
        </w:rPr>
        <w:t>Name: Rebecca Kratz</w:t>
      </w:r>
    </w:p>
    <w:p>
      <w:pPr>
        <w:spacing w:after="0" w:line="2"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2"/>
          <w:szCs w:val="22"/>
          <w:color w:val="auto"/>
        </w:rPr>
        <w:t>Title: Authorized Signatory</w:t>
      </w:r>
    </w:p>
    <w:p>
      <w:pPr>
        <w:spacing w:after="0" w:line="115" w:lineRule="exact"/>
        <w:rPr>
          <w:sz w:val="20"/>
          <w:szCs w:val="20"/>
          <w:color w:val="auto"/>
        </w:rPr>
      </w:pPr>
    </w:p>
    <w:p>
      <w:pPr>
        <w:ind w:left="2380"/>
        <w:spacing w:after="0"/>
        <w:rPr>
          <w:sz w:val="20"/>
          <w:szCs w:val="20"/>
          <w:color w:val="auto"/>
        </w:rPr>
      </w:pPr>
      <w:r>
        <w:rPr>
          <w:rFonts w:ascii="Times New Roman" w:cs="Times New Roman" w:eastAsia="Times New Roman" w:hAnsi="Times New Roman"/>
          <w:sz w:val="22"/>
          <w:szCs w:val="22"/>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5" w:name="page266"/>
    <w:bookmarkEnd w:id="265"/>
    <w:p>
      <w:pPr>
        <w:jc w:val="right"/>
        <w:ind w:right="131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8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Jeff French</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Managing Director</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6" w:name="page267"/>
    <w:bookmarkEnd w:id="266"/>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18415</wp:posOffset>
            </wp:positionV>
            <wp:extent cx="2794635" cy="88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1"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Name: Lillian Kim</w:t>
      </w:r>
    </w:p>
    <w:p>
      <w:pPr>
        <w:spacing w:after="0" w:line="13"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Director</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7" w:name="page268"/>
    <w:bookmarkEnd w:id="267"/>
    <w:p>
      <w:pPr>
        <w:jc w:val="right"/>
        <w:ind w:right="133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8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Daniel Kurtz</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Director</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8" w:name="page269"/>
    <w:bookmarkEnd w:id="268"/>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BARCLAYS BANK PLC</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Martin Corrigan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3820160</wp:posOffset>
            </wp:positionH>
            <wp:positionV relativeFrom="paragraph">
              <wp:posOffset>10795</wp:posOffset>
            </wp:positionV>
            <wp:extent cx="2537460" cy="889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2537460" cy="8890"/>
                    </a:xfrm>
                    <a:prstGeom prst="rect">
                      <a:avLst/>
                    </a:prstGeom>
                    <a:noFill/>
                  </pic:spPr>
                </pic:pic>
              </a:graphicData>
            </a:graphic>
          </wp:anchor>
        </w:drawing>
      </w:r>
    </w:p>
    <w:p>
      <w:pPr>
        <w:spacing w:after="0" w:line="9" w:lineRule="exact"/>
        <w:rPr>
          <w:sz w:val="20"/>
          <w:szCs w:val="20"/>
          <w:color w:val="auto"/>
        </w:rPr>
      </w:pPr>
    </w:p>
    <w:p>
      <w:pPr>
        <w:ind w:left="6020"/>
        <w:spacing w:after="0"/>
        <w:rPr>
          <w:sz w:val="20"/>
          <w:szCs w:val="20"/>
          <w:color w:val="auto"/>
        </w:rPr>
      </w:pPr>
      <w:r>
        <w:rPr>
          <w:rFonts w:ascii="Times New Roman" w:cs="Times New Roman" w:eastAsia="Times New Roman" w:hAnsi="Times New Roman"/>
          <w:sz w:val="22"/>
          <w:szCs w:val="22"/>
          <w:color w:val="auto"/>
        </w:rPr>
        <w:t>Name: Martin Corrigan</w:t>
      </w:r>
    </w:p>
    <w:p>
      <w:pPr>
        <w:spacing w:after="0" w:line="2" w:lineRule="exact"/>
        <w:rPr>
          <w:sz w:val="20"/>
          <w:szCs w:val="20"/>
          <w:color w:val="auto"/>
        </w:rPr>
      </w:pPr>
    </w:p>
    <w:p>
      <w:pPr>
        <w:ind w:left="6020"/>
        <w:spacing w:after="0"/>
        <w:tabs>
          <w:tab w:leader="none" w:pos="6700" w:val="left"/>
        </w:tabs>
        <w:rPr>
          <w:sz w:val="20"/>
          <w:szCs w:val="20"/>
          <w:color w:val="auto"/>
        </w:rPr>
      </w:pPr>
      <w:r>
        <w:rPr>
          <w:rFonts w:ascii="Times New Roman" w:cs="Times New Roman" w:eastAsia="Times New Roman" w:hAnsi="Times New Roman"/>
          <w:sz w:val="22"/>
          <w:szCs w:val="22"/>
          <w:color w:val="auto"/>
        </w:rPr>
        <w:t>Title:</w:t>
        <w:tab/>
        <w:t>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69" w:name="page270"/>
    <w:bookmarkEnd w:id="269"/>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By: /s/ Brendan Heneghan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3795395</wp:posOffset>
            </wp:positionH>
            <wp:positionV relativeFrom="paragraph">
              <wp:posOffset>-6985</wp:posOffset>
            </wp:positionV>
            <wp:extent cx="2178685" cy="825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2178685" cy="8255"/>
                    </a:xfrm>
                    <a:prstGeom prst="rect">
                      <a:avLst/>
                    </a:prstGeom>
                    <a:noFill/>
                  </pic:spPr>
                </pic:pic>
              </a:graphicData>
            </a:graphic>
          </wp:anchor>
        </w:drawing>
      </w:r>
    </w:p>
    <w:p>
      <w:pPr>
        <w:spacing w:after="0" w:line="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Name: Brendan Heneghan</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Director</w:t>
      </w:r>
    </w:p>
    <w:p>
      <w:pPr>
        <w:spacing w:after="0" w:line="398"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Karim Remtoula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3795395</wp:posOffset>
            </wp:positionH>
            <wp:positionV relativeFrom="paragraph">
              <wp:posOffset>-13970</wp:posOffset>
            </wp:positionV>
            <wp:extent cx="2179320" cy="825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2179320" cy="8255"/>
                    </a:xfrm>
                    <a:prstGeom prst="rect">
                      <a:avLst/>
                    </a:prstGeom>
                    <a:noFill/>
                  </pic:spPr>
                </pic:pic>
              </a:graphicData>
            </a:graphic>
          </wp:anchor>
        </w:drawing>
      </w:r>
    </w:p>
    <w:p>
      <w:pPr>
        <w:ind w:left="5620"/>
        <w:spacing w:after="0"/>
        <w:rPr>
          <w:sz w:val="20"/>
          <w:szCs w:val="20"/>
          <w:color w:val="auto"/>
        </w:rPr>
      </w:pPr>
      <w:r>
        <w:rPr>
          <w:rFonts w:ascii="Times New Roman" w:cs="Times New Roman" w:eastAsia="Times New Roman" w:hAnsi="Times New Roman"/>
          <w:sz w:val="22"/>
          <w:szCs w:val="22"/>
          <w:color w:val="auto"/>
        </w:rPr>
        <w:t>Name: Karim Remtoula</w:t>
      </w:r>
    </w:p>
    <w:p>
      <w:pPr>
        <w:ind w:left="56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0" w:name="page271"/>
    <w:bookmarkEnd w:id="270"/>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DBS Bank Ltd.</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Terence Yong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8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Terence Yong</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Title: Managing Director</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1" w:name="page272"/>
    <w:bookmarkEnd w:id="271"/>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3811270</wp:posOffset>
            </wp:positionH>
            <wp:positionV relativeFrom="paragraph">
              <wp:posOffset>10795</wp:posOffset>
            </wp:positionV>
            <wp:extent cx="2545715"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2545715" cy="8255"/>
                    </a:xfrm>
                    <a:prstGeom prst="rect">
                      <a:avLst/>
                    </a:prstGeom>
                    <a:noFill/>
                  </pic:spPr>
                </pic:pic>
              </a:graphicData>
            </a:graphic>
          </wp:anchor>
        </w:drawing>
      </w:r>
    </w:p>
    <w:p>
      <w:pPr>
        <w:spacing w:after="0" w:line="9"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22"/>
          <w:szCs w:val="22"/>
          <w:color w:val="auto"/>
        </w:rPr>
        <w:t>Name: Tracy Rahn</w:t>
      </w:r>
    </w:p>
    <w:p>
      <w:pPr>
        <w:spacing w:after="0" w:line="2" w:lineRule="exact"/>
        <w:rPr>
          <w:sz w:val="20"/>
          <w:szCs w:val="20"/>
          <w:color w:val="auto"/>
        </w:rPr>
      </w:pPr>
    </w:p>
    <w:p>
      <w:pPr>
        <w:ind w:left="6000"/>
        <w:spacing w:after="0"/>
        <w:tabs>
          <w:tab w:leader="none" w:pos="6720" w:val="left"/>
        </w:tabs>
        <w:rPr>
          <w:sz w:val="20"/>
          <w:szCs w:val="20"/>
          <w:color w:val="auto"/>
        </w:rPr>
      </w:pPr>
      <w:r>
        <w:rPr>
          <w:rFonts w:ascii="Times New Roman" w:cs="Times New Roman" w:eastAsia="Times New Roman" w:hAnsi="Times New Roman"/>
          <w:sz w:val="21"/>
          <w:szCs w:val="21"/>
          <w:color w:val="auto"/>
        </w:rPr>
        <w:t>Title:</w:t>
        <w:tab/>
        <w:t>Executive Director</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2" w:name="page273"/>
    <w:bookmarkEnd w:id="272"/>
    <w:p>
      <w:pPr>
        <w:ind w:left="5620"/>
        <w:spacing w:after="0"/>
        <w:rPr>
          <w:sz w:val="20"/>
          <w:szCs w:val="20"/>
          <w:color w:val="auto"/>
        </w:rPr>
      </w:pPr>
      <w:r>
        <w:rPr>
          <w:rFonts w:ascii="Times New Roman" w:cs="Times New Roman" w:eastAsia="Times New Roman" w:hAnsi="Times New Roman"/>
          <w:sz w:val="21"/>
          <w:szCs w:val="2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w:t>
      </w:r>
    </w:p>
    <w:p>
      <w:pPr>
        <w:spacing w:after="0" w:line="2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as a Lender</w:t>
      </w:r>
    </w:p>
    <w:p>
      <w:pPr>
        <w:spacing w:after="0" w:line="19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Karl Thomasma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8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Karl Thomasma</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Senior Vice President</w:t>
      </w:r>
    </w:p>
    <w:p>
      <w:pPr>
        <w:spacing w:after="0" w:line="115" w:lineRule="exact"/>
        <w:rPr>
          <w:sz w:val="20"/>
          <w:szCs w:val="20"/>
          <w:color w:val="auto"/>
        </w:rPr>
      </w:pPr>
    </w:p>
    <w:p>
      <w:pPr>
        <w:ind w:left="2380"/>
        <w:spacing w:after="0"/>
        <w:rPr>
          <w:sz w:val="20"/>
          <w:szCs w:val="20"/>
          <w:color w:val="auto"/>
        </w:rPr>
      </w:pPr>
      <w:r>
        <w:rPr>
          <w:rFonts w:ascii="Times New Roman" w:cs="Times New Roman" w:eastAsia="Times New Roman" w:hAnsi="Times New Roman"/>
          <w:sz w:val="22"/>
          <w:szCs w:val="22"/>
          <w:color w:val="auto"/>
        </w:rPr>
        <w:t>[Signature Page to Revolving Credit Agreement]</w:t>
      </w:r>
    </w:p>
    <w:p>
      <w:pPr>
        <w:sectPr>
          <w:pgSz w:w="11900" w:h="16838" w:orient="portrait"/>
          <w:cols w:equalWidth="0" w:num="1">
            <w:col w:w="9420"/>
          </w:cols>
          <w:pgMar w:left="1440" w:top="261" w:right="1039" w:bottom="1440" w:gutter="0" w:footer="0" w:header="0"/>
        </w:sectPr>
      </w:pPr>
    </w:p>
    <w:bookmarkStart w:id="273" w:name="page274"/>
    <w:bookmarkEnd w:id="273"/>
    <w:p>
      <w:pPr>
        <w:jc w:val="right"/>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Michael Maguire</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Managing Director</w:t>
      </w:r>
    </w:p>
    <w:p>
      <w:pPr>
        <w:spacing w:after="0" w:line="11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20"/>
          </w:cols>
          <w:pgMar w:left="1440" w:top="261" w:right="1439" w:bottom="1440" w:gutter="0" w:footer="0" w:header="0"/>
        </w:sectPr>
      </w:pPr>
    </w:p>
    <w:bookmarkStart w:id="274" w:name="page275"/>
    <w:bookmarkEnd w:id="274"/>
    <w:p>
      <w:pPr>
        <w:jc w:val="right"/>
        <w:ind w:right="63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w:t>
      </w:r>
    </w:p>
    <w:p>
      <w:pPr>
        <w:spacing w:after="0" w:line="16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Susan M. Bowes</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Senior 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5" w:name="page276"/>
    <w:bookmarkEnd w:id="275"/>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BBVA USA</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Chris Dowler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Chris Dowler</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Title: Senior Vice President</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6" w:name="page277"/>
    <w:bookmarkEnd w:id="276"/>
    <w:p>
      <w:pPr>
        <w:jc w:val="right"/>
        <w:ind w:right="379"/>
        <w:spacing w:after="0"/>
        <w:rPr>
          <w:sz w:val="20"/>
          <w:szCs w:val="20"/>
          <w:color w:val="auto"/>
        </w:rPr>
      </w:pPr>
      <w:r>
        <w:rPr>
          <w:rFonts w:ascii="Times New Roman" w:cs="Times New Roman" w:eastAsia="Times New Roman" w:hAnsi="Times New Roman"/>
          <w:sz w:val="22"/>
          <w:szCs w:val="22"/>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BANK OF NOVA SCOTIA</w:t>
      </w:r>
    </w:p>
    <w:p>
      <w:pPr>
        <w:spacing w:after="0" w:line="21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Khrystyna Manko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Khrystyna Manko</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Director</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57" w:right="1440" w:bottom="1440" w:gutter="0" w:footer="0" w:header="0"/>
        </w:sectPr>
      </w:pPr>
    </w:p>
    <w:bookmarkStart w:id="277" w:name="page278"/>
    <w:bookmarkEnd w:id="277"/>
    <w:p>
      <w:pPr>
        <w:jc w:val="right"/>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Credit Agricole Corporate and Investment Bank</w:t>
      </w:r>
    </w:p>
    <w:p>
      <w:pPr>
        <w:spacing w:after="0" w:line="206"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By: /s/ Jill Wong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3631565</wp:posOffset>
            </wp:positionH>
            <wp:positionV relativeFrom="paragraph">
              <wp:posOffset>10795</wp:posOffset>
            </wp:positionV>
            <wp:extent cx="2726055" cy="825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9"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Name: Jill Wong</w:t>
      </w:r>
    </w:p>
    <w:p>
      <w:pPr>
        <w:spacing w:after="0" w:line="2"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Title:  Director</w:t>
      </w:r>
    </w:p>
    <w:p>
      <w:pPr>
        <w:spacing w:after="0" w:line="331"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By: /s/ Gordon Yip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3631565</wp:posOffset>
            </wp:positionH>
            <wp:positionV relativeFrom="paragraph">
              <wp:posOffset>10795</wp:posOffset>
            </wp:positionV>
            <wp:extent cx="2726055" cy="825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9"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Name: Gordon Yip</w:t>
      </w:r>
    </w:p>
    <w:p>
      <w:pPr>
        <w:spacing w:after="0" w:line="2"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22"/>
          <w:szCs w:val="22"/>
          <w:color w:val="auto"/>
        </w:rPr>
        <w:t>Title:  Director</w:t>
      </w:r>
    </w:p>
    <w:p>
      <w:pPr>
        <w:spacing w:after="0" w:line="115" w:lineRule="exact"/>
        <w:rPr>
          <w:sz w:val="20"/>
          <w:szCs w:val="20"/>
          <w:color w:val="auto"/>
        </w:rPr>
      </w:pPr>
    </w:p>
    <w:p>
      <w:pPr>
        <w:ind w:left="2380"/>
        <w:spacing w:after="0"/>
        <w:rPr>
          <w:sz w:val="20"/>
          <w:szCs w:val="20"/>
          <w:color w:val="auto"/>
        </w:rPr>
      </w:pPr>
      <w:r>
        <w:rPr>
          <w:rFonts w:ascii="Times New Roman" w:cs="Times New Roman" w:eastAsia="Times New Roman" w:hAnsi="Times New Roman"/>
          <w:sz w:val="22"/>
          <w:szCs w:val="22"/>
          <w:color w:val="auto"/>
        </w:rPr>
        <w:t>[Signature Page to Revolving Credit Agreement]</w:t>
      </w:r>
    </w:p>
    <w:p>
      <w:pPr>
        <w:sectPr>
          <w:pgSz w:w="11900" w:h="16838" w:orient="portrait"/>
          <w:cols w:equalWidth="0" w:num="1">
            <w:col w:w="9260"/>
          </w:cols>
          <w:pgMar w:left="1440" w:top="261" w:right="1199" w:bottom="1440" w:gutter="0" w:footer="0" w:header="0"/>
        </w:sectPr>
      </w:pPr>
    </w:p>
    <w:bookmarkStart w:id="278" w:name="page279"/>
    <w:bookmarkEnd w:id="278"/>
    <w:p>
      <w:pPr>
        <w:jc w:val="right"/>
        <w:ind w:right="19"/>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Fifth Third Bank, National Association</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Marisa Lake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Marisa Lake</w:t>
      </w:r>
    </w:p>
    <w:p>
      <w:pPr>
        <w:spacing w:after="0" w:line="2" w:lineRule="exact"/>
        <w:rPr>
          <w:sz w:val="20"/>
          <w:szCs w:val="20"/>
          <w:color w:val="auto"/>
        </w:rPr>
      </w:pPr>
    </w:p>
    <w:p>
      <w:pPr>
        <w:ind w:left="5620"/>
        <w:spacing w:after="0"/>
        <w:tabs>
          <w:tab w:leader="none" w:pos="6300" w:val="left"/>
        </w:tabs>
        <w:rPr>
          <w:sz w:val="20"/>
          <w:szCs w:val="20"/>
          <w:color w:val="auto"/>
        </w:rPr>
      </w:pPr>
      <w:r>
        <w:rPr>
          <w:rFonts w:ascii="Times New Roman" w:cs="Times New Roman" w:eastAsia="Times New Roman" w:hAnsi="Times New Roman"/>
          <w:sz w:val="22"/>
          <w:szCs w:val="22"/>
          <w:color w:val="auto"/>
        </w:rPr>
        <w:t>Title:</w:t>
        <w:tab/>
        <w:t>Assistant 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79" w:name="page280"/>
    <w:bookmarkEnd w:id="279"/>
    <w:p>
      <w:pPr>
        <w:jc w:val="right"/>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TORONTO-DOMINION BANK,</w:t>
      </w:r>
    </w:p>
    <w:p>
      <w:pPr>
        <w:spacing w:after="0" w:line="20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NEW YORK BRANCH, as lender</w:t>
      </w:r>
    </w:p>
    <w:p>
      <w:pPr>
        <w:spacing w:after="0" w:line="22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By: /s/ Michael Borowiecki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10795</wp:posOffset>
            </wp:positionV>
            <wp:extent cx="2794635" cy="825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Name: Michael Borowiecki</w:t>
      </w:r>
    </w:p>
    <w:p>
      <w:pPr>
        <w:spacing w:after="0" w:line="2"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Authorized Signatory</w:t>
      </w:r>
    </w:p>
    <w:p>
      <w:pPr>
        <w:spacing w:after="0" w:line="11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20"/>
          </w:cols>
          <w:pgMar w:left="1440" w:top="261" w:right="1439" w:bottom="1440" w:gutter="0" w:footer="0" w:header="0"/>
        </w:sectPr>
      </w:pPr>
    </w:p>
    <w:bookmarkStart w:id="280" w:name="page281"/>
    <w:bookmarkEnd w:id="280"/>
    <w:p>
      <w:pPr>
        <w:ind w:left="5620"/>
        <w:spacing w:after="0"/>
        <w:rPr>
          <w:sz w:val="20"/>
          <w:szCs w:val="20"/>
          <w:color w:val="auto"/>
        </w:rPr>
      </w:pPr>
      <w:r>
        <w:rPr>
          <w:rFonts w:ascii="Times New Roman" w:cs="Times New Roman" w:eastAsia="Times New Roman" w:hAnsi="Times New Roman"/>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Truist Bank</w:t>
      </w:r>
    </w:p>
    <w:p>
      <w:pPr>
        <w:spacing w:after="0" w:line="16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By: /s/ Alfonso Brigham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18415</wp:posOffset>
            </wp:positionV>
            <wp:extent cx="2794635" cy="825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1"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1"/>
          <w:szCs w:val="21"/>
          <w:color w:val="auto"/>
        </w:rPr>
        <w:t>Name: Alfonso Brigham</w:t>
      </w:r>
    </w:p>
    <w:p>
      <w:pPr>
        <w:spacing w:after="0" w:line="13"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22"/>
          <w:szCs w:val="22"/>
          <w:color w:val="auto"/>
        </w:rPr>
        <w:t>Title: Vice President</w:t>
      </w:r>
    </w:p>
    <w:p>
      <w:pPr>
        <w:spacing w:after="0" w:line="1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1"/>
          <w:szCs w:val="21"/>
          <w:color w:val="auto"/>
        </w:rPr>
        <w:t>[Signature Page to Revolving Credit Agreement]</w:t>
      </w:r>
    </w:p>
    <w:p>
      <w:pPr>
        <w:sectPr>
          <w:pgSz w:w="11900" w:h="16838" w:orient="portrait"/>
          <w:cols w:equalWidth="0" w:num="1">
            <w:col w:w="9019"/>
          </w:cols>
          <w:pgMar w:left="1440" w:top="261" w:right="1440" w:bottom="1440" w:gutter="0" w:footer="0" w:header="0"/>
        </w:sectPr>
      </w:pPr>
    </w:p>
    <w:bookmarkStart w:id="281" w:name="page282"/>
    <w:bookmarkEnd w:id="281"/>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10.3</w:t>
      </w:r>
    </w:p>
    <w:p>
      <w:pPr>
        <w:spacing w:after="0" w:line="22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EXECUTION VERSION</w:t>
      </w:r>
    </w:p>
    <w:p>
      <w:pPr>
        <w:spacing w:after="0" w:line="200" w:lineRule="exact"/>
        <w:rPr>
          <w:sz w:val="20"/>
          <w:szCs w:val="20"/>
          <w:color w:val="auto"/>
        </w:rPr>
      </w:pPr>
    </w:p>
    <w:p>
      <w:pPr>
        <w:spacing w:after="0" w:line="23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AMENDMENT NO. 1 TO CREDIT AGREEMENT</w:t>
      </w:r>
    </w:p>
    <w:p>
      <w:pPr>
        <w:spacing w:after="0" w:line="225" w:lineRule="exact"/>
        <w:rPr>
          <w:sz w:val="20"/>
          <w:szCs w:val="20"/>
          <w:color w:val="auto"/>
        </w:rPr>
      </w:pPr>
    </w:p>
    <w:p>
      <w:pPr>
        <w:ind w:right="20" w:firstLine="991"/>
        <w:spacing w:after="0" w:line="262" w:lineRule="auto"/>
        <w:rPr>
          <w:sz w:val="20"/>
          <w:szCs w:val="20"/>
          <w:color w:val="auto"/>
        </w:rPr>
      </w:pPr>
      <w:r>
        <w:rPr>
          <w:rFonts w:ascii="Times New Roman" w:cs="Times New Roman" w:eastAsia="Times New Roman" w:hAnsi="Times New Roman"/>
          <w:sz w:val="18"/>
          <w:szCs w:val="18"/>
          <w:color w:val="auto"/>
        </w:rPr>
        <w:t>AMENDMENT NO. 1 dated as of December 7, 2020 (this “</w:t>
      </w:r>
      <w:r>
        <w:rPr>
          <w:rFonts w:ascii="Times New Roman" w:cs="Times New Roman" w:eastAsia="Times New Roman" w:hAnsi="Times New Roman"/>
          <w:sz w:val="18"/>
          <w:szCs w:val="18"/>
          <w:b w:val="1"/>
          <w:bCs w:val="1"/>
          <w:color w:val="auto"/>
        </w:rPr>
        <w:t>Amendment</w:t>
      </w:r>
      <w:r>
        <w:rPr>
          <w:rFonts w:ascii="Times New Roman" w:cs="Times New Roman" w:eastAsia="Times New Roman" w:hAnsi="Times New Roman"/>
          <w:sz w:val="18"/>
          <w:szCs w:val="18"/>
          <w:color w:val="auto"/>
        </w:rPr>
        <w:t>”) to that certain CREDIT AGREEMENT dated as of June 13, 2018 (the “</w:t>
      </w:r>
      <w:r>
        <w:rPr>
          <w:rFonts w:ascii="Times New Roman" w:cs="Times New Roman" w:eastAsia="Times New Roman" w:hAnsi="Times New Roman"/>
          <w:sz w:val="18"/>
          <w:szCs w:val="18"/>
          <w:b w:val="1"/>
          <w:bCs w:val="1"/>
          <w:color w:val="auto"/>
        </w:rPr>
        <w:t>Credit Agreement</w:t>
      </w:r>
      <w:r>
        <w:rPr>
          <w:rFonts w:ascii="Times New Roman" w:cs="Times New Roman" w:eastAsia="Times New Roman" w:hAnsi="Times New Roman"/>
          <w:sz w:val="18"/>
          <w:szCs w:val="18"/>
          <w:color w:val="auto"/>
        </w:rPr>
        <w:t>”), among MARVELL TECHNOLOGY GROUP LTD., a Bermuda exempted company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the LENDERS from time to time party thereto, BANK OF AMERICA, N.A., as the Revolving Facility Agent and GOLDMAN SACHS BANK USA, as the General Administrative Agent and the Term Facility Agent.</w:t>
      </w:r>
    </w:p>
    <w:p>
      <w:pPr>
        <w:spacing w:after="0" w:line="39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WITNESSETH:</w:t>
      </w:r>
    </w:p>
    <w:p>
      <w:pPr>
        <w:spacing w:after="0" w:line="22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WHEREAS, the Company has requested that the Credit Agreement be amended as set forth herein; and</w:t>
      </w:r>
    </w:p>
    <w:p>
      <w:pPr>
        <w:spacing w:after="0" w:line="225" w:lineRule="exact"/>
        <w:rPr>
          <w:sz w:val="20"/>
          <w:szCs w:val="20"/>
          <w:color w:val="auto"/>
        </w:rPr>
      </w:pPr>
    </w:p>
    <w:p>
      <w:pPr>
        <w:ind w:right="180" w:firstLine="991"/>
        <w:spacing w:after="0" w:line="282" w:lineRule="auto"/>
        <w:rPr>
          <w:sz w:val="20"/>
          <w:szCs w:val="20"/>
          <w:color w:val="auto"/>
        </w:rPr>
      </w:pPr>
      <w:r>
        <w:rPr>
          <w:rFonts w:ascii="Times New Roman" w:cs="Times New Roman" w:eastAsia="Times New Roman" w:hAnsi="Times New Roman"/>
          <w:sz w:val="18"/>
          <w:szCs w:val="18"/>
          <w:color w:val="auto"/>
        </w:rPr>
        <w:t>WHEREAS, the Agents and the Required Lenders executing this Amendment as a Lender are willing to amend the Credit Agreement on the terms set forth herein;</w:t>
      </w:r>
    </w:p>
    <w:p>
      <w:pPr>
        <w:spacing w:after="0" w:line="162" w:lineRule="exact"/>
        <w:rPr>
          <w:sz w:val="20"/>
          <w:szCs w:val="20"/>
          <w:color w:val="auto"/>
        </w:rPr>
      </w:pPr>
    </w:p>
    <w:p>
      <w:pPr>
        <w:ind w:right="60" w:firstLine="991"/>
        <w:spacing w:after="0" w:line="282" w:lineRule="auto"/>
        <w:rPr>
          <w:sz w:val="20"/>
          <w:szCs w:val="20"/>
          <w:color w:val="auto"/>
        </w:rPr>
      </w:pPr>
      <w:r>
        <w:rPr>
          <w:rFonts w:ascii="Times New Roman" w:cs="Times New Roman" w:eastAsia="Times New Roman" w:hAnsi="Times New Roman"/>
          <w:sz w:val="18"/>
          <w:szCs w:val="18"/>
          <w:color w:val="auto"/>
        </w:rPr>
        <w:t>NOW, THEREFORE, in consideration of the premises and other good and valuable consideration, the receipt and sufficiency of which are hereby acknowledged, the parties hereto hereby agree as follows:</w:t>
      </w:r>
    </w:p>
    <w:p>
      <w:pPr>
        <w:spacing w:after="0" w:line="160" w:lineRule="exact"/>
        <w:rPr>
          <w:sz w:val="20"/>
          <w:szCs w:val="20"/>
          <w:color w:val="auto"/>
        </w:rPr>
      </w:pPr>
    </w:p>
    <w:p>
      <w:pPr>
        <w:ind w:right="380" w:firstLine="991"/>
        <w:spacing w:after="0" w:line="284" w:lineRule="auto"/>
        <w:rPr>
          <w:sz w:val="20"/>
          <w:szCs w:val="20"/>
          <w:color w:val="auto"/>
        </w:rPr>
      </w:pPr>
      <w:r>
        <w:rPr>
          <w:rFonts w:ascii="Times New Roman" w:cs="Times New Roman" w:eastAsia="Times New Roman" w:hAnsi="Times New Roman"/>
          <w:sz w:val="18"/>
          <w:szCs w:val="18"/>
          <w:color w:val="auto"/>
        </w:rPr>
        <w:t>Section 1</w:t>
      </w:r>
      <w:r>
        <w:rPr>
          <w:rFonts w:ascii="Times New Roman" w:cs="Times New Roman" w:eastAsia="Times New Roman" w:hAnsi="Times New Roman"/>
          <w:sz w:val="18"/>
          <w:szCs w:val="18"/>
          <w:i w:val="1"/>
          <w:iCs w:val="1"/>
          <w:color w:val="auto"/>
        </w:rPr>
        <w:t>. Defined Terms; References.</w:t>
      </w:r>
      <w:r>
        <w:rPr>
          <w:rFonts w:ascii="Times New Roman" w:cs="Times New Roman" w:eastAsia="Times New Roman" w:hAnsi="Times New Roman"/>
          <w:sz w:val="18"/>
          <w:szCs w:val="18"/>
          <w:color w:val="auto"/>
        </w:rPr>
        <w:t xml:space="preserve"> Unless otherwise specifically defined herein, each term used herein that is defined in the Credit Agreement has the meaning assigned to such term in the Credit Agreement.</w:t>
      </w:r>
    </w:p>
    <w:p>
      <w:pPr>
        <w:spacing w:after="0" w:line="158" w:lineRule="exact"/>
        <w:rPr>
          <w:sz w:val="20"/>
          <w:szCs w:val="20"/>
          <w:color w:val="auto"/>
        </w:rPr>
      </w:pPr>
    </w:p>
    <w:p>
      <w:pPr>
        <w:ind w:right="40" w:firstLine="991"/>
        <w:spacing w:after="0" w:line="267" w:lineRule="auto"/>
        <w:rPr>
          <w:sz w:val="20"/>
          <w:szCs w:val="20"/>
          <w:color w:val="auto"/>
        </w:rPr>
      </w:pPr>
      <w:r>
        <w:rPr>
          <w:rFonts w:ascii="Times New Roman" w:cs="Times New Roman" w:eastAsia="Times New Roman" w:hAnsi="Times New Roman"/>
          <w:sz w:val="18"/>
          <w:szCs w:val="18"/>
          <w:color w:val="auto"/>
        </w:rPr>
        <w:t>Section 2</w:t>
      </w:r>
      <w:r>
        <w:rPr>
          <w:rFonts w:ascii="Times New Roman" w:cs="Times New Roman" w:eastAsia="Times New Roman" w:hAnsi="Times New Roman"/>
          <w:sz w:val="18"/>
          <w:szCs w:val="18"/>
          <w:i w:val="1"/>
          <w:iCs w:val="1"/>
          <w:color w:val="auto"/>
        </w:rPr>
        <w:t>. Amendments</w:t>
      </w:r>
      <w:r>
        <w:rPr>
          <w:rFonts w:ascii="Times New Roman" w:cs="Times New Roman" w:eastAsia="Times New Roman" w:hAnsi="Times New Roman"/>
          <w:sz w:val="18"/>
          <w:szCs w:val="18"/>
          <w:color w:val="auto"/>
        </w:rPr>
        <w:t xml:space="preserve">. The Credit Agreement is hereby amended to delete the stricken text (indicated textually in the same manner as the following example: </w:t>
      </w:r>
      <w:r>
        <w:rPr>
          <w:rFonts w:ascii="Times New Roman" w:cs="Times New Roman" w:eastAsia="Times New Roman" w:hAnsi="Times New Roman"/>
          <w:sz w:val="18"/>
          <w:szCs w:val="18"/>
          <w:color w:val="FF4338"/>
          <w:strike w:val="1"/>
        </w:rPr>
        <w:t>stricken text</w:t>
      </w:r>
      <w:r>
        <w:rPr>
          <w:rFonts w:ascii="Times New Roman" w:cs="Times New Roman" w:eastAsia="Times New Roman" w:hAnsi="Times New Roman"/>
          <w:sz w:val="18"/>
          <w:szCs w:val="18"/>
          <w:color w:val="auto"/>
        </w:rPr>
        <w:t xml:space="preserve">) and to add the double-underlined text (indicated textually in the same manner as the following example: </w:t>
      </w:r>
      <w:r>
        <w:rPr>
          <w:rFonts w:ascii="Times New Roman" w:cs="Times New Roman" w:eastAsia="Times New Roman" w:hAnsi="Times New Roman"/>
          <w:sz w:val="18"/>
          <w:szCs w:val="18"/>
          <w:u w:val="single" w:color="auto"/>
          <w:color w:val="0000FF"/>
        </w:rPr>
        <w:t>double-underlined text</w:t>
      </w:r>
      <w:r>
        <w:rPr>
          <w:rFonts w:ascii="Times New Roman" w:cs="Times New Roman" w:eastAsia="Times New Roman" w:hAnsi="Times New Roman"/>
          <w:sz w:val="18"/>
          <w:szCs w:val="18"/>
          <w:color w:val="000000"/>
        </w:rPr>
        <w:t>) as set forth in the conformed copy of the Credit Agreement attached as Annex A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6332220</wp:posOffset>
            </wp:positionH>
            <wp:positionV relativeFrom="paragraph">
              <wp:posOffset>-142240</wp:posOffset>
            </wp:positionV>
            <wp:extent cx="342900" cy="825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34290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-5080</wp:posOffset>
            </wp:positionV>
            <wp:extent cx="685800" cy="825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685800" cy="8255"/>
                    </a:xfrm>
                    <a:prstGeom prst="rect">
                      <a:avLst/>
                    </a:prstGeom>
                    <a:noFill/>
                  </pic:spPr>
                </pic:pic>
              </a:graphicData>
            </a:graphic>
          </wp:anchor>
        </w:drawing>
      </w:r>
    </w:p>
    <w:p>
      <w:pPr>
        <w:spacing w:after="0" w:line="15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Section 3</w:t>
      </w:r>
      <w:r>
        <w:rPr>
          <w:rFonts w:ascii="Times New Roman" w:cs="Times New Roman" w:eastAsia="Times New Roman" w:hAnsi="Times New Roman"/>
          <w:sz w:val="18"/>
          <w:szCs w:val="18"/>
          <w:i w:val="1"/>
          <w:iCs w:val="1"/>
          <w:color w:val="auto"/>
        </w:rPr>
        <w:t>. Representations and Warranties.</w:t>
      </w:r>
      <w:r>
        <w:rPr>
          <w:rFonts w:ascii="Times New Roman" w:cs="Times New Roman" w:eastAsia="Times New Roman" w:hAnsi="Times New Roman"/>
          <w:sz w:val="18"/>
          <w:szCs w:val="18"/>
          <w:color w:val="auto"/>
        </w:rPr>
        <w:t xml:space="preserve"> Representations and Warranties. The Company represents and warrants as to itself and its</w:t>
      </w:r>
    </w:p>
    <w:p>
      <w:pPr>
        <w:spacing w:after="0" w:line="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Subsidiaries to the other parties hereto that:</w:t>
      </w:r>
    </w:p>
    <w:p>
      <w:pPr>
        <w:spacing w:after="0" w:line="207" w:lineRule="exact"/>
        <w:rPr>
          <w:sz w:val="20"/>
          <w:szCs w:val="20"/>
          <w:color w:val="auto"/>
        </w:rPr>
      </w:pPr>
    </w:p>
    <w:p>
      <w:pPr>
        <w:ind w:right="160" w:firstLine="987"/>
        <w:spacing w:after="0" w:line="277" w:lineRule="auto"/>
        <w:tabs>
          <w:tab w:leader="none" w:pos="1371" w:val="left"/>
        </w:tabs>
        <w:numPr>
          <w:ilvl w:val="0"/>
          <w:numId w:val="25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execution, delivery and performance of this Amendment are within the Company’s corporate or other organizational powers and have been duly authorized by all necessary corporate or other organizational and, if required, stockholder or other equityholder action of the Company. This Amendment has been duly executed and delivered by the Company and constitutes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 and</w:t>
      </w:r>
    </w:p>
    <w:p>
      <w:pPr>
        <w:spacing w:after="0" w:line="10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282" w:name="page283"/>
    <w:bookmarkEnd w:id="282"/>
    <w:p>
      <w:pPr>
        <w:ind w:left="4" w:right="100" w:firstLine="987"/>
        <w:spacing w:after="0" w:line="258" w:lineRule="auto"/>
        <w:tabs>
          <w:tab w:leader="none" w:pos="1385" w:val="left"/>
        </w:tabs>
        <w:numPr>
          <w:ilvl w:val="0"/>
          <w:numId w:val="2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representations and warranties contained in the Loan Documents are true and correct (i) in the case of the representations and warranties qualified as to materiality, in all respects and (ii) otherwise, in all material respects, in each case on and as of the Amendment Effective Date (as defined below), except in the case of any such representation or warranty that expressly relates to a prior date, in which case such representation or warranty shall be so true and correct (x) in the case of the representations and warranties qualified as to materiality, in all respects and (y) otherwise, in all material respects, on and as of such prior date.</w:t>
      </w:r>
    </w:p>
    <w:p>
      <w:pPr>
        <w:spacing w:after="0" w:line="181" w:lineRule="exact"/>
        <w:rPr>
          <w:sz w:val="20"/>
          <w:szCs w:val="20"/>
          <w:color w:val="auto"/>
        </w:rPr>
      </w:pPr>
    </w:p>
    <w:p>
      <w:pPr>
        <w:ind w:left="4" w:right="20" w:firstLine="991"/>
        <w:spacing w:after="0" w:line="284" w:lineRule="auto"/>
        <w:rPr>
          <w:sz w:val="20"/>
          <w:szCs w:val="20"/>
          <w:color w:val="auto"/>
        </w:rPr>
      </w:pPr>
      <w:r>
        <w:rPr>
          <w:rFonts w:ascii="Times New Roman" w:cs="Times New Roman" w:eastAsia="Times New Roman" w:hAnsi="Times New Roman"/>
          <w:sz w:val="18"/>
          <w:szCs w:val="18"/>
          <w:color w:val="auto"/>
        </w:rPr>
        <w:t>Section 4</w:t>
      </w:r>
      <w:r>
        <w:rPr>
          <w:rFonts w:ascii="Times New Roman" w:cs="Times New Roman" w:eastAsia="Times New Roman" w:hAnsi="Times New Roman"/>
          <w:sz w:val="18"/>
          <w:szCs w:val="18"/>
          <w:i w:val="1"/>
          <w:iCs w:val="1"/>
          <w:color w:val="auto"/>
        </w:rPr>
        <w:t>. Effectiveness.</w:t>
      </w:r>
      <w:r>
        <w:rPr>
          <w:rFonts w:ascii="Times New Roman" w:cs="Times New Roman" w:eastAsia="Times New Roman" w:hAnsi="Times New Roman"/>
          <w:sz w:val="18"/>
          <w:szCs w:val="18"/>
          <w:color w:val="auto"/>
        </w:rPr>
        <w:t xml:space="preserve"> This Amendment shall become effective and as of the first date on which the following conditions precedent have been satisfied (or waived in accordance with Section 9.02 of the Credit Agreement) (the “</w:t>
      </w:r>
      <w:r>
        <w:rPr>
          <w:rFonts w:ascii="Times New Roman" w:cs="Times New Roman" w:eastAsia="Times New Roman" w:hAnsi="Times New Roman"/>
          <w:sz w:val="18"/>
          <w:szCs w:val="18"/>
          <w:b w:val="1"/>
          <w:bCs w:val="1"/>
          <w:color w:val="auto"/>
        </w:rPr>
        <w:t>Amendment Effective Date</w:t>
      </w:r>
      <w:r>
        <w:rPr>
          <w:rFonts w:ascii="Times New Roman" w:cs="Times New Roman" w:eastAsia="Times New Roman" w:hAnsi="Times New Roman"/>
          <w:sz w:val="18"/>
          <w:szCs w:val="18"/>
          <w:color w:val="auto"/>
        </w:rPr>
        <w:t>”):</w:t>
      </w:r>
    </w:p>
    <w:p>
      <w:pPr>
        <w:spacing w:after="0" w:line="160" w:lineRule="exact"/>
        <w:rPr>
          <w:sz w:val="20"/>
          <w:szCs w:val="20"/>
          <w:color w:val="auto"/>
        </w:rPr>
      </w:pPr>
    </w:p>
    <w:p>
      <w:pPr>
        <w:ind w:left="4" w:right="80" w:firstLine="987"/>
        <w:spacing w:after="0" w:line="266" w:lineRule="auto"/>
        <w:tabs>
          <w:tab w:leader="none" w:pos="1372" w:val="left"/>
        </w:tabs>
        <w:numPr>
          <w:ilvl w:val="1"/>
          <w:numId w:val="2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General Administrative Agent (or its counsel) shall have received from the Company, the Required Lenders and the Agents (i) a counterpart of this Amendment signed on behalf of such party or (ii) written evidence satisfactory to the General Administrative Agent (which may include facsimile transmission or other electronic imaging) that such party has signed a counterpart of this Amendment; and</w:t>
      </w:r>
    </w:p>
    <w:p>
      <w:pPr>
        <w:spacing w:after="0" w:line="175" w:lineRule="exact"/>
        <w:rPr>
          <w:rFonts w:ascii="Times New Roman" w:cs="Times New Roman" w:eastAsia="Times New Roman" w:hAnsi="Times New Roman"/>
          <w:sz w:val="18"/>
          <w:szCs w:val="18"/>
          <w:color w:val="auto"/>
        </w:rPr>
      </w:pPr>
    </w:p>
    <w:p>
      <w:pPr>
        <w:ind w:left="4" w:right="20" w:firstLine="987"/>
        <w:spacing w:after="0" w:line="272" w:lineRule="auto"/>
        <w:tabs>
          <w:tab w:leader="none" w:pos="1385" w:val="left"/>
        </w:tabs>
        <w:numPr>
          <w:ilvl w:val="1"/>
          <w:numId w:val="25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General Administrative Agent shall have received a certificate, dated the Amendment Effective Date and signed by the chief executive officer or the chief financial officer of the Company, certifying that, as of the Amendment Effective Date, (i) the representation and warranties contained in the Loan Documents are true and correct (A) in the case of the representations and warranties qualified as to materiality, in all respects and</w:t>
      </w:r>
    </w:p>
    <w:p>
      <w:pPr>
        <w:spacing w:after="0" w:line="1" w:lineRule="exact"/>
        <w:rPr>
          <w:rFonts w:ascii="Times New Roman" w:cs="Times New Roman" w:eastAsia="Times New Roman" w:hAnsi="Times New Roman"/>
          <w:sz w:val="17"/>
          <w:szCs w:val="17"/>
          <w:color w:val="auto"/>
        </w:rPr>
      </w:pPr>
    </w:p>
    <w:p>
      <w:pPr>
        <w:ind w:left="4" w:hanging="4"/>
        <w:spacing w:after="0" w:line="253" w:lineRule="auto"/>
        <w:tabs>
          <w:tab w:leader="none" w:pos="289" w:val="left"/>
        </w:tabs>
        <w:numPr>
          <w:ilvl w:val="0"/>
          <w:numId w:val="2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otherwise, in all material respects, in each case on and as of the Amendment Effective Date (as defined below), except in the case of any such representation or warranty that expressly relates to a prior date, in which case such representation or warranty shall be so true and correct (x) in the case of the representations and warranties qualified as to materiality, in all respects and (y) otherwise, in all material respects, on and as of such prior date and (ii) no Default has occurred and is continuing; and</w:t>
      </w:r>
    </w:p>
    <w:p>
      <w:pPr>
        <w:spacing w:after="0" w:line="187" w:lineRule="exact"/>
        <w:rPr>
          <w:sz w:val="20"/>
          <w:szCs w:val="20"/>
          <w:color w:val="auto"/>
        </w:rPr>
      </w:pPr>
    </w:p>
    <w:p>
      <w:pPr>
        <w:ind w:left="4" w:right="20" w:firstLine="991"/>
        <w:spacing w:after="0" w:line="253" w:lineRule="auto"/>
        <w:rPr>
          <w:sz w:val="20"/>
          <w:szCs w:val="20"/>
          <w:color w:val="auto"/>
        </w:rPr>
      </w:pPr>
      <w:r>
        <w:rPr>
          <w:rFonts w:ascii="Times New Roman" w:cs="Times New Roman" w:eastAsia="Times New Roman" w:hAnsi="Times New Roman"/>
          <w:sz w:val="18"/>
          <w:szCs w:val="18"/>
          <w:color w:val="auto"/>
        </w:rPr>
        <w:t>Section 5</w:t>
      </w:r>
      <w:r>
        <w:rPr>
          <w:rFonts w:ascii="Times New Roman" w:cs="Times New Roman" w:eastAsia="Times New Roman" w:hAnsi="Times New Roman"/>
          <w:sz w:val="18"/>
          <w:szCs w:val="18"/>
          <w:i w:val="1"/>
          <w:iCs w:val="1"/>
          <w:color w:val="auto"/>
        </w:rPr>
        <w:t>. Effect of Amendment.</w:t>
      </w:r>
      <w:r>
        <w:rPr>
          <w:rFonts w:ascii="Times New Roman" w:cs="Times New Roman" w:eastAsia="Times New Roman" w:hAnsi="Times New Roman"/>
          <w:sz w:val="18"/>
          <w:szCs w:val="18"/>
          <w:color w:val="auto"/>
        </w:rPr>
        <w:t xml:space="preserve"> Except as expressly set forth herein, this Amendment shall not by implication or otherwise limit, impair, constitute a waiver of or otherwise affect the rights and remedies of any Lender or any Agent under the Credit Agreement or any other Loan Document, and shall not alter, modify, amend, novate or in any way affect any of the terms, conditions, obligations, covenants or agreements contained in the Credit Agreement or any other Loan Document, all of which are ratified and affirmed in all respects and shall continue in full force and effect. Nothing herein shall be deemed to entitle the Company to a future consent to, or a waiver, amendment, modification or other change of, any of the terms, conditions, obligations, covenants or agreements contained in the Credit Agreement or any other Loan Document in similar or different circumstances. This Amendment shall constitute a “Loan Document” for all purposes of the Credit Agreement and the other Loan Documents. It is understood and agreed that on and after the Amendment Effective Date, pursuant to that certain Commitment Termination Notice delivered to the Revolving Facility Agent on December 2, 2020, the Revolving Commitments shall be terminated in their entirety and the Revolving Facility Agent shall have no further duty or obligation under the Credit Agreement as “Revolving Facility Agent” or as “Applicable Facility Agent”; provided that the provisions of Sections 2.12, 2.13, 2.14, 2.15(d), 2.15(e), 9.03 and 9.17 and Article VIII shall survive and remain in full force and effect regardless of the consummation of the transactions contemplated hereby and the termination of the Revolving Commitments.</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4"/>
          </w:cols>
          <w:pgMar w:left="436" w:top="270" w:right="459" w:bottom="1440" w:gutter="0" w:footer="0" w:header="0"/>
        </w:sectPr>
      </w:pPr>
    </w:p>
    <w:bookmarkStart w:id="283" w:name="page284"/>
    <w:bookmarkEnd w:id="283"/>
    <w:p>
      <w:pPr>
        <w:ind w:firstLine="991"/>
        <w:spacing w:after="0" w:line="28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6 </w:t>
      </w:r>
      <w:r>
        <w:rPr>
          <w:rFonts w:ascii="Times New Roman" w:cs="Times New Roman" w:eastAsia="Times New Roman" w:hAnsi="Times New Roman"/>
          <w:sz w:val="18"/>
          <w:szCs w:val="18"/>
          <w:i w:val="1"/>
          <w:iCs w:val="1"/>
          <w:color w:val="auto"/>
        </w:rPr>
        <w:t>Governing Law.</w:t>
      </w:r>
      <w:r>
        <w:rPr>
          <w:rFonts w:ascii="Times New Roman" w:cs="Times New Roman" w:eastAsia="Times New Roman" w:hAnsi="Times New Roman"/>
          <w:sz w:val="18"/>
          <w:szCs w:val="18"/>
          <w:color w:val="auto"/>
        </w:rPr>
        <w:t xml:space="preserve"> This Amendment shall be governed by, and construed in accordance with, the laws of the State of New York without regard to the conflicts of law principles thereto and to the extent that such principles would direct a matter to another jurisdiction.</w:t>
      </w:r>
    </w:p>
    <w:p>
      <w:pPr>
        <w:spacing w:after="0" w:line="158" w:lineRule="exact"/>
        <w:rPr>
          <w:sz w:val="20"/>
          <w:szCs w:val="20"/>
          <w:color w:val="auto"/>
        </w:rPr>
      </w:pPr>
    </w:p>
    <w:p>
      <w:pPr>
        <w:jc w:val="center"/>
        <w:ind w:right="-279"/>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Signature Pages Follow</w:t>
      </w:r>
      <w:r>
        <w:rPr>
          <w:rFonts w:ascii="Times New Roman" w:cs="Times New Roman" w:eastAsia="Times New Roman" w:hAnsi="Times New Roman"/>
          <w:sz w:val="18"/>
          <w:szCs w:val="18"/>
          <w:color w:val="auto"/>
        </w:rPr>
        <w:t>]</w:t>
      </w:r>
    </w:p>
    <w:p>
      <w:pPr>
        <w:spacing w:after="0" w:line="160" w:lineRule="exact"/>
        <w:rPr>
          <w:sz w:val="20"/>
          <w:szCs w:val="20"/>
          <w:color w:val="auto"/>
        </w:rPr>
      </w:pPr>
    </w:p>
    <w:p>
      <w:pPr>
        <w:jc w:val="center"/>
        <w:ind w:right="-27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720"/>
          </w:cols>
          <w:pgMar w:left="440" w:top="268" w:right="739" w:bottom="1440" w:gutter="0" w:footer="0" w:header="0"/>
        </w:sectPr>
      </w:pPr>
    </w:p>
    <w:bookmarkStart w:id="284" w:name="page285"/>
    <w:bookmarkEnd w:id="284"/>
    <w:p>
      <w:pPr>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Amendment to be duly executed as of the date first above written.</w:t>
      </w:r>
    </w:p>
    <w:p>
      <w:pPr>
        <w:spacing w:after="0" w:line="260"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b w:val="1"/>
          <w:bCs w:val="1"/>
          <w:color w:val="auto"/>
        </w:rPr>
        <w:t>MARVELL GROUP TECHNOLOGY</w:t>
      </w:r>
    </w:p>
    <w:p>
      <w:pPr>
        <w:spacing w:after="0" w:line="31"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b w:val="1"/>
          <w:bCs w:val="1"/>
          <w:color w:val="auto"/>
        </w:rPr>
        <w:t>LTD.,</w:t>
      </w:r>
    </w:p>
    <w:p>
      <w:pPr>
        <w:spacing w:after="0" w:line="220" w:lineRule="exact"/>
        <w:rPr>
          <w:sz w:val="20"/>
          <w:szCs w:val="20"/>
          <w:color w:val="auto"/>
        </w:rPr>
      </w:pPr>
    </w:p>
    <w:p>
      <w:pPr>
        <w:ind w:left="564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3806825</wp:posOffset>
            </wp:positionH>
            <wp:positionV relativeFrom="paragraph">
              <wp:posOffset>17145</wp:posOffset>
            </wp:positionV>
            <wp:extent cx="2562860" cy="889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18"/>
          <w:szCs w:val="18"/>
          <w:color w:val="auto"/>
        </w:rPr>
        <w:t>Name: Jean Hu</w:t>
      </w:r>
    </w:p>
    <w:p>
      <w:pPr>
        <w:spacing w:after="0" w:line="27" w:lineRule="exact"/>
        <w:rPr>
          <w:sz w:val="20"/>
          <w:szCs w:val="20"/>
          <w:color w:val="auto"/>
        </w:rPr>
      </w:pPr>
    </w:p>
    <w:p>
      <w:pPr>
        <w:ind w:left="600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139" w:lineRule="exact"/>
        <w:rPr>
          <w:sz w:val="20"/>
          <w:szCs w:val="20"/>
          <w:color w:val="auto"/>
        </w:rPr>
      </w:pPr>
    </w:p>
    <w:p>
      <w:pPr>
        <w:ind w:left="3040"/>
        <w:spacing w:after="0"/>
        <w:rPr>
          <w:sz w:val="20"/>
          <w:szCs w:val="20"/>
          <w:color w:val="auto"/>
        </w:rPr>
      </w:pPr>
      <w:r>
        <w:rPr>
          <w:rFonts w:ascii="Times New Roman" w:cs="Times New Roman" w:eastAsia="Times New Roman" w:hAnsi="Times New Roman"/>
          <w:sz w:val="18"/>
          <w:szCs w:val="18"/>
          <w:color w:val="auto"/>
        </w:rPr>
        <w:t>SIGNATURE PAGE TO AMENDMENT</w:t>
      </w:r>
    </w:p>
    <w:p>
      <w:pPr>
        <w:sectPr>
          <w:pgSz w:w="11900" w:h="16838" w:orient="portrait"/>
          <w:cols w:equalWidth="0" w:num="1">
            <w:col w:w="9260"/>
          </w:cols>
          <w:pgMar w:left="1420" w:top="270" w:right="1219" w:bottom="1440" w:gutter="0" w:footer="0" w:header="0"/>
        </w:sectPr>
      </w:pPr>
    </w:p>
    <w:bookmarkStart w:id="285" w:name="page286"/>
    <w:bookmarkEnd w:id="285"/>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w:t>
      </w:r>
    </w:p>
    <w:p>
      <w:pPr>
        <w:spacing w:after="0" w:line="27" w:lineRule="exact"/>
        <w:rPr>
          <w:sz w:val="20"/>
          <w:szCs w:val="20"/>
          <w:color w:val="auto"/>
        </w:rPr>
      </w:pPr>
    </w:p>
    <w:p>
      <w:pPr>
        <w:jc w:val="right"/>
        <w:ind w:right="739"/>
        <w:spacing w:after="0"/>
        <w:rPr>
          <w:sz w:val="20"/>
          <w:szCs w:val="20"/>
          <w:color w:val="auto"/>
        </w:rPr>
      </w:pPr>
      <w:r>
        <w:rPr>
          <w:rFonts w:ascii="Times New Roman" w:cs="Times New Roman" w:eastAsia="Times New Roman" w:hAnsi="Times New Roman"/>
          <w:sz w:val="18"/>
          <w:szCs w:val="18"/>
          <w:color w:val="auto"/>
        </w:rPr>
        <w:t>as General Administrative Agent and</w:t>
      </w:r>
    </w:p>
    <w:p>
      <w:pPr>
        <w:spacing w:after="0" w:line="9" w:lineRule="exact"/>
        <w:rPr>
          <w:sz w:val="20"/>
          <w:szCs w:val="20"/>
          <w:color w:val="auto"/>
        </w:rPr>
      </w:pPr>
    </w:p>
    <w:p>
      <w:pPr>
        <w:ind w:left="5800"/>
        <w:spacing w:after="0"/>
        <w:rPr>
          <w:sz w:val="20"/>
          <w:szCs w:val="20"/>
          <w:color w:val="auto"/>
        </w:rPr>
      </w:pPr>
      <w:r>
        <w:rPr>
          <w:rFonts w:ascii="Times New Roman" w:cs="Times New Roman" w:eastAsia="Times New Roman" w:hAnsi="Times New Roman"/>
          <w:sz w:val="18"/>
          <w:szCs w:val="18"/>
          <w:color w:val="auto"/>
        </w:rPr>
        <w:t>Term Facility Agent</w:t>
      </w:r>
    </w:p>
    <w:p>
      <w:pPr>
        <w:spacing w:after="0" w:line="22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Luke Qiu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Luke Qiu</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Authorized Signatory</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86" w:name="page287"/>
    <w:bookmarkEnd w:id="286"/>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w:t>
      </w:r>
    </w:p>
    <w:p>
      <w:pPr>
        <w:spacing w:after="0" w:line="2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as Revolving Facility Agent</w:t>
      </w:r>
    </w:p>
    <w:p>
      <w:pPr>
        <w:spacing w:after="0" w:line="22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Gavin Shak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Gavin Shak</w:t>
      </w:r>
    </w:p>
    <w:p>
      <w:pPr>
        <w:spacing w:after="0" w:line="9" w:lineRule="exact"/>
        <w:rPr>
          <w:sz w:val="20"/>
          <w:szCs w:val="20"/>
          <w:color w:val="auto"/>
        </w:rPr>
      </w:pPr>
    </w:p>
    <w:p>
      <w:pPr>
        <w:jc w:val="right"/>
        <w:ind w:right="859"/>
        <w:spacing w:after="0"/>
        <w:rPr>
          <w:sz w:val="20"/>
          <w:szCs w:val="20"/>
          <w:color w:val="auto"/>
        </w:rPr>
      </w:pPr>
      <w:r>
        <w:rPr>
          <w:rFonts w:ascii="Times New Roman" w:cs="Times New Roman" w:eastAsia="Times New Roman" w:hAnsi="Times New Roman"/>
          <w:sz w:val="18"/>
          <w:szCs w:val="18"/>
          <w:color w:val="auto"/>
        </w:rPr>
        <w:t>Title: Assistant Vice President</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87" w:name="page288"/>
    <w:bookmarkEnd w:id="287"/>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as</w:t>
      </w:r>
    </w:p>
    <w:p>
      <w:pPr>
        <w:spacing w:after="0" w:line="3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Lender</w:t>
      </w:r>
    </w:p>
    <w:p>
      <w:pPr>
        <w:spacing w:after="0" w:line="220"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Amanuel Assefa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Amanuel Assefa</w:t>
      </w:r>
    </w:p>
    <w:p>
      <w:pPr>
        <w:spacing w:after="0" w:line="2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Vice President</w:t>
      </w:r>
    </w:p>
    <w:p>
      <w:pPr>
        <w:spacing w:after="0" w:line="139" w:lineRule="exact"/>
        <w:rPr>
          <w:sz w:val="20"/>
          <w:szCs w:val="20"/>
          <w:color w:val="auto"/>
        </w:rPr>
      </w:pPr>
    </w:p>
    <w:p>
      <w:pPr>
        <w:ind w:left="3020"/>
        <w:spacing w:after="0"/>
        <w:rPr>
          <w:sz w:val="20"/>
          <w:szCs w:val="20"/>
          <w:color w:val="auto"/>
        </w:rPr>
      </w:pPr>
      <w:r>
        <w:rPr>
          <w:rFonts w:ascii="Times New Roman" w:cs="Times New Roman" w:eastAsia="Times New Roman" w:hAnsi="Times New Roman"/>
          <w:sz w:val="18"/>
          <w:szCs w:val="18"/>
          <w:color w:val="auto"/>
        </w:rPr>
        <w:t>SIGNATURE PAGE TO AMENDMENT</w:t>
      </w:r>
    </w:p>
    <w:p>
      <w:pPr>
        <w:sectPr>
          <w:pgSz w:w="11900" w:h="16838" w:orient="portrait"/>
          <w:cols w:equalWidth="0" w:num="1">
            <w:col w:w="9019"/>
          </w:cols>
          <w:pgMar w:left="1440" w:top="270" w:right="1440" w:bottom="1440" w:gutter="0" w:footer="0" w:header="0"/>
        </w:sectPr>
      </w:pPr>
    </w:p>
    <w:bookmarkStart w:id="288" w:name="page289"/>
    <w:bookmarkEnd w:id="288"/>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BNP PARIBAS, as Lender</w:t>
      </w:r>
    </w:p>
    <w:p>
      <w:pPr>
        <w:spacing w:after="0" w:line="225"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Brendan Heneghan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jc w:val="right"/>
        <w:ind w:right="1139"/>
        <w:spacing w:after="0"/>
        <w:rPr>
          <w:sz w:val="20"/>
          <w:szCs w:val="20"/>
          <w:color w:val="auto"/>
        </w:rPr>
      </w:pPr>
      <w:r>
        <w:rPr>
          <w:rFonts w:ascii="Times New Roman" w:cs="Times New Roman" w:eastAsia="Times New Roman" w:hAnsi="Times New Roman"/>
          <w:sz w:val="18"/>
          <w:szCs w:val="18"/>
          <w:color w:val="auto"/>
        </w:rPr>
        <w:t>Name: Brendan Heneghan</w:t>
      </w:r>
    </w:p>
    <w:p>
      <w:pPr>
        <w:spacing w:after="0" w:line="2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Karim Remtoula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Karim Remtoula</w:t>
      </w:r>
    </w:p>
    <w:p>
      <w:pPr>
        <w:spacing w:after="0" w:line="2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Vice President</w:t>
      </w:r>
    </w:p>
    <w:p>
      <w:pPr>
        <w:spacing w:after="0" w:line="139" w:lineRule="exact"/>
        <w:rPr>
          <w:sz w:val="20"/>
          <w:szCs w:val="20"/>
          <w:color w:val="auto"/>
        </w:rPr>
      </w:pPr>
    </w:p>
    <w:p>
      <w:pPr>
        <w:ind w:left="3020"/>
        <w:spacing w:after="0"/>
        <w:rPr>
          <w:sz w:val="20"/>
          <w:szCs w:val="20"/>
          <w:color w:val="auto"/>
        </w:rPr>
      </w:pPr>
      <w:r>
        <w:rPr>
          <w:rFonts w:ascii="Times New Roman" w:cs="Times New Roman" w:eastAsia="Times New Roman" w:hAnsi="Times New Roman"/>
          <w:sz w:val="18"/>
          <w:szCs w:val="18"/>
          <w:color w:val="auto"/>
        </w:rPr>
        <w:t>SIGNATURE PAGE TO AMENDMENT</w:t>
      </w:r>
    </w:p>
    <w:p>
      <w:pPr>
        <w:sectPr>
          <w:pgSz w:w="11900" w:h="16838" w:orient="portrait"/>
          <w:cols w:equalWidth="0" w:num="1">
            <w:col w:w="9019"/>
          </w:cols>
          <w:pgMar w:left="1440" w:top="270" w:right="1440" w:bottom="1440" w:gutter="0" w:footer="0" w:header="0"/>
        </w:sectPr>
      </w:pPr>
    </w:p>
    <w:bookmarkStart w:id="289" w:name="page290"/>
    <w:bookmarkEnd w:id="289"/>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Rebecca Kratz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Rebecca Kratz</w:t>
      </w:r>
    </w:p>
    <w:p>
      <w:pPr>
        <w:spacing w:after="0" w:line="2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Authorized Signatory</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90" w:name="page291"/>
    <w:bookmarkEnd w:id="290"/>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HSBC Bank USA, N.A.,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Jeff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Jeff French</w:t>
      </w:r>
    </w:p>
    <w:p>
      <w:pPr>
        <w:spacing w:after="0" w:line="2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Managing Director</w:t>
      </w:r>
    </w:p>
    <w:p>
      <w:pPr>
        <w:spacing w:after="0" w:line="139" w:lineRule="exact"/>
        <w:rPr>
          <w:sz w:val="20"/>
          <w:szCs w:val="20"/>
          <w:color w:val="auto"/>
        </w:rPr>
      </w:pPr>
    </w:p>
    <w:p>
      <w:pPr>
        <w:ind w:left="3020"/>
        <w:spacing w:after="0"/>
        <w:rPr>
          <w:sz w:val="20"/>
          <w:szCs w:val="20"/>
          <w:color w:val="auto"/>
        </w:rPr>
      </w:pPr>
      <w:r>
        <w:rPr>
          <w:rFonts w:ascii="Times New Roman" w:cs="Times New Roman" w:eastAsia="Times New Roman" w:hAnsi="Times New Roman"/>
          <w:sz w:val="18"/>
          <w:szCs w:val="18"/>
          <w:color w:val="auto"/>
        </w:rPr>
        <w:t>SIGNATURE PAGE TO AMENDMENT</w:t>
      </w:r>
    </w:p>
    <w:p>
      <w:pPr>
        <w:sectPr>
          <w:pgSz w:w="11900" w:h="16838" w:orient="portrait"/>
          <w:cols w:equalWidth="0" w:num="1">
            <w:col w:w="9019"/>
          </w:cols>
          <w:pgMar w:left="1440" w:top="270" w:right="1440" w:bottom="1440" w:gutter="0" w:footer="0" w:header="0"/>
        </w:sectPr>
      </w:pPr>
    </w:p>
    <w:bookmarkStart w:id="291" w:name="page292"/>
    <w:bookmarkEnd w:id="291"/>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Mizuho Bank Ltd., as Lender</w:t>
      </w:r>
    </w:p>
    <w:p>
      <w:pPr>
        <w:spacing w:after="0" w:line="225"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Tracy Rahn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Tracy Rahn</w:t>
      </w:r>
    </w:p>
    <w:p>
      <w:pPr>
        <w:spacing w:after="0" w:line="9" w:lineRule="exact"/>
        <w:rPr>
          <w:sz w:val="20"/>
          <w:szCs w:val="20"/>
          <w:color w:val="auto"/>
        </w:rPr>
      </w:pPr>
    </w:p>
    <w:p>
      <w:pPr>
        <w:jc w:val="right"/>
        <w:ind w:right="1259"/>
        <w:spacing w:after="0"/>
        <w:rPr>
          <w:sz w:val="20"/>
          <w:szCs w:val="20"/>
          <w:color w:val="auto"/>
        </w:rPr>
      </w:pPr>
      <w:r>
        <w:rPr>
          <w:rFonts w:ascii="Times New Roman" w:cs="Times New Roman" w:eastAsia="Times New Roman" w:hAnsi="Times New Roman"/>
          <w:sz w:val="18"/>
          <w:szCs w:val="18"/>
          <w:color w:val="auto"/>
        </w:rPr>
        <w:t>Title: Executive Director</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92" w:name="page293"/>
    <w:bookmarkEnd w:id="292"/>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MUFG Bank, Ltd.,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Lillian Kim</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93" w:name="page294"/>
    <w:bookmarkEnd w:id="293"/>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PNC BANK, NATIONAL ASSOCIATION,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Dana Kerpsack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Dana Kerpsack</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Vice President</w:t>
      </w:r>
    </w:p>
    <w:p>
      <w:pPr>
        <w:spacing w:after="0" w:line="207" w:lineRule="exact"/>
        <w:rPr>
          <w:sz w:val="20"/>
          <w:szCs w:val="20"/>
          <w:color w:val="auto"/>
        </w:rPr>
      </w:pPr>
    </w:p>
    <w:p>
      <w:pPr>
        <w:ind w:left="3000"/>
        <w:spacing w:after="0"/>
        <w:rPr>
          <w:sz w:val="20"/>
          <w:szCs w:val="20"/>
          <w:color w:val="auto"/>
        </w:rPr>
      </w:pPr>
      <w:r>
        <w:rPr>
          <w:rFonts w:ascii="Times New Roman" w:cs="Times New Roman" w:eastAsia="Times New Roman" w:hAnsi="Times New Roman"/>
          <w:sz w:val="18"/>
          <w:szCs w:val="18"/>
          <w:color w:val="auto"/>
        </w:rPr>
        <w:t>SIGNATURE PAGE TO AMENDMENT</w:t>
      </w:r>
    </w:p>
    <w:p>
      <w:pPr>
        <w:sectPr>
          <w:pgSz w:w="11900" w:h="16838" w:orient="portrait"/>
          <w:cols w:equalWidth="0" w:num="1">
            <w:col w:w="9540"/>
          </w:cols>
          <w:pgMar w:left="1440" w:top="270" w:right="919" w:bottom="1440" w:gutter="0" w:footer="0" w:header="0"/>
        </w:sectPr>
      </w:pPr>
    </w:p>
    <w:bookmarkStart w:id="294" w:name="page295"/>
    <w:bookmarkEnd w:id="294"/>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Sumitomo Mitsui Banking Corporation,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Michael Maguire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Michael Maguire</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Managing Director</w:t>
      </w:r>
    </w:p>
    <w:p>
      <w:pPr>
        <w:spacing w:after="0" w:line="207" w:lineRule="exact"/>
        <w:rPr>
          <w:sz w:val="20"/>
          <w:szCs w:val="20"/>
          <w:color w:val="auto"/>
        </w:rPr>
      </w:pPr>
    </w:p>
    <w:p>
      <w:pPr>
        <w:jc w:val="center"/>
        <w:ind w:right="240"/>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240"/>
          </w:cols>
          <w:pgMar w:left="1440" w:top="270" w:right="1219" w:bottom="1440" w:gutter="0" w:footer="0" w:header="0"/>
        </w:sectPr>
      </w:pPr>
    </w:p>
    <w:bookmarkStart w:id="295" w:name="page296"/>
    <w:bookmarkEnd w:id="295"/>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U.S. Bank National Association,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Susan M. Bowes</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Senior Vice President</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96" w:name="page297"/>
    <w:bookmarkEnd w:id="296"/>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Wells Fargo Bank, N.A., as Lender</w:t>
      </w:r>
    </w:p>
    <w:p>
      <w:pPr>
        <w:spacing w:after="0" w:line="23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Daniel Kurtz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255"/>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4"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Name: Daniel Kurtz</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Title: Director</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SIGNATURE PAGE TO AMENDMENT</w:t>
      </w:r>
    </w:p>
    <w:p>
      <w:pPr>
        <w:sectPr>
          <w:pgSz w:w="11900" w:h="16838" w:orient="portrait"/>
          <w:cols w:equalWidth="0" w:num="1">
            <w:col w:w="9019"/>
          </w:cols>
          <w:pgMar w:left="1440" w:top="270" w:right="1440" w:bottom="1440" w:gutter="0" w:footer="0" w:header="0"/>
        </w:sectPr>
      </w:pPr>
    </w:p>
    <w:bookmarkStart w:id="297" w:name="page298"/>
    <w:bookmarkEnd w:id="297"/>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ANNEX A</w:t>
      </w:r>
    </w:p>
    <w:p>
      <w:pPr>
        <w:spacing w:after="0" w:line="22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[To be attached]</w:t>
      </w:r>
    </w:p>
    <w:p>
      <w:pPr>
        <w:sectPr>
          <w:pgSz w:w="11900" w:h="16838" w:orient="portrait"/>
          <w:cols w:equalWidth="0" w:num="1">
            <w:col w:w="9019"/>
          </w:cols>
          <w:pgMar w:left="1440" w:top="266" w:right="1440" w:bottom="1440" w:gutter="0" w:footer="0" w:header="0"/>
        </w:sectPr>
      </w:pPr>
    </w:p>
    <w:bookmarkStart w:id="298" w:name="page299"/>
    <w:bookmarkEnd w:id="298"/>
    <w:p>
      <w:pPr>
        <w:jc w:val="right"/>
        <w:spacing w:after="0"/>
        <w:rPr>
          <w:sz w:val="20"/>
          <w:szCs w:val="20"/>
          <w:color w:val="auto"/>
        </w:rPr>
      </w:pPr>
      <w:r>
        <w:rPr>
          <w:rFonts w:ascii="Times New Roman" w:cs="Times New Roman" w:eastAsia="Times New Roman" w:hAnsi="Times New Roman"/>
          <w:sz w:val="18"/>
          <w:szCs w:val="18"/>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EXECUTION VERSION</w:t>
      </w:r>
      <w:r>
        <w:rPr>
          <w:rFonts w:ascii="Times New Roman" w:cs="Times New Roman" w:eastAsia="Times New Roman" w:hAnsi="Times New Roman"/>
          <w:sz w:val="18"/>
          <w:szCs w:val="18"/>
          <w:u w:val="single" w:color="auto"/>
          <w:color w:val="0000FF"/>
          <w:strike w:val="1"/>
        </w:rPr>
        <w:t>ANNEX A</w:t>
      </w:r>
    </w:p>
    <w:p>
      <w:pPr>
        <w:spacing w:after="0" w:line="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u w:val="single" w:color="auto"/>
          <w:color w:val="0000FF"/>
        </w:rPr>
        <w:t>CONFORMED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5843270</wp:posOffset>
            </wp:positionH>
            <wp:positionV relativeFrom="paragraph">
              <wp:posOffset>-121920</wp:posOffset>
            </wp:positionV>
            <wp:extent cx="514350" cy="889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514350" cy="8890"/>
                    </a:xfrm>
                    <a:prstGeom prst="rect">
                      <a:avLst/>
                    </a:prstGeom>
                    <a:noFill/>
                  </pic:spPr>
                </pic:pic>
              </a:graphicData>
            </a:graphic>
          </wp:anchor>
        </w:drawing>
      </w:r>
    </w:p>
    <w:p>
      <w:pPr>
        <w:jc w:val="right"/>
        <w:spacing w:after="0"/>
        <w:rPr>
          <w:sz w:val="20"/>
          <w:szCs w:val="20"/>
          <w:color w:val="auto"/>
        </w:rPr>
      </w:pPr>
      <w:r>
        <w:rPr>
          <w:rFonts w:ascii="Times New Roman" w:cs="Times New Roman" w:eastAsia="Times New Roman" w:hAnsi="Times New Roman"/>
          <w:sz w:val="18"/>
          <w:szCs w:val="18"/>
          <w:u w:val="single" w:color="auto"/>
          <w:color w:val="0000FF"/>
        </w:rPr>
        <w:t>Conformed through Amendment No. 1 dated December 7,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168910</wp:posOffset>
            </wp:positionV>
            <wp:extent cx="6995160" cy="889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211455</wp:posOffset>
            </wp:positionV>
            <wp:extent cx="6995160" cy="889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5302885</wp:posOffset>
            </wp:positionH>
            <wp:positionV relativeFrom="paragraph">
              <wp:posOffset>-121920</wp:posOffset>
            </wp:positionV>
            <wp:extent cx="1054100" cy="8255"/>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1054100" cy="8255"/>
                    </a:xfrm>
                    <a:prstGeom prst="rect">
                      <a:avLst/>
                    </a:prstGeom>
                    <a:noFill/>
                  </pic:spPr>
                </pic:pic>
              </a:graphicData>
            </a:graphic>
          </wp:anchor>
        </w:drawing>
        <w:drawing>
          <wp:anchor simplePos="0" relativeHeight="251657728" behindDoc="1" locked="0" layoutInCell="0" allowOverlap="1">
            <wp:simplePos x="0" y="0"/>
            <wp:positionH relativeFrom="column">
              <wp:posOffset>3434080</wp:posOffset>
            </wp:positionH>
            <wp:positionV relativeFrom="paragraph">
              <wp:posOffset>14605</wp:posOffset>
            </wp:positionV>
            <wp:extent cx="2922905" cy="8255"/>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2922905" cy="8255"/>
                    </a:xfrm>
                    <a:prstGeom prst="rect">
                      <a:avLst/>
                    </a:prstGeom>
                    <a:noFill/>
                  </pic:spPr>
                </pic:pic>
              </a:graphicData>
            </a:graphic>
          </wp:anchor>
        </w:drawing>
      </w:r>
    </w:p>
    <w:p>
      <w:pPr>
        <w:spacing w:after="0" w:line="200" w:lineRule="exact"/>
        <w:rPr>
          <w:sz w:val="20"/>
          <w:szCs w:val="20"/>
          <w:color w:val="auto"/>
        </w:rPr>
      </w:pPr>
    </w:p>
    <w:p>
      <w:pPr>
        <w:spacing w:after="0" w:line="32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Published CUSIP Number: 57385HAC1</w:t>
      </w:r>
    </w:p>
    <w:p>
      <w:pPr>
        <w:spacing w:after="0" w:line="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Term Facility CUSIP Number: 57385HAF4</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Revolving Facility CUSIP Number: 57385HAD9</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CREDIT AGREEMENT</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dated as of</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June 13, 2018,</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among</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the LENDERS Party Hereto,</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GOLDMAN SACHS BANK USA,</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the General Administrative Agent and the Term Facility Agent,</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BANK OF AMERICA, N.A.,</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the Revolving Facility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GOLDMAN SACHS BANK USA,</w:t>
      </w:r>
    </w:p>
    <w:p>
      <w:pPr>
        <w:spacing w:after="0" w:line="27"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7"/>
          <w:szCs w:val="17"/>
          <w:color w:val="auto"/>
        </w:rPr>
        <w:t>MERRILL LYNCH, PIERCE, FENNER &amp; SMITH INCORPORATED,</w:t>
      </w:r>
    </w:p>
    <w:p>
      <w:pPr>
        <w:spacing w:after="0" w:line="21"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BARCLAYS BANK PLC,</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MUFG BANK, LTD.,</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HSBC SECURITIES (USA) INC.</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and</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WELLS FARGO SECURITIES, LLC,</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Joint Lead Arrangers and Joint Bookrunners</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GOLDMAN SACHS BANK USA,</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Syndication Agent for the Revolving Facility</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BANK OF AMERICA, N.A.,</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Syndication Agent for the Term Facility</w:t>
      </w:r>
    </w:p>
    <w:p>
      <w:pPr>
        <w:spacing w:after="0" w:line="20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BARCLAYS BANK PLC,</w:t>
      </w:r>
    </w:p>
    <w:p>
      <w:pPr>
        <w:spacing w:after="0" w:line="2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MUFG BANK, LTD.,</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HSBC BANK USA, N.A.</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and</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WELLS FARGO BANK, N.A.,</w:t>
      </w:r>
    </w:p>
    <w:p>
      <w:pPr>
        <w:spacing w:after="0" w:line="9"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151765</wp:posOffset>
            </wp:positionV>
            <wp:extent cx="6995160" cy="8255"/>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194310</wp:posOffset>
            </wp:positionV>
            <wp:extent cx="6995160" cy="8255"/>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020"/>
          </w:cols>
          <w:pgMar w:left="1440" w:top="270" w:right="439" w:bottom="1440" w:gutter="0" w:footer="0" w:header="0"/>
        </w:sectPr>
      </w:pPr>
    </w:p>
    <w:bookmarkStart w:id="299" w:name="page300"/>
    <w:bookmarkEnd w:id="299"/>
    <w:tbl>
      <w:tblPr>
        <w:tblLayout w:type="fixed"/>
        <w:tblInd w:w="0" w:type="dxa"/>
        <w:tblCellMar>
          <w:top w:w="0" w:type="dxa"/>
          <w:left w:w="0" w:type="dxa"/>
          <w:bottom w:w="0" w:type="dxa"/>
          <w:right w:w="0" w:type="dxa"/>
        </w:tblCellMar>
      </w:tblPr>
      <w:tr>
        <w:trPr>
          <w:trHeight w:val="234"/>
        </w:trPr>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160" w:type="dxa"/>
            <w:vAlign w:val="bottom"/>
            <w:gridSpan w:val="11"/>
          </w:tcPr>
          <w:p>
            <w:pPr>
              <w:ind w:left="160"/>
              <w:spacing w:after="0"/>
              <w:rPr>
                <w:sz w:val="20"/>
                <w:szCs w:val="20"/>
                <w:color w:val="auto"/>
              </w:rPr>
            </w:pPr>
            <w:r>
              <w:rPr>
                <w:rFonts w:ascii="Times New Roman" w:cs="Times New Roman" w:eastAsia="Times New Roman" w:hAnsi="Times New Roman"/>
                <w:sz w:val="18"/>
                <w:szCs w:val="18"/>
                <w:color w:val="auto"/>
              </w:rPr>
              <w:t>TABLE OF CONTENTS</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1"/>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840" w:type="dxa"/>
            <w:vAlign w:val="bottom"/>
            <w:gridSpan w:val="8"/>
            <w:vMerge w:val="restart"/>
          </w:tcPr>
          <w:p>
            <w:pPr>
              <w:jc w:val="center"/>
              <w:ind w:right="4940"/>
              <w:spacing w:after="0"/>
              <w:rPr>
                <w:sz w:val="20"/>
                <w:szCs w:val="20"/>
                <w:color w:val="auto"/>
              </w:rPr>
            </w:pPr>
            <w:r>
              <w:rPr>
                <w:rFonts w:ascii="Times New Roman" w:cs="Times New Roman" w:eastAsia="Times New Roman" w:hAnsi="Times New Roman"/>
                <w:sz w:val="18"/>
                <w:szCs w:val="18"/>
                <w:color w:val="0000FF"/>
                <w:w w:val="99"/>
              </w:rPr>
              <w:t>ARTICLE I</w:t>
            </w:r>
          </w:p>
        </w:tc>
        <w:tc>
          <w:tcPr>
            <w:tcW w:w="380" w:type="dxa"/>
            <w:vAlign w:val="bottom"/>
            <w:gridSpan w:val="4"/>
          </w:tcPr>
          <w:p>
            <w:pPr>
              <w:spacing w:after="0"/>
              <w:rPr>
                <w:sz w:val="20"/>
                <w:szCs w:val="20"/>
                <w:color w:val="auto"/>
              </w:rPr>
            </w:pPr>
            <w:r>
              <w:rPr>
                <w:rFonts w:ascii="Times New Roman" w:cs="Times New Roman" w:eastAsia="Times New Roman" w:hAnsi="Times New Roman"/>
                <w:sz w:val="14"/>
                <w:szCs w:val="14"/>
                <w:color w:val="auto"/>
              </w:rPr>
              <w:t>Page</w:t>
            </w:r>
          </w:p>
        </w:tc>
        <w:tc>
          <w:tcPr>
            <w:tcW w:w="0" w:type="dxa"/>
            <w:vAlign w:val="bottom"/>
          </w:tcPr>
          <w:p>
            <w:pPr>
              <w:spacing w:after="0"/>
              <w:rPr>
                <w:sz w:val="1"/>
                <w:szCs w:val="1"/>
                <w:color w:val="auto"/>
              </w:rPr>
            </w:pPr>
          </w:p>
        </w:tc>
      </w:tr>
      <w:tr>
        <w:trPr>
          <w:trHeight w:val="169"/>
        </w:trPr>
        <w:tc>
          <w:tcPr>
            <w:tcW w:w="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840" w:type="dxa"/>
            <w:vAlign w:val="bottom"/>
            <w:gridSpan w:val="8"/>
            <w:vMerge w:val="continue"/>
          </w:tcPr>
          <w:p>
            <w:pPr>
              <w:spacing w:after="0"/>
              <w:rPr>
                <w:sz w:val="14"/>
                <w:szCs w:val="14"/>
                <w:color w:val="auto"/>
              </w:rPr>
            </w:pPr>
          </w:p>
        </w:tc>
        <w:tc>
          <w:tcPr>
            <w:tcW w:w="200" w:type="dxa"/>
            <w:vAlign w:val="bottom"/>
            <w:tcBorders>
              <w:top w:val="single" w:sz="8" w:color="auto"/>
            </w:tcBorders>
          </w:tcPr>
          <w:p>
            <w:pPr>
              <w:spacing w:after="0"/>
              <w:rPr>
                <w:sz w:val="14"/>
                <w:szCs w:val="14"/>
                <w:color w:val="auto"/>
              </w:rPr>
            </w:pPr>
          </w:p>
        </w:tc>
        <w:tc>
          <w:tcPr>
            <w:tcW w:w="100" w:type="dxa"/>
            <w:vAlign w:val="bottom"/>
            <w:tcBorders>
              <w:top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8"/>
        </w:trPr>
        <w:tc>
          <w:tcPr>
            <w:tcW w:w="900" w:type="dxa"/>
            <w:vAlign w:val="bottom"/>
          </w:tcPr>
          <w:p>
            <w:pPr>
              <w:spacing w:after="0"/>
              <w:rPr>
                <w:sz w:val="20"/>
                <w:szCs w:val="20"/>
                <w:color w:val="auto"/>
              </w:rPr>
            </w:pPr>
            <w:r>
              <w:rPr>
                <w:rFonts w:ascii="Times New Roman" w:cs="Times New Roman" w:eastAsia="Times New Roman" w:hAnsi="Times New Roman"/>
                <w:sz w:val="18"/>
                <w:szCs w:val="18"/>
                <w:color w:val="FF4338"/>
                <w:strike w:val="1"/>
              </w:rPr>
              <w:t>ARTICLE I</w:t>
            </w:r>
          </w:p>
        </w:tc>
        <w:tc>
          <w:tcPr>
            <w:tcW w:w="9700" w:type="dxa"/>
            <w:vAlign w:val="bottom"/>
            <w:gridSpan w:val="35"/>
          </w:tcPr>
          <w:p>
            <w:pPr>
              <w:spacing w:after="0"/>
              <w:rPr>
                <w:sz w:val="20"/>
                <w:szCs w:val="20"/>
                <w:color w:val="auto"/>
              </w:rPr>
            </w:pPr>
            <w:r>
              <w:rPr>
                <w:rFonts w:ascii="Times New Roman" w:cs="Times New Roman" w:eastAsia="Times New Roman" w:hAnsi="Times New Roman"/>
                <w:sz w:val="18"/>
                <w:szCs w:val="18"/>
                <w:color w:val="auto"/>
              </w:rPr>
              <w:t>Definitions</w:t>
            </w:r>
          </w:p>
        </w:tc>
        <w:tc>
          <w:tcPr>
            <w:tcW w:w="380" w:type="dxa"/>
            <w:vAlign w:val="bottom"/>
            <w:gridSpan w:val="4"/>
          </w:tcPr>
          <w:p>
            <w:pPr>
              <w:jc w:val="right"/>
              <w:ind w:right="20"/>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392"/>
        </w:trPr>
        <w:tc>
          <w:tcPr>
            <w:tcW w:w="10600" w:type="dxa"/>
            <w:vAlign w:val="bottom"/>
            <w:gridSpan w:val="36"/>
          </w:tcPr>
          <w:p>
            <w:pPr>
              <w:spacing w:after="0"/>
              <w:rPr>
                <w:sz w:val="20"/>
                <w:szCs w:val="20"/>
                <w:color w:val="auto"/>
              </w:rPr>
            </w:pPr>
            <w:r>
              <w:rPr>
                <w:rFonts w:ascii="Times New Roman" w:cs="Times New Roman" w:eastAsia="Times New Roman" w:hAnsi="Times New Roman"/>
                <w:sz w:val="18"/>
                <w:szCs w:val="18"/>
                <w:color w:val="auto"/>
              </w:rPr>
              <w:t>SECTION 1.01. Defined Terms</w:t>
            </w:r>
          </w:p>
        </w:tc>
        <w:tc>
          <w:tcPr>
            <w:tcW w:w="380" w:type="dxa"/>
            <w:vAlign w:val="bottom"/>
            <w:gridSpan w:val="4"/>
          </w:tcPr>
          <w:p>
            <w:pPr>
              <w:jc w:val="right"/>
              <w:ind w:right="20"/>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00" w:type="dxa"/>
            <w:vAlign w:val="bottom"/>
            <w:gridSpan w:val="36"/>
          </w:tcPr>
          <w:p>
            <w:pPr>
              <w:spacing w:after="0" w:line="196" w:lineRule="exact"/>
              <w:rPr>
                <w:sz w:val="20"/>
                <w:szCs w:val="20"/>
                <w:color w:val="auto"/>
              </w:rPr>
            </w:pPr>
            <w:r>
              <w:rPr>
                <w:rFonts w:ascii="Times New Roman" w:cs="Times New Roman" w:eastAsia="Times New Roman" w:hAnsi="Times New Roman"/>
                <w:sz w:val="18"/>
                <w:szCs w:val="18"/>
                <w:color w:val="auto"/>
              </w:rPr>
              <w:t>SECTION 1.02. Classification of Loans and Borrowings</w:t>
            </w:r>
          </w:p>
        </w:tc>
        <w:tc>
          <w:tcPr>
            <w:tcW w:w="200" w:type="dxa"/>
            <w:vAlign w:val="bottom"/>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30</w:t>
            </w:r>
          </w:p>
        </w:tc>
        <w:tc>
          <w:tcPr>
            <w:tcW w:w="180" w:type="dxa"/>
            <w:vAlign w:val="bottom"/>
            <w:gridSpan w:val="3"/>
          </w:tcPr>
          <w:p>
            <w:pPr>
              <w:jc w:val="right"/>
              <w:ind w:right="20"/>
              <w:spacing w:after="0" w:line="196" w:lineRule="exact"/>
              <w:rPr>
                <w:sz w:val="20"/>
                <w:szCs w:val="20"/>
                <w:color w:val="auto"/>
              </w:rPr>
            </w:pPr>
            <w:r>
              <w:rPr>
                <w:rFonts w:ascii="Times New Roman" w:cs="Times New Roman" w:eastAsia="Times New Roman" w:hAnsi="Times New Roman"/>
                <w:sz w:val="18"/>
                <w:szCs w:val="18"/>
                <w:color w:val="0000FF"/>
                <w:w w:val="77"/>
              </w:rPr>
              <w:t>32</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1.03. Terms Generally</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1.04. Accounting Terms; GAAP; Pro Forma Calculations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31</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shd w:val="clear" w:color="auto" w:fill="000000"/>
          </w:tcPr>
          <w:p>
            <w:pPr>
              <w:spacing w:after="0" w:line="20" w:lineRule="exact"/>
              <w:rPr>
                <w:sz w:val="1"/>
                <w:szCs w:val="1"/>
                <w:color w:val="auto"/>
              </w:rPr>
            </w:pPr>
          </w:p>
        </w:tc>
        <w:tc>
          <w:tcPr>
            <w:tcW w:w="26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1.05. Currency Translation</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1.06. Effectuation of Transactions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tcBorders>
              <w:left w:val="single" w:sz="8" w:color="auto"/>
            </w:tcBorders>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1.07. Most Favored Nation Provision</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0000FF"/>
              </w:rPr>
              <w:t>SECTION 1.08. Divisions</w:t>
            </w:r>
          </w:p>
        </w:tc>
        <w:tc>
          <w:tcPr>
            <w:tcW w:w="200" w:type="dxa"/>
            <w:vAlign w:val="bottom"/>
            <w:vMerge w:val="restart"/>
          </w:tcPr>
          <w:p>
            <w:pPr>
              <w:spacing w:after="0"/>
              <w:rPr>
                <w:sz w:val="2"/>
                <w:szCs w:val="2"/>
                <w:color w:val="auto"/>
              </w:rPr>
            </w:pPr>
          </w:p>
        </w:tc>
        <w:tc>
          <w:tcPr>
            <w:tcW w:w="160" w:type="dxa"/>
            <w:vAlign w:val="bottom"/>
            <w:tcBorders>
              <w:bottom w:val="single" w:sz="8" w:color="0000FF"/>
            </w:tcBorders>
            <w:gridSpan w:val="2"/>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35</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3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5880" w:type="dxa"/>
            <w:vAlign w:val="bottom"/>
            <w:gridSpan w:val="9"/>
            <w:vMerge w:val="restart"/>
          </w:tcPr>
          <w:p>
            <w:pPr>
              <w:jc w:val="center"/>
              <w:ind w:right="4880"/>
              <w:spacing w:after="0"/>
              <w:rPr>
                <w:sz w:val="20"/>
                <w:szCs w:val="20"/>
                <w:color w:val="auto"/>
              </w:rPr>
            </w:pPr>
            <w:r>
              <w:rPr>
                <w:rFonts w:ascii="Times New Roman" w:cs="Times New Roman" w:eastAsia="Times New Roman" w:hAnsi="Times New Roman"/>
                <w:sz w:val="18"/>
                <w:szCs w:val="18"/>
                <w:color w:val="0000FF"/>
                <w:w w:val="99"/>
              </w:rPr>
              <w:t>ARTICLE II</w:t>
            </w: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80" w:type="dxa"/>
            <w:vAlign w:val="bottom"/>
            <w:gridSpan w:val="9"/>
            <w:vMerge w:val="continue"/>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gridSpan w:val="2"/>
          </w:tcPr>
          <w:p>
            <w:pPr>
              <w:spacing w:after="0"/>
              <w:rPr>
                <w:sz w:val="20"/>
                <w:szCs w:val="20"/>
                <w:color w:val="auto"/>
              </w:rPr>
            </w:pPr>
            <w:r>
              <w:rPr>
                <w:rFonts w:ascii="Times New Roman" w:cs="Times New Roman" w:eastAsia="Times New Roman" w:hAnsi="Times New Roman"/>
                <w:sz w:val="18"/>
                <w:szCs w:val="18"/>
                <w:color w:val="FF4338"/>
                <w:strike w:val="1"/>
              </w:rPr>
              <w:t>ARTICLE II</w:t>
            </w:r>
          </w:p>
        </w:tc>
        <w:tc>
          <w:tcPr>
            <w:tcW w:w="9640" w:type="dxa"/>
            <w:vAlign w:val="bottom"/>
            <w:gridSpan w:val="34"/>
          </w:tcPr>
          <w:p>
            <w:pPr>
              <w:spacing w:after="0"/>
              <w:rPr>
                <w:sz w:val="20"/>
                <w:szCs w:val="20"/>
                <w:color w:val="auto"/>
              </w:rPr>
            </w:pPr>
            <w:r>
              <w:rPr>
                <w:rFonts w:ascii="Times New Roman" w:cs="Times New Roman" w:eastAsia="Times New Roman" w:hAnsi="Times New Roman"/>
                <w:sz w:val="18"/>
                <w:szCs w:val="18"/>
                <w:color w:val="auto"/>
              </w:rPr>
              <w:t>The Credits</w:t>
            </w:r>
          </w:p>
        </w:tc>
        <w:tc>
          <w:tcPr>
            <w:tcW w:w="200" w:type="dxa"/>
            <w:vAlign w:val="bottom"/>
          </w:tcPr>
          <w:p>
            <w:pPr>
              <w:spacing w:after="0"/>
              <w:rPr>
                <w:sz w:val="20"/>
                <w:szCs w:val="20"/>
                <w:color w:val="auto"/>
              </w:rPr>
            </w:pPr>
            <w:r>
              <w:rPr>
                <w:rFonts w:ascii="Times New Roman" w:cs="Times New Roman" w:eastAsia="Times New Roman" w:hAnsi="Times New Roman"/>
                <w:sz w:val="18"/>
                <w:szCs w:val="18"/>
                <w:color w:val="FF4338"/>
                <w:strike w:val="1"/>
                <w:w w:val="88"/>
              </w:rPr>
              <w:t>33</w:t>
            </w:r>
          </w:p>
        </w:tc>
        <w:tc>
          <w:tcPr>
            <w:tcW w:w="1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77"/>
              </w:rPr>
              <w:t>35</w:t>
            </w: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6"/>
          </w:tcPr>
          <w:p>
            <w:pPr>
              <w:spacing w:after="0"/>
              <w:rPr>
                <w:sz w:val="20"/>
                <w:szCs w:val="20"/>
                <w:color w:val="auto"/>
              </w:rPr>
            </w:pPr>
            <w:r>
              <w:rPr>
                <w:rFonts w:ascii="Times New Roman" w:cs="Times New Roman" w:eastAsia="Times New Roman" w:hAnsi="Times New Roman"/>
                <w:sz w:val="18"/>
                <w:szCs w:val="18"/>
                <w:color w:val="auto"/>
              </w:rPr>
              <w:t>SECTION 2.01. Commitments</w:t>
            </w:r>
          </w:p>
        </w:tc>
        <w:tc>
          <w:tcPr>
            <w:tcW w:w="200" w:type="dxa"/>
            <w:vAlign w:val="bottom"/>
          </w:tcPr>
          <w:p>
            <w:pPr>
              <w:spacing w:after="0"/>
              <w:rPr>
                <w:sz w:val="20"/>
                <w:szCs w:val="20"/>
                <w:color w:val="auto"/>
              </w:rPr>
            </w:pPr>
            <w:r>
              <w:rPr>
                <w:rFonts w:ascii="Times New Roman" w:cs="Times New Roman" w:eastAsia="Times New Roman" w:hAnsi="Times New Roman"/>
                <w:sz w:val="18"/>
                <w:szCs w:val="18"/>
                <w:color w:val="FF4338"/>
                <w:strike w:val="1"/>
                <w:w w:val="88"/>
              </w:rPr>
              <w:t>33</w:t>
            </w:r>
          </w:p>
        </w:tc>
        <w:tc>
          <w:tcPr>
            <w:tcW w:w="1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77"/>
              </w:rPr>
              <w:t>35</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2.02. Loans and Borrowings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2.03. Requests for Borrowings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34</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2.04. Funding of Borrowings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35</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2.05. Interest Elections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36</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2.06. Termination and Reduction of Commitments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37</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39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2.07. Repayment of Loans; Evidence of Debt</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shd w:val="clear" w:color="auto" w:fill="000000"/>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2.08. Prepayment of Loans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2.09. Fees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39</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2.10. Interest</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2.11. Alternate Rate of Interest</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41</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gridSpan w:val="4"/>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2.12. Increased Costs; Illegality</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tcBorders>
              <w:left w:val="single" w:sz="8" w:color="auto"/>
            </w:tcBorders>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2.13. Break Funding Payments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44</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260" w:type="dxa"/>
            <w:vAlign w:val="bottom"/>
            <w:gridSpan w:val="4"/>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2.14. Taxes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45</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gridSpan w:val="4"/>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2.15. Payments Generally; Pro Rata Treatment; Sharing of Setoffs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47</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49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1380" w:type="dxa"/>
            <w:vAlign w:val="bottom"/>
            <w:tcBorders>
              <w:right w:val="single" w:sz="8" w:color="auto"/>
            </w:tcBorders>
            <w:gridSpan w:val="4"/>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40" w:type="dxa"/>
            <w:vAlign w:val="bottom"/>
            <w:gridSpan w:val="4"/>
            <w:shd w:val="clear" w:color="auto" w:fill="000000"/>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2.16. Mitigation Obligations; Replacement of Lenders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48</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560" w:type="dxa"/>
            <w:vAlign w:val="bottom"/>
            <w:gridSpan w:val="6"/>
            <w:shd w:val="clear" w:color="auto" w:fill="000000"/>
          </w:tcPr>
          <w:p>
            <w:pPr>
              <w:spacing w:after="0" w:line="20" w:lineRule="exact"/>
              <w:rPr>
                <w:sz w:val="1"/>
                <w:szCs w:val="1"/>
                <w:color w:val="auto"/>
              </w:rPr>
            </w:pPr>
          </w:p>
        </w:tc>
        <w:tc>
          <w:tcPr>
            <w:tcW w:w="1380" w:type="dxa"/>
            <w:vAlign w:val="bottom"/>
            <w:tcBorders>
              <w:right w:val="single" w:sz="8" w:color="auto"/>
            </w:tcBorders>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gridSpan w:val="8"/>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2.17. Defaulting Lenders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50</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40" w:type="dxa"/>
            <w:vAlign w:val="bottom"/>
            <w:gridSpan w:val="6"/>
            <w:shd w:val="clear" w:color="auto" w:fill="000000"/>
          </w:tcPr>
          <w:p>
            <w:pPr>
              <w:spacing w:after="0" w:line="20" w:lineRule="exact"/>
              <w:rPr>
                <w:sz w:val="1"/>
                <w:szCs w:val="1"/>
                <w:color w:val="auto"/>
              </w:rPr>
            </w:pPr>
          </w:p>
        </w:tc>
        <w:tc>
          <w:tcPr>
            <w:tcW w:w="380" w:type="dxa"/>
            <w:vAlign w:val="bottom"/>
            <w:tcBorders>
              <w:left w:val="single" w:sz="8" w:color="auto"/>
            </w:tcBorders>
            <w:gridSpan w:val="3"/>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gridSpan w:val="8"/>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2.18. Bridge Facility</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52</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20" w:type="dxa"/>
            <w:vAlign w:val="bottom"/>
            <w:tcBorders>
              <w:top w:val="single" w:sz="8" w:color="auto"/>
            </w:tcBorders>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5880" w:type="dxa"/>
            <w:vAlign w:val="bottom"/>
            <w:gridSpan w:val="9"/>
            <w:vMerge w:val="restart"/>
          </w:tcPr>
          <w:p>
            <w:pPr>
              <w:jc w:val="center"/>
              <w:ind w:right="4900"/>
              <w:spacing w:after="0"/>
              <w:rPr>
                <w:sz w:val="20"/>
                <w:szCs w:val="20"/>
                <w:color w:val="auto"/>
              </w:rPr>
            </w:pPr>
            <w:r>
              <w:rPr>
                <w:rFonts w:ascii="Times New Roman" w:cs="Times New Roman" w:eastAsia="Times New Roman" w:hAnsi="Times New Roman"/>
                <w:sz w:val="18"/>
                <w:szCs w:val="18"/>
                <w:color w:val="0000FF"/>
                <w:w w:val="99"/>
              </w:rPr>
              <w:t>ARTICLE III</w:t>
            </w: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80" w:type="dxa"/>
            <w:vAlign w:val="bottom"/>
            <w:gridSpan w:val="9"/>
            <w:vMerge w:val="continue"/>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6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20" w:type="dxa"/>
            <w:vAlign w:val="bottom"/>
            <w:gridSpan w:val="3"/>
          </w:tcPr>
          <w:p>
            <w:pPr>
              <w:spacing w:after="0"/>
              <w:rPr>
                <w:sz w:val="20"/>
                <w:szCs w:val="20"/>
                <w:color w:val="auto"/>
              </w:rPr>
            </w:pPr>
            <w:r>
              <w:rPr>
                <w:rFonts w:ascii="Times New Roman" w:cs="Times New Roman" w:eastAsia="Times New Roman" w:hAnsi="Times New Roman"/>
                <w:sz w:val="18"/>
                <w:szCs w:val="18"/>
                <w:color w:val="FF4338"/>
                <w:strike w:val="1"/>
              </w:rPr>
              <w:t>ARTICLE III</w:t>
            </w:r>
          </w:p>
        </w:tc>
        <w:tc>
          <w:tcPr>
            <w:tcW w:w="9580" w:type="dxa"/>
            <w:vAlign w:val="bottom"/>
            <w:gridSpan w:val="33"/>
          </w:tcPr>
          <w:p>
            <w:pPr>
              <w:spacing w:after="0"/>
              <w:rPr>
                <w:sz w:val="20"/>
                <w:szCs w:val="20"/>
                <w:color w:val="auto"/>
              </w:rPr>
            </w:pPr>
            <w:r>
              <w:rPr>
                <w:rFonts w:ascii="Times New Roman" w:cs="Times New Roman" w:eastAsia="Times New Roman" w:hAnsi="Times New Roman"/>
                <w:sz w:val="18"/>
                <w:szCs w:val="18"/>
                <w:color w:val="auto"/>
              </w:rPr>
              <w:t>Representations and Warranties</w:t>
            </w:r>
          </w:p>
        </w:tc>
        <w:tc>
          <w:tcPr>
            <w:tcW w:w="200" w:type="dxa"/>
            <w:vAlign w:val="bottom"/>
          </w:tcPr>
          <w:p>
            <w:pPr>
              <w:spacing w:after="0"/>
              <w:rPr>
                <w:sz w:val="20"/>
                <w:szCs w:val="20"/>
                <w:color w:val="auto"/>
              </w:rPr>
            </w:pPr>
            <w:r>
              <w:rPr>
                <w:rFonts w:ascii="Times New Roman" w:cs="Times New Roman" w:eastAsia="Times New Roman" w:hAnsi="Times New Roman"/>
                <w:sz w:val="18"/>
                <w:szCs w:val="18"/>
                <w:color w:val="FF4338"/>
                <w:strike w:val="1"/>
                <w:w w:val="88"/>
              </w:rPr>
              <w:t>53</w:t>
            </w:r>
          </w:p>
        </w:tc>
        <w:tc>
          <w:tcPr>
            <w:tcW w:w="1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77"/>
              </w:rPr>
              <w:t>55</w:t>
            </w: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6"/>
          </w:tcPr>
          <w:p>
            <w:pPr>
              <w:spacing w:after="0"/>
              <w:rPr>
                <w:sz w:val="20"/>
                <w:szCs w:val="20"/>
                <w:color w:val="auto"/>
              </w:rPr>
            </w:pPr>
            <w:r>
              <w:rPr>
                <w:rFonts w:ascii="Times New Roman" w:cs="Times New Roman" w:eastAsia="Times New Roman" w:hAnsi="Times New Roman"/>
                <w:sz w:val="18"/>
                <w:szCs w:val="18"/>
                <w:color w:val="auto"/>
              </w:rPr>
              <w:t>SECTION 3.01. Organization; Powers</w:t>
            </w:r>
          </w:p>
        </w:tc>
        <w:tc>
          <w:tcPr>
            <w:tcW w:w="200" w:type="dxa"/>
            <w:vAlign w:val="bottom"/>
          </w:tcPr>
          <w:p>
            <w:pPr>
              <w:spacing w:after="0"/>
              <w:rPr>
                <w:sz w:val="20"/>
                <w:szCs w:val="20"/>
                <w:color w:val="auto"/>
              </w:rPr>
            </w:pPr>
            <w:r>
              <w:rPr>
                <w:rFonts w:ascii="Times New Roman" w:cs="Times New Roman" w:eastAsia="Times New Roman" w:hAnsi="Times New Roman"/>
                <w:sz w:val="18"/>
                <w:szCs w:val="18"/>
                <w:color w:val="FF4338"/>
                <w:strike w:val="1"/>
                <w:w w:val="88"/>
              </w:rPr>
              <w:t>53</w:t>
            </w:r>
          </w:p>
        </w:tc>
        <w:tc>
          <w:tcPr>
            <w:tcW w:w="1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77"/>
              </w:rPr>
              <w:t>55</w:t>
            </w: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560" w:type="dxa"/>
            <w:vAlign w:val="bottom"/>
            <w:gridSpan w:val="10"/>
            <w:shd w:val="clear" w:color="auto" w:fill="000000"/>
          </w:tcPr>
          <w:p>
            <w:pPr>
              <w:spacing w:after="0" w:line="20" w:lineRule="exact"/>
              <w:rPr>
                <w:sz w:val="1"/>
                <w:szCs w:val="1"/>
                <w:color w:val="auto"/>
              </w:rPr>
            </w:pPr>
          </w:p>
        </w:tc>
        <w:tc>
          <w:tcPr>
            <w:tcW w:w="560" w:type="dxa"/>
            <w:vAlign w:val="bottom"/>
            <w:gridSpan w:val="6"/>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5900" w:type="dxa"/>
            <w:vAlign w:val="bottom"/>
            <w:gridSpan w:val="10"/>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3.02. Authorization; Enforceability</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53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140" w:type="dxa"/>
            <w:vAlign w:val="bottom"/>
            <w:gridSpan w:val="17"/>
            <w:shd w:val="clear" w:color="auto" w:fill="000000"/>
          </w:tcPr>
          <w:p>
            <w:pPr>
              <w:spacing w:after="0" w:line="20" w:lineRule="exact"/>
              <w:rPr>
                <w:sz w:val="1"/>
                <w:szCs w:val="1"/>
                <w:color w:val="auto"/>
              </w:rPr>
            </w:pPr>
          </w:p>
        </w:tc>
        <w:tc>
          <w:tcPr>
            <w:tcW w:w="1380" w:type="dxa"/>
            <w:vAlign w:val="bottom"/>
            <w:gridSpan w:val="4"/>
          </w:tcPr>
          <w:p>
            <w:pPr>
              <w:spacing w:after="0" w:line="20" w:lineRule="exact"/>
              <w:rPr>
                <w:sz w:val="1"/>
                <w:szCs w:val="1"/>
                <w:color w:val="auto"/>
              </w:rPr>
            </w:pPr>
          </w:p>
        </w:tc>
        <w:tc>
          <w:tcPr>
            <w:tcW w:w="5900" w:type="dxa"/>
            <w:vAlign w:val="bottom"/>
            <w:gridSpan w:val="10"/>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6"/>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3.03. Governmental Approvals; Absence of Conflicts</w:t>
            </w:r>
          </w:p>
        </w:tc>
        <w:tc>
          <w:tcPr>
            <w:tcW w:w="200" w:type="dxa"/>
            <w:vAlign w:val="bottom"/>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88"/>
              </w:rPr>
              <w:t>53</w:t>
            </w:r>
          </w:p>
        </w:tc>
        <w:tc>
          <w:tcPr>
            <w:tcW w:w="160" w:type="dxa"/>
            <w:vAlign w:val="bottom"/>
            <w:tcBorders>
              <w:bottom w:val="single" w:sz="8" w:color="0000FF"/>
            </w:tcBorders>
            <w:gridSpan w:val="2"/>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6"/>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2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580" w:type="dxa"/>
            <w:vAlign w:val="bottom"/>
            <w:tcBorders>
              <w:top w:val="single" w:sz="8" w:color="auto"/>
            </w:tcBorders>
          </w:tcPr>
          <w:p>
            <w:pPr>
              <w:spacing w:after="0"/>
              <w:rPr>
                <w:sz w:val="2"/>
                <w:szCs w:val="2"/>
                <w:color w:val="auto"/>
              </w:rPr>
            </w:pPr>
          </w:p>
        </w:tc>
        <w:tc>
          <w:tcPr>
            <w:tcW w:w="38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0" w:name="page301"/>
    <w:bookmarkEnd w:id="300"/>
    <w:tbl>
      <w:tblPr>
        <w:tblLayout w:type="fixed"/>
        <w:tblInd w:w="0" w:type="dxa"/>
        <w:tblCellMar>
          <w:top w:w="0" w:type="dxa"/>
          <w:left w:w="0" w:type="dxa"/>
          <w:bottom w:w="0" w:type="dxa"/>
          <w:right w:w="0" w:type="dxa"/>
        </w:tblCellMar>
      </w:tblPr>
      <w:tr>
        <w:trPr>
          <w:trHeight w:val="33"/>
        </w:trPr>
        <w:tc>
          <w:tcPr>
            <w:tcW w:w="10600" w:type="dxa"/>
            <w:vAlign w:val="bottom"/>
            <w:gridSpan w:val="35"/>
            <w:vMerge w:val="restart"/>
          </w:tcPr>
          <w:p>
            <w:pPr>
              <w:spacing w:after="0"/>
              <w:rPr>
                <w:sz w:val="20"/>
                <w:szCs w:val="20"/>
                <w:color w:val="auto"/>
              </w:rPr>
            </w:pPr>
            <w:r>
              <w:rPr>
                <w:rFonts w:ascii="Times New Roman" w:cs="Times New Roman" w:eastAsia="Times New Roman" w:hAnsi="Times New Roman"/>
                <w:sz w:val="18"/>
                <w:szCs w:val="18"/>
                <w:color w:val="auto"/>
              </w:rPr>
              <w:t>SECTION 3.04. Financial Condition; No Material Adverse Change</w:t>
            </w:r>
          </w:p>
        </w:tc>
        <w:tc>
          <w:tcPr>
            <w:tcW w:w="2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FF4338"/>
                <w:strike w:val="1"/>
                <w:w w:val="88"/>
              </w:rPr>
              <w:t>54</w:t>
            </w:r>
          </w:p>
        </w:tc>
        <w:tc>
          <w:tcPr>
            <w:tcW w:w="180" w:type="dxa"/>
            <w:vAlign w:val="bottom"/>
            <w:gridSpan w:val="2"/>
            <w:vMerge w:val="restart"/>
          </w:tcPr>
          <w:p>
            <w:pPr>
              <w:jc w:val="right"/>
              <w:ind w:right="20"/>
              <w:spacing w:after="0"/>
              <w:rPr>
                <w:sz w:val="20"/>
                <w:szCs w:val="20"/>
                <w:color w:val="auto"/>
              </w:rPr>
            </w:pPr>
            <w:r>
              <w:rPr>
                <w:rFonts w:ascii="Times New Roman" w:cs="Times New Roman" w:eastAsia="Times New Roman" w:hAnsi="Times New Roman"/>
                <w:sz w:val="18"/>
                <w:szCs w:val="18"/>
                <w:color w:val="0000FF"/>
                <w:w w:val="77"/>
              </w:rPr>
              <w:t>56</w:t>
            </w:r>
          </w:p>
        </w:tc>
        <w:tc>
          <w:tcPr>
            <w:tcW w:w="0" w:type="dxa"/>
            <w:vAlign w:val="bottom"/>
          </w:tcPr>
          <w:p>
            <w:pPr>
              <w:spacing w:after="0" w:line="20" w:lineRule="exact"/>
              <w:rPr>
                <w:sz w:val="1"/>
                <w:szCs w:val="1"/>
                <w:color w:val="auto"/>
              </w:rPr>
            </w:pPr>
          </w:p>
        </w:tc>
      </w:tr>
      <w:tr>
        <w:trPr>
          <w:trHeight w:val="174"/>
        </w:trPr>
        <w:tc>
          <w:tcPr>
            <w:tcW w:w="10600" w:type="dxa"/>
            <w:vAlign w:val="bottom"/>
            <w:gridSpan w:val="35"/>
            <w:vMerge w:val="continue"/>
          </w:tcPr>
          <w:p>
            <w:pPr>
              <w:spacing w:after="0"/>
              <w:rPr>
                <w:sz w:val="15"/>
                <w:szCs w:val="15"/>
                <w:color w:val="auto"/>
              </w:rPr>
            </w:pPr>
          </w:p>
        </w:tc>
        <w:tc>
          <w:tcPr>
            <w:tcW w:w="200" w:type="dxa"/>
            <w:vAlign w:val="bottom"/>
            <w:vMerge w:val="continue"/>
          </w:tcPr>
          <w:p>
            <w:pPr>
              <w:spacing w:after="0"/>
              <w:rPr>
                <w:sz w:val="15"/>
                <w:szCs w:val="15"/>
                <w:color w:val="auto"/>
              </w:rPr>
            </w:pPr>
          </w:p>
        </w:tc>
        <w:tc>
          <w:tcPr>
            <w:tcW w:w="1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6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3.05. Properties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3.06. Litigation and Environmental Matters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3.07. Compliance with Laws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3.08. Investment Company Status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3.09. Taxes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3.10. ERISA</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3.11. Solvency</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Borders>
              <w:right w:val="single" w:sz="8" w:color="auto"/>
            </w:tcBorders>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gridSpan w:val="2"/>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3.12. Disclosure</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3.13. Federal Reserve Regulations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57</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3.14. Use of Proceeds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57</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3.15. Ranking of Obligations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3.16. Choice of Law Provisions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59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60" w:type="dxa"/>
            <w:vAlign w:val="bottom"/>
            <w:gridSpan w:val="3"/>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3.17. No Immunity</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3.18. Proper Form; No Recordation</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60" w:type="dxa"/>
            <w:vAlign w:val="bottom"/>
            <w:tcBorders>
              <w:left w:val="single" w:sz="8" w:color="auto"/>
            </w:tcBorders>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60" w:type="dxa"/>
            <w:vAlign w:val="bottom"/>
            <w:gridSpan w:val="2"/>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4"/>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200" w:type="dxa"/>
            <w:vAlign w:val="bottom"/>
            <w:gridSpan w:val="4"/>
            <w:vMerge w:val="restart"/>
          </w:tcPr>
          <w:p>
            <w:pPr>
              <w:spacing w:after="0" w:line="196" w:lineRule="exact"/>
              <w:rPr>
                <w:sz w:val="20"/>
                <w:szCs w:val="20"/>
                <w:color w:val="auto"/>
              </w:rPr>
            </w:pPr>
            <w:r>
              <w:rPr>
                <w:rFonts w:ascii="Times New Roman" w:cs="Times New Roman" w:eastAsia="Times New Roman" w:hAnsi="Times New Roman"/>
                <w:sz w:val="18"/>
                <w:szCs w:val="18"/>
                <w:color w:val="auto"/>
                <w:w w:val="99"/>
              </w:rPr>
              <w:t>SECTION 3.19.</w:t>
            </w:r>
          </w:p>
        </w:tc>
        <w:tc>
          <w:tcPr>
            <w:tcW w:w="360" w:type="dxa"/>
            <w:vAlign w:val="bottom"/>
            <w:gridSpan w:val="2"/>
            <w:vMerge w:val="restart"/>
          </w:tcPr>
          <w:p>
            <w:pPr>
              <w:spacing w:after="0" w:line="196" w:lineRule="exact"/>
              <w:rPr>
                <w:sz w:val="20"/>
                <w:szCs w:val="20"/>
                <w:color w:val="auto"/>
              </w:rPr>
            </w:pPr>
            <w:r>
              <w:rPr>
                <w:rFonts w:ascii="Times New Roman" w:cs="Times New Roman" w:eastAsia="Times New Roman" w:hAnsi="Times New Roman"/>
                <w:sz w:val="18"/>
                <w:szCs w:val="18"/>
                <w:color w:val="FF4338"/>
                <w:strike w:val="1"/>
                <w:w w:val="97"/>
              </w:rPr>
              <w:t>EEA</w:t>
            </w:r>
          </w:p>
        </w:tc>
        <w:tc>
          <w:tcPr>
            <w:tcW w:w="9040" w:type="dxa"/>
            <w:vAlign w:val="bottom"/>
            <w:gridSpan w:val="29"/>
            <w:vMerge w:val="restart"/>
          </w:tcPr>
          <w:p>
            <w:pPr>
              <w:spacing w:after="0" w:line="196" w:lineRule="exact"/>
              <w:rPr>
                <w:sz w:val="20"/>
                <w:szCs w:val="20"/>
                <w:color w:val="auto"/>
              </w:rPr>
            </w:pPr>
            <w:r>
              <w:rPr>
                <w:rFonts w:ascii="Times New Roman" w:cs="Times New Roman" w:eastAsia="Times New Roman" w:hAnsi="Times New Roman"/>
                <w:sz w:val="18"/>
                <w:szCs w:val="18"/>
                <w:color w:val="0000FF"/>
              </w:rPr>
              <w:t xml:space="preserve">Affected </w:t>
            </w:r>
            <w:r>
              <w:rPr>
                <w:rFonts w:ascii="Times New Roman" w:cs="Times New Roman" w:eastAsia="Times New Roman" w:hAnsi="Times New Roman"/>
                <w:sz w:val="18"/>
                <w:szCs w:val="18"/>
                <w:color w:val="000000"/>
              </w:rPr>
              <w:t>Financial Institutions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59</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200" w:type="dxa"/>
            <w:vAlign w:val="bottom"/>
            <w:gridSpan w:val="4"/>
            <w:vMerge w:val="continue"/>
          </w:tcPr>
          <w:p>
            <w:pPr>
              <w:spacing w:after="0"/>
              <w:rPr>
                <w:sz w:val="12"/>
                <w:szCs w:val="12"/>
                <w:color w:val="auto"/>
              </w:rPr>
            </w:pPr>
          </w:p>
        </w:tc>
        <w:tc>
          <w:tcPr>
            <w:tcW w:w="360" w:type="dxa"/>
            <w:vAlign w:val="bottom"/>
            <w:gridSpan w:val="2"/>
            <w:vMerge w:val="continue"/>
          </w:tcPr>
          <w:p>
            <w:pPr>
              <w:spacing w:after="0"/>
              <w:rPr>
                <w:sz w:val="12"/>
                <w:szCs w:val="12"/>
                <w:color w:val="auto"/>
              </w:rPr>
            </w:pPr>
          </w:p>
        </w:tc>
        <w:tc>
          <w:tcPr>
            <w:tcW w:w="9040" w:type="dxa"/>
            <w:vAlign w:val="bottom"/>
            <w:gridSpan w:val="29"/>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140" w:type="dxa"/>
            <w:vAlign w:val="bottom"/>
            <w:tcBorders>
              <w:top w:val="single" w:sz="8" w:color="0000FF"/>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auto"/>
              <w:bottom w:val="single" w:sz="8" w:color="0000FF"/>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80" w:type="dxa"/>
            <w:vAlign w:val="bottom"/>
            <w:tcBorders>
              <w:top w:val="single" w:sz="8" w:color="auto"/>
            </w:tcBorders>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Times New Roman" w:cs="Times New Roman" w:eastAsia="Times New Roman" w:hAnsi="Times New Roman"/>
                <w:sz w:val="18"/>
                <w:szCs w:val="18"/>
                <w:color w:val="auto"/>
                <w:w w:val="96"/>
              </w:rPr>
              <w:t>ARTICLE IV</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9"/>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10600" w:type="dxa"/>
            <w:vAlign w:val="bottom"/>
            <w:gridSpan w:val="35"/>
          </w:tcPr>
          <w:p>
            <w:pPr>
              <w:spacing w:after="0"/>
              <w:rPr>
                <w:sz w:val="20"/>
                <w:szCs w:val="20"/>
                <w:color w:val="auto"/>
              </w:rPr>
            </w:pPr>
            <w:r>
              <w:rPr>
                <w:rFonts w:ascii="Times New Roman" w:cs="Times New Roman" w:eastAsia="Times New Roman" w:hAnsi="Times New Roman"/>
                <w:sz w:val="18"/>
                <w:szCs w:val="18"/>
                <w:color w:val="auto"/>
              </w:rPr>
              <w:t>Conditions</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59</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61</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Times New Roman" w:cs="Times New Roman" w:eastAsia="Times New Roman" w:hAnsi="Times New Roman"/>
                <w:sz w:val="18"/>
                <w:szCs w:val="18"/>
                <w:color w:val="auto"/>
              </w:rPr>
              <w:t>SECTION 4.01. Effective Date</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59</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61</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gridSpan w:val="2"/>
            <w:shd w:val="clear" w:color="auto" w:fill="000000"/>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4.02. Term Funding Date</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60</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4.03. Each Revolving Credit Event</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61</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Times New Roman" w:cs="Times New Roman" w:eastAsia="Times New Roman" w:hAnsi="Times New Roman"/>
                <w:sz w:val="18"/>
                <w:szCs w:val="18"/>
                <w:color w:val="0000FF"/>
                <w:w w:val="98"/>
              </w:rPr>
              <w:t>ARTICLE V</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84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0"/>
                <w:szCs w:val="20"/>
                <w:color w:val="auto"/>
              </w:rPr>
            </w:pPr>
            <w:r>
              <w:rPr>
                <w:rFonts w:ascii="Times New Roman" w:cs="Times New Roman" w:eastAsia="Times New Roman" w:hAnsi="Times New Roman"/>
                <w:sz w:val="18"/>
                <w:szCs w:val="18"/>
                <w:color w:val="FF4338"/>
                <w:strike w:val="1"/>
              </w:rPr>
              <w:t>ARTICLE V</w:t>
            </w:r>
          </w:p>
        </w:tc>
        <w:tc>
          <w:tcPr>
            <w:tcW w:w="9640" w:type="dxa"/>
            <w:vAlign w:val="bottom"/>
            <w:gridSpan w:val="34"/>
          </w:tcPr>
          <w:p>
            <w:pPr>
              <w:spacing w:after="0"/>
              <w:rPr>
                <w:sz w:val="20"/>
                <w:szCs w:val="20"/>
                <w:color w:val="auto"/>
              </w:rPr>
            </w:pPr>
            <w:r>
              <w:rPr>
                <w:rFonts w:ascii="Times New Roman" w:cs="Times New Roman" w:eastAsia="Times New Roman" w:hAnsi="Times New Roman"/>
                <w:sz w:val="18"/>
                <w:szCs w:val="18"/>
                <w:color w:val="auto"/>
              </w:rPr>
              <w:t>Affirmative Covenants</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62</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64</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Times New Roman" w:cs="Times New Roman" w:eastAsia="Times New Roman" w:hAnsi="Times New Roman"/>
                <w:sz w:val="18"/>
                <w:szCs w:val="18"/>
                <w:color w:val="auto"/>
              </w:rPr>
              <w:t>SECTION 5.01. Financial Statements and Other Information</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62</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64</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5"/>
            <w:shd w:val="clear" w:color="auto" w:fill="000000"/>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440" w:type="dxa"/>
            <w:vAlign w:val="bottom"/>
            <w:gridSpan w:val="2"/>
            <w:shd w:val="clear" w:color="auto" w:fill="000000"/>
          </w:tcPr>
          <w:p>
            <w:pPr>
              <w:spacing w:after="0" w:line="20" w:lineRule="exact"/>
              <w:rPr>
                <w:sz w:val="1"/>
                <w:szCs w:val="1"/>
                <w:color w:val="auto"/>
              </w:rPr>
            </w:pPr>
          </w:p>
        </w:tc>
        <w:tc>
          <w:tcPr>
            <w:tcW w:w="36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5.02. Notices of Material Events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65</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640" w:type="dxa"/>
            <w:vAlign w:val="bottom"/>
            <w:gridSpan w:val="5"/>
            <w:shd w:val="clear" w:color="auto" w:fill="000000"/>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5.03. Existence; Conduct of Business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780" w:type="dxa"/>
            <w:vAlign w:val="bottom"/>
            <w:gridSpan w:val="7"/>
            <w:shd w:val="clear" w:color="auto" w:fill="000000"/>
          </w:tcPr>
          <w:p>
            <w:pPr>
              <w:spacing w:after="0" w:line="20" w:lineRule="exact"/>
              <w:rPr>
                <w:sz w:val="1"/>
                <w:szCs w:val="1"/>
                <w:color w:val="auto"/>
              </w:rPr>
            </w:pPr>
          </w:p>
        </w:tc>
        <w:tc>
          <w:tcPr>
            <w:tcW w:w="200" w:type="dxa"/>
            <w:vAlign w:val="bottom"/>
            <w:gridSpan w:val="2"/>
            <w:shd w:val="clear" w:color="auto" w:fill="000000"/>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5.04. Payment of Taxes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64</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360" w:type="dxa"/>
            <w:vAlign w:val="bottom"/>
            <w:tcBorders>
              <w:left w:val="single" w:sz="8" w:color="auto"/>
            </w:tcBorders>
            <w:gridSpan w:val="4"/>
            <w:shd w:val="clear" w:color="auto" w:fill="000000"/>
          </w:tcPr>
          <w:p>
            <w:pPr>
              <w:spacing w:after="0" w:line="20" w:lineRule="exact"/>
              <w:rPr>
                <w:sz w:val="1"/>
                <w:szCs w:val="1"/>
                <w:color w:val="auto"/>
              </w:rPr>
            </w:pPr>
          </w:p>
        </w:tc>
        <w:tc>
          <w:tcPr>
            <w:tcW w:w="780" w:type="dxa"/>
            <w:vAlign w:val="bottom"/>
            <w:gridSpan w:val="7"/>
          </w:tcPr>
          <w:p>
            <w:pPr>
              <w:spacing w:after="0" w:line="20" w:lineRule="exact"/>
              <w:rPr>
                <w:sz w:val="1"/>
                <w:szCs w:val="1"/>
                <w:color w:val="auto"/>
              </w:rPr>
            </w:pPr>
          </w:p>
        </w:tc>
        <w:tc>
          <w:tcPr>
            <w:tcW w:w="640" w:type="dxa"/>
            <w:vAlign w:val="bottom"/>
            <w:gridSpan w:val="4"/>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5.05. Maintenance of Properties and Rights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tcBorders>
              <w:left w:val="single" w:sz="8" w:color="auto"/>
            </w:tcBorders>
            <w:gridSpan w:val="2"/>
            <w:shd w:val="clear" w:color="auto" w:fill="000000"/>
          </w:tcPr>
          <w:p>
            <w:pPr>
              <w:spacing w:after="0" w:line="20" w:lineRule="exact"/>
              <w:rPr>
                <w:sz w:val="1"/>
                <w:szCs w:val="1"/>
                <w:color w:val="auto"/>
              </w:rPr>
            </w:pPr>
          </w:p>
        </w:tc>
        <w:tc>
          <w:tcPr>
            <w:tcW w:w="1140" w:type="dxa"/>
            <w:vAlign w:val="bottom"/>
            <w:tcBorders>
              <w:left w:val="single" w:sz="8" w:color="auto"/>
            </w:tcBorders>
            <w:gridSpan w:val="11"/>
            <w:shd w:val="clear" w:color="auto" w:fill="000000"/>
          </w:tcPr>
          <w:p>
            <w:pPr>
              <w:spacing w:after="0" w:line="20" w:lineRule="exact"/>
              <w:rPr>
                <w:sz w:val="1"/>
                <w:szCs w:val="1"/>
                <w:color w:val="auto"/>
              </w:rPr>
            </w:pPr>
          </w:p>
        </w:tc>
        <w:tc>
          <w:tcPr>
            <w:tcW w:w="640" w:type="dxa"/>
            <w:vAlign w:val="bottom"/>
            <w:gridSpan w:val="4"/>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5.06. Insurance</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300" w:type="dxa"/>
            <w:vAlign w:val="bottom"/>
            <w:tcBorders>
              <w:left w:val="single" w:sz="8" w:color="auto"/>
            </w:tcBorders>
            <w:gridSpan w:val="3"/>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1140" w:type="dxa"/>
            <w:vAlign w:val="bottom"/>
            <w:gridSpan w:val="11"/>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5.07. Books and Records; Inspection and Audit Rights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65</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tcBorders>
              <w:left w:val="single" w:sz="8" w:color="auto"/>
            </w:tcBorders>
            <w:gridSpan w:val="11"/>
            <w:shd w:val="clear" w:color="auto" w:fill="000000"/>
          </w:tcPr>
          <w:p>
            <w:pPr>
              <w:spacing w:after="0" w:line="20" w:lineRule="exact"/>
              <w:rPr>
                <w:sz w:val="1"/>
                <w:szCs w:val="1"/>
                <w:color w:val="auto"/>
              </w:rPr>
            </w:pPr>
          </w:p>
        </w:tc>
        <w:tc>
          <w:tcPr>
            <w:tcW w:w="1000" w:type="dxa"/>
            <w:vAlign w:val="bottom"/>
            <w:gridSpan w:val="5"/>
            <w:shd w:val="clear" w:color="auto" w:fill="000000"/>
          </w:tcPr>
          <w:p>
            <w:pPr>
              <w:spacing w:after="0" w:line="20" w:lineRule="exact"/>
              <w:rPr>
                <w:sz w:val="1"/>
                <w:szCs w:val="1"/>
                <w:color w:val="auto"/>
              </w:rPr>
            </w:pPr>
          </w:p>
        </w:tc>
        <w:tc>
          <w:tcPr>
            <w:tcW w:w="460" w:type="dxa"/>
            <w:vAlign w:val="bottom"/>
            <w:tcBorders>
              <w:right w:val="single" w:sz="8" w:color="auto"/>
            </w:tcBorders>
            <w:gridSpan w:val="2"/>
            <w:shd w:val="clear" w:color="auto" w:fill="000000"/>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5.08. Compliance with Laws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Borders>
              <w:right w:val="single" w:sz="8" w:color="auto"/>
            </w:tcBorders>
            <w:gridSpan w:val="2"/>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740" w:type="dxa"/>
            <w:vAlign w:val="bottom"/>
            <w:tcBorders>
              <w:left w:val="single" w:sz="8" w:color="auto"/>
            </w:tcBorders>
            <w:gridSpan w:val="6"/>
            <w:shd w:val="clear" w:color="auto" w:fill="000000"/>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4"/>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5.09. Use of Proceeds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66</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68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860" w:type="dxa"/>
            <w:vAlign w:val="bottom"/>
            <w:gridSpan w:val="5"/>
            <w:vMerge w:val="restart"/>
          </w:tcPr>
          <w:p>
            <w:pPr>
              <w:jc w:val="center"/>
              <w:ind w:right="4900"/>
              <w:spacing w:after="0"/>
              <w:rPr>
                <w:sz w:val="20"/>
                <w:szCs w:val="20"/>
                <w:color w:val="auto"/>
              </w:rPr>
            </w:pPr>
            <w:r>
              <w:rPr>
                <w:rFonts w:ascii="Times New Roman" w:cs="Times New Roman" w:eastAsia="Times New Roman" w:hAnsi="Times New Roman"/>
                <w:sz w:val="18"/>
                <w:szCs w:val="18"/>
                <w:color w:val="0000FF"/>
                <w:w w:val="96"/>
              </w:rPr>
              <w:t>ARTICLE VI</w:t>
            </w: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60" w:type="dxa"/>
            <w:vAlign w:val="bottom"/>
            <w:gridSpan w:val="5"/>
            <w:vMerge w:val="continue"/>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8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20" w:type="dxa"/>
            <w:vAlign w:val="bottom"/>
            <w:gridSpan w:val="2"/>
          </w:tcPr>
          <w:p>
            <w:pPr>
              <w:spacing w:after="0"/>
              <w:rPr>
                <w:sz w:val="20"/>
                <w:szCs w:val="20"/>
                <w:color w:val="auto"/>
              </w:rPr>
            </w:pPr>
            <w:r>
              <w:rPr>
                <w:rFonts w:ascii="Times New Roman" w:cs="Times New Roman" w:eastAsia="Times New Roman" w:hAnsi="Times New Roman"/>
                <w:sz w:val="18"/>
                <w:szCs w:val="18"/>
                <w:color w:val="FF4338"/>
                <w:strike w:val="1"/>
              </w:rPr>
              <w:t>ARTICLE VI</w:t>
            </w:r>
          </w:p>
        </w:tc>
        <w:tc>
          <w:tcPr>
            <w:tcW w:w="9580" w:type="dxa"/>
            <w:vAlign w:val="bottom"/>
            <w:gridSpan w:val="33"/>
          </w:tcPr>
          <w:p>
            <w:pPr>
              <w:spacing w:after="0"/>
              <w:rPr>
                <w:sz w:val="20"/>
                <w:szCs w:val="20"/>
                <w:color w:val="auto"/>
              </w:rPr>
            </w:pPr>
            <w:r>
              <w:rPr>
                <w:rFonts w:ascii="Times New Roman" w:cs="Times New Roman" w:eastAsia="Times New Roman" w:hAnsi="Times New Roman"/>
                <w:sz w:val="18"/>
                <w:szCs w:val="18"/>
                <w:color w:val="auto"/>
              </w:rPr>
              <w:t>Negative Covenants</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66</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68</w:t>
            </w: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600" w:type="dxa"/>
            <w:vAlign w:val="bottom"/>
            <w:gridSpan w:val="35"/>
          </w:tcPr>
          <w:p>
            <w:pPr>
              <w:spacing w:after="0"/>
              <w:rPr>
                <w:sz w:val="20"/>
                <w:szCs w:val="20"/>
                <w:color w:val="auto"/>
              </w:rPr>
            </w:pPr>
            <w:r>
              <w:rPr>
                <w:rFonts w:ascii="Times New Roman" w:cs="Times New Roman" w:eastAsia="Times New Roman" w:hAnsi="Times New Roman"/>
                <w:sz w:val="18"/>
                <w:szCs w:val="18"/>
                <w:color w:val="auto"/>
              </w:rPr>
              <w:t>SECTION 6.01. Indebtedness</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FF4338"/>
                <w:strike w:val="1"/>
                <w:w w:val="88"/>
              </w:rPr>
              <w:t>66</w:t>
            </w:r>
          </w:p>
        </w:tc>
        <w:tc>
          <w:tcPr>
            <w:tcW w:w="1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0000FF"/>
                <w:w w:val="77"/>
              </w:rPr>
              <w:t>68</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540" w:type="dxa"/>
            <w:vAlign w:val="bottom"/>
            <w:tcBorders>
              <w:left w:val="single" w:sz="8" w:color="auto"/>
            </w:tcBorders>
            <w:gridSpan w:val="5"/>
            <w:shd w:val="clear" w:color="auto" w:fill="000000"/>
          </w:tcPr>
          <w:p>
            <w:pPr>
              <w:spacing w:after="0" w:line="20" w:lineRule="exact"/>
              <w:rPr>
                <w:sz w:val="1"/>
                <w:szCs w:val="1"/>
                <w:color w:val="auto"/>
              </w:rPr>
            </w:pPr>
          </w:p>
        </w:tc>
        <w:tc>
          <w:tcPr>
            <w:tcW w:w="1140" w:type="dxa"/>
            <w:vAlign w:val="bottom"/>
            <w:gridSpan w:val="11"/>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6.02. Liens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68</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71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tcBorders>
              <w:right w:val="single" w:sz="8" w:color="auto"/>
            </w:tcBorders>
            <w:gridSpan w:val="3"/>
          </w:tcPr>
          <w:p>
            <w:pPr>
              <w:spacing w:after="0" w:line="20" w:lineRule="exact"/>
              <w:rPr>
                <w:sz w:val="1"/>
                <w:szCs w:val="1"/>
                <w:color w:val="auto"/>
              </w:rPr>
            </w:pPr>
          </w:p>
        </w:tc>
        <w:tc>
          <w:tcPr>
            <w:tcW w:w="400" w:type="dxa"/>
            <w:vAlign w:val="bottom"/>
            <w:gridSpan w:val="3"/>
            <w:shd w:val="clear" w:color="auto" w:fill="000000"/>
          </w:tcPr>
          <w:p>
            <w:pPr>
              <w:spacing w:after="0" w:line="20" w:lineRule="exact"/>
              <w:rPr>
                <w:sz w:val="1"/>
                <w:szCs w:val="1"/>
                <w:color w:val="auto"/>
              </w:rPr>
            </w:pPr>
          </w:p>
        </w:tc>
        <w:tc>
          <w:tcPr>
            <w:tcW w:w="1680" w:type="dxa"/>
            <w:vAlign w:val="bottom"/>
            <w:gridSpan w:val="16"/>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6.03. Sale/Leaseback Transactions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70</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73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240" w:type="dxa"/>
            <w:vAlign w:val="bottom"/>
            <w:tcBorders>
              <w:right w:val="single" w:sz="8" w:color="auto"/>
            </w:tcBorders>
            <w:gridSpan w:val="3"/>
          </w:tcPr>
          <w:p>
            <w:pPr>
              <w:spacing w:after="0" w:line="20" w:lineRule="exact"/>
              <w:rPr>
                <w:sz w:val="1"/>
                <w:szCs w:val="1"/>
                <w:color w:val="auto"/>
              </w:rPr>
            </w:pPr>
          </w:p>
        </w:tc>
        <w:tc>
          <w:tcPr>
            <w:tcW w:w="2080" w:type="dxa"/>
            <w:vAlign w:val="bottom"/>
            <w:gridSpan w:val="19"/>
            <w:shd w:val="clear" w:color="auto" w:fill="000000"/>
          </w:tcPr>
          <w:p>
            <w:pPr>
              <w:spacing w:after="0" w:line="20" w:lineRule="exact"/>
              <w:rPr>
                <w:sz w:val="1"/>
                <w:szCs w:val="1"/>
                <w:color w:val="auto"/>
              </w:rPr>
            </w:pPr>
          </w:p>
        </w:tc>
        <w:tc>
          <w:tcPr>
            <w:tcW w:w="1000" w:type="dxa"/>
            <w:vAlign w:val="bottom"/>
            <w:gridSpan w:val="5"/>
          </w:tcPr>
          <w:p>
            <w:pPr>
              <w:spacing w:after="0" w:line="20" w:lineRule="exact"/>
              <w:rPr>
                <w:sz w:val="1"/>
                <w:szCs w:val="1"/>
                <w:color w:val="auto"/>
              </w:rPr>
            </w:pPr>
          </w:p>
        </w:tc>
        <w:tc>
          <w:tcPr>
            <w:tcW w:w="6320" w:type="dxa"/>
            <w:vAlign w:val="bottom"/>
            <w:gridSpan w:val="7"/>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600" w:type="dxa"/>
            <w:vAlign w:val="bottom"/>
            <w:gridSpan w:val="35"/>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6.04. Fundamental Changes; Business Activities</w:t>
            </w:r>
          </w:p>
        </w:tc>
        <w:tc>
          <w:tcPr>
            <w:tcW w:w="20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88"/>
              </w:rPr>
              <w:t>71</w:t>
            </w: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600" w:type="dxa"/>
            <w:vAlign w:val="bottom"/>
            <w:gridSpan w:val="35"/>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73</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96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tcPr>
          <w:p>
            <w:pPr>
              <w:spacing w:after="0"/>
              <w:rPr>
                <w:sz w:val="2"/>
                <w:szCs w:val="2"/>
                <w:color w:val="auto"/>
              </w:rPr>
            </w:pPr>
          </w:p>
        </w:tc>
        <w:tc>
          <w:tcPr>
            <w:tcW w:w="40" w:type="dxa"/>
            <w:vAlign w:val="bottom"/>
          </w:tcPr>
          <w:p>
            <w:pPr>
              <w:spacing w:after="0"/>
              <w:rPr>
                <w:sz w:val="2"/>
                <w:szCs w:val="2"/>
                <w:color w:val="auto"/>
              </w:rPr>
            </w:pPr>
          </w:p>
        </w:tc>
        <w:tc>
          <w:tcPr>
            <w:tcW w:w="34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14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6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18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100" w:type="dxa"/>
            <w:vAlign w:val="bottom"/>
            <w:tcBorders>
              <w:top w:val="single" w:sz="8" w:color="auto"/>
            </w:tcBorders>
          </w:tcPr>
          <w:p>
            <w:pPr>
              <w:spacing w:after="0"/>
              <w:rPr>
                <w:sz w:val="2"/>
                <w:szCs w:val="2"/>
                <w:color w:val="auto"/>
              </w:rPr>
            </w:pPr>
          </w:p>
        </w:tc>
        <w:tc>
          <w:tcPr>
            <w:tcW w:w="40" w:type="dxa"/>
            <w:vAlign w:val="bottom"/>
            <w:tcBorders>
              <w:top w:val="single" w:sz="8" w:color="auto"/>
            </w:tcBorders>
          </w:tcPr>
          <w:p>
            <w:pPr>
              <w:spacing w:after="0"/>
              <w:rPr>
                <w:sz w:val="2"/>
                <w:szCs w:val="2"/>
                <w:color w:val="auto"/>
              </w:rPr>
            </w:pPr>
          </w:p>
        </w:tc>
        <w:tc>
          <w:tcPr>
            <w:tcW w:w="80" w:type="dxa"/>
            <w:vAlign w:val="bottom"/>
            <w:tcBorders>
              <w:top w:val="single" w:sz="8" w:color="auto"/>
            </w:tcBorders>
          </w:tcPr>
          <w:p>
            <w:pPr>
              <w:spacing w:after="0"/>
              <w:rPr>
                <w:sz w:val="2"/>
                <w:szCs w:val="2"/>
                <w:color w:val="auto"/>
              </w:rPr>
            </w:pPr>
          </w:p>
        </w:tc>
        <w:tc>
          <w:tcPr>
            <w:tcW w:w="120" w:type="dxa"/>
            <w:vAlign w:val="bottom"/>
            <w:tcBorders>
              <w:top w:val="single" w:sz="8" w:color="auto"/>
            </w:tcBorders>
          </w:tcPr>
          <w:p>
            <w:pPr>
              <w:spacing w:after="0"/>
              <w:rPr>
                <w:sz w:val="2"/>
                <w:szCs w:val="2"/>
                <w:color w:val="auto"/>
              </w:rPr>
            </w:pPr>
          </w:p>
        </w:tc>
        <w:tc>
          <w:tcPr>
            <w:tcW w:w="280" w:type="dxa"/>
            <w:vAlign w:val="bottom"/>
            <w:tcBorders>
              <w:top w:val="single" w:sz="8" w:color="auto"/>
            </w:tcBorders>
          </w:tcPr>
          <w:p>
            <w:pPr>
              <w:spacing w:after="0"/>
              <w:rPr>
                <w:sz w:val="2"/>
                <w:szCs w:val="2"/>
                <w:color w:val="auto"/>
              </w:rPr>
            </w:pPr>
          </w:p>
        </w:tc>
        <w:tc>
          <w:tcPr>
            <w:tcW w:w="160" w:type="dxa"/>
            <w:vAlign w:val="bottom"/>
            <w:tcBorders>
              <w:top w:val="single" w:sz="8" w:color="auto"/>
            </w:tcBorders>
          </w:tcPr>
          <w:p>
            <w:pPr>
              <w:spacing w:after="0"/>
              <w:rPr>
                <w:sz w:val="2"/>
                <w:szCs w:val="2"/>
                <w:color w:val="auto"/>
              </w:rPr>
            </w:pPr>
          </w:p>
        </w:tc>
        <w:tc>
          <w:tcPr>
            <w:tcW w:w="360" w:type="dxa"/>
            <w:vAlign w:val="bottom"/>
            <w:tcBorders>
              <w:top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49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60"/>
          </w:cols>
          <w:pgMar w:left="440" w:top="257"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1" w:name="page302"/>
    <w:bookmarkEnd w:id="301"/>
    <w:tbl>
      <w:tblPr>
        <w:tblLayout w:type="fixed"/>
        <w:tblInd w:w="0" w:type="dxa"/>
        <w:tblCellMar>
          <w:top w:w="0" w:type="dxa"/>
          <w:left w:w="0" w:type="dxa"/>
          <w:bottom w:w="0" w:type="dxa"/>
          <w:right w:w="0" w:type="dxa"/>
        </w:tblCellMar>
      </w:tblPr>
      <w:tr>
        <w:trPr>
          <w:trHeight w:val="33"/>
        </w:trPr>
        <w:tc>
          <w:tcPr>
            <w:tcW w:w="1200" w:type="dxa"/>
            <w:vAlign w:val="bottom"/>
            <w:gridSpan w:val="5"/>
            <w:vMerge w:val="restart"/>
          </w:tcPr>
          <w:p>
            <w:pPr>
              <w:spacing w:after="0"/>
              <w:rPr>
                <w:sz w:val="20"/>
                <w:szCs w:val="20"/>
                <w:color w:val="auto"/>
              </w:rPr>
            </w:pPr>
            <w:r>
              <w:rPr>
                <w:rFonts w:ascii="Times New Roman" w:cs="Times New Roman" w:eastAsia="Times New Roman" w:hAnsi="Times New Roman"/>
                <w:sz w:val="18"/>
                <w:szCs w:val="18"/>
                <w:color w:val="0000FF"/>
              </w:rPr>
              <w:t>SECTION 6.05.</w:t>
            </w:r>
          </w:p>
        </w:tc>
        <w:tc>
          <w:tcPr>
            <w:tcW w:w="1720" w:type="dxa"/>
            <w:vAlign w:val="bottom"/>
            <w:gridSpan w:val="11"/>
            <w:vMerge w:val="restart"/>
          </w:tcPr>
          <w:p>
            <w:pPr>
              <w:spacing w:after="0"/>
              <w:rPr>
                <w:sz w:val="20"/>
                <w:szCs w:val="20"/>
                <w:color w:val="auto"/>
              </w:rPr>
            </w:pPr>
            <w:r>
              <w:rPr>
                <w:rFonts w:ascii="Times New Roman" w:cs="Times New Roman" w:eastAsia="Times New Roman" w:hAnsi="Times New Roman"/>
                <w:sz w:val="18"/>
                <w:szCs w:val="18"/>
                <w:color w:val="FF4338"/>
                <w:strike w:val="1"/>
              </w:rPr>
              <w:t>Restrictive Agreements</w:t>
            </w:r>
          </w:p>
        </w:tc>
        <w:tc>
          <w:tcPr>
            <w:tcW w:w="7480" w:type="dxa"/>
            <w:vAlign w:val="bottom"/>
            <w:gridSpan w:val="15"/>
            <w:vMerge w:val="restart"/>
          </w:tcPr>
          <w:p>
            <w:pPr>
              <w:ind w:left="20"/>
              <w:spacing w:after="0"/>
              <w:rPr>
                <w:sz w:val="20"/>
                <w:szCs w:val="20"/>
                <w:color w:val="auto"/>
              </w:rPr>
            </w:pPr>
            <w:r>
              <w:rPr>
                <w:rFonts w:ascii="Times New Roman" w:cs="Times New Roman" w:eastAsia="Times New Roman" w:hAnsi="Times New Roman"/>
                <w:sz w:val="18"/>
                <w:szCs w:val="18"/>
                <w:color w:val="0000FF"/>
              </w:rPr>
              <w:t>[Reserved]</w:t>
            </w:r>
          </w:p>
        </w:tc>
        <w:tc>
          <w:tcPr>
            <w:tcW w:w="320" w:type="dxa"/>
            <w:vAlign w:val="bottom"/>
            <w:gridSpan w:val="3"/>
            <w:vMerge w:val="restart"/>
          </w:tcPr>
          <w:p>
            <w:pPr>
              <w:jc w:val="right"/>
              <w:spacing w:after="0"/>
              <w:rPr>
                <w:sz w:val="20"/>
                <w:szCs w:val="20"/>
                <w:color w:val="auto"/>
              </w:rPr>
            </w:pPr>
            <w:r>
              <w:rPr>
                <w:rFonts w:ascii="Times New Roman" w:cs="Times New Roman" w:eastAsia="Times New Roman" w:hAnsi="Times New Roman"/>
                <w:sz w:val="18"/>
                <w:szCs w:val="18"/>
                <w:color w:val="FF4338"/>
                <w:strike w:val="1"/>
              </w:rPr>
              <w:t>72</w:t>
            </w:r>
          </w:p>
        </w:tc>
        <w:tc>
          <w:tcPr>
            <w:tcW w:w="240" w:type="dxa"/>
            <w:vAlign w:val="bottom"/>
            <w:gridSpan w:val="4"/>
            <w:vMerge w:val="restart"/>
          </w:tcPr>
          <w:p>
            <w:pPr>
              <w:jc w:val="right"/>
              <w:ind w:right="20"/>
              <w:spacing w:after="0"/>
              <w:rPr>
                <w:sz w:val="20"/>
                <w:szCs w:val="20"/>
                <w:color w:val="auto"/>
              </w:rPr>
            </w:pPr>
            <w:r>
              <w:rPr>
                <w:rFonts w:ascii="Times New Roman" w:cs="Times New Roman" w:eastAsia="Times New Roman" w:hAnsi="Times New Roman"/>
                <w:sz w:val="18"/>
                <w:szCs w:val="18"/>
                <w:color w:val="0000FF"/>
                <w:w w:val="88"/>
              </w:rPr>
              <w:t>74.</w:t>
            </w:r>
          </w:p>
        </w:tc>
        <w:tc>
          <w:tcPr>
            <w:tcW w:w="0" w:type="dxa"/>
            <w:vAlign w:val="bottom"/>
          </w:tcPr>
          <w:p>
            <w:pPr>
              <w:spacing w:after="0" w:line="20" w:lineRule="exact"/>
              <w:rPr>
                <w:sz w:val="1"/>
                <w:szCs w:val="1"/>
                <w:color w:val="auto"/>
              </w:rPr>
            </w:pPr>
          </w:p>
        </w:tc>
      </w:tr>
      <w:tr>
        <w:trPr>
          <w:trHeight w:val="174"/>
        </w:trPr>
        <w:tc>
          <w:tcPr>
            <w:tcW w:w="1200" w:type="dxa"/>
            <w:vAlign w:val="bottom"/>
            <w:gridSpan w:val="5"/>
            <w:vMerge w:val="continue"/>
          </w:tcPr>
          <w:p>
            <w:pPr>
              <w:spacing w:after="0"/>
              <w:rPr>
                <w:sz w:val="15"/>
                <w:szCs w:val="15"/>
                <w:color w:val="auto"/>
              </w:rPr>
            </w:pPr>
          </w:p>
        </w:tc>
        <w:tc>
          <w:tcPr>
            <w:tcW w:w="1720" w:type="dxa"/>
            <w:vAlign w:val="bottom"/>
            <w:gridSpan w:val="11"/>
            <w:vMerge w:val="continue"/>
          </w:tcPr>
          <w:p>
            <w:pPr>
              <w:spacing w:after="0"/>
              <w:rPr>
                <w:sz w:val="15"/>
                <w:szCs w:val="15"/>
                <w:color w:val="auto"/>
              </w:rPr>
            </w:pPr>
          </w:p>
        </w:tc>
        <w:tc>
          <w:tcPr>
            <w:tcW w:w="7480" w:type="dxa"/>
            <w:vAlign w:val="bottom"/>
            <w:gridSpan w:val="15"/>
            <w:vMerge w:val="continue"/>
          </w:tcPr>
          <w:p>
            <w:pPr>
              <w:spacing w:after="0"/>
              <w:rPr>
                <w:sz w:val="15"/>
                <w:szCs w:val="15"/>
                <w:color w:val="auto"/>
              </w:rPr>
            </w:pPr>
          </w:p>
        </w:tc>
        <w:tc>
          <w:tcPr>
            <w:tcW w:w="320" w:type="dxa"/>
            <w:vAlign w:val="bottom"/>
            <w:gridSpan w:val="3"/>
            <w:vMerge w:val="continue"/>
          </w:tcPr>
          <w:p>
            <w:pPr>
              <w:spacing w:after="0"/>
              <w:rPr>
                <w:sz w:val="15"/>
                <w:szCs w:val="15"/>
                <w:color w:val="auto"/>
              </w:rPr>
            </w:pPr>
          </w:p>
        </w:tc>
        <w:tc>
          <w:tcPr>
            <w:tcW w:w="240" w:type="dxa"/>
            <w:vAlign w:val="bottom"/>
            <w:gridSpan w:val="4"/>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6.06. Leverage Ratio</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tcPr>
          <w:p>
            <w:pPr>
              <w:jc w:val="right"/>
              <w:spacing w:after="0" w:line="142" w:lineRule="exact"/>
              <w:rPr>
                <w:sz w:val="20"/>
                <w:szCs w:val="20"/>
                <w:color w:val="auto"/>
              </w:rPr>
            </w:pPr>
            <w:r>
              <w:rPr>
                <w:rFonts w:ascii="Times New Roman" w:cs="Times New Roman" w:eastAsia="Times New Roman" w:hAnsi="Times New Roman"/>
                <w:sz w:val="16"/>
                <w:szCs w:val="16"/>
                <w:color w:val="FF4338"/>
                <w:strike w:val="1"/>
              </w:rPr>
              <w:t>73</w:t>
            </w:r>
          </w:p>
        </w:tc>
        <w:tc>
          <w:tcPr>
            <w:tcW w:w="180" w:type="dxa"/>
            <w:vAlign w:val="bottom"/>
            <w:gridSpan w:val="2"/>
          </w:tcPr>
          <w:p>
            <w:pPr>
              <w:jc w:val="right"/>
              <w:spacing w:after="0" w:line="142" w:lineRule="exact"/>
              <w:rPr>
                <w:sz w:val="20"/>
                <w:szCs w:val="20"/>
                <w:color w:val="auto"/>
              </w:rPr>
            </w:pPr>
            <w:r>
              <w:rPr>
                <w:rFonts w:ascii="Times New Roman" w:cs="Times New Roman" w:eastAsia="Times New Roman" w:hAnsi="Times New Roman"/>
                <w:sz w:val="16"/>
                <w:szCs w:val="16"/>
                <w:color w:val="0000FF"/>
                <w:w w:val="99"/>
              </w:rPr>
              <w:t>74</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5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gridSpan w:val="6"/>
            <w:vMerge w:val="restart"/>
          </w:tcPr>
          <w:p>
            <w:pPr>
              <w:jc w:val="center"/>
              <w:ind w:right="4760"/>
              <w:spacing w:after="0"/>
              <w:rPr>
                <w:sz w:val="20"/>
                <w:szCs w:val="20"/>
                <w:color w:val="auto"/>
              </w:rPr>
            </w:pPr>
            <w:r>
              <w:rPr>
                <w:rFonts w:ascii="Times New Roman" w:cs="Times New Roman" w:eastAsia="Times New Roman" w:hAnsi="Times New Roman"/>
                <w:sz w:val="18"/>
                <w:szCs w:val="18"/>
                <w:color w:val="0000FF"/>
                <w:w w:val="98"/>
              </w:rPr>
              <w:t>ARTICLE VII</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0" w:type="dxa"/>
            <w:vAlign w:val="bottom"/>
            <w:gridSpan w:val="6"/>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92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0"/>
                <w:szCs w:val="20"/>
                <w:color w:val="auto"/>
              </w:rPr>
            </w:pPr>
            <w:r>
              <w:rPr>
                <w:rFonts w:ascii="Times New Roman" w:cs="Times New Roman" w:eastAsia="Times New Roman" w:hAnsi="Times New Roman"/>
                <w:sz w:val="18"/>
                <w:szCs w:val="18"/>
                <w:color w:val="FF4338"/>
                <w:strike w:val="1"/>
              </w:rPr>
              <w:t>ARTICLE VII</w:t>
            </w:r>
          </w:p>
        </w:tc>
        <w:tc>
          <w:tcPr>
            <w:tcW w:w="9320" w:type="dxa"/>
            <w:vAlign w:val="bottom"/>
            <w:gridSpan w:val="30"/>
          </w:tcPr>
          <w:p>
            <w:pPr>
              <w:spacing w:after="0"/>
              <w:rPr>
                <w:sz w:val="20"/>
                <w:szCs w:val="20"/>
                <w:color w:val="auto"/>
              </w:rPr>
            </w:pPr>
            <w:r>
              <w:rPr>
                <w:rFonts w:ascii="Times New Roman" w:cs="Times New Roman" w:eastAsia="Times New Roman" w:hAnsi="Times New Roman"/>
                <w:sz w:val="18"/>
                <w:szCs w:val="18"/>
                <w:color w:val="auto"/>
              </w:rPr>
              <w:t>Events of Default</w:t>
            </w:r>
          </w:p>
        </w:tc>
        <w:tc>
          <w:tcPr>
            <w:tcW w:w="3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FF4338"/>
                <w:strike w:val="1"/>
              </w:rPr>
              <w:t>73</w:t>
            </w:r>
          </w:p>
        </w:tc>
        <w:tc>
          <w:tcPr>
            <w:tcW w:w="2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88"/>
              </w:rPr>
              <w:t>75</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400" w:type="dxa"/>
            <w:vAlign w:val="bottom"/>
            <w:gridSpan w:val="31"/>
          </w:tcPr>
          <w:p>
            <w:pPr>
              <w:spacing w:after="0"/>
              <w:rPr>
                <w:sz w:val="20"/>
                <w:szCs w:val="20"/>
                <w:color w:val="auto"/>
              </w:rPr>
            </w:pPr>
            <w:r>
              <w:rPr>
                <w:rFonts w:ascii="Times New Roman" w:cs="Times New Roman" w:eastAsia="Times New Roman" w:hAnsi="Times New Roman"/>
                <w:sz w:val="18"/>
                <w:szCs w:val="18"/>
                <w:color w:val="auto"/>
              </w:rPr>
              <w:t>SECTION 7.01. Events of Default; Remedies</w:t>
            </w:r>
          </w:p>
        </w:tc>
        <w:tc>
          <w:tcPr>
            <w:tcW w:w="3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FF4338"/>
                <w:strike w:val="1"/>
              </w:rPr>
              <w:t>73</w:t>
            </w:r>
          </w:p>
        </w:tc>
        <w:tc>
          <w:tcPr>
            <w:tcW w:w="2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88"/>
              </w:rPr>
              <w:t>75</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tcBorders>
              <w:left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7.02. Clean-up Period</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77</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78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5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20" w:type="dxa"/>
            <w:vAlign w:val="bottom"/>
            <w:tcBorders>
              <w:top w:val="single" w:sz="8" w:color="auto"/>
            </w:tcBorders>
          </w:tcPr>
          <w:p>
            <w:pPr>
              <w:spacing w:after="0"/>
              <w:rPr>
                <w:sz w:val="2"/>
                <w:szCs w:val="2"/>
                <w:color w:val="auto"/>
              </w:rPr>
            </w:pPr>
          </w:p>
        </w:tc>
        <w:tc>
          <w:tcPr>
            <w:tcW w:w="60" w:type="dxa"/>
            <w:vAlign w:val="bottom"/>
            <w:tcBorders>
              <w:top w:val="single" w:sz="8" w:color="auto"/>
            </w:tcBorders>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40" w:type="dxa"/>
            <w:vAlign w:val="bottom"/>
            <w:gridSpan w:val="8"/>
            <w:vMerge w:val="restart"/>
          </w:tcPr>
          <w:p>
            <w:pPr>
              <w:jc w:val="center"/>
              <w:ind w:right="4740"/>
              <w:spacing w:after="0"/>
              <w:rPr>
                <w:sz w:val="20"/>
                <w:szCs w:val="20"/>
                <w:color w:val="auto"/>
              </w:rPr>
            </w:pPr>
            <w:r>
              <w:rPr>
                <w:rFonts w:ascii="Times New Roman" w:cs="Times New Roman" w:eastAsia="Times New Roman" w:hAnsi="Times New Roman"/>
                <w:sz w:val="18"/>
                <w:szCs w:val="18"/>
                <w:color w:val="0000FF"/>
                <w:w w:val="98"/>
              </w:rPr>
              <w:t>ARTICLE VIII</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40" w:type="dxa"/>
            <w:vAlign w:val="bottom"/>
            <w:gridSpan w:val="8"/>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92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140" w:type="dxa"/>
            <w:vAlign w:val="bottom"/>
            <w:gridSpan w:val="2"/>
          </w:tcPr>
          <w:p>
            <w:pPr>
              <w:spacing w:after="0"/>
              <w:rPr>
                <w:sz w:val="20"/>
                <w:szCs w:val="20"/>
                <w:color w:val="auto"/>
              </w:rPr>
            </w:pPr>
            <w:r>
              <w:rPr>
                <w:rFonts w:ascii="Times New Roman" w:cs="Times New Roman" w:eastAsia="Times New Roman" w:hAnsi="Times New Roman"/>
                <w:sz w:val="18"/>
                <w:szCs w:val="18"/>
                <w:color w:val="FF4338"/>
                <w:strike w:val="1"/>
              </w:rPr>
              <w:t>ARTICLE VIII</w:t>
            </w:r>
          </w:p>
        </w:tc>
        <w:tc>
          <w:tcPr>
            <w:tcW w:w="9260" w:type="dxa"/>
            <w:vAlign w:val="bottom"/>
            <w:gridSpan w:val="29"/>
          </w:tcPr>
          <w:p>
            <w:pPr>
              <w:spacing w:after="0"/>
              <w:rPr>
                <w:sz w:val="20"/>
                <w:szCs w:val="20"/>
                <w:color w:val="auto"/>
              </w:rPr>
            </w:pPr>
            <w:r>
              <w:rPr>
                <w:rFonts w:ascii="Times New Roman" w:cs="Times New Roman" w:eastAsia="Times New Roman" w:hAnsi="Times New Roman"/>
                <w:sz w:val="18"/>
                <w:szCs w:val="18"/>
                <w:color w:val="auto"/>
              </w:rPr>
              <w:t>The Agents</w:t>
            </w:r>
          </w:p>
        </w:tc>
        <w:tc>
          <w:tcPr>
            <w:tcW w:w="3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FF4338"/>
                <w:strike w:val="1"/>
              </w:rPr>
              <w:t>78</w:t>
            </w:r>
          </w:p>
        </w:tc>
        <w:tc>
          <w:tcPr>
            <w:tcW w:w="2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88"/>
              </w:rPr>
              <w:t>79</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0" w:type="dxa"/>
            <w:vAlign w:val="bottom"/>
            <w:gridSpan w:val="6"/>
            <w:vMerge w:val="restart"/>
          </w:tcPr>
          <w:p>
            <w:pPr>
              <w:jc w:val="center"/>
              <w:ind w:right="4780"/>
              <w:spacing w:after="0"/>
              <w:rPr>
                <w:sz w:val="20"/>
                <w:szCs w:val="20"/>
                <w:color w:val="auto"/>
              </w:rPr>
            </w:pPr>
            <w:r>
              <w:rPr>
                <w:rFonts w:ascii="Times New Roman" w:cs="Times New Roman" w:eastAsia="Times New Roman" w:hAnsi="Times New Roman"/>
                <w:sz w:val="18"/>
                <w:szCs w:val="18"/>
                <w:color w:val="auto"/>
                <w:w w:val="98"/>
              </w:rPr>
              <w:t>ARTICLE IX</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98"/>
        </w:trPr>
        <w:tc>
          <w:tcPr>
            <w:tcW w:w="1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0" w:type="dxa"/>
            <w:vAlign w:val="bottom"/>
            <w:gridSpan w:val="6"/>
            <w:vMerge w:val="continue"/>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0400" w:type="dxa"/>
            <w:vAlign w:val="bottom"/>
            <w:gridSpan w:val="31"/>
          </w:tcPr>
          <w:p>
            <w:pPr>
              <w:spacing w:after="0"/>
              <w:rPr>
                <w:sz w:val="20"/>
                <w:szCs w:val="20"/>
                <w:color w:val="auto"/>
              </w:rPr>
            </w:pPr>
            <w:r>
              <w:rPr>
                <w:rFonts w:ascii="Times New Roman" w:cs="Times New Roman" w:eastAsia="Times New Roman" w:hAnsi="Times New Roman"/>
                <w:sz w:val="18"/>
                <w:szCs w:val="18"/>
                <w:color w:val="auto"/>
              </w:rPr>
              <w:t>Miscellaneous</w:t>
            </w:r>
          </w:p>
        </w:tc>
        <w:tc>
          <w:tcPr>
            <w:tcW w:w="3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FF4338"/>
                <w:strike w:val="1"/>
              </w:rPr>
              <w:t>84</w:t>
            </w:r>
          </w:p>
        </w:tc>
        <w:tc>
          <w:tcPr>
            <w:tcW w:w="2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88"/>
              </w:rPr>
              <w:t>85</w:t>
            </w:r>
          </w:p>
        </w:tc>
        <w:tc>
          <w:tcPr>
            <w:tcW w:w="0" w:type="dxa"/>
            <w:vAlign w:val="bottom"/>
          </w:tcPr>
          <w:p>
            <w:pPr>
              <w:spacing w:after="0"/>
              <w:rPr>
                <w:sz w:val="1"/>
                <w:szCs w:val="1"/>
                <w:color w:val="auto"/>
              </w:rPr>
            </w:pPr>
          </w:p>
        </w:tc>
      </w:tr>
      <w:tr>
        <w:trPr>
          <w:trHeight w:val="34"/>
        </w:trPr>
        <w:tc>
          <w:tcPr>
            <w:tcW w:w="108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top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58"/>
        </w:trPr>
        <w:tc>
          <w:tcPr>
            <w:tcW w:w="10400" w:type="dxa"/>
            <w:vAlign w:val="bottom"/>
            <w:gridSpan w:val="31"/>
          </w:tcPr>
          <w:p>
            <w:pPr>
              <w:spacing w:after="0"/>
              <w:rPr>
                <w:sz w:val="20"/>
                <w:szCs w:val="20"/>
                <w:color w:val="auto"/>
              </w:rPr>
            </w:pPr>
            <w:r>
              <w:rPr>
                <w:rFonts w:ascii="Times New Roman" w:cs="Times New Roman" w:eastAsia="Times New Roman" w:hAnsi="Times New Roman"/>
                <w:sz w:val="18"/>
                <w:szCs w:val="18"/>
                <w:color w:val="auto"/>
              </w:rPr>
              <w:t>SECTION 9.01. Notices</w:t>
            </w:r>
          </w:p>
        </w:tc>
        <w:tc>
          <w:tcPr>
            <w:tcW w:w="3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FF4338"/>
                <w:strike w:val="1"/>
              </w:rPr>
              <w:t>84</w:t>
            </w:r>
          </w:p>
        </w:tc>
        <w:tc>
          <w:tcPr>
            <w:tcW w:w="20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0000FF"/>
                <w:w w:val="88"/>
              </w:rPr>
              <w:t>85</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9.02. Waivers; Amendments</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85</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86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9.03. Expenses; Indemnity; Damage Waiver</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88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89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740" w:type="dxa"/>
            <w:vAlign w:val="bottom"/>
            <w:tcBorders>
              <w:left w:val="single" w:sz="8" w:color="auto"/>
            </w:tcBorders>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9.04. Successors and Assigns</w:t>
            </w:r>
          </w:p>
        </w:tc>
        <w:tc>
          <w:tcPr>
            <w:tcW w:w="28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80" w:type="dxa"/>
            <w:vAlign w:val="bottom"/>
            <w:gridSpan w:val="3"/>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80" w:type="dxa"/>
            <w:vAlign w:val="bottom"/>
            <w:gridSpan w:val="3"/>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auto"/>
                <w:w w:val="87"/>
              </w:rPr>
              <w:t>91</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Times New Roman" w:cs="Times New Roman" w:eastAsia="Times New Roman" w:hAnsi="Times New Roman"/>
                <w:sz w:val="18"/>
                <w:szCs w:val="18"/>
                <w:color w:val="auto"/>
              </w:rPr>
              <w:t>SECTION 9.05. Survival</w:t>
            </w:r>
          </w:p>
        </w:tc>
        <w:tc>
          <w:tcPr>
            <w:tcW w:w="360" w:type="dxa"/>
            <w:vAlign w:val="bottom"/>
            <w:gridSpan w:val="4"/>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95</w:t>
            </w:r>
          </w:p>
        </w:tc>
        <w:tc>
          <w:tcPr>
            <w:tcW w:w="200" w:type="dxa"/>
            <w:vAlign w:val="bottom"/>
            <w:gridSpan w:val="3"/>
          </w:tcPr>
          <w:p>
            <w:pPr>
              <w:jc w:val="right"/>
              <w:ind w:right="20"/>
              <w:spacing w:after="0" w:line="196" w:lineRule="exact"/>
              <w:rPr>
                <w:sz w:val="20"/>
                <w:szCs w:val="20"/>
                <w:color w:val="auto"/>
              </w:rPr>
            </w:pPr>
            <w:r>
              <w:rPr>
                <w:rFonts w:ascii="Times New Roman" w:cs="Times New Roman" w:eastAsia="Times New Roman" w:hAnsi="Times New Roman"/>
                <w:sz w:val="18"/>
                <w:szCs w:val="18"/>
                <w:color w:val="0000FF"/>
                <w:w w:val="88"/>
              </w:rPr>
              <w:t>96</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9.06. Counterparts; Integration; Effectiveness; Electronic Execution</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95</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tcBorders>
              <w:left w:val="single" w:sz="8" w:color="auto"/>
            </w:tcBorders>
            <w:gridSpan w:val="2"/>
            <w:shd w:val="clear" w:color="auto" w:fill="000000"/>
          </w:tcPr>
          <w:p>
            <w:pPr>
              <w:spacing w:after="0" w:line="20" w:lineRule="exact"/>
              <w:rPr>
                <w:sz w:val="1"/>
                <w:szCs w:val="1"/>
                <w:color w:val="auto"/>
              </w:rPr>
            </w:pPr>
          </w:p>
        </w:tc>
        <w:tc>
          <w:tcPr>
            <w:tcW w:w="1160" w:type="dxa"/>
            <w:vAlign w:val="bottom"/>
            <w:gridSpan w:val="4"/>
            <w:shd w:val="clear" w:color="auto" w:fill="000000"/>
          </w:tcPr>
          <w:p>
            <w:pPr>
              <w:spacing w:after="0" w:line="20" w:lineRule="exact"/>
              <w:rPr>
                <w:sz w:val="1"/>
                <w:szCs w:val="1"/>
                <w:color w:val="auto"/>
              </w:rPr>
            </w:pPr>
          </w:p>
        </w:tc>
        <w:tc>
          <w:tcPr>
            <w:tcW w:w="160" w:type="dxa"/>
            <w:vAlign w:val="bottom"/>
            <w:gridSpan w:val="3"/>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9.07. Severability</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96</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9.08. Right of Setoff</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96</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1160" w:type="dxa"/>
            <w:vAlign w:val="bottom"/>
            <w:gridSpan w:val="4"/>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9.09. Governing Law; Jurisdiction; Consent to Service of Process</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97</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98</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20" w:type="dxa"/>
            <w:vAlign w:val="bottom"/>
            <w:gridSpan w:val="3"/>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tcBorders>
              <w:left w:val="single" w:sz="8" w:color="auto"/>
            </w:tcBorders>
            <w:gridSpan w:val="2"/>
            <w:shd w:val="clear" w:color="auto" w:fill="000000"/>
          </w:tcPr>
          <w:p>
            <w:pPr>
              <w:spacing w:after="0" w:line="20" w:lineRule="exact"/>
              <w:rPr>
                <w:sz w:val="1"/>
                <w:szCs w:val="1"/>
                <w:color w:val="auto"/>
              </w:rPr>
            </w:pPr>
          </w:p>
        </w:tc>
        <w:tc>
          <w:tcPr>
            <w:tcW w:w="1160" w:type="dxa"/>
            <w:vAlign w:val="bottom"/>
            <w:gridSpan w:val="4"/>
            <w:shd w:val="clear" w:color="auto" w:fill="000000"/>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9.10. WAIVER OF JURY TRIAL</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gridSpan w:val="4"/>
            <w:shd w:val="clear" w:color="auto" w:fill="000000"/>
          </w:tcPr>
          <w:p>
            <w:pPr>
              <w:spacing w:after="0" w:line="20" w:lineRule="exact"/>
              <w:rPr>
                <w:sz w:val="1"/>
                <w:szCs w:val="1"/>
                <w:color w:val="auto"/>
              </w:rPr>
            </w:pPr>
          </w:p>
        </w:tc>
        <w:tc>
          <w:tcPr>
            <w:tcW w:w="420" w:type="dxa"/>
            <w:vAlign w:val="bottom"/>
            <w:gridSpan w:val="3"/>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9.11. Headings</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720" w:type="dxa"/>
            <w:vAlign w:val="bottom"/>
            <w:gridSpan w:val="5"/>
            <w:shd w:val="clear" w:color="auto" w:fill="000000"/>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9.12. Confidentiality</w:t>
            </w:r>
          </w:p>
        </w:tc>
        <w:tc>
          <w:tcPr>
            <w:tcW w:w="360" w:type="dxa"/>
            <w:vAlign w:val="bottom"/>
            <w:gridSpan w:val="4"/>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rPr>
              <w:t>98</w:t>
            </w:r>
          </w:p>
        </w:tc>
        <w:tc>
          <w:tcPr>
            <w:tcW w:w="20" w:type="dxa"/>
            <w:vAlign w:val="bottom"/>
            <w:vMerge w:val="restart"/>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360" w:type="dxa"/>
            <w:vAlign w:val="bottom"/>
            <w:gridSpan w:val="4"/>
            <w:vMerge w:val="continue"/>
          </w:tcPr>
          <w:p>
            <w:pPr>
              <w:spacing w:after="0"/>
              <w:rPr>
                <w:sz w:val="12"/>
                <w:szCs w:val="12"/>
                <w:color w:val="auto"/>
              </w:rPr>
            </w:pPr>
          </w:p>
        </w:tc>
        <w:tc>
          <w:tcPr>
            <w:tcW w:w="20" w:type="dxa"/>
            <w:vAlign w:val="bottom"/>
            <w:vMerge w:val="continue"/>
          </w:tcPr>
          <w:p>
            <w:pPr>
              <w:spacing w:after="0"/>
              <w:rPr>
                <w:sz w:val="12"/>
                <w:szCs w:val="12"/>
                <w:color w:val="auto"/>
              </w:rPr>
            </w:pPr>
          </w:p>
        </w:tc>
        <w:tc>
          <w:tcPr>
            <w:tcW w:w="160" w:type="dxa"/>
            <w:vAlign w:val="bottom"/>
          </w:tcPr>
          <w:p>
            <w:pPr>
              <w:jc w:val="right"/>
              <w:spacing w:after="0" w:line="142" w:lineRule="exact"/>
              <w:rPr>
                <w:sz w:val="20"/>
                <w:szCs w:val="20"/>
                <w:color w:val="auto"/>
              </w:rPr>
            </w:pPr>
            <w:r>
              <w:rPr>
                <w:rFonts w:ascii="Times New Roman" w:cs="Times New Roman" w:eastAsia="Times New Roman" w:hAnsi="Times New Roman"/>
                <w:sz w:val="16"/>
                <w:szCs w:val="16"/>
                <w:color w:val="0000FF"/>
                <w:w w:val="87"/>
              </w:rPr>
              <w:t>99</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120" w:type="dxa"/>
            <w:vAlign w:val="bottom"/>
            <w:gridSpan w:val="7"/>
            <w:shd w:val="clear" w:color="auto" w:fill="000000"/>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9.13. Interest Rate Limitation</w:t>
            </w:r>
          </w:p>
        </w:tc>
        <w:tc>
          <w:tcPr>
            <w:tcW w:w="2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gridSpan w:val="3"/>
          </w:tcPr>
          <w:p>
            <w:pPr>
              <w:spacing w:after="0"/>
              <w:rPr>
                <w:sz w:val="2"/>
                <w:szCs w:val="2"/>
                <w:color w:val="auto"/>
              </w:rPr>
            </w:pPr>
          </w:p>
        </w:tc>
        <w:tc>
          <w:tcPr>
            <w:tcW w:w="160" w:type="dxa"/>
            <w:vAlign w:val="bottom"/>
            <w:tcBorders>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540" w:type="dxa"/>
            <w:vAlign w:val="bottom"/>
            <w:gridSpan w:val="6"/>
          </w:tcPr>
          <w:p>
            <w:pPr>
              <w:jc w:val="right"/>
              <w:spacing w:after="0" w:line="142" w:lineRule="exact"/>
              <w:rPr>
                <w:sz w:val="20"/>
                <w:szCs w:val="20"/>
                <w:color w:val="auto"/>
              </w:rPr>
            </w:pPr>
            <w:r>
              <w:rPr>
                <w:rFonts w:ascii="Times New Roman" w:cs="Times New Roman" w:eastAsia="Times New Roman" w:hAnsi="Times New Roman"/>
                <w:sz w:val="16"/>
                <w:szCs w:val="16"/>
                <w:color w:val="auto"/>
              </w:rPr>
              <w:t>100</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0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Times New Roman" w:cs="Times New Roman" w:eastAsia="Times New Roman" w:hAnsi="Times New Roman"/>
                <w:sz w:val="18"/>
                <w:szCs w:val="18"/>
                <w:color w:val="auto"/>
              </w:rPr>
              <w:t>SECTION 9.14. USA PATRIOT Act Notice</w:t>
            </w:r>
          </w:p>
        </w:tc>
        <w:tc>
          <w:tcPr>
            <w:tcW w:w="300" w:type="dxa"/>
            <w:vAlign w:val="bottom"/>
            <w:gridSpan w:val="2"/>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96"/>
              </w:rPr>
              <w:t>100</w:t>
            </w:r>
          </w:p>
        </w:tc>
        <w:tc>
          <w:tcPr>
            <w:tcW w:w="260" w:type="dxa"/>
            <w:vAlign w:val="bottom"/>
            <w:gridSpan w:val="5"/>
          </w:tcPr>
          <w:p>
            <w:pPr>
              <w:jc w:val="right"/>
              <w:ind w:right="20"/>
              <w:spacing w:after="0" w:line="196" w:lineRule="exact"/>
              <w:rPr>
                <w:sz w:val="20"/>
                <w:szCs w:val="20"/>
                <w:color w:val="auto"/>
              </w:rPr>
            </w:pPr>
            <w:r>
              <w:rPr>
                <w:rFonts w:ascii="Times New Roman" w:cs="Times New Roman" w:eastAsia="Times New Roman" w:hAnsi="Times New Roman"/>
                <w:sz w:val="18"/>
                <w:szCs w:val="18"/>
                <w:color w:val="0000FF"/>
                <w:w w:val="81"/>
              </w:rPr>
              <w:t>101</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1420" w:type="dxa"/>
            <w:vAlign w:val="bottom"/>
            <w:gridSpan w:val="9"/>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40" w:type="dxa"/>
            <w:vAlign w:val="bottom"/>
            <w:tcBorders>
              <w:left w:val="single" w:sz="8" w:color="auto"/>
            </w:tcBorders>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9.15. No Fiduciary Relationship</w:t>
            </w:r>
          </w:p>
        </w:tc>
        <w:tc>
          <w:tcPr>
            <w:tcW w:w="28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96"/>
              </w:rPr>
              <w:t>100</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Times New Roman" w:cs="Times New Roman" w:eastAsia="Times New Roman" w:hAnsi="Times New Roman"/>
                <w:sz w:val="16"/>
                <w:szCs w:val="16"/>
                <w:color w:val="0000FF"/>
                <w:w w:val="91"/>
              </w:rPr>
              <w:t>101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9.16. Non-Public Information</w:t>
            </w:r>
          </w:p>
        </w:tc>
        <w:tc>
          <w:tcPr>
            <w:tcW w:w="28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96"/>
              </w:rPr>
              <w:t>100</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Times New Roman" w:cs="Times New Roman" w:eastAsia="Times New Roman" w:hAnsi="Times New Roman"/>
                <w:sz w:val="16"/>
                <w:szCs w:val="16"/>
                <w:color w:val="0000FF"/>
                <w:w w:val="91"/>
              </w:rPr>
              <w:t>101</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320" w:type="dxa"/>
            <w:vAlign w:val="bottom"/>
            <w:gridSpan w:val="3"/>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9.17. Judgment Currency</w:t>
            </w:r>
          </w:p>
        </w:tc>
        <w:tc>
          <w:tcPr>
            <w:tcW w:w="280" w:type="dxa"/>
            <w:vAlign w:val="bottom"/>
            <w:vMerge w:val="restart"/>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96"/>
              </w:rPr>
              <w:t>101</w:t>
            </w:r>
          </w:p>
        </w:tc>
        <w:tc>
          <w:tcPr>
            <w:tcW w:w="260" w:type="dxa"/>
            <w:vAlign w:val="bottom"/>
            <w:tcBorders>
              <w:bottom w:val="single" w:sz="8" w:color="0000FF"/>
            </w:tcBorders>
            <w:gridSpan w:val="5"/>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gridSpan w:val="4"/>
          </w:tcPr>
          <w:p>
            <w:pPr>
              <w:jc w:val="right"/>
              <w:spacing w:after="0" w:line="142" w:lineRule="exact"/>
              <w:rPr>
                <w:sz w:val="20"/>
                <w:szCs w:val="20"/>
                <w:color w:val="auto"/>
              </w:rPr>
            </w:pPr>
            <w:r>
              <w:rPr>
                <w:rFonts w:ascii="Times New Roman" w:cs="Times New Roman" w:eastAsia="Times New Roman" w:hAnsi="Times New Roman"/>
                <w:sz w:val="16"/>
                <w:szCs w:val="16"/>
                <w:color w:val="0000FF"/>
                <w:w w:val="91"/>
              </w:rPr>
              <w:t>102</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440" w:type="dxa"/>
            <w:vAlign w:val="bottom"/>
            <w:gridSpan w:val="10"/>
            <w:shd w:val="clear" w:color="auto" w:fill="000000"/>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2040" w:type="dxa"/>
            <w:vAlign w:val="bottom"/>
            <w:gridSpan w:val="8"/>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auto"/>
              </w:rPr>
              <w:t>SECTION 9.18. Acknowledgement and Consent to Bail-In of EEA Financial Institutions</w:t>
            </w:r>
          </w:p>
        </w:tc>
        <w:tc>
          <w:tcPr>
            <w:tcW w:w="280" w:type="dxa"/>
            <w:vAlign w:val="bottom"/>
            <w:vMerge w:val="restart"/>
          </w:tcPr>
          <w:p>
            <w:pPr>
              <w:spacing w:after="0"/>
              <w:rPr>
                <w:sz w:val="2"/>
                <w:szCs w:val="2"/>
                <w:color w:val="auto"/>
              </w:rPr>
            </w:pPr>
          </w:p>
        </w:tc>
        <w:tc>
          <w:tcPr>
            <w:tcW w:w="260" w:type="dxa"/>
            <w:vAlign w:val="bottom"/>
            <w:tcBorders>
              <w:bottom w:val="single" w:sz="8" w:color="0000FF"/>
            </w:tcBorders>
            <w:gridSpan w:val="5"/>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60" w:type="dxa"/>
            <w:vAlign w:val="bottom"/>
            <w:gridSpan w:val="5"/>
          </w:tcPr>
          <w:p>
            <w:pPr>
              <w:jc w:val="right"/>
              <w:spacing w:after="0" w:line="142" w:lineRule="exact"/>
              <w:rPr>
                <w:sz w:val="20"/>
                <w:szCs w:val="20"/>
                <w:color w:val="auto"/>
              </w:rPr>
            </w:pPr>
            <w:r>
              <w:rPr>
                <w:rFonts w:ascii="Times New Roman" w:cs="Times New Roman" w:eastAsia="Times New Roman" w:hAnsi="Times New Roman"/>
                <w:sz w:val="16"/>
                <w:szCs w:val="16"/>
                <w:color w:val="auto"/>
                <w:w w:val="99"/>
              </w:rPr>
              <w:t>102</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860" w:type="dxa"/>
            <w:vAlign w:val="bottom"/>
            <w:gridSpan w:val="14"/>
            <w:shd w:val="clear" w:color="auto" w:fill="000000"/>
          </w:tcPr>
          <w:p>
            <w:pPr>
              <w:spacing w:after="0" w:line="20" w:lineRule="exact"/>
              <w:rPr>
                <w:sz w:val="1"/>
                <w:szCs w:val="1"/>
                <w:color w:val="auto"/>
              </w:rPr>
            </w:pPr>
          </w:p>
        </w:tc>
        <w:tc>
          <w:tcPr>
            <w:tcW w:w="1320" w:type="dxa"/>
            <w:vAlign w:val="bottom"/>
            <w:gridSpan w:val="4"/>
            <w:shd w:val="clear" w:color="auto" w:fill="000000"/>
          </w:tcPr>
          <w:p>
            <w:pPr>
              <w:spacing w:after="0" w:line="20" w:lineRule="exact"/>
              <w:rPr>
                <w:sz w:val="1"/>
                <w:szCs w:val="1"/>
                <w:color w:val="auto"/>
              </w:rPr>
            </w:pPr>
          </w:p>
        </w:tc>
        <w:tc>
          <w:tcPr>
            <w:tcW w:w="2040" w:type="dxa"/>
            <w:vAlign w:val="bottom"/>
            <w:gridSpan w:val="8"/>
            <w:shd w:val="clear" w:color="auto" w:fill="000000"/>
          </w:tcPr>
          <w:p>
            <w:pPr>
              <w:spacing w:after="0" w:line="20" w:lineRule="exact"/>
              <w:rPr>
                <w:sz w:val="1"/>
                <w:szCs w:val="1"/>
                <w:color w:val="auto"/>
              </w:rPr>
            </w:pPr>
          </w:p>
        </w:tc>
        <w:tc>
          <w:tcPr>
            <w:tcW w:w="400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400" w:type="dxa"/>
            <w:vAlign w:val="bottom"/>
            <w:gridSpan w:val="31"/>
          </w:tcPr>
          <w:p>
            <w:pPr>
              <w:spacing w:after="0" w:line="196" w:lineRule="exact"/>
              <w:rPr>
                <w:sz w:val="20"/>
                <w:szCs w:val="20"/>
                <w:color w:val="auto"/>
              </w:rPr>
            </w:pPr>
            <w:r>
              <w:rPr>
                <w:rFonts w:ascii="Times New Roman" w:cs="Times New Roman" w:eastAsia="Times New Roman" w:hAnsi="Times New Roman"/>
                <w:sz w:val="18"/>
                <w:szCs w:val="18"/>
                <w:color w:val="auto"/>
              </w:rPr>
              <w:t>SECTION 9.19. Permitted Reorganization</w:t>
            </w:r>
          </w:p>
        </w:tc>
        <w:tc>
          <w:tcPr>
            <w:tcW w:w="300" w:type="dxa"/>
            <w:vAlign w:val="bottom"/>
            <w:gridSpan w:val="2"/>
          </w:tcPr>
          <w:p>
            <w:pPr>
              <w:jc w:val="right"/>
              <w:spacing w:after="0" w:line="196" w:lineRule="exact"/>
              <w:rPr>
                <w:sz w:val="20"/>
                <w:szCs w:val="20"/>
                <w:color w:val="auto"/>
              </w:rPr>
            </w:pPr>
            <w:r>
              <w:rPr>
                <w:rFonts w:ascii="Times New Roman" w:cs="Times New Roman" w:eastAsia="Times New Roman" w:hAnsi="Times New Roman"/>
                <w:sz w:val="18"/>
                <w:szCs w:val="18"/>
                <w:color w:val="FF4338"/>
                <w:strike w:val="1"/>
                <w:w w:val="96"/>
              </w:rPr>
              <w:t>102</w:t>
            </w:r>
          </w:p>
        </w:tc>
        <w:tc>
          <w:tcPr>
            <w:tcW w:w="260" w:type="dxa"/>
            <w:vAlign w:val="bottom"/>
            <w:gridSpan w:val="5"/>
          </w:tcPr>
          <w:p>
            <w:pPr>
              <w:jc w:val="right"/>
              <w:ind w:right="20"/>
              <w:spacing w:after="0" w:line="196" w:lineRule="exact"/>
              <w:rPr>
                <w:sz w:val="20"/>
                <w:szCs w:val="20"/>
                <w:color w:val="auto"/>
              </w:rPr>
            </w:pPr>
            <w:r>
              <w:rPr>
                <w:rFonts w:ascii="Times New Roman" w:cs="Times New Roman" w:eastAsia="Times New Roman" w:hAnsi="Times New Roman"/>
                <w:sz w:val="18"/>
                <w:szCs w:val="18"/>
                <w:color w:val="0000FF"/>
                <w:w w:val="81"/>
              </w:rPr>
              <w:t>103</w:t>
            </w:r>
          </w:p>
        </w:tc>
        <w:tc>
          <w:tcPr>
            <w:tcW w:w="0" w:type="dxa"/>
            <w:vAlign w:val="bottom"/>
          </w:tcPr>
          <w:p>
            <w:pPr>
              <w:spacing w:after="0"/>
              <w:rPr>
                <w:sz w:val="1"/>
                <w:szCs w:val="1"/>
                <w:color w:val="auto"/>
              </w:rPr>
            </w:pPr>
          </w:p>
        </w:tc>
      </w:tr>
      <w:tr>
        <w:trPr>
          <w:trHeight w:val="20"/>
        </w:trPr>
        <w:tc>
          <w:tcPr>
            <w:tcW w:w="108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1840" w:type="dxa"/>
            <w:vAlign w:val="bottom"/>
            <w:gridSpan w:val="13"/>
            <w:shd w:val="clear" w:color="auto" w:fill="000000"/>
          </w:tcPr>
          <w:p>
            <w:pPr>
              <w:spacing w:after="0" w:line="20" w:lineRule="exact"/>
              <w:rPr>
                <w:sz w:val="1"/>
                <w:szCs w:val="1"/>
                <w:color w:val="auto"/>
              </w:rPr>
            </w:pPr>
          </w:p>
        </w:tc>
        <w:tc>
          <w:tcPr>
            <w:tcW w:w="1320" w:type="dxa"/>
            <w:vAlign w:val="bottom"/>
            <w:gridSpan w:val="4"/>
          </w:tcPr>
          <w:p>
            <w:pPr>
              <w:spacing w:after="0" w:line="20" w:lineRule="exact"/>
              <w:rPr>
                <w:sz w:val="1"/>
                <w:szCs w:val="1"/>
                <w:color w:val="auto"/>
              </w:rPr>
            </w:pPr>
          </w:p>
        </w:tc>
        <w:tc>
          <w:tcPr>
            <w:tcW w:w="6040" w:type="dxa"/>
            <w:vAlign w:val="bottom"/>
            <w:gridSpan w:val="9"/>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40" w:type="dxa"/>
            <w:vAlign w:val="bottom"/>
            <w:gridSpan w:val="4"/>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
        </w:trPr>
        <w:tc>
          <w:tcPr>
            <w:tcW w:w="10400" w:type="dxa"/>
            <w:vAlign w:val="bottom"/>
            <w:gridSpan w:val="31"/>
            <w:vMerge w:val="restart"/>
          </w:tcPr>
          <w:p>
            <w:pPr>
              <w:spacing w:after="0" w:line="196" w:lineRule="exact"/>
              <w:rPr>
                <w:sz w:val="20"/>
                <w:szCs w:val="20"/>
                <w:color w:val="auto"/>
              </w:rPr>
            </w:pPr>
            <w:r>
              <w:rPr>
                <w:rFonts w:ascii="Times New Roman" w:cs="Times New Roman" w:eastAsia="Times New Roman" w:hAnsi="Times New Roman"/>
                <w:sz w:val="18"/>
                <w:szCs w:val="18"/>
                <w:color w:val="0000FF"/>
              </w:rPr>
              <w:t>SECTION 9.20. Permitted Inphi Acquisition Reorganization</w:t>
            </w:r>
          </w:p>
        </w:tc>
        <w:tc>
          <w:tcPr>
            <w:tcW w:w="280" w:type="dxa"/>
            <w:vAlign w:val="bottom"/>
            <w:vMerge w:val="restart"/>
          </w:tcPr>
          <w:p>
            <w:pPr>
              <w:spacing w:after="0"/>
              <w:rPr>
                <w:sz w:val="2"/>
                <w:szCs w:val="2"/>
                <w:color w:val="auto"/>
              </w:rPr>
            </w:pPr>
          </w:p>
        </w:tc>
        <w:tc>
          <w:tcPr>
            <w:tcW w:w="260" w:type="dxa"/>
            <w:vAlign w:val="bottom"/>
            <w:tcBorders>
              <w:bottom w:val="single" w:sz="8" w:color="0000FF"/>
            </w:tcBorders>
            <w:gridSpan w:val="5"/>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rPr>
                <w:sz w:val="1"/>
                <w:szCs w:val="1"/>
                <w:color w:val="auto"/>
              </w:rPr>
            </w:pPr>
          </w:p>
        </w:tc>
      </w:tr>
      <w:tr>
        <w:trPr>
          <w:trHeight w:val="142"/>
        </w:trPr>
        <w:tc>
          <w:tcPr>
            <w:tcW w:w="10400" w:type="dxa"/>
            <w:vAlign w:val="bottom"/>
            <w:gridSpan w:val="31"/>
            <w:vMerge w:val="continue"/>
          </w:tcPr>
          <w:p>
            <w:pPr>
              <w:spacing w:after="0"/>
              <w:rPr>
                <w:sz w:val="12"/>
                <w:szCs w:val="12"/>
                <w:color w:val="auto"/>
              </w:rPr>
            </w:pPr>
          </w:p>
        </w:tc>
        <w:tc>
          <w:tcPr>
            <w:tcW w:w="280" w:type="dxa"/>
            <w:vAlign w:val="bottom"/>
            <w:vMerge w:val="continue"/>
          </w:tcPr>
          <w:p>
            <w:pPr>
              <w:spacing w:after="0"/>
              <w:rPr>
                <w:sz w:val="12"/>
                <w:szCs w:val="12"/>
                <w:color w:val="auto"/>
              </w:rPr>
            </w:pPr>
          </w:p>
        </w:tc>
        <w:tc>
          <w:tcPr>
            <w:tcW w:w="260" w:type="dxa"/>
            <w:vAlign w:val="bottom"/>
            <w:gridSpan w:val="5"/>
          </w:tcPr>
          <w:p>
            <w:pPr>
              <w:jc w:val="right"/>
              <w:spacing w:after="0" w:line="142" w:lineRule="exact"/>
              <w:rPr>
                <w:sz w:val="20"/>
                <w:szCs w:val="20"/>
                <w:color w:val="auto"/>
              </w:rPr>
            </w:pPr>
            <w:r>
              <w:rPr>
                <w:rFonts w:ascii="Times New Roman" w:cs="Times New Roman" w:eastAsia="Times New Roman" w:hAnsi="Times New Roman"/>
                <w:sz w:val="16"/>
                <w:szCs w:val="16"/>
                <w:color w:val="0000FF"/>
                <w:w w:val="99"/>
              </w:rPr>
              <w:t>105</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108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5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00" w:type="dxa"/>
            <w:vAlign w:val="bottom"/>
            <w:tcBorders>
              <w:top w:val="single" w:sz="8" w:color="0000FF"/>
              <w:bottom w:val="single" w:sz="8" w:color="0000FF"/>
            </w:tcBorders>
          </w:tcPr>
          <w:p>
            <w:pPr>
              <w:spacing w:after="0"/>
              <w:rPr>
                <w:sz w:val="2"/>
                <w:szCs w:val="2"/>
                <w:color w:val="auto"/>
              </w:rPr>
            </w:pPr>
          </w:p>
        </w:tc>
        <w:tc>
          <w:tcPr>
            <w:tcW w:w="20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60" w:type="dxa"/>
            <w:vAlign w:val="bottom"/>
            <w:tcBorders>
              <w:top w:val="single" w:sz="8" w:color="0000FF"/>
              <w:bottom w:val="single" w:sz="8" w:color="0000FF"/>
            </w:tcBorders>
          </w:tcPr>
          <w:p>
            <w:pPr>
              <w:spacing w:after="0"/>
              <w:rPr>
                <w:sz w:val="2"/>
                <w:szCs w:val="2"/>
                <w:color w:val="auto"/>
              </w:rPr>
            </w:pPr>
          </w:p>
        </w:tc>
        <w:tc>
          <w:tcPr>
            <w:tcW w:w="240" w:type="dxa"/>
            <w:vAlign w:val="bottom"/>
            <w:tcBorders>
              <w:top w:val="single" w:sz="8" w:color="0000FF"/>
              <w:bottom w:val="single" w:sz="8" w:color="0000FF"/>
            </w:tcBorders>
          </w:tcPr>
          <w:p>
            <w:pPr>
              <w:spacing w:after="0"/>
              <w:rPr>
                <w:sz w:val="2"/>
                <w:szCs w:val="2"/>
                <w:color w:val="auto"/>
              </w:rPr>
            </w:pPr>
          </w:p>
        </w:tc>
        <w:tc>
          <w:tcPr>
            <w:tcW w:w="22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00" w:type="dxa"/>
            <w:vAlign w:val="bottom"/>
            <w:tcBorders>
              <w:top w:val="single" w:sz="8" w:color="0000FF"/>
              <w:bottom w:val="single" w:sz="8" w:color="0000FF"/>
            </w:tcBorders>
          </w:tcPr>
          <w:p>
            <w:pPr>
              <w:spacing w:after="0"/>
              <w:rPr>
                <w:sz w:val="2"/>
                <w:szCs w:val="2"/>
                <w:color w:val="auto"/>
              </w:rPr>
            </w:pPr>
          </w:p>
        </w:tc>
        <w:tc>
          <w:tcPr>
            <w:tcW w:w="80" w:type="dxa"/>
            <w:vAlign w:val="bottom"/>
            <w:tcBorders>
              <w:top w:val="single" w:sz="8" w:color="0000FF"/>
              <w:bottom w:val="single" w:sz="8" w:color="0000FF"/>
            </w:tcBorders>
          </w:tcPr>
          <w:p>
            <w:pPr>
              <w:spacing w:after="0"/>
              <w:rPr>
                <w:sz w:val="2"/>
                <w:szCs w:val="2"/>
                <w:color w:val="auto"/>
              </w:rPr>
            </w:pPr>
          </w:p>
        </w:tc>
        <w:tc>
          <w:tcPr>
            <w:tcW w:w="120" w:type="dxa"/>
            <w:vAlign w:val="bottom"/>
            <w:tcBorders>
              <w:top w:val="single" w:sz="8" w:color="0000FF"/>
              <w:bottom w:val="single" w:sz="8" w:color="0000FF"/>
            </w:tcBorders>
          </w:tcPr>
          <w:p>
            <w:pPr>
              <w:spacing w:after="0"/>
              <w:rPr>
                <w:sz w:val="2"/>
                <w:szCs w:val="2"/>
                <w:color w:val="auto"/>
              </w:rPr>
            </w:pPr>
          </w:p>
        </w:tc>
        <w:tc>
          <w:tcPr>
            <w:tcW w:w="740" w:type="dxa"/>
            <w:vAlign w:val="bottom"/>
            <w:tcBorders>
              <w:top w:val="single" w:sz="8" w:color="0000FF"/>
              <w:bottom w:val="single" w:sz="8" w:color="0000FF"/>
            </w:tcBorders>
          </w:tcPr>
          <w:p>
            <w:pPr>
              <w:spacing w:after="0"/>
              <w:rPr>
                <w:sz w:val="2"/>
                <w:szCs w:val="2"/>
                <w:color w:val="auto"/>
              </w:rPr>
            </w:pPr>
          </w:p>
        </w:tc>
        <w:tc>
          <w:tcPr>
            <w:tcW w:w="380" w:type="dxa"/>
            <w:vAlign w:val="bottom"/>
            <w:tcBorders>
              <w:top w:val="single" w:sz="8" w:color="0000FF"/>
              <w:bottom w:val="single" w:sz="8" w:color="0000FF"/>
            </w:tcBorders>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0" w:type="dxa"/>
            <w:vAlign w:val="bottom"/>
          </w:tcPr>
          <w:p>
            <w:pPr>
              <w:spacing w:after="0"/>
              <w:rPr>
                <w:sz w:val="2"/>
                <w:szCs w:val="2"/>
                <w:color w:val="auto"/>
              </w:rPr>
            </w:pPr>
          </w:p>
        </w:tc>
        <w:tc>
          <w:tcPr>
            <w:tcW w:w="280" w:type="dxa"/>
            <w:vAlign w:val="bottom"/>
          </w:tcPr>
          <w:p>
            <w:pPr>
              <w:spacing w:after="0"/>
              <w:rPr>
                <w:sz w:val="2"/>
                <w:szCs w:val="2"/>
                <w:color w:val="auto"/>
              </w:rPr>
            </w:pPr>
          </w:p>
        </w:tc>
        <w:tc>
          <w:tcPr>
            <w:tcW w:w="20" w:type="dxa"/>
            <w:vAlign w:val="bottom"/>
            <w:tcBorders>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40" w:type="dxa"/>
            <w:vAlign w:val="bottom"/>
            <w:tcBorders>
              <w:top w:val="single" w:sz="8" w:color="0000FF"/>
              <w:bottom w:val="single" w:sz="8" w:color="0000FF"/>
            </w:tcBorders>
          </w:tcPr>
          <w:p>
            <w:pPr>
              <w:spacing w:after="0"/>
              <w:rPr>
                <w:sz w:val="2"/>
                <w:szCs w:val="2"/>
                <w:color w:val="auto"/>
              </w:rPr>
            </w:pPr>
          </w:p>
        </w:tc>
        <w:tc>
          <w:tcPr>
            <w:tcW w:w="20" w:type="dxa"/>
            <w:vAlign w:val="bottom"/>
            <w:tcBorders>
              <w:top w:val="single" w:sz="8" w:color="0000FF"/>
              <w:bottom w:val="single" w:sz="8" w:color="0000FF"/>
            </w:tcBorders>
          </w:tcPr>
          <w:p>
            <w:pPr>
              <w:spacing w:after="0"/>
              <w:rPr>
                <w:sz w:val="2"/>
                <w:szCs w:val="2"/>
                <w:color w:val="auto"/>
              </w:rPr>
            </w:pPr>
          </w:p>
        </w:tc>
        <w:tc>
          <w:tcPr>
            <w:tcW w:w="160" w:type="dxa"/>
            <w:vAlign w:val="bottom"/>
            <w:tcBorders>
              <w:top w:val="single" w:sz="8" w:color="0000FF"/>
              <w:bottom w:val="single" w:sz="8" w:color="0000FF"/>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940"/>
          </w:cols>
          <w:pgMar w:left="440" w:top="257" w:right="51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2" w:name="page303"/>
    <w:bookmarkEnd w:id="302"/>
    <w:tbl>
      <w:tblPr>
        <w:tblLayout w:type="fixed"/>
        <w:tblInd w:w="0" w:type="dxa"/>
        <w:tblCellMar>
          <w:top w:w="0" w:type="dxa"/>
          <w:left w:w="0" w:type="dxa"/>
          <w:bottom w:w="0" w:type="dxa"/>
          <w:right w:w="0" w:type="dxa"/>
        </w:tblCellMar>
      </w:tblPr>
      <w:tr>
        <w:trPr>
          <w:trHeight w:val="207"/>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SCHEDULES:</w:t>
            </w:r>
          </w:p>
        </w:tc>
        <w:tc>
          <w:tcPr>
            <w:tcW w:w="480" w:type="dxa"/>
            <w:vAlign w:val="bottom"/>
          </w:tcPr>
          <w:p>
            <w:pPr>
              <w:spacing w:after="0"/>
              <w:rPr>
                <w:sz w:val="17"/>
                <w:szCs w:val="17"/>
                <w:color w:val="auto"/>
              </w:rPr>
            </w:pPr>
          </w:p>
        </w:tc>
        <w:tc>
          <w:tcPr>
            <w:tcW w:w="2760" w:type="dxa"/>
            <w:vAlign w:val="bottom"/>
          </w:tcPr>
          <w:p>
            <w:pPr>
              <w:spacing w:after="0"/>
              <w:rPr>
                <w:sz w:val="17"/>
                <w:szCs w:val="17"/>
                <w:color w:val="auto"/>
              </w:rPr>
            </w:pPr>
          </w:p>
        </w:tc>
      </w:tr>
      <w:tr>
        <w:trPr>
          <w:trHeight w:val="461"/>
        </w:trPr>
        <w:tc>
          <w:tcPr>
            <w:tcW w:w="1080" w:type="dxa"/>
            <w:vAlign w:val="bottom"/>
            <w:tcBorders>
              <w:top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rPr>
              <w:t>Schedule 2.01</w:t>
            </w:r>
          </w:p>
        </w:tc>
        <w:tc>
          <w:tcPr>
            <w:tcW w:w="260" w:type="dxa"/>
            <w:vAlign w:val="bottom"/>
          </w:tcPr>
          <w:p>
            <w:pPr>
              <w:spacing w:after="0"/>
              <w:rPr>
                <w:sz w:val="24"/>
                <w:szCs w:val="24"/>
                <w:color w:val="auto"/>
              </w:rPr>
            </w:pP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Commitments</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3.06</w:t>
            </w: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Litigation</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6.01</w:t>
            </w: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Existing Indebtedness</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6.02</w:t>
            </w: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Existing Liens</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6.03</w:t>
            </w: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Certain Sale/Leaseback Transactions</w:t>
            </w:r>
          </w:p>
        </w:tc>
      </w:tr>
      <w:tr>
        <w:trPr>
          <w:trHeight w:val="234"/>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Schedule 6.05</w:t>
            </w:r>
          </w:p>
        </w:tc>
        <w:tc>
          <w:tcPr>
            <w:tcW w:w="4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2760" w:type="dxa"/>
            <w:vAlign w:val="bottom"/>
          </w:tcPr>
          <w:p>
            <w:pPr>
              <w:ind w:left="60"/>
              <w:spacing w:after="0"/>
              <w:rPr>
                <w:sz w:val="20"/>
                <w:szCs w:val="20"/>
                <w:color w:val="auto"/>
              </w:rPr>
            </w:pPr>
            <w:r>
              <w:rPr>
                <w:rFonts w:ascii="Times New Roman" w:cs="Times New Roman" w:eastAsia="Times New Roman" w:hAnsi="Times New Roman"/>
                <w:sz w:val="18"/>
                <w:szCs w:val="18"/>
                <w:color w:val="auto"/>
              </w:rPr>
              <w:t>Existing Restrictions</w:t>
            </w:r>
          </w:p>
        </w:tc>
      </w:tr>
      <w:tr>
        <w:trPr>
          <w:trHeight w:val="392"/>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EXHIBITS:</w:t>
            </w:r>
          </w:p>
        </w:tc>
        <w:tc>
          <w:tcPr>
            <w:tcW w:w="480" w:type="dxa"/>
            <w:vAlign w:val="bottom"/>
          </w:tcPr>
          <w:p>
            <w:pPr>
              <w:spacing w:after="0"/>
              <w:rPr>
                <w:sz w:val="24"/>
                <w:szCs w:val="24"/>
                <w:color w:val="auto"/>
              </w:rPr>
            </w:pPr>
          </w:p>
        </w:tc>
        <w:tc>
          <w:tcPr>
            <w:tcW w:w="2760" w:type="dxa"/>
            <w:vAlign w:val="bottom"/>
          </w:tcPr>
          <w:p>
            <w:pPr>
              <w:spacing w:after="0"/>
              <w:rPr>
                <w:sz w:val="24"/>
                <w:szCs w:val="24"/>
                <w:color w:val="auto"/>
              </w:rPr>
            </w:pPr>
          </w:p>
        </w:tc>
      </w:tr>
      <w:tr>
        <w:trPr>
          <w:trHeight w:val="461"/>
        </w:trPr>
        <w:tc>
          <w:tcPr>
            <w:tcW w:w="86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8"/>
                <w:szCs w:val="18"/>
                <w:color w:val="auto"/>
              </w:rPr>
              <w:t>Exhibit A</w:t>
            </w:r>
          </w:p>
        </w:tc>
        <w:tc>
          <w:tcPr>
            <w:tcW w:w="480" w:type="dxa"/>
            <w:vAlign w:val="bottom"/>
            <w:gridSpan w:val="2"/>
          </w:tcPr>
          <w:p>
            <w:pPr>
              <w:spacing w:after="0"/>
              <w:rPr>
                <w:sz w:val="24"/>
                <w:szCs w:val="24"/>
                <w:color w:val="auto"/>
              </w:rPr>
            </w:pPr>
          </w:p>
        </w:tc>
        <w:tc>
          <w:tcPr>
            <w:tcW w:w="324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 Form of Assignment and Assumption</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B</w:t>
            </w:r>
          </w:p>
        </w:tc>
        <w:tc>
          <w:tcPr>
            <w:tcW w:w="324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 Form of Borrowing Request</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C</w:t>
            </w:r>
          </w:p>
        </w:tc>
        <w:tc>
          <w:tcPr>
            <w:tcW w:w="324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 Form of Compliance Certificate</w:t>
            </w:r>
          </w:p>
        </w:tc>
      </w:tr>
      <w:tr>
        <w:trPr>
          <w:trHeight w:val="216"/>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D</w:t>
            </w:r>
          </w:p>
        </w:tc>
        <w:tc>
          <w:tcPr>
            <w:tcW w:w="324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 Form of Interest Election Request</w:t>
            </w:r>
          </w:p>
        </w:tc>
      </w:tr>
      <w:tr>
        <w:trPr>
          <w:trHeight w:val="234"/>
        </w:trPr>
        <w:tc>
          <w:tcPr>
            <w:tcW w:w="134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Exhibit E</w:t>
            </w:r>
          </w:p>
        </w:tc>
        <w:tc>
          <w:tcPr>
            <w:tcW w:w="324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 Form of Solvency Certificate</w:t>
            </w:r>
          </w:p>
        </w:tc>
      </w:tr>
    </w:tbl>
    <w:p>
      <w:pPr>
        <w:ind w:left="240"/>
        <w:spacing w:after="0"/>
        <w:rPr>
          <w:sz w:val="20"/>
          <w:szCs w:val="20"/>
          <w:color w:val="auto"/>
        </w:rPr>
        <w:sectPr>
          <w:pgSz w:w="11900" w:h="16838" w:orient="portrait"/>
          <w:cols w:equalWidth="0" w:num="1">
            <w:col w:w="10019"/>
          </w:cols>
          <w:pgMar w:left="440" w:top="257" w:right="1440"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303" w:name="page304"/>
    <w:bookmarkEnd w:id="30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The parties hereto agree as follows:</w:t>
      </w:r>
    </w:p>
    <w:p>
      <w:pPr>
        <w:spacing w:after="0" w:line="20" w:lineRule="exact"/>
        <w:rPr>
          <w:sz w:val="20"/>
          <w:szCs w:val="20"/>
          <w:color w:val="auto"/>
        </w:rPr>
      </w:pPr>
      <w:r>
        <w:rPr>
          <w:sz w:val="20"/>
          <w:szCs w:val="20"/>
          <w:color w:val="auto"/>
        </w:rPr>
        <w:br w:type="column"/>
      </w:r>
    </w:p>
    <w:p>
      <w:pPr>
        <w:ind w:right="40" w:firstLine="360"/>
        <w:spacing w:after="0" w:line="261" w:lineRule="auto"/>
        <w:rPr>
          <w:sz w:val="20"/>
          <w:szCs w:val="20"/>
          <w:color w:val="auto"/>
        </w:rPr>
      </w:pPr>
      <w:r>
        <w:rPr>
          <w:rFonts w:ascii="Times New Roman" w:cs="Times New Roman" w:eastAsia="Times New Roman" w:hAnsi="Times New Roman"/>
          <w:sz w:val="18"/>
          <w:szCs w:val="18"/>
          <w:color w:val="auto"/>
        </w:rPr>
        <w:t>CREDIT AGREEMENT dated as of June 13, 2018, among MARVELL TECHNOLOGY GROUP LTD., a Bermuda exempted company, the LENDERS party hereto, GOLDMAN SACHS BANK USA, as the General Administrative Agent and the Term Facility Agent, and BANK OF AMERICA, N.A., as the Revolving Facility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-2737485</wp:posOffset>
            </wp:positionH>
            <wp:positionV relativeFrom="paragraph">
              <wp:posOffset>-653415</wp:posOffset>
            </wp:positionV>
            <wp:extent cx="7149465" cy="254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376"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18"/>
          <w:szCs w:val="18"/>
          <w:color w:val="auto"/>
        </w:rPr>
        <w:t>ARTICLE I</w:t>
      </w:r>
    </w:p>
    <w:p>
      <w:pPr>
        <w:spacing w:after="0" w:line="225" w:lineRule="exact"/>
        <w:rPr>
          <w:sz w:val="20"/>
          <w:szCs w:val="20"/>
          <w:color w:val="auto"/>
        </w:rPr>
      </w:pPr>
    </w:p>
    <w:p>
      <w:pPr>
        <w:ind w:left="900"/>
        <w:spacing w:after="0"/>
        <w:rPr>
          <w:sz w:val="20"/>
          <w:szCs w:val="20"/>
          <w:color w:val="auto"/>
        </w:rPr>
      </w:pPr>
      <w:r>
        <w:rPr>
          <w:rFonts w:ascii="Times New Roman" w:cs="Times New Roman" w:eastAsia="Times New Roman" w:hAnsi="Times New Roman"/>
          <w:sz w:val="18"/>
          <w:szCs w:val="18"/>
          <w:u w:val="single" w:color="auto"/>
          <w:color w:val="auto"/>
        </w:rPr>
        <w:t>Definitions</w:t>
      </w:r>
    </w:p>
    <w:p>
      <w:pPr>
        <w:spacing w:after="0" w:line="200" w:lineRule="exact"/>
        <w:rPr>
          <w:sz w:val="20"/>
          <w:szCs w:val="20"/>
          <w:color w:val="auto"/>
        </w:rPr>
      </w:pPr>
    </w:p>
    <w:p>
      <w:pPr>
        <w:sectPr>
          <w:pgSz w:w="11900" w:h="16838" w:orient="portrait"/>
          <w:cols w:equalWidth="0" w:num="2">
            <w:col w:w="3560" w:space="640"/>
            <w:col w:w="6820"/>
          </w:cols>
          <w:pgMar w:left="440" w:top="270" w:right="439" w:bottom="1440" w:gutter="0" w:footer="0" w:header="0"/>
        </w:sectPr>
      </w:pPr>
    </w:p>
    <w:p>
      <w:pPr>
        <w:spacing w:after="0" w:line="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u w:val="single" w:color="auto"/>
          <w:color w:val="auto"/>
        </w:rPr>
        <w:t>Defined Terms</w:t>
      </w:r>
      <w:r>
        <w:rPr>
          <w:rFonts w:ascii="Times New Roman" w:cs="Times New Roman" w:eastAsia="Times New Roman" w:hAnsi="Times New Roman"/>
          <w:sz w:val="18"/>
          <w:szCs w:val="18"/>
          <w:color w:val="auto"/>
        </w:rPr>
        <w:t>. As used in this Agreement, the following terms have the meanings specified below:</w:t>
      </w:r>
    </w:p>
    <w:p>
      <w:pPr>
        <w:spacing w:after="0" w:line="225"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ABR</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Alternate Base Rate.</w:t>
      </w:r>
    </w:p>
    <w:p>
      <w:pPr>
        <w:spacing w:after="0" w:line="162"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w:t>
      </w:r>
      <w:r>
        <w:rPr>
          <w:rFonts w:ascii="Times New Roman" w:cs="Times New Roman" w:eastAsia="Times New Roman" w:hAnsi="Times New Roman"/>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7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Acquisition Indebtedness</w:t>
      </w:r>
      <w:r>
        <w:rPr>
          <w:rFonts w:ascii="Times New Roman" w:cs="Times New Roman" w:eastAsia="Times New Roman" w:hAnsi="Times New Roman"/>
          <w:sz w:val="18"/>
          <w:szCs w:val="18"/>
          <w:color w:val="auto"/>
        </w:rPr>
        <w:t xml:space="preserve">” means any Indebtedness of the Company or any Subsidiary that has been incurred for the purpose of financing, in whole or in part, an Acquisition (including the Cavium Acquisition </w:t>
      </w:r>
      <w:r>
        <w:rPr>
          <w:rFonts w:ascii="Times New Roman" w:cs="Times New Roman" w:eastAsia="Times New Roman" w:hAnsi="Times New Roman"/>
          <w:sz w:val="18"/>
          <w:szCs w:val="18"/>
          <w:color w:val="0000FF"/>
        </w:rPr>
        <w:t>and the Inphi Acquisition</w:t>
      </w:r>
      <w:r>
        <w:rPr>
          <w:rFonts w:ascii="Times New Roman" w:cs="Times New Roman" w:eastAsia="Times New Roman" w:hAnsi="Times New Roman"/>
          <w:sz w:val="18"/>
          <w:szCs w:val="18"/>
          <w:color w:val="auto"/>
        </w:rPr>
        <w:t xml:space="preserve">) and any related transactions (including for the purpose of refinancing or replacing all or a portion of any related bridge facilities or any pre-existing Indebtedness of the Persons or assets to be acquired);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t>
      </w:r>
      <w:r>
        <w:rPr>
          <w:rFonts w:ascii="Times New Roman" w:cs="Times New Roman" w:eastAsia="Times New Roman" w:hAnsi="Times New Roman"/>
          <w:sz w:val="18"/>
          <w:szCs w:val="18"/>
          <w:color w:val="FF4338"/>
          <w:strike w:val="1"/>
        </w:rPr>
        <w:t>either (a</w:t>
      </w:r>
      <w:r>
        <w:rPr>
          <w:rFonts w:ascii="Times New Roman" w:cs="Times New Roman" w:eastAsia="Times New Roman" w:hAnsi="Times New Roman"/>
          <w:sz w:val="18"/>
          <w:szCs w:val="18"/>
          <w:u w:val="single" w:color="auto"/>
          <w:color w:val="0000FF"/>
        </w:rPr>
        <w:t>(a) with respect to the Inphi Acquisition Indebtedness only, the proceeds of such Indebtedness shall be held in a segregated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account of the Company (or Maui Topco) and other funds of the Company and its subsidiaries shall not be comingled in any material respect with the funds so held in such account and (b) either (x</w:t>
      </w:r>
      <w:r>
        <w:rPr>
          <w:rFonts w:ascii="Times New Roman" w:cs="Times New Roman" w:eastAsia="Times New Roman" w:hAnsi="Times New Roman"/>
          <w:sz w:val="18"/>
          <w:szCs w:val="18"/>
          <w:color w:val="000000"/>
        </w:rPr>
        <w:t>) the release of the proceeds thereof to the Company and the Subsidiaries is contingent upon the</w:t>
      </w:r>
      <w:r>
        <w:rPr>
          <w:rFonts w:ascii="Times New Roman" w:cs="Times New Roman" w:eastAsia="Times New Roman" w:hAnsi="Times New Roman"/>
          <w:sz w:val="18"/>
          <w:szCs w:val="18"/>
          <w:color w:val="0000FF"/>
        </w:rPr>
        <w:t xml:space="preserve"> </w:t>
      </w:r>
      <w:r>
        <w:rPr>
          <w:rFonts w:ascii="Times New Roman" w:cs="Times New Roman" w:eastAsia="Times New Roman" w:hAnsi="Times New Roman"/>
          <w:sz w:val="18"/>
          <w:szCs w:val="18"/>
          <w:color w:val="000000"/>
        </w:rPr>
        <w:t>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w:t>
      </w:r>
      <w:r>
        <w:rPr>
          <w:rFonts w:ascii="Times New Roman" w:cs="Times New Roman" w:eastAsia="Times New Roman" w:hAnsi="Times New Roman"/>
          <w:sz w:val="18"/>
          <w:szCs w:val="18"/>
          <w:color w:val="FF4338"/>
          <w:strike w:val="1"/>
        </w:rPr>
        <w:t>b</w:t>
      </w:r>
      <w:r>
        <w:rPr>
          <w:rFonts w:ascii="Times New Roman" w:cs="Times New Roman" w:eastAsia="Times New Roman" w:hAnsi="Times New Roman"/>
          <w:sz w:val="18"/>
          <w:szCs w:val="18"/>
          <w:u w:val="single" w:color="auto"/>
          <w:color w:val="0000FF"/>
        </w:rPr>
        <w:t>y</w:t>
      </w:r>
      <w:r>
        <w:rPr>
          <w:rFonts w:ascii="Times New Roman" w:cs="Times New Roman" w:eastAsia="Times New Roman" w:hAnsi="Times New Roman"/>
          <w:sz w:val="18"/>
          <w:szCs w:val="18"/>
          <w:color w:val="000000"/>
        </w:rPr>
        <w:t>) such Indebtedness contains a “special mandatory redemption” provision (or a similar provision) if such Acquisition is not consummated by the date specified in the definitive documentation evidencing, governing the rights of the holders of or otherwise relating to such indebtedness (and, if the definitive agreement for such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3177540</wp:posOffset>
            </wp:positionH>
            <wp:positionV relativeFrom="paragraph">
              <wp:posOffset>-1506220</wp:posOffset>
            </wp:positionV>
            <wp:extent cx="1191260" cy="825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1191260" cy="8255"/>
                    </a:xfrm>
                    <a:prstGeom prst="rect">
                      <a:avLst/>
                    </a:prstGeom>
                    <a:noFill/>
                  </pic:spPr>
                </pic:pic>
              </a:graphicData>
            </a:graphic>
          </wp:anchor>
        </w:drawing>
        <w:drawing>
          <wp:anchor simplePos="0" relativeHeight="251657728" behindDoc="1" locked="0" layoutInCell="0" allowOverlap="1">
            <wp:simplePos x="0" y="0"/>
            <wp:positionH relativeFrom="column">
              <wp:posOffset>3180080</wp:posOffset>
            </wp:positionH>
            <wp:positionV relativeFrom="paragraph">
              <wp:posOffset>-1540510</wp:posOffset>
            </wp:positionV>
            <wp:extent cx="1193165" cy="889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extLst>
                    </a:blip>
                    <a:srcRect/>
                    <a:stretch>
                      <a:fillRect/>
                    </a:stretch>
                  </pic:blipFill>
                  <pic:spPr bwMode="auto">
                    <a:xfrm>
                      <a:off x="0" y="0"/>
                      <a:ext cx="1193165" cy="8890"/>
                    </a:xfrm>
                    <a:prstGeom prst="rect">
                      <a:avLst/>
                    </a:prstGeom>
                    <a:noFill/>
                  </pic:spPr>
                </pic:pic>
              </a:graphicData>
            </a:graphic>
          </wp:anchor>
        </w:drawing>
        <w:drawing>
          <wp:anchor simplePos="0" relativeHeight="251657728" behindDoc="1" locked="0" layoutInCell="0" allowOverlap="1">
            <wp:simplePos x="0" y="0"/>
            <wp:positionH relativeFrom="column">
              <wp:posOffset>1009015</wp:posOffset>
            </wp:positionH>
            <wp:positionV relativeFrom="paragraph">
              <wp:posOffset>-1231900</wp:posOffset>
            </wp:positionV>
            <wp:extent cx="5614670" cy="8255"/>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extLst>
                    </a:blip>
                    <a:srcRect/>
                    <a:stretch>
                      <a:fillRect/>
                    </a:stretch>
                  </pic:blipFill>
                  <pic:spPr bwMode="auto">
                    <a:xfrm>
                      <a:off x="0" y="0"/>
                      <a:ext cx="56146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-1094740</wp:posOffset>
            </wp:positionV>
            <wp:extent cx="6831965" cy="8255"/>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extLst>
                    </a:blip>
                    <a:srcRect/>
                    <a:stretch>
                      <a:fillRect/>
                    </a:stretch>
                  </pic:blipFill>
                  <pic:spPr bwMode="auto">
                    <a:xfrm>
                      <a:off x="0" y="0"/>
                      <a:ext cx="683196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-957580</wp:posOffset>
            </wp:positionV>
            <wp:extent cx="2117090" cy="8255"/>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extLst>
                    </a:blip>
                    <a:srcRect/>
                    <a:stretch>
                      <a:fillRect/>
                    </a:stretch>
                  </pic:blipFill>
                  <pic:spPr bwMode="auto">
                    <a:xfrm>
                      <a:off x="0" y="0"/>
                      <a:ext cx="2117090" cy="8255"/>
                    </a:xfrm>
                    <a:prstGeom prst="rect">
                      <a:avLst/>
                    </a:prstGeom>
                    <a:noFill/>
                  </pic:spPr>
                </pic:pic>
              </a:graphicData>
            </a:graphic>
          </wp:anchor>
        </w:drawing>
        <w:drawing>
          <wp:anchor simplePos="0" relativeHeight="251657728" behindDoc="1" locked="0" layoutInCell="0" allowOverlap="1">
            <wp:simplePos x="0" y="0"/>
            <wp:positionH relativeFrom="column">
              <wp:posOffset>1711960</wp:posOffset>
            </wp:positionH>
            <wp:positionV relativeFrom="paragraph">
              <wp:posOffset>-271780</wp:posOffset>
            </wp:positionV>
            <wp:extent cx="59690" cy="8255"/>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extLst>
                    </a:blip>
                    <a:srcRect/>
                    <a:stretch>
                      <a:fillRect/>
                    </a:stretch>
                  </pic:blipFill>
                  <pic:spPr bwMode="auto">
                    <a:xfrm>
                      <a:off x="0" y="0"/>
                      <a:ext cx="59690" cy="8255"/>
                    </a:xfrm>
                    <a:prstGeom prst="rect">
                      <a:avLst/>
                    </a:prstGeom>
                    <a:noFill/>
                  </pic:spPr>
                </pic:pic>
              </a:graphicData>
            </a:graphic>
          </wp:anchor>
        </w:drawing>
      </w:r>
    </w:p>
    <w:p>
      <w:pPr>
        <w:sectPr>
          <w:pgSz w:w="11900" w:h="16838" w:orient="portrait"/>
          <w:cols w:equalWidth="0" w:num="1">
            <w:col w:w="11020"/>
          </w:cols>
          <w:pgMar w:left="440" w:top="270" w:right="439" w:bottom="1440" w:gutter="0" w:footer="0" w:header="0"/>
          <w:type w:val="continuous"/>
        </w:sectPr>
      </w:pPr>
    </w:p>
    <w:bookmarkStart w:id="304" w:name="page305"/>
    <w:bookmarkEnd w:id="304"/>
    <w:p>
      <w:pPr>
        <w:ind w:right="10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within 90 days of such termination or such specified date, as the case may be).</w:t>
      </w:r>
    </w:p>
    <w:p>
      <w:pPr>
        <w:spacing w:after="0" w:line="176" w:lineRule="exact"/>
        <w:rPr>
          <w:sz w:val="20"/>
          <w:szCs w:val="20"/>
          <w:color w:val="auto"/>
        </w:rPr>
      </w:pPr>
    </w:p>
    <w:p>
      <w:pPr>
        <w:ind w:right="240" w:firstLine="991"/>
        <w:spacing w:after="0" w:line="312"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Adjusted LIBO Rate</w:t>
      </w:r>
      <w:r>
        <w:rPr>
          <w:rFonts w:ascii="Times New Roman" w:cs="Times New Roman" w:eastAsia="Times New Roman" w:hAnsi="Times New Roman"/>
          <w:sz w:val="17"/>
          <w:szCs w:val="17"/>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4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Administrative Questionnaire</w:t>
      </w:r>
      <w:r>
        <w:rPr>
          <w:rFonts w:ascii="Times New Roman" w:cs="Times New Roman" w:eastAsia="Times New Roman" w:hAnsi="Times New Roman"/>
          <w:sz w:val="18"/>
          <w:szCs w:val="18"/>
          <w:color w:val="auto"/>
        </w:rPr>
        <w:t>” means an Administrative Questionnaire in a form supplied by the Applicable Facility Agent.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u w:val="single" w:color="auto"/>
          <w:color w:val="0000FF"/>
        </w:rPr>
        <w:t>“Affected Financial Institution” means (a) any EEA Financial Institution or (b) any UK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26035</wp:posOffset>
            </wp:positionV>
            <wp:extent cx="4980305" cy="889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extLst>
                    </a:blip>
                    <a:srcRect/>
                    <a:stretch>
                      <a:fillRect/>
                    </a:stretch>
                  </pic:blipFill>
                  <pic:spPr bwMode="auto">
                    <a:xfrm>
                      <a:off x="0" y="0"/>
                      <a:ext cx="4980305" cy="8890"/>
                    </a:xfrm>
                    <a:prstGeom prst="rect">
                      <a:avLst/>
                    </a:prstGeom>
                    <a:noFill/>
                  </pic:spPr>
                </pic:pic>
              </a:graphicData>
            </a:graphic>
          </wp:anchor>
        </w:drawing>
      </w:r>
    </w:p>
    <w:p>
      <w:pPr>
        <w:spacing w:after="0" w:line="205" w:lineRule="exact"/>
        <w:rPr>
          <w:sz w:val="20"/>
          <w:szCs w:val="20"/>
          <w:color w:val="auto"/>
        </w:rPr>
      </w:pPr>
    </w:p>
    <w:p>
      <w:pPr>
        <w:ind w:right="5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Affiliate</w:t>
      </w:r>
      <w:r>
        <w:rPr>
          <w:rFonts w:ascii="Times New Roman" w:cs="Times New Roman" w:eastAsia="Times New Roman" w:hAnsi="Times New Roman"/>
          <w:sz w:val="18"/>
          <w:szCs w:val="18"/>
          <w:color w:val="auto"/>
        </w:rPr>
        <w:t>” means, with respect to a specified Person, another Person that directly or indirectly Controls, is Controlled by or is under common Control with the Person specified.</w:t>
      </w:r>
    </w:p>
    <w:p>
      <w:pPr>
        <w:spacing w:after="0" w:line="162" w:lineRule="exact"/>
        <w:rPr>
          <w:sz w:val="20"/>
          <w:szCs w:val="20"/>
          <w:color w:val="auto"/>
        </w:rPr>
      </w:pPr>
    </w:p>
    <w:p>
      <w:pPr>
        <w:ind w:right="3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Agents</w:t>
      </w:r>
      <w:r>
        <w:rPr>
          <w:rFonts w:ascii="Times New Roman" w:cs="Times New Roman" w:eastAsia="Times New Roman" w:hAnsi="Times New Roman"/>
          <w:sz w:val="18"/>
          <w:szCs w:val="18"/>
          <w:color w:val="auto"/>
        </w:rPr>
        <w:t>” means the General Administrative Agent, the Term Facility Agent, the Revolving Facility Agent and, if the Bridge Facility is established hereunder, the Bridge Facility Agent.</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Aggregate Revolving Commitment</w:t>
      </w:r>
      <w:r>
        <w:rPr>
          <w:rFonts w:ascii="Times New Roman" w:cs="Times New Roman" w:eastAsia="Times New Roman" w:hAnsi="Times New Roman"/>
          <w:sz w:val="18"/>
          <w:szCs w:val="18"/>
          <w:color w:val="auto"/>
        </w:rPr>
        <w:t>” means the sum of the Revolving Commitments of all the Revolving Lenders.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Aggregate Revolving Exposure</w:t>
      </w:r>
      <w:r>
        <w:rPr>
          <w:rFonts w:ascii="Times New Roman" w:cs="Times New Roman" w:eastAsia="Times New Roman" w:hAnsi="Times New Roman"/>
          <w:sz w:val="18"/>
          <w:szCs w:val="18"/>
          <w:color w:val="auto"/>
        </w:rPr>
        <w:t>” means the sum of the Revolving Exposures of all the Revolving Lenders.</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Agreement</w:t>
      </w:r>
      <w:r>
        <w:rPr>
          <w:rFonts w:ascii="Times New Roman" w:cs="Times New Roman" w:eastAsia="Times New Roman" w:hAnsi="Times New Roman"/>
          <w:sz w:val="18"/>
          <w:szCs w:val="18"/>
          <w:color w:val="auto"/>
        </w:rPr>
        <w:t>” means this Credit Agreement.</w:t>
      </w:r>
    </w:p>
    <w:p>
      <w:pPr>
        <w:spacing w:after="0" w:line="225" w:lineRule="exact"/>
        <w:rPr>
          <w:sz w:val="20"/>
          <w:szCs w:val="20"/>
          <w:color w:val="auto"/>
        </w:rPr>
      </w:pPr>
    </w:p>
    <w:p>
      <w:pPr>
        <w:ind w:firstLine="991"/>
        <w:spacing w:after="0" w:line="23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Alternate Base Rate</w:t>
      </w:r>
      <w:r>
        <w:rPr>
          <w:rFonts w:ascii="Times New Roman" w:cs="Times New Roman" w:eastAsia="Times New Roman" w:hAnsi="Times New Roman"/>
          <w:sz w:val="18"/>
          <w:szCs w:val="18"/>
          <w:color w:val="auto"/>
        </w:rPr>
        <w:t xml:space="preserve">” means, for any day, a rate per annum equal to the greatest of (a) the Prime Rate in effect on such day, (b) the Federal Funds Effective Rate in effect on such day plus </w:t>
      </w:r>
      <w:r>
        <w:rPr>
          <w:rFonts w:ascii="Times New Roman" w:cs="Times New Roman" w:eastAsia="Times New Roman" w:hAnsi="Times New Roman"/>
          <w:sz w:val="29"/>
          <w:szCs w:val="29"/>
          <w:color w:val="auto"/>
          <w:vertAlign w:val="superscript"/>
        </w:rPr>
        <w:t>1</w:t>
      </w:r>
      <w:r>
        <w:rPr>
          <w:rFonts w:ascii="Times New Roman" w:cs="Times New Roman" w:eastAsia="Times New Roman" w:hAnsi="Times New Roman"/>
          <w:sz w:val="18"/>
          <w:szCs w:val="18"/>
          <w:color w:val="auto"/>
        </w:rPr>
        <w:t>⁄</w:t>
      </w:r>
      <w:r>
        <w:rPr>
          <w:rFonts w:ascii="Times New Roman" w:cs="Times New Roman" w:eastAsia="Times New Roman" w:hAnsi="Times New Roman"/>
          <w:sz w:val="29"/>
          <w:szCs w:val="29"/>
          <w:color w:val="auto"/>
          <w:vertAlign w:val="subscript"/>
        </w:rPr>
        <w:t>2</w:t>
      </w:r>
      <w:r>
        <w:rPr>
          <w:rFonts w:ascii="Times New Roman" w:cs="Times New Roman" w:eastAsia="Times New Roman" w:hAnsi="Times New Roman"/>
          <w:sz w:val="18"/>
          <w:szCs w:val="18"/>
          <w:color w:val="auto"/>
        </w:rPr>
        <w:t xml:space="preserve"> of 1.00% per annum and (c) the Adjusted LIBO Rate on such day (or if such day is not a Business Day, the immediately preceding Business Day) for a deposit in dollars with a maturity of one month plus 1.00% per annum;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 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w:t>
      </w:r>
    </w:p>
    <w:p>
      <w:pPr>
        <w:spacing w:after="0" w:line="13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70" w:right="459" w:bottom="1440" w:gutter="0" w:footer="0" w:header="0"/>
        </w:sectPr>
      </w:pPr>
    </w:p>
    <w:bookmarkStart w:id="305" w:name="page306"/>
    <w:bookmarkEnd w:id="305"/>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Anti-Corruption Laws</w:t>
      </w:r>
      <w:r>
        <w:rPr>
          <w:rFonts w:ascii="Times New Roman" w:cs="Times New Roman" w:eastAsia="Times New Roman" w:hAnsi="Times New Roman"/>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right="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Facility Agent</w:t>
      </w:r>
      <w:r>
        <w:rPr>
          <w:rFonts w:ascii="Times New Roman" w:cs="Times New Roman" w:eastAsia="Times New Roman" w:hAnsi="Times New Roman"/>
          <w:sz w:val="18"/>
          <w:szCs w:val="18"/>
          <w:color w:val="auto"/>
        </w:rPr>
        <w:t>” means (a) with respect to the Term Facility or the Term Lenders, the Term Facility Agent and (b) with respect to the Revolving Facility or the Revolving Lenders, the Revolving Facility Agent.</w:t>
      </w:r>
    </w:p>
    <w:p>
      <w:pPr>
        <w:spacing w:after="0" w:line="162" w:lineRule="exact"/>
        <w:rPr>
          <w:sz w:val="20"/>
          <w:szCs w:val="20"/>
          <w:color w:val="auto"/>
        </w:rPr>
      </w:pPr>
    </w:p>
    <w:p>
      <w:pPr>
        <w:ind w:right="3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Percentage</w:t>
      </w:r>
      <w:r>
        <w:rPr>
          <w:rFonts w:ascii="Times New Roman" w:cs="Times New Roman" w:eastAsia="Times New Roman" w:hAnsi="Times New Roman"/>
          <w:sz w:val="18"/>
          <w:szCs w:val="18"/>
          <w:color w:val="auto"/>
        </w:rPr>
        <w:t>” means at any time, with respect to any Revolving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76" w:lineRule="exact"/>
        <w:rPr>
          <w:sz w:val="20"/>
          <w:szCs w:val="20"/>
          <w:color w:val="auto"/>
        </w:rPr>
      </w:pPr>
    </w:p>
    <w:p>
      <w:pPr>
        <w:ind w:right="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Applicable Rate</w:t>
      </w:r>
      <w:r>
        <w:rPr>
          <w:rFonts w:ascii="Times New Roman" w:cs="Times New Roman" w:eastAsia="Times New Roman" w:hAnsi="Times New Roman"/>
          <w:sz w:val="18"/>
          <w:szCs w:val="18"/>
          <w:color w:val="auto"/>
        </w:rPr>
        <w:t>” means, for any day, with respect to any Term Loan or Revolving Loan that is an ABR Loan or a Eurocurrency Loan, or with respect to the Revolving Commitment Fees, the applicable rate per annum set forth below under the applicable caption “ABR Spread”, “Eurocurrency Spread” or “Revolving Commitment Fee Rate”, as the case may be, based upon the Senior Unsecured Ratings in effect on such date.</w:t>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2300" w:type="dxa"/>
            <w:vAlign w:val="bottom"/>
            <w:gridSpan w:val="4"/>
            <w:vMerge w:val="restart"/>
          </w:tcPr>
          <w:p>
            <w:pPr>
              <w:jc w:val="center"/>
              <w:ind w:right="400"/>
              <w:spacing w:after="0"/>
              <w:rPr>
                <w:sz w:val="20"/>
                <w:szCs w:val="20"/>
                <w:color w:val="auto"/>
              </w:rPr>
            </w:pPr>
            <w:r>
              <w:rPr>
                <w:rFonts w:ascii="Times New Roman" w:cs="Times New Roman" w:eastAsia="Times New Roman" w:hAnsi="Times New Roman"/>
                <w:sz w:val="14"/>
                <w:szCs w:val="14"/>
                <w:color w:val="auto"/>
              </w:rPr>
              <w:t>Term Facility Interest Rate</w:t>
            </w:r>
          </w:p>
        </w:tc>
        <w:tc>
          <w:tcPr>
            <w:tcW w:w="2300" w:type="dxa"/>
            <w:vAlign w:val="bottom"/>
            <w:gridSpan w:val="4"/>
            <w:vMerge w:val="restart"/>
          </w:tcPr>
          <w:p>
            <w:pPr>
              <w:jc w:val="center"/>
              <w:ind w:right="380"/>
              <w:spacing w:after="0"/>
              <w:rPr>
                <w:sz w:val="20"/>
                <w:szCs w:val="20"/>
                <w:color w:val="auto"/>
              </w:rPr>
            </w:pPr>
            <w:r>
              <w:rPr>
                <w:rFonts w:ascii="Times New Roman" w:cs="Times New Roman" w:eastAsia="Times New Roman" w:hAnsi="Times New Roman"/>
                <w:sz w:val="14"/>
                <w:szCs w:val="14"/>
                <w:color w:val="auto"/>
              </w:rPr>
              <w:t>Revolving Facility</w:t>
            </w:r>
          </w:p>
        </w:tc>
        <w:tc>
          <w:tcPr>
            <w:tcW w:w="84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Revolving</w:t>
            </w:r>
          </w:p>
        </w:tc>
        <w:tc>
          <w:tcPr>
            <w:tcW w:w="0" w:type="dxa"/>
            <w:vAlign w:val="bottom"/>
          </w:tcPr>
          <w:p>
            <w:pPr>
              <w:spacing w:after="0"/>
              <w:rPr>
                <w:sz w:val="1"/>
                <w:szCs w:val="1"/>
                <w:color w:val="auto"/>
              </w:rPr>
            </w:pPr>
          </w:p>
        </w:tc>
      </w:tr>
      <w:tr>
        <w:trPr>
          <w:trHeight w:val="148"/>
        </w:trPr>
        <w:tc>
          <w:tcPr>
            <w:tcW w:w="5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2300" w:type="dxa"/>
            <w:vAlign w:val="bottom"/>
            <w:gridSpan w:val="4"/>
            <w:vMerge w:val="continue"/>
          </w:tcPr>
          <w:p>
            <w:pPr>
              <w:spacing w:after="0"/>
              <w:rPr>
                <w:sz w:val="12"/>
                <w:szCs w:val="12"/>
                <w:color w:val="auto"/>
              </w:rPr>
            </w:pPr>
          </w:p>
        </w:tc>
        <w:tc>
          <w:tcPr>
            <w:tcW w:w="2300" w:type="dxa"/>
            <w:vAlign w:val="bottom"/>
            <w:gridSpan w:val="4"/>
            <w:vMerge w:val="continue"/>
          </w:tcPr>
          <w:p>
            <w:pPr>
              <w:spacing w:after="0"/>
              <w:rPr>
                <w:sz w:val="12"/>
                <w:szCs w:val="12"/>
                <w:color w:val="auto"/>
              </w:rPr>
            </w:pPr>
          </w:p>
        </w:tc>
        <w:tc>
          <w:tcPr>
            <w:tcW w:w="84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Commitment</w:t>
            </w:r>
          </w:p>
        </w:tc>
        <w:tc>
          <w:tcPr>
            <w:tcW w:w="0" w:type="dxa"/>
            <w:vAlign w:val="bottom"/>
          </w:tcPr>
          <w:p>
            <w:pPr>
              <w:spacing w:after="0"/>
              <w:rPr>
                <w:sz w:val="1"/>
                <w:szCs w:val="1"/>
                <w:color w:val="auto"/>
              </w:rPr>
            </w:pPr>
          </w:p>
        </w:tc>
      </w:tr>
      <w:tr>
        <w:trPr>
          <w:trHeight w:val="171"/>
        </w:trPr>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560" w:type="dxa"/>
            <w:vAlign w:val="bottom"/>
            <w:gridSpan w:val="3"/>
          </w:tcPr>
          <w:p>
            <w:pPr>
              <w:jc w:val="center"/>
              <w:ind w:right="1140"/>
              <w:spacing w:after="0"/>
              <w:rPr>
                <w:sz w:val="20"/>
                <w:szCs w:val="20"/>
                <w:color w:val="auto"/>
              </w:rPr>
            </w:pPr>
            <w:r>
              <w:rPr>
                <w:rFonts w:ascii="Times New Roman" w:cs="Times New Roman" w:eastAsia="Times New Roman" w:hAnsi="Times New Roman"/>
                <w:sz w:val="14"/>
                <w:szCs w:val="14"/>
                <w:color w:val="auto"/>
              </w:rPr>
              <w:t>Margin</w:t>
            </w:r>
          </w:p>
        </w:tc>
        <w:tc>
          <w:tcPr>
            <w:tcW w:w="2300" w:type="dxa"/>
            <w:vAlign w:val="bottom"/>
            <w:gridSpan w:val="4"/>
          </w:tcPr>
          <w:p>
            <w:pPr>
              <w:jc w:val="center"/>
              <w:ind w:right="380"/>
              <w:spacing w:after="0"/>
              <w:rPr>
                <w:sz w:val="20"/>
                <w:szCs w:val="20"/>
                <w:color w:val="auto"/>
              </w:rPr>
            </w:pPr>
            <w:r>
              <w:rPr>
                <w:rFonts w:ascii="Times New Roman" w:cs="Times New Roman" w:eastAsia="Times New Roman" w:hAnsi="Times New Roman"/>
                <w:sz w:val="14"/>
                <w:szCs w:val="14"/>
                <w:color w:val="auto"/>
              </w:rPr>
              <w:t>Interest Rate Margin</w:t>
            </w:r>
          </w:p>
        </w:tc>
        <w:tc>
          <w:tcPr>
            <w:tcW w:w="84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color w:val="auto"/>
              </w:rPr>
              <w:t>Fee Rate</w:t>
            </w:r>
          </w:p>
        </w:tc>
        <w:tc>
          <w:tcPr>
            <w:tcW w:w="0" w:type="dxa"/>
            <w:vAlign w:val="bottom"/>
          </w:tcPr>
          <w:p>
            <w:pPr>
              <w:spacing w:after="0"/>
              <w:rPr>
                <w:sz w:val="1"/>
                <w:szCs w:val="1"/>
                <w:color w:val="auto"/>
              </w:rPr>
            </w:pPr>
          </w:p>
        </w:tc>
      </w:tr>
      <w:tr>
        <w:trPr>
          <w:trHeight w:val="119"/>
        </w:trPr>
        <w:tc>
          <w:tcPr>
            <w:tcW w:w="5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80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740" w:type="dxa"/>
            <w:vAlign w:val="bottom"/>
            <w:tcBorders>
              <w:top w:val="single" w:sz="8" w:color="auto"/>
            </w:tcBorders>
            <w:vMerge w:val="restart"/>
          </w:tcPr>
          <w:p>
            <w:pPr>
              <w:jc w:val="center"/>
              <w:spacing w:after="0"/>
              <w:rPr>
                <w:sz w:val="20"/>
                <w:szCs w:val="20"/>
                <w:color w:val="auto"/>
              </w:rPr>
            </w:pPr>
            <w:r>
              <w:rPr>
                <w:rFonts w:ascii="Times New Roman" w:cs="Times New Roman" w:eastAsia="Times New Roman" w:hAnsi="Times New Roman"/>
                <w:sz w:val="14"/>
                <w:szCs w:val="14"/>
                <w:color w:val="auto"/>
              </w:rPr>
              <w:t>ABR Spread</w:t>
            </w:r>
          </w:p>
        </w:tc>
        <w:tc>
          <w:tcPr>
            <w:tcW w:w="1160" w:type="dxa"/>
            <w:vAlign w:val="bottom"/>
            <w:tcBorders>
              <w:top w:val="single" w:sz="8" w:color="auto"/>
            </w:tcBorders>
            <w:gridSpan w:val="2"/>
          </w:tcPr>
          <w:p>
            <w:pPr>
              <w:jc w:val="center"/>
              <w:ind w:left="297"/>
              <w:spacing w:after="0" w:line="119" w:lineRule="exact"/>
              <w:rPr>
                <w:sz w:val="20"/>
                <w:szCs w:val="20"/>
                <w:color w:val="auto"/>
              </w:rPr>
            </w:pPr>
            <w:r>
              <w:rPr>
                <w:rFonts w:ascii="Times New Roman" w:cs="Times New Roman" w:eastAsia="Times New Roman" w:hAnsi="Times New Roman"/>
                <w:sz w:val="13"/>
                <w:szCs w:val="13"/>
                <w:color w:val="auto"/>
              </w:rPr>
              <w:t>Eurocurrency</w:t>
            </w:r>
          </w:p>
        </w:tc>
        <w:tc>
          <w:tcPr>
            <w:tcW w:w="400" w:type="dxa"/>
            <w:vAlign w:val="bottom"/>
          </w:tcPr>
          <w:p>
            <w:pPr>
              <w:spacing w:after="0"/>
              <w:rPr>
                <w:sz w:val="10"/>
                <w:szCs w:val="10"/>
                <w:color w:val="auto"/>
              </w:rPr>
            </w:pPr>
          </w:p>
        </w:tc>
        <w:tc>
          <w:tcPr>
            <w:tcW w:w="1140" w:type="dxa"/>
            <w:vAlign w:val="bottom"/>
            <w:tcBorders>
              <w:top w:val="single" w:sz="8" w:color="auto"/>
            </w:tcBorders>
            <w:gridSpan w:val="2"/>
            <w:vMerge w:val="restart"/>
          </w:tcPr>
          <w:p>
            <w:pPr>
              <w:jc w:val="center"/>
              <w:ind w:right="400"/>
              <w:spacing w:after="0"/>
              <w:rPr>
                <w:sz w:val="20"/>
                <w:szCs w:val="20"/>
                <w:color w:val="auto"/>
              </w:rPr>
            </w:pPr>
            <w:r>
              <w:rPr>
                <w:rFonts w:ascii="Times New Roman" w:cs="Times New Roman" w:eastAsia="Times New Roman" w:hAnsi="Times New Roman"/>
                <w:sz w:val="14"/>
                <w:szCs w:val="14"/>
                <w:color w:val="auto"/>
              </w:rPr>
              <w:t>ABR Spread</w:t>
            </w:r>
          </w:p>
        </w:tc>
        <w:tc>
          <w:tcPr>
            <w:tcW w:w="780" w:type="dxa"/>
            <w:vAlign w:val="bottom"/>
            <w:tcBorders>
              <w:top w:val="single" w:sz="8" w:color="auto"/>
            </w:tcBorders>
          </w:tcPr>
          <w:p>
            <w:pPr>
              <w:jc w:val="right"/>
              <w:spacing w:after="0" w:line="119" w:lineRule="exact"/>
              <w:rPr>
                <w:sz w:val="20"/>
                <w:szCs w:val="20"/>
                <w:color w:val="auto"/>
              </w:rPr>
            </w:pPr>
            <w:r>
              <w:rPr>
                <w:rFonts w:ascii="Times New Roman" w:cs="Times New Roman" w:eastAsia="Times New Roman" w:hAnsi="Times New Roman"/>
                <w:sz w:val="13"/>
                <w:szCs w:val="13"/>
                <w:color w:val="auto"/>
              </w:rPr>
              <w:t>Eurocurrency</w:t>
            </w:r>
          </w:p>
        </w:tc>
        <w:tc>
          <w:tcPr>
            <w:tcW w:w="380" w:type="dxa"/>
            <w:vAlign w:val="bottom"/>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406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color w:val="auto"/>
              </w:rPr>
              <w:t>Senior Unsecured Ratings</w:t>
            </w:r>
          </w:p>
        </w:tc>
        <w:tc>
          <w:tcPr>
            <w:tcW w:w="1520" w:type="dxa"/>
            <w:vAlign w:val="bottom"/>
          </w:tcPr>
          <w:p>
            <w:pPr>
              <w:spacing w:after="0"/>
              <w:rPr>
                <w:sz w:val="12"/>
                <w:szCs w:val="12"/>
                <w:color w:val="auto"/>
              </w:rPr>
            </w:pPr>
          </w:p>
        </w:tc>
        <w:tc>
          <w:tcPr>
            <w:tcW w:w="740" w:type="dxa"/>
            <w:vAlign w:val="bottom"/>
            <w:vMerge w:val="continue"/>
          </w:tcPr>
          <w:p>
            <w:pPr>
              <w:spacing w:after="0"/>
              <w:rPr>
                <w:sz w:val="12"/>
                <w:szCs w:val="12"/>
                <w:color w:val="auto"/>
              </w:rPr>
            </w:pPr>
          </w:p>
        </w:tc>
        <w:tc>
          <w:tcPr>
            <w:tcW w:w="380" w:type="dxa"/>
            <w:vAlign w:val="bottom"/>
          </w:tcPr>
          <w:p>
            <w:pPr>
              <w:spacing w:after="0"/>
              <w:rPr>
                <w:sz w:val="12"/>
                <w:szCs w:val="12"/>
                <w:color w:val="auto"/>
              </w:rPr>
            </w:pPr>
          </w:p>
        </w:tc>
        <w:tc>
          <w:tcPr>
            <w:tcW w:w="1180" w:type="dxa"/>
            <w:vAlign w:val="bottom"/>
            <w:gridSpan w:val="2"/>
          </w:tcPr>
          <w:p>
            <w:pPr>
              <w:jc w:val="center"/>
              <w:ind w:right="380"/>
              <w:spacing w:after="0" w:line="149" w:lineRule="exact"/>
              <w:rPr>
                <w:sz w:val="20"/>
                <w:szCs w:val="20"/>
                <w:color w:val="auto"/>
              </w:rPr>
            </w:pPr>
            <w:r>
              <w:rPr>
                <w:rFonts w:ascii="Times New Roman" w:cs="Times New Roman" w:eastAsia="Times New Roman" w:hAnsi="Times New Roman"/>
                <w:sz w:val="14"/>
                <w:szCs w:val="14"/>
                <w:color w:val="auto"/>
              </w:rPr>
              <w:t>Spread</w:t>
            </w:r>
          </w:p>
        </w:tc>
        <w:tc>
          <w:tcPr>
            <w:tcW w:w="1140" w:type="dxa"/>
            <w:vAlign w:val="bottom"/>
            <w:gridSpan w:val="2"/>
            <w:vMerge w:val="continue"/>
          </w:tcPr>
          <w:p>
            <w:pPr>
              <w:spacing w:after="0"/>
              <w:rPr>
                <w:sz w:val="12"/>
                <w:szCs w:val="12"/>
                <w:color w:val="auto"/>
              </w:rPr>
            </w:pPr>
          </w:p>
        </w:tc>
        <w:tc>
          <w:tcPr>
            <w:tcW w:w="1160" w:type="dxa"/>
            <w:vAlign w:val="bottom"/>
            <w:gridSpan w:val="2"/>
          </w:tcPr>
          <w:p>
            <w:pPr>
              <w:jc w:val="center"/>
              <w:ind w:right="400"/>
              <w:spacing w:after="0" w:line="149" w:lineRule="exact"/>
              <w:rPr>
                <w:sz w:val="20"/>
                <w:szCs w:val="20"/>
                <w:color w:val="auto"/>
              </w:rPr>
            </w:pPr>
            <w:r>
              <w:rPr>
                <w:rFonts w:ascii="Times New Roman" w:cs="Times New Roman" w:eastAsia="Times New Roman" w:hAnsi="Times New Roman"/>
                <w:sz w:val="14"/>
                <w:szCs w:val="14"/>
                <w:color w:val="auto"/>
              </w:rPr>
              <w:t>Spread</w:t>
            </w:r>
          </w:p>
        </w:tc>
        <w:tc>
          <w:tcPr>
            <w:tcW w:w="840" w:type="dxa"/>
            <w:vAlign w:val="bottom"/>
            <w:gridSpan w:val="2"/>
            <w:vMerge w:val="restart"/>
          </w:tcPr>
          <w:p>
            <w:pPr>
              <w:jc w:val="center"/>
              <w:ind w:right="60"/>
              <w:spacing w:after="0"/>
              <w:rPr>
                <w:sz w:val="20"/>
                <w:szCs w:val="20"/>
                <w:color w:val="auto"/>
              </w:rPr>
            </w:pPr>
            <w:r>
              <w:rPr>
                <w:rFonts w:ascii="Times New Roman" w:cs="Times New Roman" w:eastAsia="Times New Roman" w:hAnsi="Times New Roman"/>
                <w:sz w:val="14"/>
                <w:szCs w:val="14"/>
                <w:color w:val="auto"/>
              </w:rPr>
              <w:t>(bps per</w:t>
            </w:r>
          </w:p>
        </w:tc>
        <w:tc>
          <w:tcPr>
            <w:tcW w:w="0" w:type="dxa"/>
            <w:vAlign w:val="bottom"/>
          </w:tcPr>
          <w:p>
            <w:pPr>
              <w:spacing w:after="0"/>
              <w:rPr>
                <w:sz w:val="1"/>
                <w:szCs w:val="1"/>
                <w:color w:val="auto"/>
              </w:rPr>
            </w:pPr>
          </w:p>
        </w:tc>
      </w:tr>
      <w:tr>
        <w:trPr>
          <w:trHeight w:val="144"/>
        </w:trPr>
        <w:tc>
          <w:tcPr>
            <w:tcW w:w="4060" w:type="dxa"/>
            <w:vAlign w:val="bottom"/>
            <w:gridSpan w:val="3"/>
            <w:vMerge w:val="continue"/>
          </w:tcPr>
          <w:p>
            <w:pPr>
              <w:spacing w:after="0"/>
              <w:rPr>
                <w:sz w:val="12"/>
                <w:szCs w:val="12"/>
                <w:color w:val="auto"/>
              </w:rPr>
            </w:pPr>
          </w:p>
        </w:tc>
        <w:tc>
          <w:tcPr>
            <w:tcW w:w="1520" w:type="dxa"/>
            <w:vAlign w:val="bottom"/>
          </w:tcPr>
          <w:p>
            <w:pPr>
              <w:spacing w:after="0"/>
              <w:rPr>
                <w:sz w:val="12"/>
                <w:szCs w:val="12"/>
                <w:color w:val="auto"/>
              </w:rPr>
            </w:pPr>
          </w:p>
        </w:tc>
        <w:tc>
          <w:tcPr>
            <w:tcW w:w="740" w:type="dxa"/>
            <w:vAlign w:val="bottom"/>
          </w:tcPr>
          <w:p>
            <w:pPr>
              <w:jc w:val="center"/>
              <w:spacing w:after="0" w:line="145" w:lineRule="exact"/>
              <w:rPr>
                <w:sz w:val="20"/>
                <w:szCs w:val="20"/>
                <w:color w:val="auto"/>
              </w:rPr>
            </w:pPr>
            <w:r>
              <w:rPr>
                <w:rFonts w:ascii="Times New Roman" w:cs="Times New Roman" w:eastAsia="Times New Roman" w:hAnsi="Times New Roman"/>
                <w:sz w:val="14"/>
                <w:szCs w:val="14"/>
                <w:color w:val="auto"/>
              </w:rPr>
              <w:t>(bps per</w:t>
            </w:r>
          </w:p>
        </w:tc>
        <w:tc>
          <w:tcPr>
            <w:tcW w:w="380" w:type="dxa"/>
            <w:vAlign w:val="bottom"/>
          </w:tcPr>
          <w:p>
            <w:pPr>
              <w:spacing w:after="0"/>
              <w:rPr>
                <w:sz w:val="12"/>
                <w:szCs w:val="12"/>
                <w:color w:val="auto"/>
              </w:rPr>
            </w:pPr>
          </w:p>
        </w:tc>
        <w:tc>
          <w:tcPr>
            <w:tcW w:w="1180" w:type="dxa"/>
            <w:vAlign w:val="bottom"/>
            <w:gridSpan w:val="2"/>
          </w:tcPr>
          <w:p>
            <w:pPr>
              <w:jc w:val="center"/>
              <w:ind w:right="380"/>
              <w:spacing w:after="0" w:line="145" w:lineRule="exact"/>
              <w:rPr>
                <w:sz w:val="20"/>
                <w:szCs w:val="20"/>
                <w:color w:val="auto"/>
              </w:rPr>
            </w:pPr>
            <w:r>
              <w:rPr>
                <w:rFonts w:ascii="Times New Roman" w:cs="Times New Roman" w:eastAsia="Times New Roman" w:hAnsi="Times New Roman"/>
                <w:sz w:val="14"/>
                <w:szCs w:val="14"/>
                <w:color w:val="auto"/>
              </w:rPr>
              <w:t>(bps per</w:t>
            </w:r>
          </w:p>
        </w:tc>
        <w:tc>
          <w:tcPr>
            <w:tcW w:w="1140" w:type="dxa"/>
            <w:vAlign w:val="bottom"/>
            <w:gridSpan w:val="2"/>
          </w:tcPr>
          <w:p>
            <w:pPr>
              <w:jc w:val="center"/>
              <w:ind w:right="400"/>
              <w:spacing w:after="0" w:line="145" w:lineRule="exact"/>
              <w:rPr>
                <w:sz w:val="20"/>
                <w:szCs w:val="20"/>
                <w:color w:val="auto"/>
              </w:rPr>
            </w:pPr>
            <w:r>
              <w:rPr>
                <w:rFonts w:ascii="Times New Roman" w:cs="Times New Roman" w:eastAsia="Times New Roman" w:hAnsi="Times New Roman"/>
                <w:sz w:val="14"/>
                <w:szCs w:val="14"/>
                <w:color w:val="auto"/>
              </w:rPr>
              <w:t>(bps per</w:t>
            </w:r>
          </w:p>
        </w:tc>
        <w:tc>
          <w:tcPr>
            <w:tcW w:w="1160" w:type="dxa"/>
            <w:vAlign w:val="bottom"/>
            <w:gridSpan w:val="2"/>
          </w:tcPr>
          <w:p>
            <w:pPr>
              <w:jc w:val="center"/>
              <w:ind w:right="380"/>
              <w:spacing w:after="0" w:line="145" w:lineRule="exact"/>
              <w:rPr>
                <w:sz w:val="20"/>
                <w:szCs w:val="20"/>
                <w:color w:val="auto"/>
              </w:rPr>
            </w:pPr>
            <w:r>
              <w:rPr>
                <w:rFonts w:ascii="Times New Roman" w:cs="Times New Roman" w:eastAsia="Times New Roman" w:hAnsi="Times New Roman"/>
                <w:sz w:val="14"/>
                <w:szCs w:val="14"/>
                <w:color w:val="auto"/>
              </w:rPr>
              <w:t>(bps per</w:t>
            </w:r>
          </w:p>
        </w:tc>
        <w:tc>
          <w:tcPr>
            <w:tcW w:w="8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12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4"/>
                <w:szCs w:val="14"/>
                <w:color w:val="auto"/>
              </w:rPr>
              <w:t>(S&amp;P/Moody’s/Fitch)</w:t>
            </w:r>
          </w:p>
        </w:tc>
        <w:tc>
          <w:tcPr>
            <w:tcW w:w="280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74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annum)</w:t>
            </w:r>
          </w:p>
        </w:tc>
        <w:tc>
          <w:tcPr>
            <w:tcW w:w="380" w:type="dxa"/>
            <w:vAlign w:val="bottom"/>
          </w:tcPr>
          <w:p>
            <w:pPr>
              <w:spacing w:after="0"/>
              <w:rPr>
                <w:sz w:val="15"/>
                <w:szCs w:val="15"/>
                <w:color w:val="auto"/>
              </w:rPr>
            </w:pPr>
          </w:p>
        </w:tc>
        <w:tc>
          <w:tcPr>
            <w:tcW w:w="118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color w:val="auto"/>
              </w:rPr>
              <w:t>annum)</w:t>
            </w:r>
          </w:p>
        </w:tc>
        <w:tc>
          <w:tcPr>
            <w:tcW w:w="11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color w:val="auto"/>
              </w:rPr>
              <w:t>annum)</w:t>
            </w:r>
          </w:p>
        </w:tc>
        <w:tc>
          <w:tcPr>
            <w:tcW w:w="1160" w:type="dxa"/>
            <w:vAlign w:val="bottom"/>
            <w:gridSpan w:val="2"/>
          </w:tcPr>
          <w:p>
            <w:pPr>
              <w:jc w:val="center"/>
              <w:ind w:right="400"/>
              <w:spacing w:after="0"/>
              <w:rPr>
                <w:sz w:val="20"/>
                <w:szCs w:val="20"/>
                <w:color w:val="auto"/>
              </w:rPr>
            </w:pPr>
            <w:r>
              <w:rPr>
                <w:rFonts w:ascii="Times New Roman" w:cs="Times New Roman" w:eastAsia="Times New Roman" w:hAnsi="Times New Roman"/>
                <w:sz w:val="14"/>
                <w:szCs w:val="14"/>
                <w:color w:val="auto"/>
              </w:rPr>
              <w:t>annum)</w:t>
            </w:r>
          </w:p>
        </w:tc>
        <w:tc>
          <w:tcPr>
            <w:tcW w:w="840" w:type="dxa"/>
            <w:vAlign w:val="bottom"/>
            <w:gridSpan w:val="2"/>
          </w:tcPr>
          <w:p>
            <w:pPr>
              <w:jc w:val="center"/>
              <w:ind w:right="40"/>
              <w:spacing w:after="0"/>
              <w:rPr>
                <w:sz w:val="20"/>
                <w:szCs w:val="20"/>
                <w:color w:val="auto"/>
              </w:rPr>
            </w:pPr>
            <w:r>
              <w:rPr>
                <w:rFonts w:ascii="Times New Roman" w:cs="Times New Roman" w:eastAsia="Times New Roman" w:hAnsi="Times New Roman"/>
                <w:sz w:val="14"/>
                <w:szCs w:val="14"/>
                <w:color w:val="auto"/>
              </w:rPr>
              <w:t>annum)</w:t>
            </w:r>
          </w:p>
        </w:tc>
        <w:tc>
          <w:tcPr>
            <w:tcW w:w="0" w:type="dxa"/>
            <w:vAlign w:val="bottom"/>
          </w:tcPr>
          <w:p>
            <w:pPr>
              <w:spacing w:after="0"/>
              <w:rPr>
                <w:sz w:val="1"/>
                <w:szCs w:val="1"/>
                <w:color w:val="auto"/>
              </w:rPr>
            </w:pPr>
          </w:p>
        </w:tc>
      </w:tr>
      <w:tr>
        <w:trPr>
          <w:trHeight w:val="203"/>
        </w:trPr>
        <w:tc>
          <w:tcPr>
            <w:tcW w:w="4060" w:type="dxa"/>
            <w:vAlign w:val="bottom"/>
            <w:tcBorders>
              <w:top w:val="single" w:sz="8" w:color="CCEEFF"/>
            </w:tcBorders>
            <w:gridSpan w:val="3"/>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Level 1 BBB+/Baa1/BBB+ or above</w:t>
            </w:r>
          </w:p>
        </w:tc>
        <w:tc>
          <w:tcPr>
            <w:tcW w:w="15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12.5</w:t>
            </w:r>
          </w:p>
        </w:tc>
        <w:tc>
          <w:tcPr>
            <w:tcW w:w="38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ind w:left="400"/>
              <w:spacing w:after="0" w:line="203" w:lineRule="exact"/>
              <w:rPr>
                <w:sz w:val="20"/>
                <w:szCs w:val="20"/>
                <w:color w:val="auto"/>
              </w:rPr>
            </w:pPr>
            <w:r>
              <w:rPr>
                <w:rFonts w:ascii="Times New Roman" w:cs="Times New Roman" w:eastAsia="Times New Roman" w:hAnsi="Times New Roman"/>
                <w:sz w:val="18"/>
                <w:szCs w:val="18"/>
                <w:color w:val="auto"/>
                <w:w w:val="88"/>
              </w:rPr>
              <w:t>112.5</w:t>
            </w:r>
          </w:p>
        </w:tc>
        <w:tc>
          <w:tcPr>
            <w:tcW w:w="40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12.5</w:t>
            </w:r>
          </w:p>
        </w:tc>
        <w:tc>
          <w:tcPr>
            <w:tcW w:w="40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112.5</w:t>
            </w:r>
          </w:p>
        </w:tc>
        <w:tc>
          <w:tcPr>
            <w:tcW w:w="38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12.5</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60" w:type="dxa"/>
            <w:vAlign w:val="bottom"/>
          </w:tcPr>
          <w:p>
            <w:pPr>
              <w:spacing w:after="0"/>
              <w:rPr>
                <w:sz w:val="20"/>
                <w:szCs w:val="20"/>
                <w:color w:val="auto"/>
              </w:rPr>
            </w:pPr>
            <w:r>
              <w:rPr>
                <w:rFonts w:ascii="Times New Roman" w:cs="Times New Roman" w:eastAsia="Times New Roman" w:hAnsi="Times New Roman"/>
                <w:sz w:val="18"/>
                <w:szCs w:val="18"/>
                <w:color w:val="auto"/>
                <w:w w:val="99"/>
              </w:rPr>
              <w:t>Level 2</w:t>
            </w:r>
          </w:p>
        </w:tc>
        <w:tc>
          <w:tcPr>
            <w:tcW w:w="35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BBB/Baa2/BBB</w:t>
            </w:r>
          </w:p>
        </w:tc>
        <w:tc>
          <w:tcPr>
            <w:tcW w:w="2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25.0</w:t>
            </w:r>
          </w:p>
        </w:tc>
        <w:tc>
          <w:tcPr>
            <w:tcW w:w="1560" w:type="dxa"/>
            <w:vAlign w:val="bottom"/>
            <w:gridSpan w:val="3"/>
          </w:tcPr>
          <w:p>
            <w:pPr>
              <w:ind w:left="760"/>
              <w:spacing w:after="0"/>
              <w:rPr>
                <w:sz w:val="20"/>
                <w:szCs w:val="20"/>
                <w:color w:val="auto"/>
              </w:rPr>
            </w:pPr>
            <w:r>
              <w:rPr>
                <w:rFonts w:ascii="Times New Roman" w:cs="Times New Roman" w:eastAsia="Times New Roman" w:hAnsi="Times New Roman"/>
                <w:sz w:val="18"/>
                <w:szCs w:val="18"/>
                <w:color w:val="auto"/>
              </w:rPr>
              <w:t>125.0</w:t>
            </w:r>
          </w:p>
        </w:tc>
        <w:tc>
          <w:tcPr>
            <w:tcW w:w="114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25.0</w:t>
            </w:r>
          </w:p>
        </w:tc>
        <w:tc>
          <w:tcPr>
            <w:tcW w:w="116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125.0</w:t>
            </w: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15.0</w:t>
            </w:r>
          </w:p>
        </w:tc>
        <w:tc>
          <w:tcPr>
            <w:tcW w:w="0" w:type="dxa"/>
            <w:vAlign w:val="bottom"/>
          </w:tcPr>
          <w:p>
            <w:pPr>
              <w:spacing w:after="0"/>
              <w:rPr>
                <w:sz w:val="1"/>
                <w:szCs w:val="1"/>
                <w:color w:val="auto"/>
              </w:rPr>
            </w:pPr>
          </w:p>
        </w:tc>
      </w:tr>
      <w:tr>
        <w:trPr>
          <w:trHeight w:val="216"/>
        </w:trPr>
        <w:tc>
          <w:tcPr>
            <w:tcW w:w="5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99"/>
              </w:rPr>
              <w:t>Level 3</w:t>
            </w:r>
          </w:p>
        </w:tc>
        <w:tc>
          <w:tcPr>
            <w:tcW w:w="350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BBB-/Baa3/BBB-</w:t>
            </w:r>
          </w:p>
        </w:tc>
        <w:tc>
          <w:tcPr>
            <w:tcW w:w="2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37.5</w:t>
            </w:r>
          </w:p>
        </w:tc>
        <w:tc>
          <w:tcPr>
            <w:tcW w:w="1560" w:type="dxa"/>
            <w:vAlign w:val="bottom"/>
            <w:gridSpan w:val="3"/>
            <w:shd w:val="clear" w:color="auto" w:fill="CCEEFF"/>
          </w:tcPr>
          <w:p>
            <w:pPr>
              <w:ind w:left="760"/>
              <w:spacing w:after="0"/>
              <w:rPr>
                <w:sz w:val="20"/>
                <w:szCs w:val="20"/>
                <w:color w:val="auto"/>
              </w:rPr>
            </w:pPr>
            <w:r>
              <w:rPr>
                <w:rFonts w:ascii="Times New Roman" w:cs="Times New Roman" w:eastAsia="Times New Roman" w:hAnsi="Times New Roman"/>
                <w:sz w:val="18"/>
                <w:szCs w:val="18"/>
                <w:color w:val="auto"/>
              </w:rPr>
              <w:t>137.5</w:t>
            </w:r>
          </w:p>
        </w:tc>
        <w:tc>
          <w:tcPr>
            <w:tcW w:w="114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50.0</w:t>
            </w:r>
          </w:p>
        </w:tc>
        <w:tc>
          <w:tcPr>
            <w:tcW w:w="1160" w:type="dxa"/>
            <w:vAlign w:val="bottom"/>
            <w:gridSpan w:val="2"/>
            <w:shd w:val="clear" w:color="auto" w:fill="CCEEFF"/>
          </w:tcPr>
          <w:p>
            <w:pPr>
              <w:jc w:val="right"/>
              <w:ind w:right="380"/>
              <w:spacing w:after="0"/>
              <w:rPr>
                <w:sz w:val="20"/>
                <w:szCs w:val="20"/>
                <w:color w:val="auto"/>
              </w:rPr>
            </w:pPr>
            <w:r>
              <w:rPr>
                <w:rFonts w:ascii="Times New Roman" w:cs="Times New Roman" w:eastAsia="Times New Roman" w:hAnsi="Times New Roman"/>
                <w:sz w:val="18"/>
                <w:szCs w:val="18"/>
                <w:color w:val="auto"/>
              </w:rPr>
              <w:t>150.0</w:t>
            </w:r>
          </w:p>
        </w:tc>
        <w:tc>
          <w:tcPr>
            <w:tcW w:w="8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17.5</w:t>
            </w:r>
          </w:p>
        </w:tc>
        <w:tc>
          <w:tcPr>
            <w:tcW w:w="0" w:type="dxa"/>
            <w:vAlign w:val="bottom"/>
          </w:tcPr>
          <w:p>
            <w:pPr>
              <w:spacing w:after="0"/>
              <w:rPr>
                <w:sz w:val="1"/>
                <w:szCs w:val="1"/>
                <w:color w:val="auto"/>
              </w:rPr>
            </w:pPr>
          </w:p>
        </w:tc>
      </w:tr>
      <w:tr>
        <w:trPr>
          <w:trHeight w:val="216"/>
        </w:trPr>
        <w:tc>
          <w:tcPr>
            <w:tcW w:w="560" w:type="dxa"/>
            <w:vAlign w:val="bottom"/>
          </w:tcPr>
          <w:p>
            <w:pPr>
              <w:spacing w:after="0"/>
              <w:rPr>
                <w:sz w:val="20"/>
                <w:szCs w:val="20"/>
                <w:color w:val="auto"/>
              </w:rPr>
            </w:pPr>
            <w:r>
              <w:rPr>
                <w:rFonts w:ascii="Times New Roman" w:cs="Times New Roman" w:eastAsia="Times New Roman" w:hAnsi="Times New Roman"/>
                <w:sz w:val="18"/>
                <w:szCs w:val="18"/>
                <w:color w:val="auto"/>
                <w:w w:val="99"/>
              </w:rPr>
              <w:t>Level 4</w:t>
            </w:r>
          </w:p>
        </w:tc>
        <w:tc>
          <w:tcPr>
            <w:tcW w:w="35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BB+/Ba1/BB+</w:t>
            </w:r>
          </w:p>
        </w:tc>
        <w:tc>
          <w:tcPr>
            <w:tcW w:w="2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560" w:type="dxa"/>
            <w:vAlign w:val="bottom"/>
            <w:gridSpan w:val="3"/>
          </w:tcPr>
          <w:p>
            <w:pPr>
              <w:ind w:left="760"/>
              <w:spacing w:after="0"/>
              <w:rPr>
                <w:sz w:val="20"/>
                <w:szCs w:val="20"/>
                <w:color w:val="auto"/>
              </w:rPr>
            </w:pPr>
            <w:r>
              <w:rPr>
                <w:rFonts w:ascii="Times New Roman" w:cs="Times New Roman" w:eastAsia="Times New Roman" w:hAnsi="Times New Roman"/>
                <w:sz w:val="18"/>
                <w:szCs w:val="18"/>
                <w:color w:val="auto"/>
              </w:rPr>
              <w:t>200.0</w:t>
            </w:r>
          </w:p>
        </w:tc>
        <w:tc>
          <w:tcPr>
            <w:tcW w:w="114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100.0</w:t>
            </w:r>
          </w:p>
        </w:tc>
        <w:tc>
          <w:tcPr>
            <w:tcW w:w="116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200.0</w:t>
            </w: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30.0</w:t>
            </w:r>
          </w:p>
        </w:tc>
        <w:tc>
          <w:tcPr>
            <w:tcW w:w="0" w:type="dxa"/>
            <w:vAlign w:val="bottom"/>
          </w:tcPr>
          <w:p>
            <w:pPr>
              <w:spacing w:after="0"/>
              <w:rPr>
                <w:sz w:val="1"/>
                <w:szCs w:val="1"/>
                <w:color w:val="auto"/>
              </w:rPr>
            </w:pPr>
          </w:p>
        </w:tc>
      </w:tr>
      <w:tr>
        <w:trPr>
          <w:trHeight w:val="216"/>
        </w:trPr>
        <w:tc>
          <w:tcPr>
            <w:tcW w:w="5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99"/>
              </w:rPr>
              <w:t>Level 5</w:t>
            </w:r>
          </w:p>
        </w:tc>
        <w:tc>
          <w:tcPr>
            <w:tcW w:w="350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BB/Ba2/BB or below</w:t>
            </w:r>
          </w:p>
        </w:tc>
        <w:tc>
          <w:tcPr>
            <w:tcW w:w="2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125.0</w:t>
            </w:r>
          </w:p>
        </w:tc>
        <w:tc>
          <w:tcPr>
            <w:tcW w:w="1560" w:type="dxa"/>
            <w:vAlign w:val="bottom"/>
            <w:gridSpan w:val="3"/>
            <w:shd w:val="clear" w:color="auto" w:fill="CCEEFF"/>
          </w:tcPr>
          <w:p>
            <w:pPr>
              <w:ind w:left="760"/>
              <w:spacing w:after="0"/>
              <w:rPr>
                <w:sz w:val="20"/>
                <w:szCs w:val="20"/>
                <w:color w:val="auto"/>
              </w:rPr>
            </w:pPr>
            <w:r>
              <w:rPr>
                <w:rFonts w:ascii="Times New Roman" w:cs="Times New Roman" w:eastAsia="Times New Roman" w:hAnsi="Times New Roman"/>
                <w:sz w:val="18"/>
                <w:szCs w:val="18"/>
                <w:color w:val="auto"/>
              </w:rPr>
              <w:t>225.0</w:t>
            </w:r>
          </w:p>
        </w:tc>
        <w:tc>
          <w:tcPr>
            <w:tcW w:w="114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125.0</w:t>
            </w:r>
          </w:p>
        </w:tc>
        <w:tc>
          <w:tcPr>
            <w:tcW w:w="1160" w:type="dxa"/>
            <w:vAlign w:val="bottom"/>
            <w:gridSpan w:val="2"/>
            <w:shd w:val="clear" w:color="auto" w:fill="CCEEFF"/>
          </w:tcPr>
          <w:p>
            <w:pPr>
              <w:jc w:val="right"/>
              <w:ind w:right="380"/>
              <w:spacing w:after="0"/>
              <w:rPr>
                <w:sz w:val="20"/>
                <w:szCs w:val="20"/>
                <w:color w:val="auto"/>
              </w:rPr>
            </w:pPr>
            <w:r>
              <w:rPr>
                <w:rFonts w:ascii="Times New Roman" w:cs="Times New Roman" w:eastAsia="Times New Roman" w:hAnsi="Times New Roman"/>
                <w:sz w:val="18"/>
                <w:szCs w:val="18"/>
                <w:color w:val="auto"/>
              </w:rPr>
              <w:t>225.0</w:t>
            </w:r>
          </w:p>
        </w:tc>
        <w:tc>
          <w:tcPr>
            <w:tcW w:w="8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35.0</w:t>
            </w:r>
          </w:p>
        </w:tc>
        <w:tc>
          <w:tcPr>
            <w:tcW w:w="0" w:type="dxa"/>
            <w:vAlign w:val="bottom"/>
          </w:tcPr>
          <w:p>
            <w:pPr>
              <w:spacing w:after="0"/>
              <w:rPr>
                <w:sz w:val="1"/>
                <w:szCs w:val="1"/>
                <w:color w:val="auto"/>
              </w:rPr>
            </w:pPr>
          </w:p>
        </w:tc>
      </w:tr>
      <w:tr>
        <w:trPr>
          <w:trHeight w:val="365"/>
        </w:trPr>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1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w:t>
            </w: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0" w:right="439" w:bottom="1440" w:gutter="0" w:footer="0" w:header="0"/>
        </w:sectPr>
      </w:pPr>
    </w:p>
    <w:bookmarkStart w:id="306" w:name="page307"/>
    <w:bookmarkEnd w:id="306"/>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 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Agents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89" w:lineRule="exact"/>
        <w:rPr>
          <w:sz w:val="20"/>
          <w:szCs w:val="20"/>
          <w:color w:val="auto"/>
        </w:rPr>
      </w:pPr>
    </w:p>
    <w:p>
      <w:pPr>
        <w:ind w:right="4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Approved Fund</w:t>
      </w:r>
      <w:r>
        <w:rPr>
          <w:rFonts w:ascii="Times New Roman" w:cs="Times New Roman" w:eastAsia="Times New Roman" w:hAnsi="Times New Roman"/>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76"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Arrangers</w:t>
      </w:r>
      <w:r>
        <w:rPr>
          <w:rFonts w:ascii="Times New Roman" w:cs="Times New Roman" w:eastAsia="Times New Roman" w:hAnsi="Times New Roman"/>
          <w:sz w:val="18"/>
          <w:szCs w:val="18"/>
          <w:color w:val="auto"/>
        </w:rPr>
        <w:t>” means Goldman Sachs Bank USA, Merrill Lynch, Pierce, Fenner &amp; Smith Incorporated, Barclays Bank PLC, MUFG Bank, Ltd., HSBC Securities (USA) Inc. and Wells Fargo Securities LLC, in their capacities as the joint lead arrangers and joint bookrunners for the Revolving Facility and the Term Facility (or, with respect to Merrill Lynch, Pierce, Fenner &amp; Smith Incorporated, any other registered broker-dealer wholly owned by Bank of America Corporation to which all or substantially all of Bank of America Corporation’s or any of its subsidiaries’ investment banking, commercial lending services or related businesses may be transferred following the date hereof).</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0"/>
          </w:cols>
          <w:pgMar w:left="440" w:top="270" w:right="459" w:bottom="1440" w:gutter="0" w:footer="0" w:header="0"/>
        </w:sectPr>
      </w:pPr>
    </w:p>
    <w:bookmarkStart w:id="307" w:name="page308"/>
    <w:bookmarkEnd w:id="307"/>
    <w:p>
      <w:pPr>
        <w:ind w:right="12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Assignment and Assumption</w:t>
      </w:r>
      <w:r>
        <w:rPr>
          <w:rFonts w:ascii="Times New Roman" w:cs="Times New Roman" w:eastAsia="Times New Roman" w:hAnsi="Times New Roman"/>
          <w:sz w:val="18"/>
          <w:szCs w:val="18"/>
          <w:color w:val="auto"/>
        </w:rPr>
        <w:t>” means an assignment and assumption entered into by a Lender and an Eligible Assignee, with the consent of any Person whose consent is required by Section 9.04, and accepted by the Applicable Facility Agent, in the form of Exhibit A or any other form approved by the Applicable Facility Agent.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has the meaning set forth in Section 6.04(a).</w:t>
      </w:r>
    </w:p>
    <w:p>
      <w:pPr>
        <w:spacing w:after="0" w:line="225"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Attributable Debt</w:t>
      </w:r>
      <w:r>
        <w:rPr>
          <w:rFonts w:ascii="Times New Roman" w:cs="Times New Roman" w:eastAsia="Times New Roman" w:hAnsi="Times New Roman"/>
          <w:sz w:val="18"/>
          <w:szCs w:val="18"/>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92" w:lineRule="exact"/>
        <w:rPr>
          <w:sz w:val="20"/>
          <w:szCs w:val="20"/>
          <w:color w:val="auto"/>
        </w:rPr>
      </w:pPr>
    </w:p>
    <w:p>
      <w:pPr>
        <w:ind w:right="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Bail-In Action</w:t>
      </w:r>
      <w:r>
        <w:rPr>
          <w:rFonts w:ascii="Times New Roman" w:cs="Times New Roman" w:eastAsia="Times New Roman" w:hAnsi="Times New Roman"/>
          <w:sz w:val="18"/>
          <w:szCs w:val="18"/>
          <w:color w:val="auto"/>
        </w:rPr>
        <w:t xml:space="preserve">” means the exercise of any Write-Down and Conversion Powers by the applicable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color w:val="auto"/>
        </w:rPr>
        <w:t xml:space="preserve"> Resolution Authority in respect of any liability of an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1060450</wp:posOffset>
            </wp:positionH>
            <wp:positionV relativeFrom="paragraph">
              <wp:posOffset>-13970</wp:posOffset>
            </wp:positionV>
            <wp:extent cx="394335" cy="8255"/>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extLst>
                    </a:blip>
                    <a:srcRect/>
                    <a:stretch>
                      <a:fillRect/>
                    </a:stretch>
                  </pic:blipFill>
                  <pic:spPr bwMode="auto">
                    <a:xfrm>
                      <a:off x="0" y="0"/>
                      <a:ext cx="394335" cy="8255"/>
                    </a:xfrm>
                    <a:prstGeom prst="rect">
                      <a:avLst/>
                    </a:prstGeom>
                    <a:noFill/>
                  </pic:spPr>
                </pic:pic>
              </a:graphicData>
            </a:graphic>
          </wp:anchor>
        </w:drawing>
      </w:r>
    </w:p>
    <w:p>
      <w:pPr>
        <w:spacing w:after="0" w:line="142"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0000FF"/>
        </w:rPr>
        <w:t>Bail-In Legislation</w:t>
      </w:r>
      <w:r>
        <w:rPr>
          <w:rFonts w:ascii="Times New Roman" w:cs="Times New Roman" w:eastAsia="Times New Roman" w:hAnsi="Times New Roman"/>
          <w:sz w:val="18"/>
          <w:szCs w:val="18"/>
          <w:color w:val="auto"/>
        </w:rPr>
        <w:t>” means</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0000FF"/>
        </w:rPr>
        <w:t>(a)</w:t>
      </w:r>
      <w:r>
        <w:rPr>
          <w:rFonts w:ascii="Times New Roman" w:cs="Times New Roman" w:eastAsia="Times New Roman" w:hAnsi="Times New Roman"/>
          <w:sz w:val="18"/>
          <w:szCs w:val="18"/>
          <w:color w:val="auto"/>
        </w:rPr>
        <w:t xml:space="preserve"> with respect to any EEA Member Country implementing Article 55 of Directive 2014/59/EU of the European Parliament and of the Council of the European Union, the implementing law</w:t>
      </w:r>
      <w:r>
        <w:rPr>
          <w:rFonts w:ascii="Times New Roman" w:cs="Times New Roman" w:eastAsia="Times New Roman" w:hAnsi="Times New Roman"/>
          <w:sz w:val="18"/>
          <w:szCs w:val="18"/>
          <w:u w:val="single" w:color="auto"/>
          <w:color w:val="0000FF"/>
        </w:rPr>
        <w:t>, regulation rule or requirement</w:t>
      </w:r>
      <w:r>
        <w:rPr>
          <w:rFonts w:ascii="Times New Roman" w:cs="Times New Roman" w:eastAsia="Times New Roman" w:hAnsi="Times New Roman"/>
          <w:sz w:val="18"/>
          <w:szCs w:val="18"/>
          <w:color w:val="auto"/>
        </w:rPr>
        <w:t xml:space="preserve"> for such EEA Member Country from time to time </w:t>
      </w:r>
      <w:r>
        <w:rPr>
          <w:rFonts w:ascii="Times New Roman" w:cs="Times New Roman" w:eastAsia="Times New Roman" w:hAnsi="Times New Roman"/>
          <w:sz w:val="18"/>
          <w:szCs w:val="18"/>
          <w:color w:val="FF4338"/>
          <w:strike w:val="1"/>
        </w:rPr>
        <w:t>that</w:t>
      </w:r>
      <w:r>
        <w:rPr>
          <w:rFonts w:ascii="Times New Roman" w:cs="Times New Roman" w:eastAsia="Times New Roman" w:hAnsi="Times New Roman"/>
          <w:sz w:val="18"/>
          <w:szCs w:val="18"/>
          <w:u w:val="single" w:color="auto"/>
          <w:color w:val="0000FF"/>
        </w:rPr>
        <w:t>which</w:t>
      </w:r>
      <w:r>
        <w:rPr>
          <w:rFonts w:ascii="Times New Roman" w:cs="Times New Roman" w:eastAsia="Times New Roman" w:hAnsi="Times New Roman"/>
          <w:sz w:val="18"/>
          <w:szCs w:val="18"/>
          <w:color w:val="auto"/>
        </w:rPr>
        <w:t xml:space="preserve"> is described in the EU Bail-In Legislation Schedule</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0000FF"/>
        </w:rPr>
        <w:t>and (b) with respect to the United Kingdom, Part I of the United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Kingdom Banking Act 2009 (as amended from time to time) and any other law, regulation or rule applicable in the United Kingdom relating to the resolution of unsound or failing banks, investment firms or other financial institutions or their affiliates (other than through liquidation, administration or other insolvency proceedings).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674370</wp:posOffset>
            </wp:positionH>
            <wp:positionV relativeFrom="paragraph">
              <wp:posOffset>-683260</wp:posOffset>
            </wp:positionV>
            <wp:extent cx="865505" cy="8255"/>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extLst>
                    </a:blip>
                    <a:srcRect/>
                    <a:stretch>
                      <a:fillRect/>
                    </a:stretch>
                  </pic:blipFill>
                  <pic:spPr bwMode="auto">
                    <a:xfrm>
                      <a:off x="0" y="0"/>
                      <a:ext cx="865505" cy="8255"/>
                    </a:xfrm>
                    <a:prstGeom prst="rect">
                      <a:avLst/>
                    </a:prstGeom>
                    <a:noFill/>
                  </pic:spPr>
                </pic:pic>
              </a:graphicData>
            </a:graphic>
          </wp:anchor>
        </w:drawing>
        <w:drawing>
          <wp:anchor simplePos="0" relativeHeight="251657728" behindDoc="1" locked="0" layoutInCell="0" allowOverlap="1">
            <wp:simplePos x="0" y="0"/>
            <wp:positionH relativeFrom="column">
              <wp:posOffset>1943100</wp:posOffset>
            </wp:positionH>
            <wp:positionV relativeFrom="paragraph">
              <wp:posOffset>-683260</wp:posOffset>
            </wp:positionV>
            <wp:extent cx="154305" cy="8255"/>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extLst>
                    </a:blip>
                    <a:srcRect/>
                    <a:stretch>
                      <a:fillRect/>
                    </a:stretch>
                  </pic:blipFill>
                  <pic:spPr bwMode="auto">
                    <a:xfrm>
                      <a:off x="0" y="0"/>
                      <a:ext cx="154305" cy="8255"/>
                    </a:xfrm>
                    <a:prstGeom prst="rect">
                      <a:avLst/>
                    </a:prstGeom>
                    <a:noFill/>
                  </pic:spPr>
                </pic:pic>
              </a:graphicData>
            </a:graphic>
          </wp:anchor>
        </w:drawing>
        <w:drawing>
          <wp:anchor simplePos="0" relativeHeight="251657728" behindDoc="1" locked="0" layoutInCell="0" allowOverlap="1">
            <wp:simplePos x="0" y="0"/>
            <wp:positionH relativeFrom="column">
              <wp:posOffset>1943735</wp:posOffset>
            </wp:positionH>
            <wp:positionV relativeFrom="paragraph">
              <wp:posOffset>-717550</wp:posOffset>
            </wp:positionV>
            <wp:extent cx="154940" cy="8255"/>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extLst>
                    </a:blip>
                    <a:srcRect/>
                    <a:stretch>
                      <a:fillRect/>
                    </a:stretch>
                  </pic:blipFill>
                  <pic:spPr bwMode="auto">
                    <a:xfrm>
                      <a:off x="0" y="0"/>
                      <a:ext cx="154940" cy="8255"/>
                    </a:xfrm>
                    <a:prstGeom prst="rect">
                      <a:avLst/>
                    </a:prstGeom>
                    <a:noFill/>
                  </pic:spPr>
                </pic:pic>
              </a:graphicData>
            </a:graphic>
          </wp:anchor>
        </w:drawing>
        <w:drawing>
          <wp:anchor simplePos="0" relativeHeight="251657728" behindDoc="1" locked="0" layoutInCell="0" allowOverlap="1">
            <wp:simplePos x="0" y="0"/>
            <wp:positionH relativeFrom="column">
              <wp:posOffset>3957955</wp:posOffset>
            </wp:positionH>
            <wp:positionV relativeFrom="paragraph">
              <wp:posOffset>-546100</wp:posOffset>
            </wp:positionV>
            <wp:extent cx="1431290" cy="8255"/>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extLst>
                    </a:blip>
                    <a:srcRect/>
                    <a:stretch>
                      <a:fillRect/>
                    </a:stretch>
                  </pic:blipFill>
                  <pic:spPr bwMode="auto">
                    <a:xfrm>
                      <a:off x="0" y="0"/>
                      <a:ext cx="1431290" cy="8255"/>
                    </a:xfrm>
                    <a:prstGeom prst="rect">
                      <a:avLst/>
                    </a:prstGeom>
                    <a:noFill/>
                  </pic:spPr>
                </pic:pic>
              </a:graphicData>
            </a:graphic>
          </wp:anchor>
        </w:drawing>
        <w:drawing>
          <wp:anchor simplePos="0" relativeHeight="251657728" behindDoc="1" locked="0" layoutInCell="0" allowOverlap="1">
            <wp:simplePos x="0" y="0"/>
            <wp:positionH relativeFrom="column">
              <wp:posOffset>1000125</wp:posOffset>
            </wp:positionH>
            <wp:positionV relativeFrom="paragraph">
              <wp:posOffset>-408940</wp:posOffset>
            </wp:positionV>
            <wp:extent cx="283210" cy="889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extLst>
                    </a:blip>
                    <a:srcRect/>
                    <a:stretch>
                      <a:fillRect/>
                    </a:stretch>
                  </pic:blipFill>
                  <pic:spPr bwMode="auto">
                    <a:xfrm>
                      <a:off x="0" y="0"/>
                      <a:ext cx="283210" cy="8890"/>
                    </a:xfrm>
                    <a:prstGeom prst="rect">
                      <a:avLst/>
                    </a:prstGeom>
                    <a:noFill/>
                  </pic:spPr>
                </pic:pic>
              </a:graphicData>
            </a:graphic>
          </wp:anchor>
        </w:drawing>
        <w:drawing>
          <wp:anchor simplePos="0" relativeHeight="251657728" behindDoc="1" locked="0" layoutInCell="0" allowOverlap="1">
            <wp:simplePos x="0" y="0"/>
            <wp:positionH relativeFrom="column">
              <wp:posOffset>3683635</wp:posOffset>
            </wp:positionH>
            <wp:positionV relativeFrom="paragraph">
              <wp:posOffset>-408940</wp:posOffset>
            </wp:positionV>
            <wp:extent cx="2966085" cy="889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extLst>
                    </a:blip>
                    <a:srcRect/>
                    <a:stretch>
                      <a:fillRect/>
                    </a:stretch>
                  </pic:blipFill>
                  <pic:spPr bwMode="auto">
                    <a:xfrm>
                      <a:off x="0" y="0"/>
                      <a:ext cx="2966085" cy="8890"/>
                    </a:xfrm>
                    <a:prstGeom prst="rect">
                      <a:avLst/>
                    </a:prstGeom>
                    <a:noFill/>
                  </pic:spPr>
                </pic:pic>
              </a:graphicData>
            </a:graphic>
          </wp:anchor>
        </w:drawing>
        <w:drawing>
          <wp:anchor simplePos="0" relativeHeight="251657728" behindDoc="1" locked="0" layoutInCell="0" allowOverlap="1">
            <wp:simplePos x="0" y="0"/>
            <wp:positionH relativeFrom="column">
              <wp:posOffset>3687445</wp:posOffset>
            </wp:positionH>
            <wp:positionV relativeFrom="paragraph">
              <wp:posOffset>-443230</wp:posOffset>
            </wp:positionV>
            <wp:extent cx="2963545" cy="8255"/>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extLst>
                    </a:blip>
                    <a:srcRect/>
                    <a:stretch>
                      <a:fillRect/>
                    </a:stretch>
                  </pic:blipFill>
                  <pic:spPr bwMode="auto">
                    <a:xfrm>
                      <a:off x="0" y="0"/>
                      <a:ext cx="296354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-271780</wp:posOffset>
            </wp:positionV>
            <wp:extent cx="6703695" cy="8255"/>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extLst>
                    </a:blip>
                    <a:srcRect/>
                    <a:stretch>
                      <a:fillRect/>
                    </a:stretch>
                  </pic:blipFill>
                  <pic:spPr bwMode="auto">
                    <a:xfrm>
                      <a:off x="0" y="0"/>
                      <a:ext cx="670369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-134620</wp:posOffset>
            </wp:positionV>
            <wp:extent cx="6986270" cy="8255"/>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1905</wp:posOffset>
            </wp:positionV>
            <wp:extent cx="1405890" cy="825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extLst>
                    </a:blip>
                    <a:srcRect/>
                    <a:stretch>
                      <a:fillRect/>
                    </a:stretch>
                  </pic:blipFill>
                  <pic:spPr bwMode="auto">
                    <a:xfrm>
                      <a:off x="0" y="0"/>
                      <a:ext cx="1405890" cy="8255"/>
                    </a:xfrm>
                    <a:prstGeom prst="rect">
                      <a:avLst/>
                    </a:prstGeom>
                    <a:noFill/>
                  </pic:spPr>
                </pic:pic>
              </a:graphicData>
            </a:graphic>
          </wp:anchor>
        </w:drawing>
      </w:r>
    </w:p>
    <w:p>
      <w:pPr>
        <w:spacing w:after="0" w:line="167" w:lineRule="exact"/>
        <w:rPr>
          <w:sz w:val="20"/>
          <w:szCs w:val="20"/>
          <w:color w:val="auto"/>
        </w:rPr>
      </w:pPr>
    </w:p>
    <w:p>
      <w:pPr>
        <w:ind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Bankruptcy Event</w:t>
      </w:r>
      <w:r>
        <w:rPr>
          <w:rFonts w:ascii="Times New Roman" w:cs="Times New Roman" w:eastAsia="Times New Roman" w:hAnsi="Times New Roman"/>
          <w:sz w:val="18"/>
          <w:szCs w:val="18"/>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Applicable Facility Agent, has taken any action in furtherance of, or indicating its consent to, approval of or acquiescence in, any such proceeding or appointment;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Bankruptcy Event shall not result solely by virtue of any ownership interest, or the acquisition of any ownership interest, in such Person by a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70" w:right="459" w:bottom="1440" w:gutter="0" w:footer="0" w:header="0"/>
        </w:sectPr>
      </w:pPr>
    </w:p>
    <w:bookmarkStart w:id="308" w:name="page309"/>
    <w:bookmarkEnd w:id="308"/>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Beneficial Ownership Certification</w:t>
      </w:r>
      <w:r>
        <w:rPr>
          <w:rFonts w:ascii="Times New Roman" w:cs="Times New Roman" w:eastAsia="Times New Roman" w:hAnsi="Times New Roman"/>
          <w:sz w:val="18"/>
          <w:szCs w:val="18"/>
          <w:color w:val="auto"/>
        </w:rPr>
        <w:t>” means a certification regarding beneficial ownership as required by the Beneficial Ownership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Regulation.</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Beneficial Ownership Regulation</w:t>
      </w:r>
      <w:r>
        <w:rPr>
          <w:rFonts w:ascii="Times New Roman" w:cs="Times New Roman" w:eastAsia="Times New Roman" w:hAnsi="Times New Roman"/>
          <w:sz w:val="18"/>
          <w:szCs w:val="18"/>
          <w:color w:val="auto"/>
        </w:rPr>
        <w:t>” means 31 C.F.R. § 1010.230.</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Board of Governors</w:t>
      </w:r>
      <w:r>
        <w:rPr>
          <w:rFonts w:ascii="Times New Roman" w:cs="Times New Roman" w:eastAsia="Times New Roman" w:hAnsi="Times New Roman"/>
          <w:sz w:val="18"/>
          <w:szCs w:val="18"/>
          <w:color w:val="auto"/>
        </w:rPr>
        <w:t>” means the Board of Governors of the Federal Reserve System of the United States of America.</w:t>
      </w:r>
    </w:p>
    <w:p>
      <w:pPr>
        <w:spacing w:after="0" w:line="225" w:lineRule="exact"/>
        <w:rPr>
          <w:sz w:val="20"/>
          <w:szCs w:val="20"/>
          <w:color w:val="auto"/>
        </w:rPr>
      </w:pPr>
    </w:p>
    <w:p>
      <w:pPr>
        <w:ind w:right="2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Borrowing</w:t>
      </w:r>
      <w:r>
        <w:rPr>
          <w:rFonts w:ascii="Times New Roman" w:cs="Times New Roman" w:eastAsia="Times New Roman" w:hAnsi="Times New Roman"/>
          <w:sz w:val="18"/>
          <w:szCs w:val="18"/>
          <w:color w:val="auto"/>
        </w:rPr>
        <w:t>” means Loans of the same Class and Type made, converted or continued on the same date and, in the case of Eurocurrency Loans, as to which a single Interest Period is in effect.</w:t>
      </w:r>
    </w:p>
    <w:p>
      <w:pPr>
        <w:spacing w:after="0" w:line="162"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Borrowing Request</w:t>
      </w:r>
      <w:r>
        <w:rPr>
          <w:rFonts w:ascii="Times New Roman" w:cs="Times New Roman" w:eastAsia="Times New Roman" w:hAnsi="Times New Roman"/>
          <w:sz w:val="18"/>
          <w:szCs w:val="18"/>
          <w:color w:val="auto"/>
        </w:rPr>
        <w:t>” means a request by the Company for a Borrowing in accordance with Section 2.03, which shall be, in the case of any such written request, in the form of Exhibit B or any other form approved by the Applicable Facility Agent.</w:t>
      </w:r>
    </w:p>
    <w:p>
      <w:pPr>
        <w:spacing w:after="0" w:line="162" w:lineRule="exact"/>
        <w:rPr>
          <w:sz w:val="20"/>
          <w:szCs w:val="20"/>
          <w:color w:val="auto"/>
        </w:rPr>
      </w:pPr>
    </w:p>
    <w:p>
      <w:pPr>
        <w:ind w:right="2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Commitment</w:t>
      </w:r>
      <w:r>
        <w:rPr>
          <w:rFonts w:ascii="Times New Roman" w:cs="Times New Roman" w:eastAsia="Times New Roman" w:hAnsi="Times New Roman"/>
          <w:sz w:val="18"/>
          <w:szCs w:val="18"/>
          <w:color w:val="auto"/>
        </w:rPr>
        <w:t>” means, with respect to any Lender, the commitment, if any, of such Lender, established pursuant to Section 2.18 and the Bridge Facility Agreement, to make a Bridge Loan hereunder, expressed as an amount representing the maximum principal amount of the Bridge Loan to be made by such Lender.</w:t>
      </w:r>
    </w:p>
    <w:p>
      <w:pPr>
        <w:spacing w:after="0" w:line="176" w:lineRule="exact"/>
        <w:rPr>
          <w:sz w:val="20"/>
          <w:szCs w:val="20"/>
          <w:color w:val="auto"/>
        </w:rPr>
      </w:pPr>
    </w:p>
    <w:p>
      <w:pPr>
        <w:ind w:right="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Facility</w:t>
      </w:r>
      <w:r>
        <w:rPr>
          <w:rFonts w:ascii="Times New Roman" w:cs="Times New Roman" w:eastAsia="Times New Roman" w:hAnsi="Times New Roman"/>
          <w:sz w:val="18"/>
          <w:szCs w:val="18"/>
          <w:color w:val="auto"/>
        </w:rPr>
        <w:t>” means the bridge loan facility, if any, established hereunder pursuant to Section 2.18 and the Bridge Facility Agreement, including the Bridge Commitments and the Bridge Loans.</w:t>
      </w:r>
    </w:p>
    <w:p>
      <w:pPr>
        <w:spacing w:after="0" w:line="162"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Facility Agent</w:t>
      </w:r>
      <w:r>
        <w:rPr>
          <w:rFonts w:ascii="Times New Roman" w:cs="Times New Roman" w:eastAsia="Times New Roman" w:hAnsi="Times New Roman"/>
          <w:sz w:val="18"/>
          <w:szCs w:val="18"/>
          <w:color w:val="auto"/>
        </w:rPr>
        <w:t>” means Goldman Sachs Bank USA, in its capacity as the administrative agent hereunder and under the other Loan Documents with respect to the Bridge Facility, and its successors in such capacity as provided in Article VIII.</w:t>
      </w:r>
    </w:p>
    <w:p>
      <w:pPr>
        <w:spacing w:after="0" w:line="162"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Facility Agreement</w:t>
      </w:r>
      <w:r>
        <w:rPr>
          <w:rFonts w:ascii="Times New Roman" w:cs="Times New Roman" w:eastAsia="Times New Roman" w:hAnsi="Times New Roman"/>
          <w:sz w:val="18"/>
          <w:szCs w:val="18"/>
          <w:color w:val="auto"/>
        </w:rPr>
        <w:t>” means a Bridge Facility Agreement, in form and substance reasonably satisfactory to the Company and the Bridge Facility Agent, among the Company, the Bridge Facility Agent and the Bridge Lenders, establishing the Bridge Commitments and effecting such other amendments hereto and to the other Loan Documents as are contemplated by Section 2.18.</w:t>
      </w:r>
    </w:p>
    <w:p>
      <w:pPr>
        <w:spacing w:after="0" w:line="176" w:lineRule="exact"/>
        <w:rPr>
          <w:sz w:val="20"/>
          <w:szCs w:val="20"/>
          <w:color w:val="auto"/>
        </w:rPr>
      </w:pPr>
    </w:p>
    <w:p>
      <w:pPr>
        <w:ind w:right="3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Facility Amount</w:t>
      </w:r>
      <w:r>
        <w:rPr>
          <w:rFonts w:ascii="Times New Roman" w:cs="Times New Roman" w:eastAsia="Times New Roman" w:hAnsi="Times New Roman"/>
          <w:sz w:val="18"/>
          <w:szCs w:val="18"/>
          <w:color w:val="auto"/>
        </w:rPr>
        <w:t>” means, at any time, the lesser of (a) $850,000,000 and (b) the maximum principal amount of the bridge loan facility referred to in, and as determined at such time under, the Commitment Letter.</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Lender</w:t>
      </w:r>
      <w:r>
        <w:rPr>
          <w:rFonts w:ascii="Times New Roman" w:cs="Times New Roman" w:eastAsia="Times New Roman" w:hAnsi="Times New Roman"/>
          <w:sz w:val="18"/>
          <w:szCs w:val="18"/>
          <w:color w:val="auto"/>
        </w:rPr>
        <w:t>” means a Lender with a Bridge Commitment or an outstanding Bridge Loan.</w:t>
      </w:r>
    </w:p>
    <w:p>
      <w:pPr>
        <w:spacing w:after="0" w:line="225" w:lineRule="exact"/>
        <w:rPr>
          <w:sz w:val="20"/>
          <w:szCs w:val="20"/>
          <w:color w:val="auto"/>
        </w:rPr>
      </w:pPr>
    </w:p>
    <w:p>
      <w:pPr>
        <w:jc w:val="center"/>
        <w:ind w:right="20"/>
        <w:spacing w:after="0" w:line="4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Bridge Loan</w:t>
      </w:r>
      <w:r>
        <w:rPr>
          <w:rFonts w:ascii="Times New Roman" w:cs="Times New Roman" w:eastAsia="Times New Roman" w:hAnsi="Times New Roman"/>
          <w:sz w:val="18"/>
          <w:szCs w:val="18"/>
          <w:color w:val="auto"/>
        </w:rPr>
        <w:t>” means a Loan made by a Lender to the Company pursuant to Section 2.18 and the Bridge Facility Agreement. 6</w:t>
      </w:r>
    </w:p>
    <w:p>
      <w:pPr>
        <w:sectPr>
          <w:pgSz w:w="11900" w:h="16838" w:orient="portrait"/>
          <w:cols w:equalWidth="0" w:num="1">
            <w:col w:w="11020"/>
          </w:cols>
          <w:pgMar w:left="440" w:top="270" w:right="439" w:bottom="1440" w:gutter="0" w:footer="0" w:header="0"/>
        </w:sectPr>
      </w:pPr>
    </w:p>
    <w:bookmarkStart w:id="309" w:name="page310"/>
    <w:bookmarkEnd w:id="309"/>
    <w:p>
      <w:pPr>
        <w:ind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Business Day</w:t>
      </w:r>
      <w:r>
        <w:rPr>
          <w:rFonts w:ascii="Times New Roman" w:cs="Times New Roman" w:eastAsia="Times New Roman" w:hAnsi="Times New Roman"/>
          <w:sz w:val="18"/>
          <w:szCs w:val="18"/>
          <w:color w:val="auto"/>
        </w:rPr>
        <w:t xml:space="preserve">” means any day that is not a Saturday, Sunday or other day on which commercial banks in New York City are authorized or required by law to remain closed;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76" w:lineRule="exact"/>
        <w:rPr>
          <w:sz w:val="20"/>
          <w:szCs w:val="20"/>
          <w:color w:val="auto"/>
        </w:rPr>
      </w:pPr>
    </w:p>
    <w:p>
      <w:pPr>
        <w:ind w:right="12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Capital Lease Obligations</w:t>
      </w:r>
      <w:r>
        <w:rPr>
          <w:rFonts w:ascii="Times New Roman" w:cs="Times New Roman" w:eastAsia="Times New Roman" w:hAnsi="Times New Roman"/>
          <w:sz w:val="18"/>
          <w:szCs w:val="18"/>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w:t>
      </w:r>
      <w:r>
        <w:rPr>
          <w:rFonts w:ascii="Times New Roman" w:cs="Times New Roman" w:eastAsia="Times New Roman" w:hAnsi="Times New Roman"/>
          <w:sz w:val="18"/>
          <w:szCs w:val="18"/>
          <w:color w:val="auto"/>
        </w:rPr>
        <w:t>” means Cavium, Inc., a Delaware corporation.</w:t>
      </w:r>
    </w:p>
    <w:p>
      <w:pPr>
        <w:spacing w:after="0" w:line="225"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Acquisition</w:t>
      </w:r>
      <w:r>
        <w:rPr>
          <w:rFonts w:ascii="Times New Roman" w:cs="Times New Roman" w:eastAsia="Times New Roman" w:hAnsi="Times New Roman"/>
          <w:sz w:val="18"/>
          <w:szCs w:val="18"/>
          <w:color w:val="auto"/>
        </w:rPr>
        <w:t>” means the acquisition by the Company of Cavium pursuant to the Cavium Acquisition Agreement, in accordance with which Merger Sub will merge with and into Cavium, with Cavium surviving such merger as a wholly owned Subsidiary.</w:t>
      </w:r>
    </w:p>
    <w:p>
      <w:pPr>
        <w:spacing w:after="0" w:line="162" w:lineRule="exact"/>
        <w:rPr>
          <w:sz w:val="20"/>
          <w:szCs w:val="20"/>
          <w:color w:val="auto"/>
        </w:rPr>
      </w:pPr>
    </w:p>
    <w:p>
      <w:pPr>
        <w:ind w:right="3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Acquisition Agreement</w:t>
      </w:r>
      <w:r>
        <w:rPr>
          <w:rFonts w:ascii="Times New Roman" w:cs="Times New Roman" w:eastAsia="Times New Roman" w:hAnsi="Times New Roman"/>
          <w:sz w:val="18"/>
          <w:szCs w:val="18"/>
          <w:color w:val="auto"/>
        </w:rPr>
        <w:t>” means the agreement and plan of merger dated as of November 19, 2017 (including the exhibits and schedules thereto and all related documents), among the Company, Merger Sub and Cavium.</w:t>
      </w:r>
    </w:p>
    <w:p>
      <w:pPr>
        <w:spacing w:after="0" w:line="162" w:lineRule="exact"/>
        <w:rPr>
          <w:sz w:val="20"/>
          <w:szCs w:val="20"/>
          <w:color w:val="auto"/>
        </w:rPr>
      </w:pPr>
    </w:p>
    <w:p>
      <w:pPr>
        <w:jc w:val="both"/>
        <w:ind w:right="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Acquisition Indebtedness</w:t>
      </w:r>
      <w:r>
        <w:rPr>
          <w:rFonts w:ascii="Times New Roman" w:cs="Times New Roman" w:eastAsia="Times New Roman" w:hAnsi="Times New Roman"/>
          <w:sz w:val="18"/>
          <w:szCs w:val="18"/>
          <w:color w:val="auto"/>
        </w:rPr>
        <w:t>” means any Indebtedness (other than the Loans) incurred to finance, in part, the Cavium Acquisition, the Cavium Debt Refinancing and the payment of fees and expenses related to the Transactions or to refinance any Bridge Loans, and any Indebtedness that represents an extension, renewal or refinancing thereof.</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Business</w:t>
      </w:r>
      <w:r>
        <w:rPr>
          <w:rFonts w:ascii="Times New Roman" w:cs="Times New Roman" w:eastAsia="Times New Roman" w:hAnsi="Times New Roman"/>
          <w:sz w:val="18"/>
          <w:szCs w:val="18"/>
          <w:color w:val="auto"/>
        </w:rPr>
        <w:t>” means, collectively, Cavium and its subsidiaries.</w:t>
      </w:r>
    </w:p>
    <w:p>
      <w:pPr>
        <w:spacing w:after="0" w:line="225" w:lineRule="exact"/>
        <w:rPr>
          <w:sz w:val="20"/>
          <w:szCs w:val="20"/>
          <w:color w:val="auto"/>
        </w:rPr>
      </w:pPr>
    </w:p>
    <w:p>
      <w:pPr>
        <w:ind w:right="8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Business Representations</w:t>
      </w:r>
      <w:r>
        <w:rPr>
          <w:rFonts w:ascii="Times New Roman" w:cs="Times New Roman" w:eastAsia="Times New Roman" w:hAnsi="Times New Roman"/>
          <w:sz w:val="18"/>
          <w:szCs w:val="18"/>
          <w:color w:val="auto"/>
        </w:rPr>
        <w:t>” means such representations and warranties made by or with respect to the Cavium Business in the Cavium Acquisition Agreement as are material to the interests of the Lenders, but only to the extent that the Company or its Affiliates (a) have the right to not consummate the Cavium Acquisition or to terminate their respective obligations or (b) otherwise do not have an obligation to close, in each case, under the Cavium Acquisition Agreement as a result of a failure of such representations and warranties in the Cavium Acquisition Agreement to be true and correct.</w:t>
      </w:r>
    </w:p>
    <w:p>
      <w:pPr>
        <w:spacing w:after="0" w:line="183" w:lineRule="exact"/>
        <w:rPr>
          <w:sz w:val="20"/>
          <w:szCs w:val="20"/>
          <w:color w:val="auto"/>
        </w:rPr>
      </w:pPr>
    </w:p>
    <w:p>
      <w:pPr>
        <w:ind w:right="2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Cavium Debt Refinancing</w:t>
      </w:r>
      <w:r>
        <w:rPr>
          <w:rFonts w:ascii="Times New Roman" w:cs="Times New Roman" w:eastAsia="Times New Roman" w:hAnsi="Times New Roman"/>
          <w:sz w:val="18"/>
          <w:szCs w:val="18"/>
          <w:color w:val="auto"/>
        </w:rPr>
        <w:t>” means the repayment in full of all principal, premium, if any, interest, fees and other amounts due or outstanding under the Credit Agreement dated as of August 16, 2016, of Cavium, as amended, and all other third party Indebtedness of the Cavium Business that becomes due or otherwise defaults upon the consummation of the Cavium Acquisition, the termination of the commitments outstanding thereunder and the discharge and release of all Guarantees and Liens existing in connection therewith.</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0"/>
          </w:cols>
          <w:pgMar w:left="440" w:top="270" w:right="459" w:bottom="1440" w:gutter="0" w:footer="0" w:header="0"/>
        </w:sectPr>
      </w:pPr>
    </w:p>
    <w:bookmarkStart w:id="310" w:name="page311"/>
    <w:bookmarkEnd w:id="310"/>
    <w:p>
      <w:pPr>
        <w:ind w:left="4" w:firstLine="991"/>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 “</w:t>
      </w:r>
      <w:r>
        <w:rPr>
          <w:rFonts w:ascii="Times New Roman" w:cs="Times New Roman" w:eastAsia="Times New Roman" w:hAnsi="Times New Roman"/>
          <w:sz w:val="18"/>
          <w:szCs w:val="18"/>
          <w:u w:val="single" w:color="auto"/>
          <w:color w:val="auto"/>
        </w:rPr>
        <w:t>Change in Control</w:t>
      </w:r>
      <w:r>
        <w:rPr>
          <w:rFonts w:ascii="Times New Roman" w:cs="Times New Roman" w:eastAsia="Times New Roman" w:hAnsi="Times New Roman"/>
          <w:sz w:val="18"/>
          <w:szCs w:val="18"/>
          <w:color w:val="auto"/>
        </w:rPr>
        <w:t xml:space="preserve">” shall be deemed to have occurred if (a) any Person or group of Persons (other than the New Holding Company pursuant to the Permitted Reorganization)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a majority of directors then in office) cease to constitute a majority of the Board of Directors of the Company,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or (d) following the consummation of the Permitted Reorganization, the Company shall cease to be a wholly owned subsidiary of the New Holding Company. </w:t>
      </w:r>
      <w:r>
        <w:rPr>
          <w:rFonts w:ascii="Times New Roman" w:cs="Times New Roman" w:eastAsia="Times New Roman" w:hAnsi="Times New Roman"/>
          <w:sz w:val="18"/>
          <w:szCs w:val="18"/>
          <w:u w:val="single" w:color="auto"/>
          <w:color w:val="0000FF"/>
        </w:rPr>
        <w:t>Notwithstanding the foregoing, the acquisition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by Maui Topco of beneficial ownership of the outstanding Voting Shares in the Company pursuant to the Inphi Acquisition Permitted Reorganization shall not constitute a Change in Control.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4826000</wp:posOffset>
            </wp:positionH>
            <wp:positionV relativeFrom="paragraph">
              <wp:posOffset>-270510</wp:posOffset>
            </wp:positionV>
            <wp:extent cx="2160270" cy="8255"/>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extLst>
                    </a:blip>
                    <a:srcRect/>
                    <a:stretch>
                      <a:fillRect/>
                    </a:stretch>
                  </pic:blipFill>
                  <pic:spPr bwMode="auto">
                    <a:xfrm>
                      <a:off x="0" y="0"/>
                      <a:ext cx="2160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-133350</wp:posOffset>
            </wp:positionV>
            <wp:extent cx="6814820" cy="8255"/>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extLst>
                    </a:blip>
                    <a:srcRect/>
                    <a:stretch>
                      <a:fillRect/>
                    </a:stretch>
                  </pic:blipFill>
                  <pic:spPr bwMode="auto">
                    <a:xfrm>
                      <a:off x="0" y="0"/>
                      <a:ext cx="681482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3175</wp:posOffset>
            </wp:positionV>
            <wp:extent cx="1842770" cy="8255"/>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170" w:lineRule="exact"/>
        <w:rPr>
          <w:sz w:val="20"/>
          <w:szCs w:val="20"/>
          <w:color w:val="auto"/>
        </w:rPr>
      </w:pPr>
    </w:p>
    <w:p>
      <w:pPr>
        <w:ind w:left="4" w:right="20"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Change in Law</w:t>
      </w:r>
      <w:r>
        <w:rPr>
          <w:rFonts w:ascii="Times New Roman" w:cs="Times New Roman" w:eastAsia="Times New Roman" w:hAnsi="Times New Roman"/>
          <w:sz w:val="18"/>
          <w:szCs w:val="18"/>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9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has the meaning set forth in Section 9.13.</w:t>
      </w:r>
    </w:p>
    <w:p>
      <w:pPr>
        <w:spacing w:after="0" w:line="225" w:lineRule="exact"/>
        <w:rPr>
          <w:sz w:val="20"/>
          <w:szCs w:val="20"/>
          <w:color w:val="auto"/>
        </w:rPr>
      </w:pPr>
    </w:p>
    <w:p>
      <w:pPr>
        <w:ind w:left="4"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Class</w:t>
      </w:r>
      <w:r>
        <w:rPr>
          <w:rFonts w:ascii="Times New Roman" w:cs="Times New Roman" w:eastAsia="Times New Roman" w:hAnsi="Times New Roman"/>
          <w:sz w:val="18"/>
          <w:szCs w:val="18"/>
          <w:color w:val="auto"/>
        </w:rPr>
        <w:t>”, when used in reference to (a) any Loan or Borrowing, refers to whether such Loan, or the Loans comprising such Borrowing, are Term Loans or Revolving Loans, (b) any Commitment, refers to whether such Commitment is a Term Commitment or a Revolving Commitment and</w:t>
      </w:r>
    </w:p>
    <w:p>
      <w:pPr>
        <w:ind w:left="984" w:right="4160" w:hanging="984"/>
        <w:spacing w:after="0" w:line="490" w:lineRule="auto"/>
        <w:tabs>
          <w:tab w:leader="none" w:pos="237" w:val="left"/>
        </w:tabs>
        <w:numPr>
          <w:ilvl w:val="0"/>
          <w:numId w:val="2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Lender, refers to whether such Lender has a Loan or Commitment of a particular Class. “</w:t>
      </w:r>
      <w:r>
        <w:rPr>
          <w:rFonts w:ascii="Times New Roman" w:cs="Times New Roman" w:eastAsia="Times New Roman" w:hAnsi="Times New Roman"/>
          <w:sz w:val="18"/>
          <w:szCs w:val="18"/>
          <w:u w:val="single" w:color="auto"/>
          <w:color w:val="auto"/>
        </w:rPr>
        <w:t>Clean-up Period</w:t>
      </w:r>
      <w:r>
        <w:rPr>
          <w:rFonts w:ascii="Times New Roman" w:cs="Times New Roman" w:eastAsia="Times New Roman" w:hAnsi="Times New Roman"/>
          <w:sz w:val="18"/>
          <w:szCs w:val="18"/>
          <w:color w:val="auto"/>
        </w:rPr>
        <w:t>” has the meaning set forth in Section 7.02.</w:t>
      </w:r>
    </w:p>
    <w:p>
      <w:pPr>
        <w:jc w:val="right"/>
        <w:ind w:right="542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Code</w:t>
      </w:r>
      <w:r>
        <w:rPr>
          <w:rFonts w:ascii="Times New Roman" w:cs="Times New Roman" w:eastAsia="Times New Roman" w:hAnsi="Times New Roman"/>
          <w:sz w:val="18"/>
          <w:szCs w:val="18"/>
          <w:color w:val="auto"/>
        </w:rPr>
        <w:t>” means the Internal Revenue Code of 1986, as amended.</w:t>
      </w:r>
    </w:p>
    <w:p>
      <w:pPr>
        <w:spacing w:after="0" w:line="158" w:lineRule="exact"/>
        <w:rPr>
          <w:sz w:val="20"/>
          <w:szCs w:val="20"/>
          <w:color w:val="auto"/>
        </w:rPr>
      </w:pPr>
    </w:p>
    <w:p>
      <w:pPr>
        <w:jc w:val="right"/>
        <w:ind w:right="5460"/>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4"/>
          </w:cols>
          <w:pgMar w:left="436" w:top="270" w:right="459" w:bottom="1440" w:gutter="0" w:footer="0" w:header="0"/>
        </w:sectPr>
      </w:pPr>
    </w:p>
    <w:bookmarkStart w:id="311" w:name="page312"/>
    <w:bookmarkEnd w:id="311"/>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Commitment</w:t>
      </w:r>
      <w:r>
        <w:rPr>
          <w:rFonts w:ascii="Times New Roman" w:cs="Times New Roman" w:eastAsia="Times New Roman" w:hAnsi="Times New Roman"/>
          <w:sz w:val="18"/>
          <w:szCs w:val="18"/>
          <w:color w:val="auto"/>
        </w:rPr>
        <w:t>” means a Revolving Commitment or a Term Commitment.</w:t>
      </w:r>
    </w:p>
    <w:p>
      <w:pPr>
        <w:spacing w:after="0" w:line="225" w:lineRule="exact"/>
        <w:rPr>
          <w:sz w:val="20"/>
          <w:szCs w:val="20"/>
          <w:color w:val="auto"/>
        </w:rPr>
      </w:pPr>
    </w:p>
    <w:p>
      <w:pPr>
        <w:ind w:right="1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Commitment Letter</w:t>
      </w:r>
      <w:r>
        <w:rPr>
          <w:rFonts w:ascii="Times New Roman" w:cs="Times New Roman" w:eastAsia="Times New Roman" w:hAnsi="Times New Roman"/>
          <w:sz w:val="18"/>
          <w:szCs w:val="18"/>
          <w:color w:val="auto"/>
        </w:rPr>
        <w:t>” means the Commitment Letter dated November 19, 2017, among the Company, Goldman Sachs Bank USA, Bank of America, N.A. and Merrill Lynch, Pierce, Fenner &amp; Smith Incorporated, as supplemented by the Joinder to the Commitment Letter dated December 8, 2017.</w:t>
      </w:r>
    </w:p>
    <w:p>
      <w:pPr>
        <w:spacing w:after="0" w:line="176"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Communications</w:t>
      </w:r>
      <w:r>
        <w:rPr>
          <w:rFonts w:ascii="Times New Roman" w:cs="Times New Roman" w:eastAsia="Times New Roman" w:hAnsi="Times New Roman"/>
          <w:sz w:val="18"/>
          <w:szCs w:val="18"/>
          <w:color w:val="auto"/>
        </w:rPr>
        <w:t>” means, collectively, any notice, demand, communication, information, document or other material provided by or on behalf of the Company pursuant to any Loan Document or the transactions contemplated therein that is distributed to any Agent or any Lender by means of electronic communications pursuant to Section 9.01, including through the Platform.</w:t>
      </w:r>
    </w:p>
    <w:p>
      <w:pPr>
        <w:spacing w:after="0" w:line="176"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Company</w:t>
      </w:r>
      <w:r>
        <w:rPr>
          <w:rFonts w:ascii="Times New Roman" w:cs="Times New Roman" w:eastAsia="Times New Roman" w:hAnsi="Times New Roman"/>
          <w:sz w:val="18"/>
          <w:szCs w:val="18"/>
          <w:color w:val="auto"/>
        </w:rPr>
        <w:t>” means Marvell Technology Group Ltd., a Bermuda exempted company limited by shares, and any successor thereto permitted under Section 6.04(a)(ii)(B).</w:t>
      </w:r>
    </w:p>
    <w:p>
      <w:pPr>
        <w:spacing w:after="0" w:line="162" w:lineRule="exact"/>
        <w:rPr>
          <w:sz w:val="20"/>
          <w:szCs w:val="20"/>
          <w:color w:val="auto"/>
        </w:rPr>
      </w:pPr>
    </w:p>
    <w:p>
      <w:pPr>
        <w:ind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Compliance Certificate</w:t>
      </w:r>
      <w:r>
        <w:rPr>
          <w:rFonts w:ascii="Times New Roman" w:cs="Times New Roman" w:eastAsia="Times New Roman" w:hAnsi="Times New Roman"/>
          <w:sz w:val="18"/>
          <w:szCs w:val="18"/>
          <w:color w:val="auto"/>
        </w:rPr>
        <w:t>” means a Compliance Certificate in the form of Exhibit C or any other form approved by the Agents in their reasonable discretion.</w:t>
      </w:r>
    </w:p>
    <w:p>
      <w:pPr>
        <w:spacing w:after="0" w:line="162" w:lineRule="exact"/>
        <w:rPr>
          <w:sz w:val="20"/>
          <w:szCs w:val="20"/>
          <w:color w:val="auto"/>
        </w:rPr>
      </w:pPr>
    </w:p>
    <w:p>
      <w:pPr>
        <w:ind w:right="1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Confidential Information Memorandum</w:t>
      </w:r>
      <w:r>
        <w:rPr>
          <w:rFonts w:ascii="Times New Roman" w:cs="Times New Roman" w:eastAsia="Times New Roman" w:hAnsi="Times New Roman"/>
          <w:sz w:val="18"/>
          <w:szCs w:val="18"/>
          <w:color w:val="auto"/>
        </w:rPr>
        <w:t>” means the Confidential Information Memorandum dated November 2017 relating to the credit facilities provided for herein.</w:t>
      </w:r>
    </w:p>
    <w:p>
      <w:pPr>
        <w:spacing w:after="0" w:line="162"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Connection Income Taxes</w:t>
      </w:r>
      <w:r>
        <w:rPr>
          <w:rFonts w:ascii="Times New Roman" w:cs="Times New Roman" w:eastAsia="Times New Roman" w:hAnsi="Times New Roman"/>
          <w:sz w:val="18"/>
          <w:szCs w:val="18"/>
          <w:color w:val="auto"/>
        </w:rPr>
        <w:t>” means Other Connection Taxes that are imposed on or measured by net income (however denominated) or that are franchise Taxes or branch profits Taxes.</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EBITDA</w:t>
      </w:r>
      <w:r>
        <w:rPr>
          <w:rFonts w:ascii="Times New Roman" w:cs="Times New Roman" w:eastAsia="Times New Roman" w:hAnsi="Times New Roman"/>
          <w:sz w:val="18"/>
          <w:szCs w:val="18"/>
          <w:color w:val="auto"/>
        </w:rPr>
        <w:t>” means, for any period, Consolidated Operating Income From Continuing Operations for such period, plus</w:t>
      </w:r>
    </w:p>
    <w:p>
      <w:pPr>
        <w:spacing w:after="0" w:line="117" w:lineRule="exact"/>
        <w:rPr>
          <w:sz w:val="20"/>
          <w:szCs w:val="20"/>
          <w:color w:val="auto"/>
        </w:rPr>
      </w:pPr>
    </w:p>
    <w:p>
      <w:pPr>
        <w:ind w:right="160" w:firstLine="987"/>
        <w:spacing w:after="0" w:line="282" w:lineRule="auto"/>
        <w:tabs>
          <w:tab w:leader="none" w:pos="1236" w:val="left"/>
        </w:tabs>
        <w:numPr>
          <w:ilvl w:val="1"/>
          <w:numId w:val="2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without duplication and to the extent deducted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amounts attributable to depreciation and amortization;</w:t>
      </w:r>
    </w:p>
    <w:p>
      <w:pPr>
        <w:spacing w:after="0" w:line="117" w:lineRule="exact"/>
        <w:rPr>
          <w:rFonts w:ascii="Times New Roman" w:cs="Times New Roman" w:eastAsia="Times New Roman" w:hAnsi="Times New Roman"/>
          <w:sz w:val="18"/>
          <w:szCs w:val="18"/>
          <w:color w:val="auto"/>
        </w:rPr>
      </w:pPr>
    </w:p>
    <w:p>
      <w:pPr>
        <w:jc w:val="both"/>
        <w:ind w:left="440" w:right="380" w:firstLine="525"/>
        <w:spacing w:after="0" w:line="266" w:lineRule="auto"/>
        <w:tabs>
          <w:tab w:leader="none" w:pos="1233"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all other non-cash charges,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67" w:lineRule="exact"/>
        <w:rPr>
          <w:rFonts w:ascii="Times New Roman" w:cs="Times New Roman" w:eastAsia="Times New Roman" w:hAnsi="Times New Roman"/>
          <w:sz w:val="18"/>
          <w:szCs w:val="18"/>
          <w:color w:val="auto"/>
        </w:rPr>
      </w:pPr>
    </w:p>
    <w:p>
      <w:pPr>
        <w:jc w:val="both"/>
        <w:ind w:left="440" w:right="100" w:firstLine="525"/>
        <w:spacing w:after="0" w:line="266" w:lineRule="auto"/>
        <w:tabs>
          <w:tab w:leader="none" w:pos="1283"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 cash restructuring, severance and similar charges relating to the Cavium </w:t>
      </w:r>
      <w:r>
        <w:rPr>
          <w:rFonts w:ascii="Times New Roman" w:cs="Times New Roman" w:eastAsia="Times New Roman" w:hAnsi="Times New Roman"/>
          <w:sz w:val="18"/>
          <w:szCs w:val="18"/>
          <w:u w:val="single" w:color="auto"/>
          <w:color w:val="0000FF"/>
        </w:rPr>
        <w:t>Acquisition and the Inphi</w:t>
      </w:r>
      <w:r>
        <w:rPr>
          <w:rFonts w:ascii="Times New Roman" w:cs="Times New Roman" w:eastAsia="Times New Roman" w:hAnsi="Times New Roman"/>
          <w:sz w:val="18"/>
          <w:szCs w:val="18"/>
          <w:color w:val="auto"/>
        </w:rPr>
        <w:t xml:space="preserve">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67" w:lineRule="exact"/>
        <w:rPr>
          <w:rFonts w:ascii="Times New Roman" w:cs="Times New Roman" w:eastAsia="Times New Roman" w:hAnsi="Times New Roman"/>
          <w:sz w:val="18"/>
          <w:szCs w:val="18"/>
          <w:color w:val="auto"/>
        </w:rPr>
      </w:pPr>
    </w:p>
    <w:p>
      <w:pPr>
        <w:ind w:left="1260" w:hanging="295"/>
        <w:spacing w:after="0"/>
        <w:tabs>
          <w:tab w:leader="none" w:pos="1260" w:val="left"/>
        </w:tabs>
        <w:numPr>
          <w:ilvl w:val="0"/>
          <w:numId w:val="2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extraordinary, unusual or non-recurring cash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4318000</wp:posOffset>
            </wp:positionH>
            <wp:positionV relativeFrom="paragraph">
              <wp:posOffset>-453390</wp:posOffset>
            </wp:positionV>
            <wp:extent cx="1165860" cy="8255"/>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extLst>
                    </a:blip>
                    <a:srcRect/>
                    <a:stretch>
                      <a:fillRect/>
                    </a:stretch>
                  </pic:blipFill>
                  <pic:spPr bwMode="auto">
                    <a:xfrm>
                      <a:off x="0" y="0"/>
                      <a:ext cx="1165860" cy="8255"/>
                    </a:xfrm>
                    <a:prstGeom prst="rect">
                      <a:avLst/>
                    </a:prstGeom>
                    <a:noFill/>
                  </pic:spPr>
                </pic:pic>
              </a:graphicData>
            </a:graphic>
          </wp:anchor>
        </w:drawing>
      </w:r>
    </w:p>
    <w:p>
      <w:pPr>
        <w:spacing w:after="0" w:line="13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0980"/>
          </w:cols>
          <w:pgMar w:left="440" w:top="270" w:right="479" w:bottom="1440" w:gutter="0" w:footer="0" w:header="0"/>
        </w:sectPr>
      </w:pPr>
    </w:p>
    <w:bookmarkStart w:id="312" w:name="page313"/>
    <w:bookmarkEnd w:id="312"/>
    <w:p>
      <w:pPr>
        <w:ind w:left="1120" w:hanging="261"/>
        <w:spacing w:after="0"/>
        <w:tabs>
          <w:tab w:leader="none" w:pos="112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non-cash stock-based compensation;</w:t>
      </w:r>
    </w:p>
    <w:p>
      <w:pPr>
        <w:spacing w:after="0" w:line="117"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losses during such period as a result of a change in accounting principles;</w:t>
      </w:r>
    </w:p>
    <w:p>
      <w:pPr>
        <w:spacing w:after="0" w:line="117" w:lineRule="exact"/>
        <w:rPr>
          <w:rFonts w:ascii="Times New Roman" w:cs="Times New Roman" w:eastAsia="Times New Roman" w:hAnsi="Times New Roman"/>
          <w:sz w:val="18"/>
          <w:szCs w:val="18"/>
          <w:color w:val="auto"/>
        </w:rPr>
      </w:pPr>
    </w:p>
    <w:p>
      <w:pPr>
        <w:ind w:left="1220" w:hanging="361"/>
        <w:spacing w:after="0"/>
        <w:tabs>
          <w:tab w:leader="none" w:pos="122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losses for such period relating to currency hedges or remeasurements of Indebtedness;</w:t>
      </w:r>
    </w:p>
    <w:p>
      <w:pPr>
        <w:spacing w:after="0" w:line="117" w:lineRule="exact"/>
        <w:rPr>
          <w:rFonts w:ascii="Times New Roman" w:cs="Times New Roman" w:eastAsia="Times New Roman" w:hAnsi="Times New Roman"/>
          <w:sz w:val="18"/>
          <w:szCs w:val="18"/>
          <w:color w:val="auto"/>
        </w:rPr>
      </w:pPr>
    </w:p>
    <w:p>
      <w:pPr>
        <w:ind w:left="440" w:right="100" w:firstLine="419"/>
        <w:spacing w:after="0" w:line="261" w:lineRule="auto"/>
        <w:tabs>
          <w:tab w:leader="none" w:pos="1268"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transaction fees, commissions, costs or expenses (or any amortization thereof) relating to any Acquisition (including the Cavium Acquisition </w:t>
      </w:r>
      <w:r>
        <w:rPr>
          <w:rFonts w:ascii="Times New Roman" w:cs="Times New Roman" w:eastAsia="Times New Roman" w:hAnsi="Times New Roman"/>
          <w:sz w:val="18"/>
          <w:szCs w:val="18"/>
          <w:color w:val="0000FF"/>
        </w:rPr>
        <w:t>and the Inphi Acquisition</w:t>
      </w:r>
      <w:r>
        <w:rPr>
          <w:rFonts w:ascii="Times New Roman" w:cs="Times New Roman" w:eastAsia="Times New Roman" w:hAnsi="Times New Roman"/>
          <w:sz w:val="18"/>
          <w:szCs w:val="18"/>
          <w:color w:val="auto"/>
        </w:rPr>
        <w:t>)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71"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2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earn-out or similar contingent consideration payments actually made to sellers during such period in connection with any</w:t>
      </w:r>
    </w:p>
    <w:p>
      <w:pPr>
        <w:spacing w:after="0" w:line="27" w:lineRule="exact"/>
        <w:rPr>
          <w:rFonts w:ascii="Times New Roman" w:cs="Times New Roman" w:eastAsia="Times New Roman" w:hAnsi="Times New Roman"/>
          <w:sz w:val="18"/>
          <w:szCs w:val="18"/>
          <w:color w:val="auto"/>
        </w:rPr>
      </w:pPr>
    </w:p>
    <w:p>
      <w:pPr>
        <w:ind w:left="440" w:right="10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Acquisition, and any losses for such period arising from the remeasurement of the fair value of any liability recorded with respect to any earn-out or similar contingent consideration arising from any Acquisition; minus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811530</wp:posOffset>
            </wp:positionH>
            <wp:positionV relativeFrom="paragraph">
              <wp:posOffset>-755650</wp:posOffset>
            </wp:positionV>
            <wp:extent cx="1191260" cy="889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extLst>
                    </a:blip>
                    <a:srcRect/>
                    <a:stretch>
                      <a:fillRect/>
                    </a:stretch>
                  </pic:blipFill>
                  <pic:spPr bwMode="auto">
                    <a:xfrm>
                      <a:off x="0" y="0"/>
                      <a:ext cx="1191260" cy="8890"/>
                    </a:xfrm>
                    <a:prstGeom prst="rect">
                      <a:avLst/>
                    </a:prstGeom>
                    <a:noFill/>
                  </pic:spPr>
                </pic:pic>
              </a:graphicData>
            </a:graphic>
          </wp:anchor>
        </w:drawing>
        <w:drawing>
          <wp:anchor simplePos="0" relativeHeight="251657728" behindDoc="1" locked="0" layoutInCell="0" allowOverlap="1">
            <wp:simplePos x="0" y="0"/>
            <wp:positionH relativeFrom="column">
              <wp:posOffset>810260</wp:posOffset>
            </wp:positionH>
            <wp:positionV relativeFrom="paragraph">
              <wp:posOffset>-789940</wp:posOffset>
            </wp:positionV>
            <wp:extent cx="1193165" cy="8255"/>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extLst>
                    </a:blip>
                    <a:srcRect/>
                    <a:stretch>
                      <a:fillRect/>
                    </a:stretch>
                  </pic:blipFill>
                  <pic:spPr bwMode="auto">
                    <a:xfrm>
                      <a:off x="0" y="0"/>
                      <a:ext cx="1193165" cy="8255"/>
                    </a:xfrm>
                    <a:prstGeom prst="rect">
                      <a:avLst/>
                    </a:prstGeom>
                    <a:noFill/>
                  </pic:spPr>
                </pic:pic>
              </a:graphicData>
            </a:graphic>
          </wp:anchor>
        </w:drawing>
      </w:r>
    </w:p>
    <w:p>
      <w:pPr>
        <w:spacing w:after="0" w:line="53" w:lineRule="exact"/>
        <w:rPr>
          <w:sz w:val="20"/>
          <w:szCs w:val="20"/>
          <w:color w:val="auto"/>
        </w:rPr>
      </w:pPr>
    </w:p>
    <w:p>
      <w:pPr>
        <w:ind w:right="200" w:firstLine="987"/>
        <w:spacing w:after="0" w:line="282" w:lineRule="auto"/>
        <w:tabs>
          <w:tab w:leader="none" w:pos="1246" w:val="left"/>
        </w:tabs>
        <w:numPr>
          <w:ilvl w:val="1"/>
          <w:numId w:val="2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without duplication and to the extent included in determining such Consolidated Operating Income From Continuing Operations, the sum for such period of:</w:t>
      </w:r>
    </w:p>
    <w:p>
      <w:pPr>
        <w:spacing w:after="0" w:line="53" w:lineRule="exact"/>
        <w:rPr>
          <w:rFonts w:ascii="Times New Roman" w:cs="Times New Roman" w:eastAsia="Times New Roman" w:hAnsi="Times New Roman"/>
          <w:sz w:val="18"/>
          <w:szCs w:val="18"/>
          <w:color w:val="auto"/>
        </w:rPr>
      </w:pPr>
    </w:p>
    <w:p>
      <w:pPr>
        <w:ind w:left="1080" w:hanging="221"/>
        <w:spacing w:after="0"/>
        <w:tabs>
          <w:tab w:leader="none" w:pos="10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non-cash items of income;</w:t>
      </w:r>
    </w:p>
    <w:p>
      <w:pPr>
        <w:spacing w:after="0" w:line="117"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extraordinary, unusual or non-recurring items of income;</w:t>
      </w:r>
    </w:p>
    <w:p>
      <w:pPr>
        <w:spacing w:after="0" w:line="117" w:lineRule="exact"/>
        <w:rPr>
          <w:rFonts w:ascii="Times New Roman" w:cs="Times New Roman" w:eastAsia="Times New Roman" w:hAnsi="Times New Roman"/>
          <w:sz w:val="18"/>
          <w:szCs w:val="18"/>
          <w:color w:val="auto"/>
        </w:rPr>
      </w:pPr>
    </w:p>
    <w:p>
      <w:pPr>
        <w:ind w:left="1180" w:hanging="321"/>
        <w:spacing w:after="0"/>
        <w:tabs>
          <w:tab w:leader="none" w:pos="118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gains during such period as a result of a change in accounting principles; and</w:t>
      </w:r>
    </w:p>
    <w:p>
      <w:pPr>
        <w:spacing w:after="0" w:line="117"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2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currency translation gains for such period relating to currency hedges or remeasurement of Indebtedness;</w:t>
      </w:r>
    </w:p>
    <w:p>
      <w:pPr>
        <w:spacing w:after="0" w:line="117"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w:t>
      </w:r>
      <w:r>
        <w:rPr>
          <w:rFonts w:ascii="Times New Roman" w:cs="Times New Roman" w:eastAsia="Times New Roman" w:hAnsi="Times New Roman"/>
          <w:sz w:val="18"/>
          <w:szCs w:val="18"/>
          <w:u w:val="single" w:color="auto"/>
          <w:color w:val="0000FF"/>
        </w:rPr>
        <w:t>, including the Inphi Acquisition,</w:t>
      </w:r>
      <w:r>
        <w:rPr>
          <w:rFonts w:ascii="Times New Roman" w:cs="Times New Roman" w:eastAsia="Times New Roman" w:hAnsi="Times New Roman"/>
          <w:sz w:val="18"/>
          <w:szCs w:val="18"/>
          <w:color w:val="auto"/>
        </w:rPr>
        <w:t xml:space="preserve"> or a Material Disposition, Consolidated EBITDA for such period shall be determined giving pro forma effect thereto in accordance with Section 1.04(b).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2303145</wp:posOffset>
            </wp:positionH>
            <wp:positionV relativeFrom="paragraph">
              <wp:posOffset>-139700</wp:posOffset>
            </wp:positionV>
            <wp:extent cx="1517015" cy="8255"/>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extLst>
                    </a:blip>
                    <a:srcRect/>
                    <a:stretch>
                      <a:fillRect/>
                    </a:stretch>
                  </pic:blipFill>
                  <pic:spPr bwMode="auto">
                    <a:xfrm>
                      <a:off x="0" y="0"/>
                      <a:ext cx="1517015" cy="8255"/>
                    </a:xfrm>
                    <a:prstGeom prst="rect">
                      <a:avLst/>
                    </a:prstGeom>
                    <a:noFill/>
                  </pic:spPr>
                </pic:pic>
              </a:graphicData>
            </a:graphic>
          </wp:anchor>
        </w:drawing>
      </w:r>
    </w:p>
    <w:p>
      <w:pPr>
        <w:spacing w:after="0" w:line="160"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Net Tangible Assets</w:t>
      </w:r>
      <w:r>
        <w:rPr>
          <w:rFonts w:ascii="Times New Roman" w:cs="Times New Roman" w:eastAsia="Times New Roman" w:hAnsi="Times New Roman"/>
          <w:sz w:val="18"/>
          <w:szCs w:val="18"/>
          <w:color w:val="auto"/>
        </w:rPr>
        <w:t xml:space="preserve">” means, at any date, (a) total assets of the Company and the Subsidiaries (minus applicable reserves) determined on a consolidated basis in accordance with GAAP </w:t>
      </w:r>
      <w:r>
        <w:rPr>
          <w:rFonts w:ascii="Times New Roman" w:cs="Times New Roman" w:eastAsia="Times New Roman" w:hAnsi="Times New Roman"/>
          <w:sz w:val="18"/>
          <w:szCs w:val="18"/>
          <w:u w:val="single" w:color="auto"/>
          <w:color w:val="auto"/>
        </w:rPr>
        <w:t>minus</w:t>
      </w:r>
      <w:r>
        <w:rPr>
          <w:rFonts w:ascii="Times New Roman" w:cs="Times New Roman" w:eastAsia="Times New Roman" w:hAnsi="Times New Roman"/>
          <w:sz w:val="18"/>
          <w:szCs w:val="18"/>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70" w:right="459" w:bottom="1440" w:gutter="0" w:footer="0" w:header="0"/>
        </w:sectPr>
      </w:pPr>
    </w:p>
    <w:bookmarkStart w:id="313" w:name="page314"/>
    <w:bookmarkEnd w:id="313"/>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Term Funding Date, the Consolidated Net Tangible Assets as of any date prior to the Term Funding Date shall be determined on a pro forma basis to give effect to the Cavium Acquisition and the other Transactions to occur on the Term Funding Date.</w:t>
      </w:r>
    </w:p>
    <w:p>
      <w:pPr>
        <w:spacing w:after="0" w:line="180" w:lineRule="exact"/>
        <w:rPr>
          <w:sz w:val="20"/>
          <w:szCs w:val="20"/>
          <w:color w:val="auto"/>
        </w:rPr>
      </w:pPr>
    </w:p>
    <w:p>
      <w:pPr>
        <w:ind w:right="1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Operating Income From Continuing Operations</w:t>
      </w:r>
      <w:r>
        <w:rPr>
          <w:rFonts w:ascii="Times New Roman" w:cs="Times New Roman" w:eastAsia="Times New Roman" w:hAnsi="Times New Roman"/>
          <w:sz w:val="18"/>
          <w:szCs w:val="18"/>
          <w:color w:val="auto"/>
        </w:rPr>
        <w:t>” means, for any period, the consolidated operating income (or loss) of the Company and its Subsidiaries from continuing operations for such period, determined on a consolidated basis in accordance with GAAP.</w:t>
      </w:r>
    </w:p>
    <w:p>
      <w:pPr>
        <w:spacing w:after="0" w:line="162" w:lineRule="exact"/>
        <w:rPr>
          <w:sz w:val="20"/>
          <w:szCs w:val="20"/>
          <w:color w:val="auto"/>
        </w:rPr>
      </w:pPr>
    </w:p>
    <w:p>
      <w:pPr>
        <w:ind w:right="2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Consolidated Total Indebtedness</w:t>
      </w:r>
      <w:r>
        <w:rPr>
          <w:rFonts w:ascii="Times New Roman" w:cs="Times New Roman" w:eastAsia="Times New Roman" w:hAnsi="Times New Roman"/>
          <w:sz w:val="18"/>
          <w:szCs w:val="18"/>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purposes of determining Consolidated Total Indebtedness, at any time after the definitive agreement for any Material Acquisition (including the Cavium Acquisition </w:t>
      </w:r>
      <w:r>
        <w:rPr>
          <w:rFonts w:ascii="Times New Roman" w:cs="Times New Roman" w:eastAsia="Times New Roman" w:hAnsi="Times New Roman"/>
          <w:sz w:val="18"/>
          <w:szCs w:val="18"/>
          <w:color w:val="0000FF"/>
        </w:rPr>
        <w:t>and the Inphi Acquisition</w:t>
      </w:r>
      <w:r>
        <w:rPr>
          <w:rFonts w:ascii="Times New Roman" w:cs="Times New Roman" w:eastAsia="Times New Roman" w:hAnsi="Times New Roman"/>
          <w:sz w:val="18"/>
          <w:szCs w:val="18"/>
          <w:color w:val="auto"/>
        </w:rPr>
        <w:t>) shall have been executed, any Acquisition Indebtedness with respect to such Material Acquisition shall, unless such Acquisition shall have been consummated, be disregarded.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2560320</wp:posOffset>
            </wp:positionH>
            <wp:positionV relativeFrom="paragraph">
              <wp:posOffset>-133985</wp:posOffset>
            </wp:positionV>
            <wp:extent cx="1200150" cy="889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extLst>
                    </a:blip>
                    <a:srcRect/>
                    <a:stretch>
                      <a:fillRect/>
                    </a:stretch>
                  </pic:blipFill>
                  <pic:spPr bwMode="auto">
                    <a:xfrm>
                      <a:off x="0" y="0"/>
                      <a:ext cx="1200150" cy="8890"/>
                    </a:xfrm>
                    <a:prstGeom prst="rect">
                      <a:avLst/>
                    </a:prstGeom>
                    <a:noFill/>
                  </pic:spPr>
                </pic:pic>
              </a:graphicData>
            </a:graphic>
          </wp:anchor>
        </w:drawing>
        <w:drawing>
          <wp:anchor simplePos="0" relativeHeight="251657728" behindDoc="1" locked="0" layoutInCell="0" allowOverlap="1">
            <wp:simplePos x="0" y="0"/>
            <wp:positionH relativeFrom="column">
              <wp:posOffset>2564765</wp:posOffset>
            </wp:positionH>
            <wp:positionV relativeFrom="paragraph">
              <wp:posOffset>-168275</wp:posOffset>
            </wp:positionV>
            <wp:extent cx="1193165" cy="8255"/>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extLst>
                    </a:blip>
                    <a:srcRect/>
                    <a:stretch>
                      <a:fillRect/>
                    </a:stretch>
                  </pic:blipFill>
                  <pic:spPr bwMode="auto">
                    <a:xfrm>
                      <a:off x="0" y="0"/>
                      <a:ext cx="1193165" cy="8255"/>
                    </a:xfrm>
                    <a:prstGeom prst="rect">
                      <a:avLst/>
                    </a:prstGeom>
                    <a:noFill/>
                  </pic:spPr>
                </pic:pic>
              </a:graphicData>
            </a:graphic>
          </wp:anchor>
        </w:drawing>
      </w:r>
    </w:p>
    <w:p>
      <w:pPr>
        <w:spacing w:after="0" w:line="169" w:lineRule="exact"/>
        <w:rPr>
          <w:sz w:val="20"/>
          <w:szCs w:val="20"/>
          <w:color w:val="auto"/>
        </w:rPr>
      </w:pPr>
    </w:p>
    <w:p>
      <w:pPr>
        <w:ind w:right="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Control</w:t>
      </w:r>
      <w:r>
        <w:rPr>
          <w:rFonts w:ascii="Times New Roman" w:cs="Times New Roman" w:eastAsia="Times New Roman" w:hAnsi="Times New Roman"/>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Times New Roman" w:cs="Times New Roman" w:eastAsia="Times New Roman" w:hAnsi="Times New Roman"/>
          <w:sz w:val="18"/>
          <w:szCs w:val="18"/>
          <w:u w:val="single" w:color="auto"/>
          <w:color w:val="auto"/>
        </w:rPr>
        <w:t>Controlling</w:t>
      </w:r>
      <w:r>
        <w:rPr>
          <w:rFonts w:ascii="Times New Roman" w:cs="Times New Roman" w:eastAsia="Times New Roman" w:hAnsi="Times New Roman"/>
          <w:sz w:val="18"/>
          <w:szCs w:val="18"/>
          <w:color w:val="auto"/>
        </w:rPr>
        <w:t>” and “</w:t>
      </w:r>
      <w:r>
        <w:rPr>
          <w:rFonts w:ascii="Times New Roman" w:cs="Times New Roman" w:eastAsia="Times New Roman" w:hAnsi="Times New Roman"/>
          <w:sz w:val="18"/>
          <w:szCs w:val="18"/>
          <w:u w:val="single" w:color="auto"/>
          <w:color w:val="auto"/>
        </w:rPr>
        <w:t>Controlled</w:t>
      </w:r>
      <w:r>
        <w:rPr>
          <w:rFonts w:ascii="Times New Roman" w:cs="Times New Roman" w:eastAsia="Times New Roman" w:hAnsi="Times New Roman"/>
          <w:sz w:val="18"/>
          <w:szCs w:val="18"/>
          <w:color w:val="auto"/>
        </w:rPr>
        <w:t>” have meanings correlative thereto.</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Credit Party</w:t>
      </w:r>
      <w:r>
        <w:rPr>
          <w:rFonts w:ascii="Times New Roman" w:cs="Times New Roman" w:eastAsia="Times New Roman" w:hAnsi="Times New Roman"/>
          <w:sz w:val="18"/>
          <w:szCs w:val="18"/>
          <w:color w:val="auto"/>
        </w:rPr>
        <w:t>” means each Agent and each Lender.</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w:t>
      </w:r>
      <w:r>
        <w:rPr>
          <w:rFonts w:ascii="Times New Roman" w:cs="Times New Roman" w:eastAsia="Times New Roman" w:hAnsi="Times New Roman"/>
          <w:sz w:val="18"/>
          <w:szCs w:val="18"/>
          <w:color w:val="auto"/>
        </w:rPr>
        <w:t>” means any event or condition that constitutes, or upon notice, lapse of time or both would constitute, an Event of Default.</w:t>
      </w:r>
    </w:p>
    <w:p>
      <w:pPr>
        <w:spacing w:after="0" w:line="225" w:lineRule="exact"/>
        <w:rPr>
          <w:sz w:val="20"/>
          <w:szCs w:val="20"/>
          <w:color w:val="auto"/>
        </w:rPr>
      </w:pPr>
    </w:p>
    <w:p>
      <w:pPr>
        <w:ind w:right="6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Defaulting Lender</w:t>
      </w:r>
      <w:r>
        <w:rPr>
          <w:rFonts w:ascii="Times New Roman" w:cs="Times New Roman" w:eastAsia="Times New Roman" w:hAnsi="Times New Roman"/>
          <w:sz w:val="18"/>
          <w:szCs w:val="18"/>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General Administrative Agent and the Applicable Facility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any Agent in writing, or has made a public statement to the effect, that it does not intend or expect to comply with any of its funding obligations under this Agreement (unless such writing or public statement indicates that such position is based</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80"/>
          </w:cols>
          <w:pgMar w:left="440" w:top="270" w:right="479" w:bottom="1440" w:gutter="0" w:footer="0" w:header="0"/>
        </w:sectPr>
      </w:pPr>
    </w:p>
    <w:bookmarkStart w:id="314" w:name="page315"/>
    <w:bookmarkEnd w:id="314"/>
    <w:p>
      <w:pPr>
        <w:ind w:left="4"/>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General Administrative Agent or the Applicable Facility Agent made in good faith, to provide a certification in writing from an authorized officer of such Lender that it will comply with its obligations to fund prospective Loans,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shall cease to be a Defaulting Lender pursuant to this clause (c) upon the General Administrative Agent’s or the Applicable Facility Agent’s, as the case may be, receipt of such certification in form and substance satisfactory to it, or (d) has become, or is a subsidiary of a Person that has become, the subject of a Bankruptcy Event or a Bail-In Action. Any determination by any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such Agent in a written notice of such determination, which shall be delivered by such Agent to the Company, each other Agent and each other Lender promptly following such determination.</w:t>
      </w:r>
    </w:p>
    <w:p>
      <w:pPr>
        <w:spacing w:after="0" w:line="194" w:lineRule="exact"/>
        <w:rPr>
          <w:sz w:val="20"/>
          <w:szCs w:val="20"/>
          <w:color w:val="auto"/>
        </w:rPr>
      </w:pPr>
    </w:p>
    <w:p>
      <w:pPr>
        <w:ind w:left="4" w:right="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Disposition</w:t>
      </w:r>
      <w:r>
        <w:rPr>
          <w:rFonts w:ascii="Times New Roman" w:cs="Times New Roman" w:eastAsia="Times New Roman" w:hAnsi="Times New Roman"/>
          <w:sz w:val="18"/>
          <w:szCs w:val="18"/>
          <w:color w:val="auto"/>
        </w:rPr>
        <w:t>” means any sale, transfer or other disposition, or series of related sales, transfers, or dispositions (including pursuant to any merger or consolidation), of property that constitutes (a) assets comprising all or substantially all of a division, business or operating unit or product line of any Person or (b) all or substantially all of the Equity Interests in a Person.</w:t>
      </w:r>
    </w:p>
    <w:p>
      <w:pPr>
        <w:spacing w:after="0" w:line="176"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Documentation Agents</w:t>
      </w:r>
      <w:r>
        <w:rPr>
          <w:rFonts w:ascii="Times New Roman" w:cs="Times New Roman" w:eastAsia="Times New Roman" w:hAnsi="Times New Roman"/>
          <w:sz w:val="18"/>
          <w:szCs w:val="18"/>
          <w:color w:val="auto"/>
        </w:rPr>
        <w:t>” means the Persons identified as such on the cover page of this Agreement.</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dollars</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 refers to lawful money of the United States of America.</w:t>
      </w:r>
    </w:p>
    <w:p>
      <w:pPr>
        <w:spacing w:after="0" w:line="225" w:lineRule="exact"/>
        <w:rPr>
          <w:sz w:val="20"/>
          <w:szCs w:val="20"/>
          <w:color w:val="auto"/>
        </w:rPr>
      </w:pPr>
    </w:p>
    <w:p>
      <w:pPr>
        <w:ind w:left="4" w:right="20" w:firstLine="991"/>
        <w:spacing w:after="0" w:line="276"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EEA Financial Institution</w:t>
      </w:r>
      <w:r>
        <w:rPr>
          <w:rFonts w:ascii="Times New Roman" w:cs="Times New Roman" w:eastAsia="Times New Roman" w:hAnsi="Times New Roman"/>
          <w:sz w:val="17"/>
          <w:szCs w:val="17"/>
          <w:color w:val="auto"/>
        </w:rPr>
        <w:t>” means (a) any credit institution or investment firm established in any EEA Member Country that is subject to the supervision of an EEA Resolution Authority, (b) any entity established in an EEA Member Country that is a parent of any Person described in clause</w:t>
      </w:r>
    </w:p>
    <w:p>
      <w:pPr>
        <w:spacing w:after="0" w:line="1" w:lineRule="exact"/>
        <w:rPr>
          <w:sz w:val="20"/>
          <w:szCs w:val="20"/>
          <w:color w:val="auto"/>
        </w:rPr>
      </w:pPr>
    </w:p>
    <w:p>
      <w:pPr>
        <w:ind w:left="4" w:right="180" w:hanging="4"/>
        <w:spacing w:after="0" w:line="260" w:lineRule="auto"/>
        <w:tabs>
          <w:tab w:leader="none" w:pos="249" w:val="left"/>
        </w:tabs>
        <w:numPr>
          <w:ilvl w:val="0"/>
          <w:numId w:val="2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or (c) any entity established in an EEA Member Country that is a subsidiary of any Person described in clause (a) or (b) above and is subject to consolidated supervision with its parent.</w:t>
      </w:r>
    </w:p>
    <w:p>
      <w:pPr>
        <w:spacing w:after="0" w:line="181"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Member Country</w:t>
      </w:r>
      <w:r>
        <w:rPr>
          <w:rFonts w:ascii="Times New Roman" w:cs="Times New Roman" w:eastAsia="Times New Roman" w:hAnsi="Times New Roman"/>
          <w:sz w:val="18"/>
          <w:szCs w:val="18"/>
          <w:color w:val="auto"/>
        </w:rPr>
        <w:t>” means any of the member states of the European Union, Iceland, Liechtenstein and Norway.</w:t>
      </w:r>
    </w:p>
    <w:p>
      <w:pPr>
        <w:spacing w:after="0" w:line="225" w:lineRule="exact"/>
        <w:rPr>
          <w:sz w:val="20"/>
          <w:szCs w:val="20"/>
          <w:color w:val="auto"/>
        </w:rPr>
      </w:pPr>
    </w:p>
    <w:p>
      <w:pPr>
        <w:ind w:left="4"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EEA Resolution Authority</w:t>
      </w:r>
      <w:r>
        <w:rPr>
          <w:rFonts w:ascii="Times New Roman" w:cs="Times New Roman" w:eastAsia="Times New Roman" w:hAnsi="Times New Roman"/>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62" w:lineRule="exact"/>
        <w:rPr>
          <w:sz w:val="20"/>
          <w:szCs w:val="20"/>
          <w:color w:val="auto"/>
        </w:rPr>
      </w:pPr>
    </w:p>
    <w:p>
      <w:pPr>
        <w:ind w:left="4" w:right="9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means the date on which the conditions specified in Section 4.01 are satisfied (or waived in accordance with Section 9.02).</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004"/>
          </w:cols>
          <w:pgMar w:left="436" w:top="270" w:right="459" w:bottom="1440" w:gutter="0" w:footer="0" w:header="0"/>
        </w:sectPr>
      </w:pPr>
    </w:p>
    <w:bookmarkStart w:id="315" w:name="page316"/>
    <w:bookmarkEnd w:id="315"/>
    <w:p>
      <w:pPr>
        <w:ind w:left="4" w:right="1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Eligible Assignee</w:t>
      </w:r>
      <w:r>
        <w:rPr>
          <w:rFonts w:ascii="Times New Roman" w:cs="Times New Roman" w:eastAsia="Times New Roman" w:hAnsi="Times New Roman"/>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62" w:lineRule="exact"/>
        <w:rPr>
          <w:sz w:val="20"/>
          <w:szCs w:val="20"/>
          <w:color w:val="auto"/>
        </w:rPr>
      </w:pPr>
    </w:p>
    <w:p>
      <w:pPr>
        <w:ind w:left="4"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Laws</w:t>
      </w:r>
      <w:r>
        <w:rPr>
          <w:rFonts w:ascii="Times New Roman" w:cs="Times New Roman" w:eastAsia="Times New Roman" w:hAnsi="Times New Roman"/>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Release or threatened Release or the classification, registration, disclosure or import of any toxic or hazardous materials, substance or waste or to related health or safety matters.</w:t>
      </w:r>
    </w:p>
    <w:p>
      <w:pPr>
        <w:spacing w:after="0" w:line="180" w:lineRule="exact"/>
        <w:rPr>
          <w:sz w:val="20"/>
          <w:szCs w:val="20"/>
          <w:color w:val="auto"/>
        </w:rPr>
      </w:pPr>
    </w:p>
    <w:p>
      <w:pPr>
        <w:ind w:left="4"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Environmental Liability</w:t>
      </w:r>
      <w:r>
        <w:rPr>
          <w:rFonts w:ascii="Times New Roman" w:cs="Times New Roman" w:eastAsia="Times New Roman" w:hAnsi="Times New Roman"/>
          <w:sz w:val="18"/>
          <w:szCs w:val="18"/>
          <w:color w:val="auto"/>
        </w:rPr>
        <w:t>” means any liability, obligation, loss, claim, action, order or cost, contingent or otherwise (including any liability for damages, costs of environmental remediation, fines, penalties and indemnities), directly or indirectly resulting from or based upon (a) any violation of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83" w:lineRule="exact"/>
        <w:rPr>
          <w:sz w:val="20"/>
          <w:szCs w:val="20"/>
          <w:color w:val="auto"/>
        </w:rPr>
      </w:pPr>
    </w:p>
    <w:p>
      <w:pPr>
        <w:ind w:left="4"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Equity Interests</w:t>
      </w:r>
      <w:r>
        <w:rPr>
          <w:rFonts w:ascii="Times New Roman" w:cs="Times New Roman" w:eastAsia="Times New Roman" w:hAnsi="Times New Roman"/>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means the Employee Retirement Income Security Act of 1974.</w:t>
      </w:r>
    </w:p>
    <w:p>
      <w:pPr>
        <w:spacing w:after="0" w:line="225" w:lineRule="exact"/>
        <w:rPr>
          <w:sz w:val="20"/>
          <w:szCs w:val="20"/>
          <w:color w:val="auto"/>
        </w:rPr>
      </w:pPr>
    </w:p>
    <w:p>
      <w:pPr>
        <w:jc w:val="both"/>
        <w:ind w:left="4"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ERISA Affiliate</w:t>
      </w:r>
      <w:r>
        <w:rPr>
          <w:rFonts w:ascii="Times New Roman" w:cs="Times New Roman" w:eastAsia="Times New Roman" w:hAnsi="Times New Roman"/>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76" w:lineRule="exact"/>
        <w:rPr>
          <w:sz w:val="20"/>
          <w:szCs w:val="20"/>
          <w:color w:val="auto"/>
        </w:rPr>
      </w:pPr>
    </w:p>
    <w:p>
      <w:pPr>
        <w:ind w:left="4" w:firstLine="991"/>
        <w:spacing w:after="0" w:line="269"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ERISA Event</w:t>
      </w:r>
      <w:r>
        <w:rPr>
          <w:rFonts w:ascii="Times New Roman" w:cs="Times New Roman" w:eastAsia="Times New Roman" w:hAnsi="Times New Roman"/>
          <w:sz w:val="17"/>
          <w:szCs w:val="17"/>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w:t>
      </w:r>
    </w:p>
    <w:p>
      <w:pPr>
        <w:spacing w:after="0" w:line="3" w:lineRule="exact"/>
        <w:rPr>
          <w:sz w:val="20"/>
          <w:szCs w:val="20"/>
          <w:color w:val="auto"/>
        </w:rPr>
      </w:pPr>
    </w:p>
    <w:p>
      <w:pPr>
        <w:ind w:left="5424" w:right="1100" w:hanging="5424"/>
        <w:spacing w:after="0" w:line="433" w:lineRule="auto"/>
        <w:tabs>
          <w:tab w:leader="none" w:pos="251" w:val="left"/>
        </w:tabs>
        <w:numPr>
          <w:ilvl w:val="0"/>
          <w:numId w:val="2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incurrence by the Company or any of its ERISA Affiliates of any liability under Title IV of ERISA with respect to the termination 13</w:t>
      </w:r>
    </w:p>
    <w:p>
      <w:pPr>
        <w:sectPr>
          <w:pgSz w:w="11900" w:h="16838" w:orient="portrait"/>
          <w:cols w:equalWidth="0" w:num="1">
            <w:col w:w="10984"/>
          </w:cols>
          <w:pgMar w:left="436" w:top="270" w:right="479" w:bottom="1440" w:gutter="0" w:footer="0" w:header="0"/>
        </w:sectPr>
      </w:pPr>
    </w:p>
    <w:bookmarkStart w:id="316" w:name="page317"/>
    <w:bookmarkEnd w:id="316"/>
    <w:p>
      <w:pPr>
        <w:ind w:right="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any Plan, (f) 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87" w:lineRule="exact"/>
        <w:rPr>
          <w:sz w:val="20"/>
          <w:szCs w:val="20"/>
          <w:color w:val="auto"/>
        </w:rPr>
      </w:pPr>
    </w:p>
    <w:p>
      <w:pPr>
        <w:ind w:right="6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 Bail-In Legislation Schedule</w:t>
      </w:r>
      <w:r>
        <w:rPr>
          <w:rFonts w:ascii="Times New Roman" w:cs="Times New Roman" w:eastAsia="Times New Roman" w:hAnsi="Times New Roman"/>
          <w:sz w:val="18"/>
          <w:szCs w:val="18"/>
          <w:color w:val="auto"/>
        </w:rPr>
        <w:t>” means the EU Bail-In Legislation Schedule published by the Loan Market Association (or any successor person), as in effect from time to time.</w:t>
      </w:r>
    </w:p>
    <w:p>
      <w:pPr>
        <w:spacing w:after="0" w:line="162"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Eurocurrency</w:t>
      </w:r>
      <w:r>
        <w:rPr>
          <w:rFonts w:ascii="Times New Roman" w:cs="Times New Roman" w:eastAsia="Times New Roman" w:hAnsi="Times New Roman"/>
          <w:sz w:val="18"/>
          <w:szCs w:val="18"/>
          <w:color w:val="auto"/>
        </w:rPr>
        <w:t>”, when used in reference to any Loan or Borrowing, refers to whether such Loan, or the Loans comprising such Borrowing, bear interest at a rate determined by reference to the Adjusted LIBO Rate.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has the meaning set forth in Section 7.01.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Exchange Act</w:t>
      </w:r>
      <w:r>
        <w:rPr>
          <w:rFonts w:ascii="Times New Roman" w:cs="Times New Roman" w:eastAsia="Times New Roman" w:hAnsi="Times New Roman"/>
          <w:sz w:val="18"/>
          <w:szCs w:val="18"/>
          <w:color w:val="auto"/>
        </w:rPr>
        <w:t>” means the United States Securities Exchange Act of 1934.</w:t>
      </w:r>
    </w:p>
    <w:p>
      <w:pPr>
        <w:spacing w:after="0" w:line="225"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Excluded Taxes</w:t>
      </w:r>
      <w:r>
        <w:rPr>
          <w:rFonts w:ascii="Times New Roman" w:cs="Times New Roman" w:eastAsia="Times New Roman" w:hAnsi="Times New Roman"/>
          <w:sz w:val="18"/>
          <w:szCs w:val="18"/>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83" w:lineRule="exact"/>
        <w:rPr>
          <w:sz w:val="20"/>
          <w:szCs w:val="20"/>
          <w:color w:val="auto"/>
        </w:rPr>
      </w:pPr>
    </w:p>
    <w:p>
      <w:pPr>
        <w:ind w:firstLine="991"/>
        <w:spacing w:after="0" w:line="281"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FATCA</w:t>
      </w:r>
      <w:r>
        <w:rPr>
          <w:rFonts w:ascii="Times New Roman" w:cs="Times New Roman" w:eastAsia="Times New Roman" w:hAnsi="Times New Roman"/>
          <w:sz w:val="17"/>
          <w:szCs w:val="17"/>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64"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Federal Funds Effective Rate</w:t>
      </w:r>
      <w:r>
        <w:rPr>
          <w:rFonts w:ascii="Times New Roman" w:cs="Times New Roman" w:eastAsia="Times New Roman" w:hAnsi="Times New Roman"/>
          <w:sz w:val="18"/>
          <w:szCs w:val="18"/>
          <w:color w:val="auto"/>
        </w:rPr>
        <w:t>” means, for any day, the weighted average (rounded upwards, if necessary, to the next 1/100 of 1.00%) of the rates on overnight Federal funds transactions with members of the Federal Reserve System, as published on the next succeeding Business Day by the Federal Reserve Bank of New York, or, if such rate is not so published for any day that is a Business Day, the average (rounded upwards, if necessary, to the next 1/100 of 1.00%) of the quotations for such day for such transactions received by the Applicable Facility Agent from three Federal funds brokers of recognized standing selected by it. Notwithstanding the foregoing, if the Federal Funds Effective Rate, determined as provided above, would otherwise be less than zero, then the Federal Funds Effective Rate shall be deemed to be zero for all purposes.</w:t>
      </w:r>
    </w:p>
    <w:p>
      <w:pPr>
        <w:spacing w:after="0" w:line="36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317" w:name="page318"/>
    <w:bookmarkEnd w:id="317"/>
    <w:p>
      <w:pPr>
        <w:jc w:val="both"/>
        <w:ind w:right="300" w:firstLine="991"/>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Fee Letters</w:t>
      </w:r>
      <w:r>
        <w:rPr>
          <w:rFonts w:ascii="Times New Roman" w:cs="Times New Roman" w:eastAsia="Times New Roman" w:hAnsi="Times New Roman"/>
          <w:sz w:val="18"/>
          <w:szCs w:val="18"/>
          <w:color w:val="auto"/>
        </w:rPr>
        <w:t>” means (a) the Fee Letter dated November 19, 2017, among the Company, Goldman Sachs Bank USA, Bank of America, N.A. and Merrill Lynch, Pierce, Fenner &amp; Smith Incorporated and (b) the Fee Letter dated November 19, 2017, between the Company and Goldman Sachs Bank USA.</w:t>
      </w:r>
    </w:p>
    <w:p>
      <w:pPr>
        <w:spacing w:after="0" w:line="176" w:lineRule="exact"/>
        <w:rPr>
          <w:sz w:val="20"/>
          <w:szCs w:val="20"/>
          <w:color w:val="auto"/>
        </w:rPr>
      </w:pPr>
    </w:p>
    <w:p>
      <w:pPr>
        <w:ind w:right="1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Financial Officer</w:t>
      </w:r>
      <w:r>
        <w:rPr>
          <w:rFonts w:ascii="Times New Roman" w:cs="Times New Roman" w:eastAsia="Times New Roman" w:hAnsi="Times New Roman"/>
          <w:sz w:val="18"/>
          <w:szCs w:val="18"/>
          <w:color w:val="auto"/>
        </w:rPr>
        <w:t xml:space="preserve">” means, with respect to any Person, the chief financial officer, principal accounting officer, vice president-treasury, treasurer or controller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Financial Officer, the secretary or assistant secretary of such Person shall have delivered an incumbency certificate to each of the Agents as to the authority of such individual.</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Fitch</w:t>
      </w:r>
      <w:r>
        <w:rPr>
          <w:rFonts w:ascii="Times New Roman" w:cs="Times New Roman" w:eastAsia="Times New Roman" w:hAnsi="Times New Roman"/>
          <w:sz w:val="18"/>
          <w:szCs w:val="18"/>
          <w:color w:val="auto"/>
        </w:rPr>
        <w:t>” means Fitch Ratings, Inc., or any successor to its rating agency business.</w:t>
      </w:r>
    </w:p>
    <w:p>
      <w:pPr>
        <w:spacing w:after="0" w:line="225" w:lineRule="exact"/>
        <w:rPr>
          <w:sz w:val="20"/>
          <w:szCs w:val="20"/>
          <w:color w:val="auto"/>
        </w:rPr>
      </w:pPr>
    </w:p>
    <w:p>
      <w:pPr>
        <w:ind w:right="7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GAAP</w:t>
      </w:r>
      <w:r>
        <w:rPr>
          <w:rFonts w:ascii="Times New Roman" w:cs="Times New Roman" w:eastAsia="Times New Roman" w:hAnsi="Times New Roman"/>
          <w:sz w:val="18"/>
          <w:szCs w:val="18"/>
          <w:color w:val="auto"/>
        </w:rPr>
        <w:t>” means, subject to Section 1.04(a), generally accepted accounting principles in the United States of America, applied in accordance with the consistency requirements thereof.</w:t>
      </w:r>
    </w:p>
    <w:p>
      <w:pPr>
        <w:spacing w:after="0" w:line="162" w:lineRule="exact"/>
        <w:rPr>
          <w:sz w:val="20"/>
          <w:szCs w:val="20"/>
          <w:color w:val="auto"/>
        </w:rPr>
      </w:pPr>
    </w:p>
    <w:p>
      <w:pPr>
        <w:ind w:right="3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General Administrative Agent</w:t>
      </w:r>
      <w:r>
        <w:rPr>
          <w:rFonts w:ascii="Times New Roman" w:cs="Times New Roman" w:eastAsia="Times New Roman" w:hAnsi="Times New Roman"/>
          <w:sz w:val="18"/>
          <w:szCs w:val="18"/>
          <w:color w:val="auto"/>
        </w:rPr>
        <w:t>” means Goldman Sachs Bank USA, in its capacity as the administrative agent hereunder and under the other Loan Documents, and its successors in such capacity as provided in Article VIII.</w:t>
      </w:r>
    </w:p>
    <w:p>
      <w:pPr>
        <w:spacing w:after="0" w:line="162" w:lineRule="exact"/>
        <w:rPr>
          <w:sz w:val="20"/>
          <w:szCs w:val="20"/>
          <w:color w:val="auto"/>
        </w:rPr>
      </w:pPr>
    </w:p>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Approvals</w:t>
      </w:r>
      <w:r>
        <w:rPr>
          <w:rFonts w:ascii="Times New Roman" w:cs="Times New Roman" w:eastAsia="Times New Roman" w:hAnsi="Times New Roman"/>
          <w:sz w:val="18"/>
          <w:szCs w:val="18"/>
          <w:color w:val="auto"/>
        </w:rPr>
        <w:t>” means all authorizations, consents, approvals, permits, licenses and exemptions of, registrations and filings with, and reports to, Governmental Authorities.</w:t>
      </w:r>
    </w:p>
    <w:p>
      <w:pPr>
        <w:spacing w:after="0" w:line="162"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Governmental Authority</w:t>
      </w:r>
      <w:r>
        <w:rPr>
          <w:rFonts w:ascii="Times New Roman" w:cs="Times New Roman" w:eastAsia="Times New Roman" w:hAnsi="Times New Roman"/>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0" w:lineRule="exact"/>
        <w:rPr>
          <w:sz w:val="20"/>
          <w:szCs w:val="20"/>
          <w:color w:val="auto"/>
        </w:rPr>
      </w:pPr>
    </w:p>
    <w:p>
      <w:pPr>
        <w:ind w:right="2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Guarantee</w:t>
      </w:r>
      <w:r>
        <w:rPr>
          <w:rFonts w:ascii="Times New Roman" w:cs="Times New Roman" w:eastAsia="Times New Roman" w:hAnsi="Times New Roman"/>
          <w:sz w:val="18"/>
          <w:szCs w:val="18"/>
          <w:color w:val="auto"/>
        </w:rPr>
        <w:t>” of or by any Person (the “</w:t>
      </w:r>
      <w:r>
        <w:rPr>
          <w:rFonts w:ascii="Times New Roman" w:cs="Times New Roman" w:eastAsia="Times New Roman" w:hAnsi="Times New Roman"/>
          <w:sz w:val="18"/>
          <w:szCs w:val="18"/>
          <w:u w:val="single" w:color="auto"/>
          <w:color w:val="auto"/>
        </w:rPr>
        <w:t>guarantor</w:t>
      </w:r>
      <w:r>
        <w:rPr>
          <w:rFonts w:ascii="Times New Roman" w:cs="Times New Roman" w:eastAsia="Times New Roman" w:hAnsi="Times New Roman"/>
          <w:sz w:val="18"/>
          <w:szCs w:val="18"/>
          <w:color w:val="auto"/>
        </w:rPr>
        <w:t>”) means any obligation, contingent or otherwise, of the guarantor guaranteeing or having the economic effect of guaranteeing any Indebtedness or other obligation of any other Person (the “</w:t>
      </w:r>
      <w:r>
        <w:rPr>
          <w:rFonts w:ascii="Times New Roman" w:cs="Times New Roman" w:eastAsia="Times New Roman" w:hAnsi="Times New Roman"/>
          <w:sz w:val="18"/>
          <w:szCs w:val="18"/>
          <w:u w:val="single" w:color="auto"/>
          <w:color w:val="auto"/>
        </w:rPr>
        <w:t>primary obligor</w:t>
      </w:r>
      <w:r>
        <w:rPr>
          <w:rFonts w:ascii="Times New Roman" w:cs="Times New Roman" w:eastAsia="Times New Roman" w:hAnsi="Times New Roman"/>
          <w:sz w:val="18"/>
          <w:szCs w:val="18"/>
          <w:color w:val="auto"/>
        </w:rPr>
        <w:t>”)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0980"/>
          </w:cols>
          <w:pgMar w:left="440" w:top="270" w:right="479" w:bottom="1440" w:gutter="0" w:footer="0" w:header="0"/>
        </w:sectPr>
      </w:pPr>
    </w:p>
    <w:bookmarkStart w:id="318" w:name="page319"/>
    <w:bookmarkEnd w:id="318"/>
    <w:p>
      <w:pPr>
        <w:ind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92"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Hazardous Materials</w:t>
      </w:r>
      <w:r>
        <w:rPr>
          <w:rFonts w:ascii="Times New Roman" w:cs="Times New Roman" w:eastAsia="Times New Roman" w:hAnsi="Times New Roman"/>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76"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Hedging Agreement</w:t>
      </w:r>
      <w:r>
        <w:rPr>
          <w:rFonts w:ascii="Times New Roman" w:cs="Times New Roman" w:eastAsia="Times New Roman" w:hAnsi="Times New Roman"/>
          <w:sz w:val="18"/>
          <w:szCs w:val="18"/>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9" w:lineRule="exact"/>
        <w:rPr>
          <w:sz w:val="20"/>
          <w:szCs w:val="20"/>
          <w:color w:val="auto"/>
        </w:rPr>
      </w:pPr>
    </w:p>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000"/>
          </w:cols>
          <w:pgMar w:left="440" w:top="270" w:right="459" w:bottom="1440" w:gutter="0" w:footer="0" w:header="0"/>
        </w:sectPr>
      </w:pPr>
    </w:p>
    <w:bookmarkStart w:id="319" w:name="page320"/>
    <w:bookmarkEnd w:id="319"/>
    <w:p>
      <w:pPr>
        <w:ind w:left="4" w:right="500"/>
        <w:spacing w:after="0" w:line="276"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or otherwise, to be secured by) any Lien on property owned or acquired by such Person, whether or not the Indebtedness secured thereby has been assumed by such Person, and (i) all Guarantees by such Person of Indebtedness of others;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the term “Indebtedness” shall not include</w:t>
      </w:r>
    </w:p>
    <w:p>
      <w:pPr>
        <w:spacing w:after="0" w:line="1" w:lineRule="exact"/>
        <w:rPr>
          <w:sz w:val="20"/>
          <w:szCs w:val="20"/>
          <w:color w:val="auto"/>
        </w:rPr>
      </w:pPr>
    </w:p>
    <w:p>
      <w:pPr>
        <w:ind w:left="4" w:right="80" w:hanging="4"/>
        <w:spacing w:after="0" w:line="253" w:lineRule="auto"/>
        <w:tabs>
          <w:tab w:leader="none" w:pos="219" w:val="left"/>
        </w:tabs>
        <w:numPr>
          <w:ilvl w:val="0"/>
          <w:numId w:val="2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89" w:lineRule="exact"/>
        <w:rPr>
          <w:sz w:val="20"/>
          <w:szCs w:val="20"/>
          <w:color w:val="auto"/>
        </w:rPr>
      </w:pPr>
    </w:p>
    <w:p>
      <w:pPr>
        <w:ind w:left="4" w:right="2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Indemnified Taxes</w:t>
      </w:r>
      <w:r>
        <w:rPr>
          <w:rFonts w:ascii="Times New Roman" w:cs="Times New Roman" w:eastAsia="Times New Roman" w:hAnsi="Times New Roman"/>
          <w:sz w:val="18"/>
          <w:szCs w:val="18"/>
          <w:color w:val="auto"/>
        </w:rPr>
        <w:t>” means (a) Taxes, other than Excluded Taxes, imposed on or with respect to any payment made by or on account of any obligation of the Company under any Loan Document and (b) to the extent not otherwise described in clause (a), Other Taxes.</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has the meaning set forth in Section 9.03(b).</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u w:val="single" w:color="auto"/>
          <w:color w:val="0000FF"/>
        </w:rPr>
        <w:t>“Inphi” means Inphi Corporation, 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26035</wp:posOffset>
            </wp:positionV>
            <wp:extent cx="2674620" cy="889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extLst>
                    </a:blip>
                    <a:srcRect/>
                    <a:stretch>
                      <a:fillRect/>
                    </a:stretch>
                  </pic:blipFill>
                  <pic:spPr bwMode="auto">
                    <a:xfrm>
                      <a:off x="0" y="0"/>
                      <a:ext cx="2674620" cy="8890"/>
                    </a:xfrm>
                    <a:prstGeom prst="rect">
                      <a:avLst/>
                    </a:prstGeom>
                    <a:noFill/>
                  </pic:spPr>
                </pic:pic>
              </a:graphicData>
            </a:graphic>
          </wp:anchor>
        </w:drawing>
      </w:r>
    </w:p>
    <w:p>
      <w:pPr>
        <w:spacing w:after="0" w:line="205" w:lineRule="exact"/>
        <w:rPr>
          <w:sz w:val="20"/>
          <w:szCs w:val="20"/>
          <w:color w:val="auto"/>
        </w:rPr>
      </w:pPr>
    </w:p>
    <w:p>
      <w:pPr>
        <w:ind w:left="4" w:right="20" w:firstLine="991"/>
        <w:spacing w:after="0" w:line="266" w:lineRule="auto"/>
        <w:rPr>
          <w:sz w:val="20"/>
          <w:szCs w:val="20"/>
          <w:color w:val="auto"/>
        </w:rPr>
      </w:pPr>
      <w:r>
        <w:rPr>
          <w:rFonts w:ascii="Times New Roman" w:cs="Times New Roman" w:eastAsia="Times New Roman" w:hAnsi="Times New Roman"/>
          <w:sz w:val="18"/>
          <w:szCs w:val="18"/>
          <w:u w:val="single" w:color="auto"/>
          <w:color w:val="0000FF"/>
        </w:rPr>
        <w:t>“Inphi Acquisition” means the acquisition by the Company of Inphi pursuant to the Inphi Acquisition Agreement, in accordance with which Indigo Acquisition Corp., a Delaware corporation, will merge with and into Inphi, with Inphi surviving such merger as a wholly 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-278765</wp:posOffset>
            </wp:positionV>
            <wp:extent cx="6094730" cy="825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extLst>
                    </a:blip>
                    <a:srcRect/>
                    <a:stretch>
                      <a:fillRect/>
                    </a:stretch>
                  </pic:blipFill>
                  <pic:spPr bwMode="auto">
                    <a:xfrm>
                      <a:off x="0" y="0"/>
                      <a:ext cx="609473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-141605</wp:posOffset>
            </wp:positionV>
            <wp:extent cx="6986270" cy="825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-4445</wp:posOffset>
            </wp:positionV>
            <wp:extent cx="702945" cy="8255"/>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extLst>
                    </a:blip>
                    <a:srcRect/>
                    <a:stretch>
                      <a:fillRect/>
                    </a:stretch>
                  </pic:blipFill>
                  <pic:spPr bwMode="auto">
                    <a:xfrm>
                      <a:off x="0" y="0"/>
                      <a:ext cx="702945" cy="8255"/>
                    </a:xfrm>
                    <a:prstGeom prst="rect">
                      <a:avLst/>
                    </a:prstGeom>
                    <a:noFill/>
                  </pic:spPr>
                </pic:pic>
              </a:graphicData>
            </a:graphic>
          </wp:anchor>
        </w:drawing>
      </w:r>
    </w:p>
    <w:p>
      <w:pPr>
        <w:spacing w:after="0" w:line="156" w:lineRule="exact"/>
        <w:rPr>
          <w:sz w:val="20"/>
          <w:szCs w:val="20"/>
          <w:color w:val="auto"/>
        </w:rPr>
      </w:pPr>
    </w:p>
    <w:p>
      <w:pPr>
        <w:ind w:left="4" w:right="100" w:firstLine="991"/>
        <w:spacing w:after="0" w:line="261" w:lineRule="auto"/>
        <w:rPr>
          <w:sz w:val="20"/>
          <w:szCs w:val="20"/>
          <w:color w:val="auto"/>
        </w:rPr>
      </w:pPr>
      <w:r>
        <w:rPr>
          <w:rFonts w:ascii="Times New Roman" w:cs="Times New Roman" w:eastAsia="Times New Roman" w:hAnsi="Times New Roman"/>
          <w:sz w:val="18"/>
          <w:szCs w:val="18"/>
          <w:u w:val="single" w:color="auto"/>
          <w:color w:val="0000FF"/>
        </w:rPr>
        <w:t>“Inphi Acquisition Agreement” means the Agreement and Plan of Merger dated as of October 29, 2020 (including the exhibits and schedules thereto and all related documents), among the Company, Inphi, Maui Topco, Marvell Acquisition Company Ltd., a Bermuda exempted company and a wholly-owned subsidiary of Maui Topco and Indigo Acquisition Corp., a Delaware corporation and a wholly-owned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-414020</wp:posOffset>
            </wp:positionV>
            <wp:extent cx="5974715" cy="889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extLst>
                    </a:blip>
                    <a:srcRect/>
                    <a:stretch>
                      <a:fillRect/>
                    </a:stretch>
                  </pic:blipFill>
                  <pic:spPr bwMode="auto">
                    <a:xfrm>
                      <a:off x="0" y="0"/>
                      <a:ext cx="597471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-276860</wp:posOffset>
            </wp:positionV>
            <wp:extent cx="6635115" cy="8255"/>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extLst>
                    </a:blip>
                    <a:srcRect/>
                    <a:stretch>
                      <a:fillRect/>
                    </a:stretch>
                  </pic:blipFill>
                  <pic:spPr bwMode="auto">
                    <a:xfrm>
                      <a:off x="0" y="0"/>
                      <a:ext cx="6635115"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-139700</wp:posOffset>
            </wp:positionV>
            <wp:extent cx="6934835" cy="8255"/>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extLst>
                    </a:blip>
                    <a:srcRect/>
                    <a:stretch>
                      <a:fillRect/>
                    </a:stretch>
                  </pic:blipFill>
                  <pic:spPr bwMode="auto">
                    <a:xfrm>
                      <a:off x="0" y="0"/>
                      <a:ext cx="6934835"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-2540</wp:posOffset>
            </wp:positionV>
            <wp:extent cx="308610" cy="8255"/>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extLst>
                    </a:blip>
                    <a:srcRect/>
                    <a:stretch>
                      <a:fillRect/>
                    </a:stretch>
                  </pic:blipFill>
                  <pic:spPr bwMode="auto">
                    <a:xfrm>
                      <a:off x="0" y="0"/>
                      <a:ext cx="308610" cy="8255"/>
                    </a:xfrm>
                    <a:prstGeom prst="rect">
                      <a:avLst/>
                    </a:prstGeom>
                    <a:noFill/>
                  </pic:spPr>
                </pic:pic>
              </a:graphicData>
            </a:graphic>
          </wp:anchor>
        </w:drawing>
      </w:r>
    </w:p>
    <w:p>
      <w:pPr>
        <w:spacing w:after="0" w:line="160"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u w:val="single" w:color="auto"/>
          <w:color w:val="0000FF"/>
        </w:rPr>
        <w:t>“Inphi Acquisition Closing Date” means the date of the consummation of the Inphi Acquisition and the other Inphi Acquisition</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u w:val="single" w:color="auto"/>
          <w:color w:val="0000FF"/>
        </w:rPr>
        <w:t>Transactions.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-121920</wp:posOffset>
            </wp:positionV>
            <wp:extent cx="5812155" cy="889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extLst>
                    </a:blip>
                    <a:srcRect/>
                    <a:stretch>
                      <a:fillRect/>
                    </a:stretch>
                  </pic:blipFill>
                  <pic:spPr bwMode="auto">
                    <a:xfrm>
                      <a:off x="0" y="0"/>
                      <a:ext cx="581215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14605</wp:posOffset>
            </wp:positionV>
            <wp:extent cx="608330" cy="8255"/>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extLst>
                    </a:blip>
                    <a:srcRect/>
                    <a:stretch>
                      <a:fillRect/>
                    </a:stretch>
                  </pic:blipFill>
                  <pic:spPr bwMode="auto">
                    <a:xfrm>
                      <a:off x="0" y="0"/>
                      <a:ext cx="608330" cy="8255"/>
                    </a:xfrm>
                    <a:prstGeom prst="rect">
                      <a:avLst/>
                    </a:prstGeom>
                    <a:noFill/>
                  </pic:spPr>
                </pic:pic>
              </a:graphicData>
            </a:graphic>
          </wp:anchor>
        </w:drawing>
      </w:r>
    </w:p>
    <w:p>
      <w:pPr>
        <w:spacing w:after="0" w:line="187" w:lineRule="exact"/>
        <w:rPr>
          <w:sz w:val="20"/>
          <w:szCs w:val="20"/>
          <w:color w:val="auto"/>
        </w:rPr>
      </w:pPr>
    </w:p>
    <w:p>
      <w:pPr>
        <w:jc w:val="both"/>
        <w:ind w:left="4" w:firstLine="991"/>
        <w:spacing w:after="0" w:line="266" w:lineRule="auto"/>
        <w:rPr>
          <w:sz w:val="20"/>
          <w:szCs w:val="20"/>
          <w:color w:val="auto"/>
        </w:rPr>
      </w:pPr>
      <w:r>
        <w:rPr>
          <w:rFonts w:ascii="Times New Roman" w:cs="Times New Roman" w:eastAsia="Times New Roman" w:hAnsi="Times New Roman"/>
          <w:sz w:val="18"/>
          <w:szCs w:val="18"/>
          <w:u w:val="single" w:color="auto"/>
          <w:color w:val="0000FF"/>
        </w:rPr>
        <w:t>“Inphi Acquisition Indebtedness” means any Indebtedness incurred on or prior to the Inphi Acquisition Closing Date to finance, in part, the Inphi Acquisition and the payment of fees and expenses related to the Inphi Acquisition Transactions, and any Indebtedness that represents an extension, renewal or refinancing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-278765</wp:posOffset>
            </wp:positionV>
            <wp:extent cx="6369050" cy="8255"/>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extLst>
                    </a:blip>
                    <a:srcRect/>
                    <a:stretch>
                      <a:fillRect/>
                    </a:stretch>
                  </pic:blipFill>
                  <pic:spPr bwMode="auto">
                    <a:xfrm>
                      <a:off x="0" y="0"/>
                      <a:ext cx="636905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-141605</wp:posOffset>
            </wp:positionV>
            <wp:extent cx="6986270" cy="8255"/>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extLst>
                    </a:blip>
                    <a:srcRect/>
                    <a:stretch>
                      <a:fillRect/>
                    </a:stretch>
                  </pic:blipFill>
                  <pic:spPr bwMode="auto">
                    <a:xfrm>
                      <a:off x="0" y="0"/>
                      <a:ext cx="698627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-4445</wp:posOffset>
            </wp:positionV>
            <wp:extent cx="1414145" cy="8255"/>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extLst>
                    </a:blip>
                    <a:srcRect/>
                    <a:stretch>
                      <a:fillRect/>
                    </a:stretch>
                  </pic:blipFill>
                  <pic:spPr bwMode="auto">
                    <a:xfrm>
                      <a:off x="0" y="0"/>
                      <a:ext cx="1414145" cy="8255"/>
                    </a:xfrm>
                    <a:prstGeom prst="rect">
                      <a:avLst/>
                    </a:prstGeom>
                    <a:noFill/>
                  </pic:spPr>
                </pic:pic>
              </a:graphicData>
            </a:graphic>
          </wp:anchor>
        </w:drawing>
      </w:r>
    </w:p>
    <w:p>
      <w:pPr>
        <w:spacing w:after="0" w:line="156" w:lineRule="exact"/>
        <w:rPr>
          <w:sz w:val="20"/>
          <w:szCs w:val="20"/>
          <w:color w:val="auto"/>
        </w:rPr>
      </w:pPr>
    </w:p>
    <w:p>
      <w:pPr>
        <w:ind w:left="4" w:right="260" w:firstLine="991"/>
        <w:spacing w:after="0" w:line="282" w:lineRule="auto"/>
        <w:rPr>
          <w:sz w:val="20"/>
          <w:szCs w:val="20"/>
          <w:color w:val="auto"/>
        </w:rPr>
      </w:pPr>
      <w:r>
        <w:rPr>
          <w:rFonts w:ascii="Times New Roman" w:cs="Times New Roman" w:eastAsia="Times New Roman" w:hAnsi="Times New Roman"/>
          <w:sz w:val="18"/>
          <w:szCs w:val="18"/>
          <w:u w:val="single" w:color="auto"/>
          <w:color w:val="0000FF"/>
        </w:rPr>
        <w:t>“Inphi Acquisition Permitted Reorganization” means a transaction described in Section 9.20 pursuant to which the Company becomes a wholly-owned subsidiary of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-151130</wp:posOffset>
            </wp:positionV>
            <wp:extent cx="6214745" cy="889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extLst>
                    </a:blip>
                    <a:srcRect/>
                    <a:stretch>
                      <a:fillRect/>
                    </a:stretch>
                  </pic:blipFill>
                  <pic:spPr bwMode="auto">
                    <a:xfrm>
                      <a:off x="0" y="0"/>
                      <a:ext cx="621474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-13970</wp:posOffset>
            </wp:positionV>
            <wp:extent cx="1894205" cy="8255"/>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extLst>
                    </a:blip>
                    <a:srcRect/>
                    <a:stretch>
                      <a:fillRect/>
                    </a:stretch>
                  </pic:blipFill>
                  <pic:spPr bwMode="auto">
                    <a:xfrm>
                      <a:off x="0" y="0"/>
                      <a:ext cx="1894205" cy="8255"/>
                    </a:xfrm>
                    <a:prstGeom prst="rect">
                      <a:avLst/>
                    </a:prstGeom>
                    <a:noFill/>
                  </pic:spPr>
                </pic:pic>
              </a:graphicData>
            </a:graphic>
          </wp:anchor>
        </w:drawing>
      </w:r>
    </w:p>
    <w:p>
      <w:pPr>
        <w:spacing w:after="0" w:line="14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u w:val="single" w:color="auto"/>
          <w:color w:val="0000FF"/>
        </w:rPr>
        <w:t>“Inphi Acquisition Permitted Reorganization Merger Sub” has the meaning set forth in Section 9.20.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26035</wp:posOffset>
            </wp:positionV>
            <wp:extent cx="4594860" cy="889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extLst>
                    </a:blip>
                    <a:srcRect/>
                    <a:stretch>
                      <a:fillRect/>
                    </a:stretch>
                  </pic:blipFill>
                  <pic:spPr bwMode="auto">
                    <a:xfrm>
                      <a:off x="0" y="0"/>
                      <a:ext cx="4594860" cy="8890"/>
                    </a:xfrm>
                    <a:prstGeom prst="rect">
                      <a:avLst/>
                    </a:prstGeom>
                    <a:noFill/>
                  </pic:spPr>
                </pic:pic>
              </a:graphicData>
            </a:graphic>
          </wp:anchor>
        </w:drawing>
      </w:r>
    </w:p>
    <w:p>
      <w:pPr>
        <w:spacing w:after="0" w:line="13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024"/>
          </w:cols>
          <w:pgMar w:left="436" w:top="270" w:right="439" w:bottom="1440" w:gutter="0" w:footer="0" w:header="0"/>
        </w:sectPr>
      </w:pPr>
    </w:p>
    <w:bookmarkStart w:id="320" w:name="page321"/>
    <w:bookmarkEnd w:id="320"/>
    <w:p>
      <w:pPr>
        <w:ind w:right="640" w:firstLine="991"/>
        <w:spacing w:after="0" w:line="282" w:lineRule="auto"/>
        <w:rPr>
          <w:sz w:val="20"/>
          <w:szCs w:val="20"/>
          <w:color w:val="auto"/>
        </w:rPr>
      </w:pPr>
      <w:r>
        <w:rPr>
          <w:rFonts w:ascii="Times New Roman" w:cs="Times New Roman" w:eastAsia="Times New Roman" w:hAnsi="Times New Roman"/>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“Inphi Acquisition Transactions” means (a) the Inphi Acquisition, (b) the Refinancing, (c) the incurrence of any Inphi Acquisition Indebtedness and (d) the payment of fees and expenses in connection with the foregoing.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-151130</wp:posOffset>
            </wp:positionV>
            <wp:extent cx="5940425" cy="8255"/>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extLst>
                    </a:blip>
                    <a:srcRect/>
                    <a:stretch>
                      <a:fillRect/>
                    </a:stretch>
                  </pic:blipFill>
                  <pic:spPr bwMode="auto">
                    <a:xfrm>
                      <a:off x="0" y="0"/>
                      <a:ext cx="594042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wp:posOffset>
            </wp:positionV>
            <wp:extent cx="4063365" cy="889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6">
                      <a:extLst>
                        <a:ext uri="{28A0092B-C50C-407E-A947-70E740481C1C}"/>
                      </a:extLst>
                    </a:blip>
                    <a:srcRect/>
                    <a:stretch>
                      <a:fillRect/>
                    </a:stretch>
                  </pic:blipFill>
                  <pic:spPr bwMode="auto">
                    <a:xfrm>
                      <a:off x="0" y="0"/>
                      <a:ext cx="4063365" cy="8890"/>
                    </a:xfrm>
                    <a:prstGeom prst="rect">
                      <a:avLst/>
                    </a:prstGeom>
                    <a:noFill/>
                  </pic:spPr>
                </pic:pic>
              </a:graphicData>
            </a:graphic>
          </wp:anchor>
        </w:drawing>
      </w:r>
    </w:p>
    <w:p>
      <w:pPr>
        <w:spacing w:after="0" w:line="142" w:lineRule="exact"/>
        <w:rPr>
          <w:sz w:val="20"/>
          <w:szCs w:val="20"/>
          <w:color w:val="auto"/>
        </w:rPr>
      </w:pPr>
    </w:p>
    <w:p>
      <w:pPr>
        <w:ind w:right="160" w:firstLine="991"/>
        <w:spacing w:after="0" w:line="266" w:lineRule="auto"/>
        <w:rPr>
          <w:sz w:val="20"/>
          <w:szCs w:val="20"/>
          <w:color w:val="auto"/>
        </w:rPr>
      </w:pPr>
      <w:r>
        <w:rPr>
          <w:rFonts w:ascii="Times New Roman" w:cs="Times New Roman" w:eastAsia="Times New Roman" w:hAnsi="Times New Roman"/>
          <w:sz w:val="18"/>
          <w:szCs w:val="18"/>
          <w:u w:val="single" w:color="auto"/>
          <w:color w:val="0000FF"/>
        </w:rPr>
        <w:t>“Inphi Convertible Notes” means collectively, (i) the 0.75% convertible senior notes due 2021 issued on September 12, 2016 by Inphi in an aggregate initial principal amount of $287,500,000 and (ii) the 0.75% convertible senior notes due 2025 issued on April 24, 2020 by Inphi in an aggregate initial principal amount of $506,000,000.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-278765</wp:posOffset>
            </wp:positionV>
            <wp:extent cx="6240780" cy="8255"/>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7">
                      <a:extLst>
                        <a:ext uri="{28A0092B-C50C-407E-A947-70E740481C1C}"/>
                      </a:extLst>
                    </a:blip>
                    <a:srcRect/>
                    <a:stretch>
                      <a:fillRect/>
                    </a:stretch>
                  </pic:blipFill>
                  <pic:spPr bwMode="auto">
                    <a:xfrm>
                      <a:off x="0" y="0"/>
                      <a:ext cx="62407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-141605</wp:posOffset>
            </wp:positionV>
            <wp:extent cx="6703695" cy="8255"/>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8">
                      <a:extLst>
                        <a:ext uri="{28A0092B-C50C-407E-A947-70E740481C1C}"/>
                      </a:extLst>
                    </a:blip>
                    <a:srcRect/>
                    <a:stretch>
                      <a:fillRect/>
                    </a:stretch>
                  </pic:blipFill>
                  <pic:spPr bwMode="auto">
                    <a:xfrm>
                      <a:off x="0" y="0"/>
                      <a:ext cx="670369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-4445</wp:posOffset>
            </wp:positionV>
            <wp:extent cx="2357120" cy="8255"/>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59">
                      <a:extLst>
                        <a:ext uri="{28A0092B-C50C-407E-A947-70E740481C1C}"/>
                      </a:extLst>
                    </a:blip>
                    <a:srcRect/>
                    <a:stretch>
                      <a:fillRect/>
                    </a:stretch>
                  </pic:blipFill>
                  <pic:spPr bwMode="auto">
                    <a:xfrm>
                      <a:off x="0" y="0"/>
                      <a:ext cx="2357120" cy="8255"/>
                    </a:xfrm>
                    <a:prstGeom prst="rect">
                      <a:avLst/>
                    </a:prstGeom>
                    <a:noFill/>
                  </pic:spPr>
                </pic:pic>
              </a:graphicData>
            </a:graphic>
          </wp:anchor>
        </w:drawing>
      </w:r>
    </w:p>
    <w:p>
      <w:pPr>
        <w:spacing w:after="0" w:line="156" w:lineRule="exact"/>
        <w:rPr>
          <w:sz w:val="20"/>
          <w:szCs w:val="20"/>
          <w:color w:val="auto"/>
        </w:rPr>
      </w:pPr>
    </w:p>
    <w:p>
      <w:pPr>
        <w:jc w:val="both"/>
        <w:ind w:right="4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Election Request</w:t>
      </w:r>
      <w:r>
        <w:rPr>
          <w:rFonts w:ascii="Times New Roman" w:cs="Times New Roman" w:eastAsia="Times New Roman" w:hAnsi="Times New Roman"/>
          <w:sz w:val="18"/>
          <w:szCs w:val="18"/>
          <w:color w:val="auto"/>
        </w:rPr>
        <w:t>” means a request by the Company to convert or continue a Revolving Borrowing or a Term Borrowing in accordance with Section 2.05, which shall be, in the case of any such written request, in the form of Exhibit D or any other form approved by the Applicable Facility Agent.</w:t>
      </w:r>
    </w:p>
    <w:p>
      <w:pPr>
        <w:spacing w:after="0" w:line="176" w:lineRule="exact"/>
        <w:rPr>
          <w:sz w:val="20"/>
          <w:szCs w:val="20"/>
          <w:color w:val="auto"/>
        </w:rPr>
      </w:pPr>
    </w:p>
    <w:p>
      <w:pPr>
        <w:ind w:right="1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Payment Date</w:t>
      </w:r>
      <w:r>
        <w:rPr>
          <w:rFonts w:ascii="Times New Roman" w:cs="Times New Roman" w:eastAsia="Times New Roman" w:hAnsi="Times New Roman"/>
          <w:sz w:val="18"/>
          <w:szCs w:val="18"/>
          <w:color w:val="auto"/>
        </w:rPr>
        <w:t>” means (a) with respect to any ABR Loan, the last Business Day of each March, June, September and December, and (b) 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80" w:lineRule="exact"/>
        <w:rPr>
          <w:sz w:val="20"/>
          <w:szCs w:val="20"/>
          <w:color w:val="auto"/>
        </w:rPr>
      </w:pPr>
    </w:p>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Interest Period</w:t>
      </w:r>
      <w:r>
        <w:rPr>
          <w:rFonts w:ascii="Times New Roman" w:cs="Times New Roman" w:eastAsia="Times New Roman" w:hAnsi="Times New Roman"/>
          <w:sz w:val="18"/>
          <w:szCs w:val="18"/>
          <w:color w:val="auto"/>
        </w:rPr>
        <w:t xml:space="preserve">”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 participating in such Borrowing), as the Company may elect;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88"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Investment Grade</w:t>
      </w:r>
      <w:r>
        <w:rPr>
          <w:rFonts w:ascii="Times New Roman" w:cs="Times New Roman" w:eastAsia="Times New Roman" w:hAnsi="Times New Roman"/>
          <w:sz w:val="18"/>
          <w:szCs w:val="18"/>
          <w:color w:val="auto"/>
        </w:rPr>
        <w:t>” means (a) with respect to S&amp;P, a rating of BBB- or higher, (b) with respect to Moody’s, a rating of Baa3 or higher and (c) with respect to Fitch, a rating of BBB- or higher.</w:t>
      </w:r>
    </w:p>
    <w:p>
      <w:pPr>
        <w:spacing w:after="0" w:line="200" w:lineRule="exact"/>
        <w:rPr>
          <w:sz w:val="20"/>
          <w:szCs w:val="20"/>
          <w:color w:val="auto"/>
        </w:rPr>
      </w:pPr>
    </w:p>
    <w:p>
      <w:pPr>
        <w:spacing w:after="0" w:line="20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has the meaning set forth in Section 9.17.</w:t>
      </w:r>
    </w:p>
    <w:p>
      <w:pPr>
        <w:spacing w:after="0" w:line="225"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Lenders</w:t>
      </w:r>
      <w:r>
        <w:rPr>
          <w:rFonts w:ascii="Times New Roman" w:cs="Times New Roman" w:eastAsia="Times New Roman" w:hAnsi="Times New Roman"/>
          <w:sz w:val="18"/>
          <w:szCs w:val="18"/>
          <w:color w:val="auto"/>
        </w:rPr>
        <w:t>” means the Persons listed on Schedule 2.01, any Bridge Lender that shall have become a party hereto pursuant to the Bridge Facility Agreement and any other Person that shall have become a party hereto pursuant to an Assignment and Assumption, other than any such Person that shall have ceased to be a party hereto pursuant to an Assignment and Assumption.</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80"/>
          </w:cols>
          <w:pgMar w:left="440" w:top="270" w:right="479" w:bottom="1440" w:gutter="0" w:footer="0" w:header="0"/>
        </w:sectPr>
      </w:pPr>
    </w:p>
    <w:bookmarkStart w:id="321" w:name="page322"/>
    <w:bookmarkEnd w:id="321"/>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62"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Rate</w:t>
      </w:r>
      <w:r>
        <w:rPr>
          <w:rFonts w:ascii="Times New Roman" w:cs="Times New Roman" w:eastAsia="Times New Roman" w:hAnsi="Times New Roman"/>
          <w:sz w:val="18"/>
          <w:szCs w:val="18"/>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176"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LIBO Screen Rate</w:t>
      </w:r>
      <w:r>
        <w:rPr>
          <w:rFonts w:ascii="Times New Roman" w:cs="Times New Roman" w:eastAsia="Times New Roman" w:hAnsi="Times New Roman"/>
          <w:sz w:val="18"/>
          <w:szCs w:val="18"/>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 delivery on the first day of such Interest Period) for a period equal in length to such Interest Period as displayed on either the Reuters screen page or the Bloomberg screen page, as selected by the Applicable Facility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Applicable Facility Agent in its reasonable discretion.</w:t>
      </w:r>
    </w:p>
    <w:p>
      <w:pPr>
        <w:spacing w:after="0" w:line="189"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Lien</w:t>
      </w:r>
      <w:r>
        <w:rPr>
          <w:rFonts w:ascii="Times New Roman" w:cs="Times New Roman" w:eastAsia="Times New Roman" w:hAnsi="Times New Roman"/>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76" w:lineRule="exact"/>
        <w:rPr>
          <w:sz w:val="20"/>
          <w:szCs w:val="20"/>
          <w:color w:val="auto"/>
        </w:rPr>
      </w:pPr>
    </w:p>
    <w:p>
      <w:pPr>
        <w:ind w:right="6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 Documents</w:t>
      </w:r>
      <w:r>
        <w:rPr>
          <w:rFonts w:ascii="Times New Roman" w:cs="Times New Roman" w:eastAsia="Times New Roman" w:hAnsi="Times New Roman"/>
          <w:sz w:val="18"/>
          <w:szCs w:val="18"/>
          <w:color w:val="auto"/>
        </w:rPr>
        <w:t>” means this Agreement, the Bridge Facility Agreement (if any), the Assumption Agreement (if any), the Parent Company Guarantee (if any) and, except for purposes of Section 9.02, any promissory notes delivered pursuant to Section 2.07(c).</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Loans</w:t>
      </w:r>
      <w:r>
        <w:rPr>
          <w:rFonts w:ascii="Times New Roman" w:cs="Times New Roman" w:eastAsia="Times New Roman" w:hAnsi="Times New Roman"/>
          <w:sz w:val="18"/>
          <w:szCs w:val="18"/>
          <w:color w:val="auto"/>
        </w:rPr>
        <w:t>” means the loans made by the Lenders to the Company pursuant to this Agreement.</w:t>
      </w:r>
    </w:p>
    <w:p>
      <w:pPr>
        <w:spacing w:after="0" w:line="225" w:lineRule="exact"/>
        <w:rPr>
          <w:sz w:val="20"/>
          <w:szCs w:val="20"/>
          <w:color w:val="auto"/>
        </w:rPr>
      </w:pPr>
    </w:p>
    <w:p>
      <w:pPr>
        <w:ind w:right="6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Majority in Interest</w:t>
      </w:r>
      <w:r>
        <w:rPr>
          <w:rFonts w:ascii="Times New Roman" w:cs="Times New Roman" w:eastAsia="Times New Roman" w:hAnsi="Times New Roman"/>
          <w:sz w:val="18"/>
          <w:szCs w:val="18"/>
          <w:color w:val="auto"/>
        </w:rPr>
        <w:t>”, when used in reference to Lenders of any Class, means, at any time, (a) in the case of the Revolving Lenders, Lenders having Revolving Exposures and unused Revolving Commitments representing more than 50% of the sum of the aggregate Revolving Exposures and the aggregate amount of the unused Revolving Commitments at such time and (b) in the case of the Term Lenders, Lenders having Term Loans (or, prior to the borrowing of the Term Loans hereunder on the Term Funding Date, Term Commitments) representing more than 50% of the aggregate outstanding principal amount of all the Term Loans (or, prior to the borrowing of the Term Loans hereunder on the Term Funding Date, the aggregate amount of the Term Commitments) at such time.</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0980"/>
          </w:cols>
          <w:pgMar w:left="440" w:top="270" w:right="479" w:bottom="1440" w:gutter="0" w:footer="0" w:header="0"/>
        </w:sectPr>
      </w:pPr>
    </w:p>
    <w:bookmarkStart w:id="322" w:name="page323"/>
    <w:bookmarkEnd w:id="322"/>
    <w:p>
      <w:pPr>
        <w:ind w:right="20" w:firstLine="991"/>
        <w:spacing w:after="0" w:line="266" w:lineRule="auto"/>
        <w:rPr>
          <w:sz w:val="20"/>
          <w:szCs w:val="20"/>
          <w:color w:val="auto"/>
        </w:rPr>
      </w:pPr>
      <w:r>
        <w:rPr>
          <w:rFonts w:ascii="Times New Roman" w:cs="Times New Roman" w:eastAsia="Times New Roman" w:hAnsi="Times New Roman"/>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2018 Senior Unsecured Notes” means collectively (i) the 4.200% senior notes due 2023 issued on June 22, 2018 by the Company in an aggregate principal amount of $500,000,000 and (ii) the 4.875% senior notes due 2028 issued on June 22, 2018 by Marvell in an aggregate principal amount of $500,000,000.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-278765</wp:posOffset>
            </wp:positionV>
            <wp:extent cx="6369050" cy="889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2">
                      <a:extLst>
                        <a:ext uri="{28A0092B-C50C-407E-A947-70E740481C1C}"/>
                      </a:extLst>
                    </a:blip>
                    <a:srcRect/>
                    <a:stretch>
                      <a:fillRect/>
                    </a:stretch>
                  </pic:blipFill>
                  <pic:spPr bwMode="auto">
                    <a:xfrm>
                      <a:off x="0" y="0"/>
                      <a:ext cx="636905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-141605</wp:posOffset>
            </wp:positionV>
            <wp:extent cx="6609080" cy="8255"/>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3">
                      <a:extLst>
                        <a:ext uri="{28A0092B-C50C-407E-A947-70E740481C1C}"/>
                      </a:extLst>
                    </a:blip>
                    <a:srcRect/>
                    <a:stretch>
                      <a:fillRect/>
                    </a:stretch>
                  </pic:blipFill>
                  <pic:spPr bwMode="auto">
                    <a:xfrm>
                      <a:off x="0" y="0"/>
                      <a:ext cx="66090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-4445</wp:posOffset>
            </wp:positionV>
            <wp:extent cx="1585595" cy="8255"/>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4">
                      <a:extLst>
                        <a:ext uri="{28A0092B-C50C-407E-A947-70E740481C1C}"/>
                      </a:extLst>
                    </a:blip>
                    <a:srcRect/>
                    <a:stretch>
                      <a:fillRect/>
                    </a:stretch>
                  </pic:blipFill>
                  <pic:spPr bwMode="auto">
                    <a:xfrm>
                      <a:off x="0" y="0"/>
                      <a:ext cx="1585595" cy="8255"/>
                    </a:xfrm>
                    <a:prstGeom prst="rect">
                      <a:avLst/>
                    </a:prstGeom>
                    <a:noFill/>
                  </pic:spPr>
                </pic:pic>
              </a:graphicData>
            </a:graphic>
          </wp:anchor>
        </w:drawing>
      </w:r>
    </w:p>
    <w:p>
      <w:pPr>
        <w:spacing w:after="0" w:line="15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Acquisition</w:t>
      </w:r>
      <w:r>
        <w:rPr>
          <w:rFonts w:ascii="Times New Roman" w:cs="Times New Roman" w:eastAsia="Times New Roman" w:hAnsi="Times New Roman"/>
          <w:sz w:val="18"/>
          <w:szCs w:val="18"/>
          <w:color w:val="auto"/>
        </w:rPr>
        <w:t>” means any Acquisition by the Company or any Subsidiary involving payment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right="6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w:t>
      </w:r>
      <w:r>
        <w:rPr>
          <w:rFonts w:ascii="Times New Roman" w:cs="Times New Roman" w:eastAsia="Times New Roman" w:hAnsi="Times New Roman"/>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76"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Adverse Effect on the Acquired Companies</w:t>
      </w:r>
      <w:r>
        <w:rPr>
          <w:rFonts w:ascii="Times New Roman" w:cs="Times New Roman" w:eastAsia="Times New Roman" w:hAnsi="Times New Roman"/>
          <w:sz w:val="18"/>
          <w:szCs w:val="18"/>
          <w:color w:val="auto"/>
        </w:rPr>
        <w:t xml:space="preserve">” means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 (ii) 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20"/>
          </w:cols>
          <w:pgMar w:left="440" w:top="270" w:right="439" w:bottom="1440" w:gutter="0" w:footer="0" w:header="0"/>
        </w:sectPr>
      </w:pPr>
    </w:p>
    <w:bookmarkStart w:id="323" w:name="page324"/>
    <w:bookmarkEnd w:id="323"/>
    <w:p>
      <w:pPr>
        <w:ind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calamities occurring after the date of the Agreement; (viii) losses of customers, suppliers, distributors or other business 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however</w:t>
      </w:r>
      <w:r>
        <w:rPr>
          <w:rFonts w:ascii="Times New Roman" w:cs="Times New Roman" w:eastAsia="Times New Roman" w:hAnsi="Times New Roman"/>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 All capitalized terms used in this definition shall have the meanings assigned thereto in the Cavium Acquisition Agreement (as in effect on the Signing Date).</w:t>
      </w:r>
    </w:p>
    <w:p>
      <w:pPr>
        <w:spacing w:after="0" w:line="19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Disposition</w:t>
      </w:r>
      <w:r>
        <w:rPr>
          <w:rFonts w:ascii="Times New Roman" w:cs="Times New Roman" w:eastAsia="Times New Roman" w:hAnsi="Times New Roman"/>
          <w:sz w:val="18"/>
          <w:szCs w:val="18"/>
          <w:color w:val="auto"/>
        </w:rPr>
        <w:t>” means any Disposition by the Company or any Subsidiary involving receipt of consideration of $50,000,000 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more.</w:t>
      </w:r>
    </w:p>
    <w:p>
      <w:pPr>
        <w:spacing w:after="0" w:line="207"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Indebtedness</w:t>
      </w:r>
      <w:r>
        <w:rPr>
          <w:rFonts w:ascii="Times New Roman" w:cs="Times New Roman" w:eastAsia="Times New Roman" w:hAnsi="Times New Roman"/>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3" w:lineRule="exact"/>
        <w:rPr>
          <w:sz w:val="20"/>
          <w:szCs w:val="20"/>
          <w:color w:val="auto"/>
        </w:rPr>
      </w:pPr>
    </w:p>
    <w:p>
      <w:pPr>
        <w:jc w:val="both"/>
        <w:ind w:right="2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IP Subsidiary</w:t>
      </w:r>
      <w:r>
        <w:rPr>
          <w:rFonts w:ascii="Times New Roman" w:cs="Times New Roman" w:eastAsia="Times New Roman" w:hAnsi="Times New Roman"/>
          <w:sz w:val="18"/>
          <w:szCs w:val="18"/>
          <w:color w:val="auto"/>
        </w:rPr>
        <w:t>” means any Subsidiary that owns any copyright, patent, trademark, technology, software or domain name, any license of any of the foregoing or any other intellectual property right that, in each case, individually or in the aggregate, is material to the business or operations of the Company and the Subsidiaries, taken as a whole.</w:t>
      </w:r>
    </w:p>
    <w:p>
      <w:pPr>
        <w:spacing w:after="0" w:line="176"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Material Subsidiary</w:t>
      </w:r>
      <w:r>
        <w:rPr>
          <w:rFonts w:ascii="Times New Roman" w:cs="Times New Roman" w:eastAsia="Times New Roman" w:hAnsi="Times New Roman"/>
          <w:sz w:val="18"/>
          <w:szCs w:val="18"/>
          <w:color w:val="auto"/>
        </w:rPr>
        <w:t xml:space="preserve">” means (a) each Material IP Subsidiary and (b) each other Subsidiary of the Company (i) the consolidated total assets of which equal 5.0% or more of the consolidated total assets of the Company or (ii) the consolidated revenues of which equal 5.0% or more of the consolidated revenues of the Company, in each case as of the end of or for the most recent period of four consecutive fiscal quarters of the Company for which financial statements have been delivered pursuant to Section 5.01(a) or 5.01(b) (or, prior to the first delivery of any such financial statements, as of the end of or for the period of four consecutive fiscal quarters of the Company most recently ended prior to the date of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at the end of or for any such most recent period of four consecutive fiscal quarters the combined consolidated total assets or combined consolidated revenues of all Subsidiaries that under clauses (i) and (ii) above would not constitute Material Subsidiaries shall have exceeded 10.0% of the consolidated total assets of the Company or 10.0% of the consolidated revenues of the Company, then one or more of such excluded Subsidiaries shall for all purposes of this Agreement be deemed to be Material Subsidiaries in descending order based on the amounts of their consolidated total assets or consolidated revenues, as the case may be,</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0"/>
          </w:cols>
          <w:pgMar w:left="440" w:top="270" w:right="459" w:bottom="1440" w:gutter="0" w:footer="0" w:header="0"/>
        </w:sectPr>
      </w:pPr>
    </w:p>
    <w:bookmarkStart w:id="324" w:name="page325"/>
    <w:bookmarkEnd w:id="324"/>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until such excess shall have been eliminated. For purposes of this definition, on and after the Term Funding Date (including for purposes of determining whether any subsidiary of Cavium constitutes a Material Subsidiary), the consolidated total assets and consolidated revenues of the Company as of any date prior to, or for any period that commenced prior to, the Term Funding Date shall be determined on a pro forma basis to give effect to the Cavium Acquisition and the other Transactions to occur on the Term Funding Date.</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Maturity Date</w:t>
      </w:r>
      <w:r>
        <w:rPr>
          <w:rFonts w:ascii="Times New Roman" w:cs="Times New Roman" w:eastAsia="Times New Roman" w:hAnsi="Times New Roman"/>
          <w:sz w:val="18"/>
          <w:szCs w:val="18"/>
          <w:color w:val="auto"/>
        </w:rPr>
        <w:t>” means the Revolving Maturity Date or the Term Maturity Date, as applicable.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u w:val="single" w:color="auto"/>
          <w:color w:val="0000FF"/>
        </w:rPr>
        <w:t>“Maui Topco” means Maui Holdco, Inc., 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26035</wp:posOffset>
            </wp:positionV>
            <wp:extent cx="3000375" cy="8255"/>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7">
                      <a:extLst>
                        <a:ext uri="{28A0092B-C50C-407E-A947-70E740481C1C}"/>
                      </a:extLst>
                    </a:blip>
                    <a:srcRect/>
                    <a:stretch>
                      <a:fillRect/>
                    </a:stretch>
                  </pic:blipFill>
                  <pic:spPr bwMode="auto">
                    <a:xfrm>
                      <a:off x="0" y="0"/>
                      <a:ext cx="3000375" cy="8255"/>
                    </a:xfrm>
                    <a:prstGeom prst="rect">
                      <a:avLst/>
                    </a:prstGeom>
                    <a:noFill/>
                  </pic:spPr>
                </pic:pic>
              </a:graphicData>
            </a:graphic>
          </wp:anchor>
        </w:drawing>
      </w:r>
    </w:p>
    <w:p>
      <w:pPr>
        <w:spacing w:after="0" w:line="20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has the meaning set forth in Section 9.13.</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Merger Sub</w:t>
      </w:r>
      <w:r>
        <w:rPr>
          <w:rFonts w:ascii="Times New Roman" w:cs="Times New Roman" w:eastAsia="Times New Roman" w:hAnsi="Times New Roman"/>
          <w:sz w:val="18"/>
          <w:szCs w:val="18"/>
          <w:color w:val="auto"/>
        </w:rPr>
        <w:t>” means Kauai Acquisition Corp., a Delaware corporation and a wholly owned Subsidiary.</w:t>
      </w:r>
    </w:p>
    <w:p>
      <w:pPr>
        <w:spacing w:after="0" w:line="225" w:lineRule="exact"/>
        <w:rPr>
          <w:sz w:val="20"/>
          <w:szCs w:val="20"/>
          <w:color w:val="auto"/>
        </w:rPr>
      </w:pPr>
    </w:p>
    <w:p>
      <w:pPr>
        <w:ind w:right="34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MNPI</w:t>
      </w:r>
      <w:r>
        <w:rPr>
          <w:rFonts w:ascii="Times New Roman" w:cs="Times New Roman" w:eastAsia="Times New Roman" w:hAnsi="Times New Roman"/>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Moody’s</w:t>
      </w:r>
      <w:r>
        <w:rPr>
          <w:rFonts w:ascii="Times New Roman" w:cs="Times New Roman" w:eastAsia="Times New Roman" w:hAnsi="Times New Roman"/>
          <w:sz w:val="18"/>
          <w:szCs w:val="18"/>
          <w:color w:val="auto"/>
        </w:rPr>
        <w:t>” means Moody’s Investors Service, Inc., or any successor to the rating agency business thereof.</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Multiemployer Plan</w:t>
      </w:r>
      <w:r>
        <w:rPr>
          <w:rFonts w:ascii="Times New Roman" w:cs="Times New Roman" w:eastAsia="Times New Roman" w:hAnsi="Times New Roman"/>
          <w:sz w:val="18"/>
          <w:szCs w:val="18"/>
          <w:color w:val="auto"/>
        </w:rPr>
        <w:t>” means a multiemployer plan as defined in Section 4001(a)(3) of ERISA.</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New Holding Company</w:t>
      </w:r>
      <w:r>
        <w:rPr>
          <w:rFonts w:ascii="Times New Roman" w:cs="Times New Roman" w:eastAsia="Times New Roman" w:hAnsi="Times New Roman"/>
          <w:sz w:val="18"/>
          <w:szCs w:val="18"/>
          <w:color w:val="auto"/>
        </w:rPr>
        <w:t>” has the meaning set forth in Section 9.19.</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Non-U.S. Subsidiary</w:t>
      </w:r>
      <w:r>
        <w:rPr>
          <w:rFonts w:ascii="Times New Roman" w:cs="Times New Roman" w:eastAsia="Times New Roman" w:hAnsi="Times New Roman"/>
          <w:sz w:val="18"/>
          <w:szCs w:val="18"/>
          <w:color w:val="auto"/>
        </w:rPr>
        <w:t>” means a Subsidiary that is not a U.S. Subsidiary.</w:t>
      </w:r>
    </w:p>
    <w:p>
      <w:pPr>
        <w:spacing w:after="0" w:line="225" w:lineRule="exact"/>
        <w:rPr>
          <w:sz w:val="20"/>
          <w:szCs w:val="20"/>
          <w:color w:val="auto"/>
        </w:rPr>
      </w:pPr>
    </w:p>
    <w:p>
      <w:pPr>
        <w:ind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Obligations</w:t>
      </w:r>
      <w:r>
        <w:rPr>
          <w:rFonts w:ascii="Times New Roman" w:cs="Times New Roman" w:eastAsia="Times New Roman" w:hAnsi="Times New Roman"/>
          <w:sz w:val="18"/>
          <w:szCs w:val="18"/>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2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40"/>
          </w:cols>
          <w:pgMar w:left="440" w:top="270" w:right="519" w:bottom="1440" w:gutter="0" w:footer="0" w:header="0"/>
        </w:sectPr>
      </w:pPr>
    </w:p>
    <w:bookmarkStart w:id="325" w:name="page326"/>
    <w:bookmarkEnd w:id="325"/>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OFAC</w:t>
      </w:r>
      <w:r>
        <w:rPr>
          <w:rFonts w:ascii="Times New Roman" w:cs="Times New Roman" w:eastAsia="Times New Roman" w:hAnsi="Times New Roman"/>
          <w:sz w:val="18"/>
          <w:szCs w:val="18"/>
          <w:color w:val="auto"/>
        </w:rPr>
        <w:t>” means the United States Treasury Department Office of Foreign Assets Control.</w:t>
      </w:r>
    </w:p>
    <w:p>
      <w:pPr>
        <w:spacing w:after="0" w:line="225"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Connection Taxes</w:t>
      </w:r>
      <w:r>
        <w:rPr>
          <w:rFonts w:ascii="Times New Roman" w:cs="Times New Roman" w:eastAsia="Times New Roman" w:hAnsi="Times New Roman"/>
          <w:sz w:val="18"/>
          <w:szCs w:val="18"/>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80"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Other Taxes</w:t>
      </w:r>
      <w:r>
        <w:rPr>
          <w:rFonts w:ascii="Times New Roman" w:cs="Times New Roman" w:eastAsia="Times New Roman" w:hAnsi="Times New Roman"/>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Parent Company Guarantee</w:t>
      </w:r>
      <w:r>
        <w:rPr>
          <w:rFonts w:ascii="Times New Roman" w:cs="Times New Roman" w:eastAsia="Times New Roman" w:hAnsi="Times New Roman"/>
          <w:sz w:val="18"/>
          <w:szCs w:val="18"/>
          <w:color w:val="auto"/>
        </w:rPr>
        <w:t>” has the meaning set forth in Section 9.19.</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has the meaning set forth in Section 9.04(c)(ii).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Participants</w:t>
      </w:r>
      <w:r>
        <w:rPr>
          <w:rFonts w:ascii="Times New Roman" w:cs="Times New Roman" w:eastAsia="Times New Roman" w:hAnsi="Times New Roman"/>
          <w:sz w:val="18"/>
          <w:szCs w:val="18"/>
          <w:color w:val="auto"/>
        </w:rPr>
        <w:t>” has the meaning set forth in Section 9.04(c)(i).</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PBGC</w:t>
      </w:r>
      <w:r>
        <w:rPr>
          <w:rFonts w:ascii="Times New Roman" w:cs="Times New Roman" w:eastAsia="Times New Roman" w:hAnsi="Times New Roman"/>
          <w:sz w:val="18"/>
          <w:szCs w:val="18"/>
          <w:color w:val="auto"/>
        </w:rPr>
        <w:t>” means the Pension Benefit Guaranty Corporation referred to and defined in ERISA and any successor entity performing similar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functions.</w:t>
      </w:r>
    </w:p>
    <w:p>
      <w:pPr>
        <w:spacing w:after="0" w:line="20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Liens</w:t>
      </w:r>
      <w:r>
        <w:rPr>
          <w:rFonts w:ascii="Times New Roman" w:cs="Times New Roman" w:eastAsia="Times New Roman" w:hAnsi="Times New Roman"/>
          <w:sz w:val="18"/>
          <w:szCs w:val="18"/>
          <w:color w:val="auto"/>
        </w:rPr>
        <w:t>” means:</w:t>
      </w:r>
    </w:p>
    <w:p>
      <w:pPr>
        <w:spacing w:after="0" w:line="117" w:lineRule="exact"/>
        <w:rPr>
          <w:sz w:val="20"/>
          <w:szCs w:val="20"/>
          <w:color w:val="auto"/>
        </w:rPr>
      </w:pPr>
    </w:p>
    <w:p>
      <w:pPr>
        <w:ind w:left="440" w:right="220" w:firstLine="525"/>
        <w:spacing w:after="0" w:line="282" w:lineRule="auto"/>
        <w:tabs>
          <w:tab w:leader="none" w:pos="1213"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imposed by law for Taxes that are not yet overdue for a period of more than 30 days or are being contested in compliance with Section 5.04;</w:t>
      </w:r>
    </w:p>
    <w:p>
      <w:pPr>
        <w:spacing w:after="0" w:line="53" w:lineRule="exact"/>
        <w:rPr>
          <w:rFonts w:ascii="Times New Roman" w:cs="Times New Roman" w:eastAsia="Times New Roman" w:hAnsi="Times New Roman"/>
          <w:sz w:val="18"/>
          <w:szCs w:val="18"/>
          <w:color w:val="auto"/>
        </w:rPr>
      </w:pPr>
    </w:p>
    <w:p>
      <w:pPr>
        <w:ind w:left="440" w:right="80" w:firstLine="525"/>
        <w:spacing w:after="0" w:line="289" w:lineRule="auto"/>
        <w:tabs>
          <w:tab w:leader="none" w:pos="1223" w:val="left"/>
        </w:tabs>
        <w:numPr>
          <w:ilvl w:val="0"/>
          <w:numId w:val="26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49" w:lineRule="exact"/>
        <w:rPr>
          <w:rFonts w:ascii="Times New Roman" w:cs="Times New Roman" w:eastAsia="Times New Roman" w:hAnsi="Times New Roman"/>
          <w:sz w:val="17"/>
          <w:szCs w:val="17"/>
          <w:color w:val="auto"/>
        </w:rPr>
      </w:pPr>
    </w:p>
    <w:p>
      <w:pPr>
        <w:jc w:val="both"/>
        <w:ind w:left="440" w:right="100" w:firstLine="525"/>
        <w:spacing w:after="0" w:line="261" w:lineRule="auto"/>
        <w:tabs>
          <w:tab w:leader="none" w:pos="1213" w:val="left"/>
        </w:tabs>
        <w:numPr>
          <w:ilvl w:val="0"/>
          <w:numId w:val="2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23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0980"/>
          </w:cols>
          <w:pgMar w:left="440" w:top="270" w:right="479" w:bottom="1440" w:gutter="0" w:footer="0" w:header="0"/>
        </w:sectPr>
      </w:pPr>
    </w:p>
    <w:bookmarkStart w:id="326" w:name="page327"/>
    <w:bookmarkEnd w:id="326"/>
    <w:p>
      <w:pPr>
        <w:ind w:right="40" w:firstLine="419"/>
        <w:spacing w:after="0" w:line="258" w:lineRule="auto"/>
        <w:tabs>
          <w:tab w:leader="none" w:pos="67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75" w:lineRule="exact"/>
        <w:rPr>
          <w:rFonts w:ascii="Times New Roman" w:cs="Times New Roman" w:eastAsia="Times New Roman" w:hAnsi="Times New Roman"/>
          <w:sz w:val="18"/>
          <w:szCs w:val="18"/>
          <w:color w:val="auto"/>
        </w:rPr>
      </w:pPr>
    </w:p>
    <w:p>
      <w:pPr>
        <w:ind w:left="660" w:hanging="241"/>
        <w:spacing w:after="0"/>
        <w:tabs>
          <w:tab w:leader="none" w:pos="660"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judgment liens in respect of judgments that do not constitute an Event of Default under clause (k) of Section 7.01;</w:t>
      </w:r>
    </w:p>
    <w:p>
      <w:pPr>
        <w:spacing w:after="0" w:line="117" w:lineRule="exact"/>
        <w:rPr>
          <w:rFonts w:ascii="Times New Roman" w:cs="Times New Roman" w:eastAsia="Times New Roman" w:hAnsi="Times New Roman"/>
          <w:sz w:val="18"/>
          <w:szCs w:val="18"/>
          <w:color w:val="auto"/>
        </w:rPr>
      </w:pPr>
    </w:p>
    <w:p>
      <w:pPr>
        <w:ind w:right="20" w:firstLine="419"/>
        <w:spacing w:after="0" w:line="266" w:lineRule="auto"/>
        <w:tabs>
          <w:tab w:leader="none" w:pos="64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67" w:lineRule="exact"/>
        <w:rPr>
          <w:rFonts w:ascii="Times New Roman" w:cs="Times New Roman" w:eastAsia="Times New Roman" w:hAnsi="Times New Roman"/>
          <w:sz w:val="18"/>
          <w:szCs w:val="18"/>
          <w:color w:val="auto"/>
        </w:rPr>
      </w:pPr>
    </w:p>
    <w:p>
      <w:pPr>
        <w:ind w:firstLine="419"/>
        <w:spacing w:after="0" w:line="261" w:lineRule="auto"/>
        <w:tabs>
          <w:tab w:leader="none" w:pos="67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71" w:lineRule="exact"/>
        <w:rPr>
          <w:rFonts w:ascii="Times New Roman" w:cs="Times New Roman" w:eastAsia="Times New Roman" w:hAnsi="Times New Roman"/>
          <w:sz w:val="18"/>
          <w:szCs w:val="18"/>
          <w:color w:val="auto"/>
        </w:rPr>
      </w:pPr>
    </w:p>
    <w:p>
      <w:pPr>
        <w:ind w:right="420" w:firstLine="419"/>
        <w:spacing w:after="0" w:line="282" w:lineRule="auto"/>
        <w:tabs>
          <w:tab w:leader="none" w:pos="67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53" w:lineRule="exact"/>
        <w:rPr>
          <w:rFonts w:ascii="Times New Roman" w:cs="Times New Roman" w:eastAsia="Times New Roman" w:hAnsi="Times New Roman"/>
          <w:sz w:val="18"/>
          <w:szCs w:val="18"/>
          <w:color w:val="auto"/>
        </w:rPr>
      </w:pPr>
    </w:p>
    <w:p>
      <w:pPr>
        <w:ind w:right="40" w:firstLine="419"/>
        <w:spacing w:after="0" w:line="266" w:lineRule="auto"/>
        <w:tabs>
          <w:tab w:leader="none" w:pos="63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67" w:lineRule="exact"/>
        <w:rPr>
          <w:rFonts w:ascii="Times New Roman" w:cs="Times New Roman" w:eastAsia="Times New Roman" w:hAnsi="Times New Roman"/>
          <w:sz w:val="18"/>
          <w:szCs w:val="18"/>
          <w:color w:val="auto"/>
        </w:rPr>
      </w:pPr>
    </w:p>
    <w:p>
      <w:pPr>
        <w:ind w:right="180" w:firstLine="419"/>
        <w:spacing w:after="0" w:line="282" w:lineRule="auto"/>
        <w:tabs>
          <w:tab w:leader="none" w:pos="63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in favor of customs and revenue authorities arising as a matter of law to secure payment of customs duties in connection with the importation of goods;</w:t>
      </w:r>
    </w:p>
    <w:p>
      <w:pPr>
        <w:spacing w:after="0" w:line="53" w:lineRule="exact"/>
        <w:rPr>
          <w:rFonts w:ascii="Times New Roman" w:cs="Times New Roman" w:eastAsia="Times New Roman" w:hAnsi="Times New Roman"/>
          <w:sz w:val="18"/>
          <w:szCs w:val="18"/>
          <w:color w:val="auto"/>
        </w:rPr>
      </w:pPr>
    </w:p>
    <w:p>
      <w:pPr>
        <w:ind w:right="140" w:firstLine="419"/>
        <w:spacing w:after="0" w:line="266" w:lineRule="auto"/>
        <w:tabs>
          <w:tab w:leader="none" w:pos="678" w:val="left"/>
        </w:tabs>
        <w:numPr>
          <w:ilvl w:val="0"/>
          <w:numId w:val="2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108"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540"/>
          </w:cols>
          <w:pgMar w:left="880" w:top="270" w:right="479" w:bottom="1440" w:gutter="0" w:footer="0" w:header="0"/>
        </w:sectPr>
      </w:pPr>
    </w:p>
    <w:bookmarkStart w:id="327" w:name="page328"/>
    <w:bookmarkEnd w:id="327"/>
    <w:p>
      <w:pPr>
        <w:ind w:left="440" w:firstLine="419"/>
        <w:spacing w:after="0" w:line="282" w:lineRule="auto"/>
        <w:tabs>
          <w:tab w:leader="none" w:pos="1078"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deposits of cash with the owner or lessor of premises leased and operated by the Company or any Subsidiary to secure the performance of its obligations under the lease for such premises, in each case in the ordinary course of business;</w:t>
      </w:r>
    </w:p>
    <w:p>
      <w:pPr>
        <w:spacing w:after="0" w:line="53" w:lineRule="exact"/>
        <w:rPr>
          <w:rFonts w:ascii="Times New Roman" w:cs="Times New Roman" w:eastAsia="Times New Roman" w:hAnsi="Times New Roman"/>
          <w:sz w:val="18"/>
          <w:szCs w:val="18"/>
          <w:color w:val="auto"/>
        </w:rPr>
      </w:pPr>
    </w:p>
    <w:p>
      <w:pPr>
        <w:ind w:left="440" w:right="140" w:firstLine="419"/>
        <w:spacing w:after="0" w:line="282" w:lineRule="auto"/>
        <w:tabs>
          <w:tab w:leader="none" w:pos="1168"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Liens on cash and cash equivalents deposited with a trustee or a similar Person to defease or to satisfy and discharge any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defeasance or satisfaction and discharge is permitted hereunder;</w:t>
      </w:r>
    </w:p>
    <w:p>
      <w:pPr>
        <w:spacing w:after="0" w:line="53"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that are contractual rights of set-off; and</w:t>
      </w:r>
    </w:p>
    <w:p>
      <w:pPr>
        <w:spacing w:after="0" w:line="117" w:lineRule="exact"/>
        <w:rPr>
          <w:rFonts w:ascii="Times New Roman" w:cs="Times New Roman" w:eastAsia="Times New Roman" w:hAnsi="Times New Roman"/>
          <w:sz w:val="18"/>
          <w:szCs w:val="18"/>
          <w:color w:val="auto"/>
        </w:rPr>
      </w:pPr>
    </w:p>
    <w:p>
      <w:pPr>
        <w:ind w:left="440" w:right="360" w:firstLine="419"/>
        <w:spacing w:after="0" w:line="282" w:lineRule="auto"/>
        <w:tabs>
          <w:tab w:leader="none" w:pos="1118" w:val="left"/>
        </w:tabs>
        <w:numPr>
          <w:ilvl w:val="0"/>
          <w:numId w:val="2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arising out of consignment or similar arrangements for the sale of goods entered into by the Company or any Subsidiary in the ordinary course of business;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62" w:lineRule="exact"/>
        <w:rPr>
          <w:sz w:val="20"/>
          <w:szCs w:val="20"/>
          <w:color w:val="auto"/>
        </w:rPr>
      </w:pPr>
    </w:p>
    <w:p>
      <w:pPr>
        <w:ind w:right="4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means a transaction described in Section 9.19 pursuant to which the Company becomes a wholly-owned subsidiary of the New Holding Company, but only if all the conditions set forth in Section 9.19 shall have been satisfied.</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Permitted Reorganization Merger Subsidiary</w:t>
      </w:r>
      <w:r>
        <w:rPr>
          <w:rFonts w:ascii="Times New Roman" w:cs="Times New Roman" w:eastAsia="Times New Roman" w:hAnsi="Times New Roman"/>
          <w:sz w:val="18"/>
          <w:szCs w:val="18"/>
          <w:color w:val="auto"/>
        </w:rPr>
        <w:t>” has the meaning set forth in Section 9.19.</w:t>
      </w:r>
    </w:p>
    <w:p>
      <w:pPr>
        <w:spacing w:after="0" w:line="225" w:lineRule="exact"/>
        <w:rPr>
          <w:sz w:val="20"/>
          <w:szCs w:val="20"/>
          <w:color w:val="auto"/>
        </w:rPr>
      </w:pPr>
    </w:p>
    <w:p>
      <w:pPr>
        <w:ind w:right="68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Person</w:t>
      </w:r>
      <w:r>
        <w:rPr>
          <w:rFonts w:ascii="Times New Roman" w:cs="Times New Roman" w:eastAsia="Times New Roman" w:hAnsi="Times New Roman"/>
          <w:sz w:val="18"/>
          <w:szCs w:val="18"/>
          <w:color w:val="auto"/>
        </w:rPr>
        <w:t>” means any natural person, corporation, limited liability company, trust, joint venture, association, company, partnership, Governmental Authority or other entity.</w:t>
      </w:r>
    </w:p>
    <w:p>
      <w:pPr>
        <w:spacing w:after="0" w:line="162"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Plan</w:t>
      </w:r>
      <w:r>
        <w:rPr>
          <w:rFonts w:ascii="Times New Roman" w:cs="Times New Roman" w:eastAsia="Times New Roman" w:hAnsi="Times New Roman"/>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Platform</w:t>
      </w:r>
      <w:r>
        <w:rPr>
          <w:rFonts w:ascii="Times New Roman" w:cs="Times New Roman" w:eastAsia="Times New Roman" w:hAnsi="Times New Roman"/>
          <w:sz w:val="18"/>
          <w:szCs w:val="18"/>
          <w:color w:val="auto"/>
        </w:rPr>
        <w:t>” has the meaning set forth in Section 9.01(d).</w:t>
      </w:r>
    </w:p>
    <w:p>
      <w:pPr>
        <w:spacing w:after="0" w:line="225" w:lineRule="exact"/>
        <w:rPr>
          <w:sz w:val="20"/>
          <w:szCs w:val="20"/>
          <w:color w:val="auto"/>
        </w:rPr>
      </w:pPr>
    </w:p>
    <w:p>
      <w:pPr>
        <w:ind w:right="2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Prime Rate</w:t>
      </w:r>
      <w:r>
        <w:rPr>
          <w:rFonts w:ascii="Times New Roman" w:cs="Times New Roman" w:eastAsia="Times New Roman" w:hAnsi="Times New Roman"/>
          <w:sz w:val="18"/>
          <w:szCs w:val="18"/>
          <w:color w:val="auto"/>
        </w:rPr>
        <w:t>” means a rate of interest per annum that is set by the Applicable Facility Agent based upon various factors including the Applicable Facility Agent’s costs and desired return, general economic conditions and other factors, and is used as a reference point for pricing some loans, which may be priced at, above or below such announced rate. Any change in the Prime Rate announced by the Applicable Facility Agent shall take effect at the opening of business on the day specified in the public announcement of such change.</w:t>
      </w:r>
    </w:p>
    <w:p>
      <w:pPr>
        <w:spacing w:after="0" w:line="180"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Private Side Lender Representatives</w:t>
      </w:r>
      <w:r>
        <w:rPr>
          <w:rFonts w:ascii="Times New Roman" w:cs="Times New Roman" w:eastAsia="Times New Roman" w:hAnsi="Times New Roman"/>
          <w:sz w:val="18"/>
          <w:szCs w:val="18"/>
          <w:color w:val="auto"/>
        </w:rPr>
        <w:t>” means, with respect to any Lender, representatives of such Lender that are not Public Side Lender Representatives.</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70" w:right="459" w:bottom="1440" w:gutter="0" w:footer="0" w:header="0"/>
        </w:sectPr>
      </w:pPr>
    </w:p>
    <w:bookmarkStart w:id="328" w:name="page329"/>
    <w:bookmarkEnd w:id="328"/>
    <w:p>
      <w:pPr>
        <w:ind w:left="4" w:right="20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PTE</w:t>
      </w:r>
      <w:r>
        <w:rPr>
          <w:rFonts w:ascii="Times New Roman" w:cs="Times New Roman" w:eastAsia="Times New Roman" w:hAnsi="Times New Roman"/>
          <w:sz w:val="18"/>
          <w:szCs w:val="18"/>
          <w:color w:val="auto"/>
        </w:rPr>
        <w:t>” means a prohibited transaction class exemption issued by the U.S. Department of Labor, as any such exemption may be amended from time to time.</w:t>
      </w:r>
    </w:p>
    <w:p>
      <w:pPr>
        <w:spacing w:after="0" w:line="162"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Public Side Lender Representatives</w:t>
      </w:r>
      <w:r>
        <w:rPr>
          <w:rFonts w:ascii="Times New Roman" w:cs="Times New Roman" w:eastAsia="Times New Roman" w:hAnsi="Times New Roman"/>
          <w:sz w:val="17"/>
          <w:szCs w:val="17"/>
          <w:color w:val="auto"/>
        </w:rPr>
        <w:t>” means, with respect to any Lender, representatives of such Lender that do not wish to receive MNPI.</w:t>
      </w:r>
    </w:p>
    <w:p>
      <w:pPr>
        <w:spacing w:after="0" w:line="237"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Rating Agencies</w:t>
      </w:r>
      <w:r>
        <w:rPr>
          <w:rFonts w:ascii="Times New Roman" w:cs="Times New Roman" w:eastAsia="Times New Roman" w:hAnsi="Times New Roman"/>
          <w:sz w:val="18"/>
          <w:szCs w:val="18"/>
          <w:color w:val="auto"/>
        </w:rPr>
        <w:t>” means S&amp;P, Moody’s and Fitch.</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Recipient</w:t>
      </w:r>
      <w:r>
        <w:rPr>
          <w:rFonts w:ascii="Times New Roman" w:cs="Times New Roman" w:eastAsia="Times New Roman" w:hAnsi="Times New Roman"/>
          <w:sz w:val="18"/>
          <w:szCs w:val="18"/>
          <w:color w:val="auto"/>
        </w:rPr>
        <w:t>” means any Agent, any Lender or any combination thereof (as the context requires).</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u w:val="single" w:color="auto"/>
          <w:color w:val="0000FF"/>
        </w:rPr>
        <w:t>“Refinancing” means any redemption, repayment or retirement of all, or any of, the Inphi Convertible Notes.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26035</wp:posOffset>
            </wp:positionV>
            <wp:extent cx="4980305" cy="8255"/>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72">
                      <a:extLst>
                        <a:ext uri="{28A0092B-C50C-407E-A947-70E740481C1C}"/>
                      </a:extLst>
                    </a:blip>
                    <a:srcRect/>
                    <a:stretch>
                      <a:fillRect/>
                    </a:stretch>
                  </pic:blipFill>
                  <pic:spPr bwMode="auto">
                    <a:xfrm>
                      <a:off x="0" y="0"/>
                      <a:ext cx="4980305" cy="8255"/>
                    </a:xfrm>
                    <a:prstGeom prst="rect">
                      <a:avLst/>
                    </a:prstGeom>
                    <a:noFill/>
                  </pic:spPr>
                </pic:pic>
              </a:graphicData>
            </a:graphic>
          </wp:anchor>
        </w:drawing>
      </w:r>
    </w:p>
    <w:p>
      <w:pPr>
        <w:spacing w:after="0" w:line="20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has the meaning set forth in Section 9.04(b)(iv).</w:t>
      </w:r>
    </w:p>
    <w:p>
      <w:pPr>
        <w:spacing w:after="0" w:line="225"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Related Indemnitee Parties</w:t>
      </w:r>
      <w:r>
        <w:rPr>
          <w:rFonts w:ascii="Times New Roman" w:cs="Times New Roman" w:eastAsia="Times New Roman" w:hAnsi="Times New Roman"/>
          <w:sz w:val="17"/>
          <w:szCs w:val="17"/>
          <w:color w:val="auto"/>
        </w:rPr>
        <w:t>” means, with respect to any specified Person, (a) any controlling Person or controlled Affiliate of such Person,</w:t>
      </w:r>
    </w:p>
    <w:p>
      <w:pPr>
        <w:spacing w:after="0" w:line="39" w:lineRule="exact"/>
        <w:rPr>
          <w:sz w:val="20"/>
          <w:szCs w:val="20"/>
          <w:color w:val="auto"/>
        </w:rPr>
      </w:pPr>
    </w:p>
    <w:p>
      <w:pPr>
        <w:ind w:left="4" w:right="160" w:hanging="4"/>
        <w:spacing w:after="0" w:line="255" w:lineRule="auto"/>
        <w:tabs>
          <w:tab w:leader="none" w:pos="259" w:val="left"/>
        </w:tabs>
        <w:numPr>
          <w:ilvl w:val="0"/>
          <w:numId w:val="2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86" w:lineRule="exact"/>
        <w:rPr>
          <w:sz w:val="20"/>
          <w:szCs w:val="20"/>
          <w:color w:val="auto"/>
        </w:rPr>
      </w:pPr>
    </w:p>
    <w:p>
      <w:pPr>
        <w:ind w:left="4" w:right="4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Related Parties</w:t>
      </w:r>
      <w:r>
        <w:rPr>
          <w:rFonts w:ascii="Times New Roman" w:cs="Times New Roman" w:eastAsia="Times New Roman" w:hAnsi="Times New Roman"/>
          <w:sz w:val="18"/>
          <w:szCs w:val="18"/>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62" w:lineRule="exact"/>
        <w:rPr>
          <w:sz w:val="20"/>
          <w:szCs w:val="20"/>
          <w:color w:val="auto"/>
        </w:rPr>
      </w:pPr>
    </w:p>
    <w:p>
      <w:pPr>
        <w:ind w:left="4" w:right="4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Release</w:t>
      </w:r>
      <w:r>
        <w:rPr>
          <w:rFonts w:ascii="Times New Roman" w:cs="Times New Roman" w:eastAsia="Times New Roman" w:hAnsi="Times New Roman"/>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62" w:lineRule="exact"/>
        <w:rPr>
          <w:sz w:val="20"/>
          <w:szCs w:val="20"/>
          <w:color w:val="auto"/>
        </w:rPr>
      </w:pPr>
    </w:p>
    <w:p>
      <w:pPr>
        <w:ind w:left="4"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Required Lenders</w:t>
      </w:r>
      <w:r>
        <w:rPr>
          <w:rFonts w:ascii="Times New Roman" w:cs="Times New Roman" w:eastAsia="Times New Roman" w:hAnsi="Times New Roman"/>
          <w:sz w:val="18"/>
          <w:szCs w:val="18"/>
          <w:color w:val="auto"/>
        </w:rPr>
        <w:t>” means, at any time, Lenders having Revolving Exposures, unused Revolving Commitments and Term Loans (or, prior to the borrowing of the Term Loans hereunder on the Term Funding Date, Term Commitments) representing more than 50% of the sum of the Aggregate Revolving Exposure, the aggregate amount of the unused Revolving Commitments and the aggregate outstanding principal amount of all the Term Loans (or, prior to the borrowing of the Term Loans hereunder on the Term Funding Date, the aggregate amount of the Term Commitments) at such time.</w:t>
      </w:r>
    </w:p>
    <w:p>
      <w:pPr>
        <w:spacing w:after="0" w:line="183"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u w:val="single" w:color="auto"/>
          <w:color w:val="0000FF"/>
        </w:rPr>
        <w:t>“Resolution Authority” means an EEA Resolution Authority or, with respect to any UK Financial Institution, a UK Resolution Authority.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26035</wp:posOffset>
            </wp:positionV>
            <wp:extent cx="6283325" cy="8255"/>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73">
                      <a:extLst>
                        <a:ext uri="{28A0092B-C50C-407E-A947-70E740481C1C}"/>
                      </a:extLst>
                    </a:blip>
                    <a:srcRect/>
                    <a:stretch>
                      <a:fillRect/>
                    </a:stretch>
                  </pic:blipFill>
                  <pic:spPr bwMode="auto">
                    <a:xfrm>
                      <a:off x="0" y="0"/>
                      <a:ext cx="6283325" cy="8255"/>
                    </a:xfrm>
                    <a:prstGeom prst="rect">
                      <a:avLst/>
                    </a:prstGeom>
                    <a:noFill/>
                  </pic:spPr>
                </pic:pic>
              </a:graphicData>
            </a:graphic>
          </wp:anchor>
        </w:drawing>
      </w:r>
    </w:p>
    <w:p>
      <w:pPr>
        <w:spacing w:after="0" w:line="205" w:lineRule="exact"/>
        <w:rPr>
          <w:sz w:val="20"/>
          <w:szCs w:val="20"/>
          <w:color w:val="auto"/>
        </w:rPr>
      </w:pPr>
    </w:p>
    <w:p>
      <w:pPr>
        <w:ind w:left="4" w:right="22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Responsible Officer</w:t>
      </w:r>
      <w:r>
        <w:rPr>
          <w:rFonts w:ascii="Times New Roman" w:cs="Times New Roman" w:eastAsia="Times New Roman" w:hAnsi="Times New Roman"/>
          <w:sz w:val="18"/>
          <w:szCs w:val="18"/>
          <w:color w:val="auto"/>
        </w:rPr>
        <w:t xml:space="preserve">” means, with respect to any Person, the Financial Officer or the chief executive officer, general counsel or another executive officer of such Person;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each of the Agents as to the authority of such individual.</w:t>
      </w:r>
    </w:p>
    <w:p>
      <w:pPr>
        <w:spacing w:after="0" w:line="112"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004"/>
          </w:cols>
          <w:pgMar w:left="436" w:top="270" w:right="459" w:bottom="1440" w:gutter="0" w:footer="0" w:header="0"/>
        </w:sectPr>
      </w:pPr>
    </w:p>
    <w:bookmarkStart w:id="329" w:name="page330"/>
    <w:bookmarkEnd w:id="329"/>
    <w:p>
      <w:pPr>
        <w:ind w:right="42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Revolving Availability Period</w:t>
      </w:r>
      <w:r>
        <w:rPr>
          <w:rFonts w:ascii="Times New Roman" w:cs="Times New Roman" w:eastAsia="Times New Roman" w:hAnsi="Times New Roman"/>
          <w:sz w:val="18"/>
          <w:szCs w:val="18"/>
          <w:color w:val="auto"/>
        </w:rPr>
        <w:t>” means the period from and including the Effective Date to but excluding the earlier of the Revolving Maturity Date and the date of termination of the Revolving Commitments.</w:t>
      </w:r>
    </w:p>
    <w:p>
      <w:pPr>
        <w:spacing w:after="0" w:line="162" w:lineRule="exact"/>
        <w:rPr>
          <w:sz w:val="20"/>
          <w:szCs w:val="20"/>
          <w:color w:val="auto"/>
        </w:rPr>
      </w:pPr>
    </w:p>
    <w:p>
      <w:pPr>
        <w:ind w:right="10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Commitment</w:t>
      </w:r>
      <w:r>
        <w:rPr>
          <w:rFonts w:ascii="Times New Roman" w:cs="Times New Roman" w:eastAsia="Times New Roman" w:hAnsi="Times New Roman"/>
          <w:sz w:val="18"/>
          <w:szCs w:val="18"/>
          <w:color w:val="auto"/>
        </w:rPr>
        <w:t>” means, with respect to each Lender, the commitment, if any, of such Lender to make Revolving Loans, expressed as an amount representing the maximum aggregate permitted amount of such Lender’s Revolving Exposure hereunder, as such commitment may be (a) reduced from time to time pursuant to Section 2.06, or (b)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$500,000,000.</w:t>
      </w:r>
    </w:p>
    <w:p>
      <w:pPr>
        <w:spacing w:after="0" w:line="18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Commitment Fee</w:t>
      </w:r>
      <w:r>
        <w:rPr>
          <w:rFonts w:ascii="Times New Roman" w:cs="Times New Roman" w:eastAsia="Times New Roman" w:hAnsi="Times New Roman"/>
          <w:sz w:val="18"/>
          <w:szCs w:val="18"/>
          <w:color w:val="auto"/>
        </w:rPr>
        <w:t>” has the meaning set forth in Section 2.09(a).</w:t>
      </w:r>
    </w:p>
    <w:p>
      <w:pPr>
        <w:spacing w:after="0" w:line="225" w:lineRule="exact"/>
        <w:rPr>
          <w:sz w:val="20"/>
          <w:szCs w:val="20"/>
          <w:color w:val="auto"/>
        </w:rPr>
      </w:pPr>
    </w:p>
    <w:p>
      <w:pPr>
        <w:ind w:right="5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Exposure</w:t>
      </w:r>
      <w:r>
        <w:rPr>
          <w:rFonts w:ascii="Times New Roman" w:cs="Times New Roman" w:eastAsia="Times New Roman" w:hAnsi="Times New Roman"/>
          <w:sz w:val="18"/>
          <w:szCs w:val="18"/>
          <w:color w:val="auto"/>
        </w:rPr>
        <w:t>” means, with respect to any Lender at any time, the aggregate outstanding principal amount of such Lender’s Revolving Loans at such time.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Facility</w:t>
      </w:r>
      <w:r>
        <w:rPr>
          <w:rFonts w:ascii="Times New Roman" w:cs="Times New Roman" w:eastAsia="Times New Roman" w:hAnsi="Times New Roman"/>
          <w:sz w:val="18"/>
          <w:szCs w:val="18"/>
          <w:color w:val="auto"/>
        </w:rPr>
        <w:t>” means the revolving credit facility provided for herein, including the Revolving Commitments and the Revolving</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Loans.</w:t>
      </w:r>
    </w:p>
    <w:p>
      <w:pPr>
        <w:spacing w:after="0" w:line="207" w:lineRule="exact"/>
        <w:rPr>
          <w:sz w:val="20"/>
          <w:szCs w:val="20"/>
          <w:color w:val="auto"/>
        </w:rPr>
      </w:pPr>
    </w:p>
    <w:p>
      <w:pPr>
        <w:ind w:right="12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Facility Agent</w:t>
      </w:r>
      <w:r>
        <w:rPr>
          <w:rFonts w:ascii="Times New Roman" w:cs="Times New Roman" w:eastAsia="Times New Roman" w:hAnsi="Times New Roman"/>
          <w:sz w:val="18"/>
          <w:szCs w:val="18"/>
          <w:color w:val="auto"/>
        </w:rPr>
        <w:t>” means Bank of America, N.A., in its capacity as the administrative agent hereunder and under the other Loan Documents with respect to the Revolving Facility, and its successors in such capacity as provided in Article VIII.</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Lender</w:t>
      </w:r>
      <w:r>
        <w:rPr>
          <w:rFonts w:ascii="Times New Roman" w:cs="Times New Roman" w:eastAsia="Times New Roman" w:hAnsi="Times New Roman"/>
          <w:sz w:val="18"/>
          <w:szCs w:val="18"/>
          <w:color w:val="auto"/>
        </w:rPr>
        <w:t>” means a Lender with a Revolving Commitment or Revolving Exposure.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Loan</w:t>
      </w:r>
      <w:r>
        <w:rPr>
          <w:rFonts w:ascii="Times New Roman" w:cs="Times New Roman" w:eastAsia="Times New Roman" w:hAnsi="Times New Roman"/>
          <w:sz w:val="18"/>
          <w:szCs w:val="18"/>
          <w:color w:val="auto"/>
        </w:rPr>
        <w:t>” means a Loan made pursuant to clause (b) of Section 2.01.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Revolving Maturity Date</w:t>
      </w:r>
      <w:r>
        <w:rPr>
          <w:rFonts w:ascii="Times New Roman" w:cs="Times New Roman" w:eastAsia="Times New Roman" w:hAnsi="Times New Roman"/>
          <w:sz w:val="18"/>
          <w:szCs w:val="18"/>
          <w:color w:val="auto"/>
        </w:rPr>
        <w:t>” means the fifth anniversary of the Effective Date.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S&amp;P</w:t>
      </w:r>
      <w:r>
        <w:rPr>
          <w:rFonts w:ascii="Times New Roman" w:cs="Times New Roman" w:eastAsia="Times New Roman" w:hAnsi="Times New Roman"/>
          <w:sz w:val="18"/>
          <w:szCs w:val="18"/>
          <w:color w:val="auto"/>
        </w:rPr>
        <w:t>” means S&amp;P Global Ratings, a division of S&amp;P Global Inc., or any successor to its rating agency business.</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Sale/Leaseback Transaction</w:t>
      </w:r>
      <w:r>
        <w:rPr>
          <w:rFonts w:ascii="Times New Roman" w:cs="Times New Roman" w:eastAsia="Times New Roman" w:hAnsi="Times New Roman"/>
          <w:sz w:val="18"/>
          <w:szCs w:val="18"/>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00"/>
          </w:cols>
          <w:pgMar w:left="440" w:top="270" w:right="459" w:bottom="1440" w:gutter="0" w:footer="0" w:header="0"/>
        </w:sectPr>
      </w:pPr>
    </w:p>
    <w:bookmarkStart w:id="330" w:name="page331"/>
    <w:bookmarkEnd w:id="330"/>
    <w:p>
      <w:pPr>
        <w:ind w:right="26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Sanctioned Country</w:t>
      </w:r>
      <w:r>
        <w:rPr>
          <w:rFonts w:ascii="Times New Roman" w:cs="Times New Roman" w:eastAsia="Times New Roman" w:hAnsi="Times New Roman"/>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62"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Sanctioned Person</w:t>
      </w:r>
      <w:r>
        <w:rPr>
          <w:rFonts w:ascii="Times New Roman" w:cs="Times New Roman" w:eastAsia="Times New Roman" w:hAnsi="Times New Roman"/>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or Her Majesty’s Treasury of the United Kingdom, (b) any Person operating, organized or resident in a Sanctioned Country or (c) any Person owned or controlled by any Person or Persons described in the preceding clauses (a) and (b).</w:t>
      </w:r>
    </w:p>
    <w:p>
      <w:pPr>
        <w:spacing w:after="0" w:line="180" w:lineRule="exact"/>
        <w:rPr>
          <w:sz w:val="20"/>
          <w:szCs w:val="20"/>
          <w:color w:val="auto"/>
        </w:rPr>
      </w:pPr>
    </w:p>
    <w:p>
      <w:pPr>
        <w:jc w:val="both"/>
        <w:ind w:right="30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Sanctions</w:t>
      </w:r>
      <w:r>
        <w:rPr>
          <w:rFonts w:ascii="Times New Roman" w:cs="Times New Roman" w:eastAsia="Times New Roman" w:hAnsi="Times New Roman"/>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w:t>
      </w:r>
      <w:r>
        <w:rPr>
          <w:rFonts w:ascii="Times New Roman" w:cs="Times New Roman" w:eastAsia="Times New Roman" w:hAnsi="Times New Roman"/>
          <w:sz w:val="18"/>
          <w:szCs w:val="18"/>
          <w:color w:val="auto"/>
        </w:rPr>
        <w:t>” means the United States Securities and Exchange Commission.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Securities Act</w:t>
      </w:r>
      <w:r>
        <w:rPr>
          <w:rFonts w:ascii="Times New Roman" w:cs="Times New Roman" w:eastAsia="Times New Roman" w:hAnsi="Times New Roman"/>
          <w:sz w:val="18"/>
          <w:szCs w:val="18"/>
          <w:color w:val="auto"/>
        </w:rPr>
        <w:t>” means the United States Securities Act of 1933.</w:t>
      </w:r>
    </w:p>
    <w:p>
      <w:pPr>
        <w:spacing w:after="0" w:line="225"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Senior Unsecured Rating</w:t>
      </w:r>
      <w:r>
        <w:rPr>
          <w:rFonts w:ascii="Times New Roman" w:cs="Times New Roman" w:eastAsia="Times New Roman" w:hAnsi="Times New Roman"/>
          <w:sz w:val="18"/>
          <w:szCs w:val="18"/>
          <w:color w:val="auto"/>
        </w:rPr>
        <w:t>” means, with respect to any Rating Agency as of any date of determination, (a) the rating by such Rating Agency of the senior unsecured long-term indebtedness of the Company that is not Guaranteed by any Person (other than, after the consummation of the Permitted Reorganization, the New Holding Company) or subject to any other credit enhancement or (b) if, and only if, such Rating Agency shall not have in effect the rating referred to in clause (a), the Company’s “corporate credit” (however denominated) rating assigned by such Rating Agency.</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Signing Date</w:t>
      </w:r>
      <w:r>
        <w:rPr>
          <w:rFonts w:ascii="Times New Roman" w:cs="Times New Roman" w:eastAsia="Times New Roman" w:hAnsi="Times New Roman"/>
          <w:sz w:val="18"/>
          <w:szCs w:val="18"/>
          <w:color w:val="auto"/>
        </w:rPr>
        <w:t>” means November 19, 2017.</w:t>
      </w:r>
    </w:p>
    <w:p>
      <w:pPr>
        <w:spacing w:after="0" w:line="225"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Permitted Lender</w:t>
      </w:r>
      <w:r>
        <w:rPr>
          <w:rFonts w:ascii="Times New Roman" w:cs="Times New Roman" w:eastAsia="Times New Roman" w:hAnsi="Times New Roman"/>
          <w:sz w:val="18"/>
          <w:szCs w:val="18"/>
          <w:color w:val="auto"/>
        </w:rPr>
        <w:t>” means (a) each Person that has been agreed on or prior to the Signing Date by the Company and the Arrangers in writing (including by email) to be such for purposes of the Commitment Letter and (b) any Person that is a commercial or investment bank that, in the case of this clause (b), at the time of determination has a senior unsecured, non-credit enhanced long-term indebtedness rating that is Investment Grade either from Moody’s or S&amp;P.</w:t>
      </w:r>
    </w:p>
    <w:p>
      <w:pPr>
        <w:spacing w:after="0" w:line="180" w:lineRule="exact"/>
        <w:rPr>
          <w:sz w:val="20"/>
          <w:szCs w:val="20"/>
          <w:color w:val="auto"/>
        </w:rPr>
      </w:pPr>
    </w:p>
    <w:p>
      <w:pPr>
        <w:ind w:right="100" w:firstLine="991"/>
        <w:spacing w:after="0" w:line="261"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Specified Representations</w:t>
      </w:r>
      <w:r>
        <w:rPr>
          <w:rFonts w:ascii="Times New Roman" w:cs="Times New Roman" w:eastAsia="Times New Roman" w:hAnsi="Times New Roman"/>
          <w:sz w:val="18"/>
          <w:szCs w:val="18"/>
          <w:color w:val="auto"/>
        </w:rPr>
        <w:t>” means the representations and warranties set forth in Sections 3.01 (as to the due organization, existence and good standing of the Company), 3.02 (for this purpose, disregarding clauses (b) and (c) of the definition of the term “Transactions”), 3.03(c) (as to clauses (a) and (d) of the definition of the term “Transactions”), 3.03(d) (as to clauses (a) and (d) of the definition of the term “Transactions”), 3.07(b), 3.08, 3.11 and 3.13.</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0980"/>
          </w:cols>
          <w:pgMar w:left="440" w:top="270" w:right="479" w:bottom="1440" w:gutter="0" w:footer="0" w:header="0"/>
        </w:sectPr>
      </w:pPr>
    </w:p>
    <w:bookmarkStart w:id="331" w:name="page332"/>
    <w:bookmarkEnd w:id="331"/>
    <w:p>
      <w:pPr>
        <w:ind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7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Statutory Reserve Rate</w:t>
      </w:r>
      <w:r>
        <w:rPr>
          <w:rFonts w:ascii="Times New Roman" w:cs="Times New Roman" w:eastAsia="Times New Roman" w:hAnsi="Times New Roman"/>
          <w:sz w:val="18"/>
          <w:szCs w:val="18"/>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89" w:lineRule="exact"/>
        <w:rPr>
          <w:sz w:val="20"/>
          <w:szCs w:val="20"/>
          <w:color w:val="auto"/>
        </w:rPr>
      </w:pPr>
    </w:p>
    <w:p>
      <w:pPr>
        <w:ind w:firstLine="991"/>
        <w:spacing w:after="0" w:line="27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u w:val="single" w:color="auto"/>
          <w:color w:val="auto"/>
        </w:rPr>
        <w:t>subsidiary</w:t>
      </w:r>
      <w:r>
        <w:rPr>
          <w:rFonts w:ascii="Times New Roman" w:cs="Times New Roman" w:eastAsia="Times New Roman" w:hAnsi="Times New Roman"/>
          <w:sz w:val="17"/>
          <w:szCs w:val="17"/>
          <w:color w:val="auto"/>
        </w:rPr>
        <w:t>” means, with respect to any Person (the “</w:t>
      </w:r>
      <w:r>
        <w:rPr>
          <w:rFonts w:ascii="Times New Roman" w:cs="Times New Roman" w:eastAsia="Times New Roman" w:hAnsi="Times New Roman"/>
          <w:sz w:val="17"/>
          <w:szCs w:val="17"/>
          <w:u w:val="single" w:color="auto"/>
          <w:color w:val="auto"/>
        </w:rPr>
        <w:t>parent</w:t>
      </w:r>
      <w:r>
        <w:rPr>
          <w:rFonts w:ascii="Times New Roman" w:cs="Times New Roman" w:eastAsia="Times New Roman" w:hAnsi="Times New Roman"/>
          <w:sz w:val="17"/>
          <w:szCs w:val="17"/>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68"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Subsidiary</w:t>
      </w:r>
      <w:r>
        <w:rPr>
          <w:rFonts w:ascii="Times New Roman" w:cs="Times New Roman" w:eastAsia="Times New Roman" w:hAnsi="Times New Roman"/>
          <w:sz w:val="18"/>
          <w:szCs w:val="18"/>
          <w:color w:val="auto"/>
        </w:rPr>
        <w:t>” means any subsidiary of the Company.</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Syndication Agents</w:t>
      </w:r>
      <w:r>
        <w:rPr>
          <w:rFonts w:ascii="Times New Roman" w:cs="Times New Roman" w:eastAsia="Times New Roman" w:hAnsi="Times New Roman"/>
          <w:sz w:val="18"/>
          <w:szCs w:val="18"/>
          <w:color w:val="auto"/>
        </w:rPr>
        <w:t>” means the Persons identified as such on the cover page of this Agreement.</w:t>
      </w:r>
    </w:p>
    <w:p>
      <w:pPr>
        <w:spacing w:after="0" w:line="225" w:lineRule="exact"/>
        <w:rPr>
          <w:sz w:val="20"/>
          <w:szCs w:val="20"/>
          <w:color w:val="auto"/>
        </w:rPr>
      </w:pPr>
    </w:p>
    <w:p>
      <w:pPr>
        <w:ind w:right="18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76" w:lineRule="exact"/>
        <w:rPr>
          <w:sz w:val="20"/>
          <w:szCs w:val="20"/>
          <w:color w:val="auto"/>
        </w:rPr>
      </w:pPr>
    </w:p>
    <w:p>
      <w:pPr>
        <w:ind w:right="40" w:firstLine="991"/>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Commitment</w:t>
      </w:r>
      <w:r>
        <w:rPr>
          <w:rFonts w:ascii="Times New Roman" w:cs="Times New Roman" w:eastAsia="Times New Roman" w:hAnsi="Times New Roman"/>
          <w:sz w:val="18"/>
          <w:szCs w:val="18"/>
          <w:color w:val="auto"/>
        </w:rPr>
        <w:t>” means, with respect to each Lender, the commitment, if any, of such Lender to make a Term Loan on the Term Funding Date, expressed as an amount representing the maximum principal amount of the Term Loan to be made by such Lender, as such commitment may be (a) reduced from time to time pursuant to Section 2.06 and (b) reduced or increased from time to time pursuant to assignments by or to such Lender pursuant to Section 9.04. The initial amount of each Lender’s Term Commitment is set forth on Schedule 2.01, or in the Assignment and Assumption pursuant to which such Lender shall have assumed its Term Commitment, as applicable. The initial aggregate amount of the Lenders’ Term Commitments is $900,000,000.</w:t>
      </w:r>
    </w:p>
    <w:p>
      <w:pPr>
        <w:spacing w:after="0" w:line="187" w:lineRule="exact"/>
        <w:rPr>
          <w:sz w:val="20"/>
          <w:szCs w:val="20"/>
          <w:color w:val="auto"/>
        </w:rPr>
      </w:pPr>
    </w:p>
    <w:p>
      <w:pPr>
        <w:ind w:right="300" w:firstLine="991"/>
        <w:spacing w:after="0" w:line="25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Commitment Termination Date</w:t>
      </w:r>
      <w:r>
        <w:rPr>
          <w:rFonts w:ascii="Times New Roman" w:cs="Times New Roman" w:eastAsia="Times New Roman" w:hAnsi="Times New Roman"/>
          <w:sz w:val="18"/>
          <w:szCs w:val="18"/>
          <w:color w:val="auto"/>
        </w:rPr>
        <w:t xml:space="preserve">” means the first to occur of (a) the consummation of the Cavium Acquisition without using the Term Facility, (b) the termination of the Cavium Acquisition Agreement in accordance with its terms and (c) 11:59 p.m., New York City time, on September 19, 2018;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the Outside Date (as defined in the Cavium Acquisition Agreement as in effect on the Signing Date) shall have been extended pursuant to Section 8.1(b) of the Cavium Acquisition Agreement (as in effect on the Signing Date), the date in this clause (c) shall automatically extend (but not beyond 11:59 p.m., New York City time, on November 19, 2018) to be the Outside Date as so extended.</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0980"/>
          </w:cols>
          <w:pgMar w:left="440" w:top="270" w:right="479" w:bottom="1440" w:gutter="0" w:footer="0" w:header="0"/>
        </w:sectPr>
      </w:pPr>
    </w:p>
    <w:bookmarkStart w:id="332" w:name="page333"/>
    <w:bookmarkEnd w:id="332"/>
    <w:p>
      <w:pPr>
        <w:ind w:left="9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7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Times New Roman" w:cs="Times New Roman" w:eastAsia="Times New Roman" w:hAnsi="Times New Roman"/>
          <w:sz w:val="18"/>
          <w:szCs w:val="18"/>
          <w:u w:val="single" w:color="auto"/>
          <w:color w:val="auto"/>
        </w:rPr>
        <w:t>Term Facility</w:t>
      </w:r>
      <w:r>
        <w:rPr>
          <w:rFonts w:ascii="Times New Roman" w:cs="Times New Roman" w:eastAsia="Times New Roman" w:hAnsi="Times New Roman"/>
          <w:sz w:val="18"/>
          <w:szCs w:val="18"/>
          <w:color w:val="auto"/>
        </w:rPr>
        <w:t>” means the term loan facility provided for herein, including the Term Commitments and the Term Loans.</w:t>
      </w:r>
    </w:p>
    <w:p>
      <w:pPr>
        <w:spacing w:after="0" w:line="225"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Facility Agent</w:t>
      </w:r>
      <w:r>
        <w:rPr>
          <w:rFonts w:ascii="Times New Roman" w:cs="Times New Roman" w:eastAsia="Times New Roman" w:hAnsi="Times New Roman"/>
          <w:sz w:val="18"/>
          <w:szCs w:val="18"/>
          <w:color w:val="auto"/>
        </w:rPr>
        <w:t>” means Goldman Sachs Bank USA, in its capacity as the administrative agent hereunder and under the other Loan Documents with respect to the Term Facility, and its successors in such capacity as provided in Article VIII.</w:t>
      </w:r>
    </w:p>
    <w:p>
      <w:pPr>
        <w:spacing w:after="0" w:line="162" w:lineRule="exact"/>
        <w:rPr>
          <w:sz w:val="20"/>
          <w:szCs w:val="20"/>
          <w:color w:val="auto"/>
        </w:rPr>
      </w:pPr>
    </w:p>
    <w:p>
      <w:pPr>
        <w:ind w:right="3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Funding Date</w:t>
      </w:r>
      <w:r>
        <w:rPr>
          <w:rFonts w:ascii="Times New Roman" w:cs="Times New Roman" w:eastAsia="Times New Roman" w:hAnsi="Times New Roman"/>
          <w:sz w:val="18"/>
          <w:szCs w:val="18"/>
          <w:color w:val="auto"/>
        </w:rPr>
        <w:t>” means the date, on or after the Effective Date, on which the conditions specified in Section 4.02 are satisfied (or waived in accordance with Section 9.02).</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Lender</w:t>
      </w:r>
      <w:r>
        <w:rPr>
          <w:rFonts w:ascii="Times New Roman" w:cs="Times New Roman" w:eastAsia="Times New Roman" w:hAnsi="Times New Roman"/>
          <w:sz w:val="18"/>
          <w:szCs w:val="18"/>
          <w:color w:val="auto"/>
        </w:rPr>
        <w:t>” means a Lender with a Term Commitment or an outstanding Term Loan.</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Loan</w:t>
      </w:r>
      <w:r>
        <w:rPr>
          <w:rFonts w:ascii="Times New Roman" w:cs="Times New Roman" w:eastAsia="Times New Roman" w:hAnsi="Times New Roman"/>
          <w:sz w:val="18"/>
          <w:szCs w:val="18"/>
          <w:color w:val="auto"/>
        </w:rPr>
        <w:t>” means a Loan made pursuant to clause (a) of Section 2.01.</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Maturity Date</w:t>
      </w:r>
      <w:r>
        <w:rPr>
          <w:rFonts w:ascii="Times New Roman" w:cs="Times New Roman" w:eastAsia="Times New Roman" w:hAnsi="Times New Roman"/>
          <w:sz w:val="18"/>
          <w:szCs w:val="18"/>
          <w:color w:val="auto"/>
        </w:rPr>
        <w:t>” means the third anniversary of the Term Funding Date.</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w:t>
      </w:r>
      <w:r>
        <w:rPr>
          <w:rFonts w:ascii="Times New Roman" w:cs="Times New Roman" w:eastAsia="Times New Roman" w:hAnsi="Times New Roman"/>
          <w:sz w:val="18"/>
          <w:szCs w:val="18"/>
          <w:color w:val="auto"/>
        </w:rPr>
        <w:t>” has the meaning set forth in Section 2.09(b).</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 Accrual Period</w:t>
      </w:r>
      <w:r>
        <w:rPr>
          <w:rFonts w:ascii="Times New Roman" w:cs="Times New Roman" w:eastAsia="Times New Roman" w:hAnsi="Times New Roman"/>
          <w:sz w:val="18"/>
          <w:szCs w:val="18"/>
          <w:color w:val="auto"/>
        </w:rPr>
        <w:t>” has the meaning set forth in Section 2.09(b).</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Term Ticking Fee Rate</w:t>
      </w:r>
      <w:r>
        <w:rPr>
          <w:rFonts w:ascii="Times New Roman" w:cs="Times New Roman" w:eastAsia="Times New Roman" w:hAnsi="Times New Roman"/>
          <w:sz w:val="18"/>
          <w:szCs w:val="18"/>
          <w:color w:val="auto"/>
        </w:rPr>
        <w:t>” means 0.175% per annum.</w:t>
      </w:r>
    </w:p>
    <w:p>
      <w:pPr>
        <w:spacing w:after="0" w:line="225" w:lineRule="exact"/>
        <w:rPr>
          <w:sz w:val="20"/>
          <w:szCs w:val="20"/>
          <w:color w:val="auto"/>
        </w:rPr>
      </w:pPr>
    </w:p>
    <w:p>
      <w:pPr>
        <w:jc w:val="both"/>
        <w:ind w:right="140"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Transactions</w:t>
      </w:r>
      <w:r>
        <w:rPr>
          <w:rFonts w:ascii="Times New Roman" w:cs="Times New Roman" w:eastAsia="Times New Roman" w:hAnsi="Times New Roman"/>
          <w:sz w:val="18"/>
          <w:szCs w:val="18"/>
          <w:color w:val="auto"/>
        </w:rPr>
        <w:t>” means (a) the execution, delivery and performance by the Company of the Loan Documents, the borrowing of Loans and the use of the proceeds thereof, (b) the Cavium Acquisition, (c) the Cavium Debt Refinancing and (d) the payment of fees and expenses in connection with the foregoing.</w:t>
      </w:r>
    </w:p>
    <w:p>
      <w:pPr>
        <w:spacing w:after="0" w:line="176" w:lineRule="exact"/>
        <w:rPr>
          <w:sz w:val="20"/>
          <w:szCs w:val="20"/>
          <w:color w:val="auto"/>
        </w:rPr>
      </w:pPr>
    </w:p>
    <w:p>
      <w:pPr>
        <w:ind w:right="4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Type</w:t>
      </w:r>
      <w:r>
        <w:rPr>
          <w:rFonts w:ascii="Times New Roman" w:cs="Times New Roman" w:eastAsia="Times New Roman" w:hAnsi="Times New Roman"/>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6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 Subsidiary</w:t>
      </w:r>
      <w:r>
        <w:rPr>
          <w:rFonts w:ascii="Times New Roman" w:cs="Times New Roman" w:eastAsia="Times New Roman" w:hAnsi="Times New Roman"/>
          <w:sz w:val="18"/>
          <w:szCs w:val="18"/>
          <w:color w:val="auto"/>
        </w:rPr>
        <w:t>” means any Subsidiary organized under the laws of the United States of America, any State thereof or the District of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Columbia.</w:t>
      </w:r>
    </w:p>
    <w:p>
      <w:pPr>
        <w:spacing w:after="0" w:line="207"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u w:val="single" w:color="auto"/>
          <w:color w:val="0000FF"/>
        </w:rPr>
        <w:t>“UK Financial Institutions” means any BRRD Undertaking (as such term is defined under the PRA Rulebook (as amended from time to time) promulgated by the United Kingdom Prudential Regulation Authority) or any person falling within IFPRU 11.6 of the FCA Handbook (as amended from time to time) promulgated by the United Kingdom Financial Conduct Authority, which includes certain credit institutions and investment firms, and certain affiliates of such credit institutions or investment firms.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-414020</wp:posOffset>
            </wp:positionV>
            <wp:extent cx="6214745" cy="889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78">
                      <a:extLst>
                        <a:ext uri="{28A0092B-C50C-407E-A947-70E740481C1C}"/>
                      </a:extLst>
                    </a:blip>
                    <a:srcRect/>
                    <a:stretch>
                      <a:fillRect/>
                    </a:stretch>
                  </pic:blipFill>
                  <pic:spPr bwMode="auto">
                    <a:xfrm>
                      <a:off x="0" y="0"/>
                      <a:ext cx="6214745"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-276860</wp:posOffset>
            </wp:positionV>
            <wp:extent cx="6583680" cy="889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79">
                      <a:extLst>
                        <a:ext uri="{28A0092B-C50C-407E-A947-70E740481C1C}"/>
                      </a:extLst>
                    </a:blip>
                    <a:srcRect/>
                    <a:stretch>
                      <a:fillRect/>
                    </a:stretch>
                  </pic:blipFill>
                  <pic:spPr bwMode="auto">
                    <a:xfrm>
                      <a:off x="0" y="0"/>
                      <a:ext cx="658368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-139700</wp:posOffset>
            </wp:positionV>
            <wp:extent cx="6969125" cy="8255"/>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480">
                      <a:extLst>
                        <a:ext uri="{28A0092B-C50C-407E-A947-70E740481C1C}"/>
                      </a:extLst>
                    </a:blip>
                    <a:srcRect/>
                    <a:stretch>
                      <a:fillRect/>
                    </a:stretch>
                  </pic:blipFill>
                  <pic:spPr bwMode="auto">
                    <a:xfrm>
                      <a:off x="0" y="0"/>
                      <a:ext cx="696912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3368675" cy="889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481">
                      <a:extLst>
                        <a:ext uri="{28A0092B-C50C-407E-A947-70E740481C1C}"/>
                      </a:extLst>
                    </a:blip>
                    <a:srcRect/>
                    <a:stretch>
                      <a:fillRect/>
                    </a:stretch>
                  </pic:blipFill>
                  <pic:spPr bwMode="auto">
                    <a:xfrm>
                      <a:off x="0" y="0"/>
                      <a:ext cx="3368675" cy="8890"/>
                    </a:xfrm>
                    <a:prstGeom prst="rect">
                      <a:avLst/>
                    </a:prstGeom>
                    <a:noFill/>
                  </pic:spPr>
                </pic:pic>
              </a:graphicData>
            </a:graphic>
          </wp:anchor>
        </w:drawing>
      </w:r>
    </w:p>
    <w:p>
      <w:pPr>
        <w:spacing w:after="0" w:line="9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0960"/>
          </w:cols>
          <w:pgMar w:left="440" w:top="270" w:right="499" w:bottom="1440" w:gutter="0" w:footer="0" w:header="0"/>
        </w:sectPr>
      </w:pPr>
    </w:p>
    <w:bookmarkStart w:id="333" w:name="page334"/>
    <w:bookmarkEnd w:id="333"/>
    <w:p>
      <w:pPr>
        <w:ind w:right="740" w:firstLine="991"/>
        <w:spacing w:after="0" w:line="282" w:lineRule="auto"/>
        <w:rPr>
          <w:sz w:val="20"/>
          <w:szCs w:val="20"/>
          <w:color w:val="auto"/>
        </w:rPr>
      </w:pPr>
      <w:r>
        <w:rPr>
          <w:rFonts w:ascii="Times New Roman" w:cs="Times New Roman" w:eastAsia="Times New Roman" w:hAnsi="Times New Roman"/>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48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“UK Resolution Authority” means the Bank of England or any other public administrative authority having responsibility for the resolution of any UK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-151130</wp:posOffset>
            </wp:positionV>
            <wp:extent cx="5897880" cy="8255"/>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483">
                      <a:extLst>
                        <a:ext uri="{28A0092B-C50C-407E-A947-70E740481C1C}"/>
                      </a:extLst>
                    </a:blip>
                    <a:srcRect/>
                    <a:stretch>
                      <a:fillRect/>
                    </a:stretch>
                  </pic:blipFill>
                  <pic:spPr bwMode="auto">
                    <a:xfrm>
                      <a:off x="0" y="0"/>
                      <a:ext cx="58978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wp:posOffset>
            </wp:positionV>
            <wp:extent cx="1945640" cy="8255"/>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84">
                      <a:extLst>
                        <a:ext uri="{28A0092B-C50C-407E-A947-70E740481C1C}"/>
                      </a:extLst>
                    </a:blip>
                    <a:srcRect/>
                    <a:stretch>
                      <a:fillRect/>
                    </a:stretch>
                  </pic:blipFill>
                  <pic:spPr bwMode="auto">
                    <a:xfrm>
                      <a:off x="0" y="0"/>
                      <a:ext cx="1945640" cy="8255"/>
                    </a:xfrm>
                    <a:prstGeom prst="rect">
                      <a:avLst/>
                    </a:prstGeom>
                    <a:noFill/>
                  </pic:spPr>
                </pic:pic>
              </a:graphicData>
            </a:graphic>
          </wp:anchor>
        </w:drawing>
      </w:r>
    </w:p>
    <w:p>
      <w:pPr>
        <w:spacing w:after="0" w:line="142"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USA PATRIOT Act</w:t>
      </w:r>
      <w:r>
        <w:rPr>
          <w:rFonts w:ascii="Times New Roman" w:cs="Times New Roman" w:eastAsia="Times New Roman" w:hAnsi="Times New Roman"/>
          <w:sz w:val="18"/>
          <w:szCs w:val="18"/>
          <w:color w:val="auto"/>
        </w:rPr>
        <w:t>” means the Uniting and Strengthening America by Providing Appropriate Tools Required to Intercept and Obstruct Terrorism Act of 2001.</w:t>
      </w:r>
    </w:p>
    <w:p>
      <w:pPr>
        <w:spacing w:after="0" w:line="162"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Voting Shares</w:t>
      </w:r>
      <w:r>
        <w:rPr>
          <w:rFonts w:ascii="Times New Roman" w:cs="Times New Roman" w:eastAsia="Times New Roman" w:hAnsi="Times New Roman"/>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76"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wholly owned</w:t>
      </w:r>
      <w:r>
        <w:rPr>
          <w:rFonts w:ascii="Times New Roman" w:cs="Times New Roman" w:eastAsia="Times New Roman" w:hAnsi="Times New Roman"/>
          <w:sz w:val="18"/>
          <w:szCs w:val="18"/>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76" w:lineRule="exact"/>
        <w:rPr>
          <w:sz w:val="20"/>
          <w:szCs w:val="20"/>
          <w:color w:val="auto"/>
        </w:rPr>
      </w:pPr>
    </w:p>
    <w:p>
      <w:pPr>
        <w:ind w:right="200" w:firstLine="991"/>
        <w:spacing w:after="0" w:line="28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Withdrawal Liability</w:t>
      </w:r>
      <w:r>
        <w:rPr>
          <w:rFonts w:ascii="Times New Roman" w:cs="Times New Roman" w:eastAsia="Times New Roman" w:hAnsi="Times New Roman"/>
          <w:sz w:val="18"/>
          <w:szCs w:val="18"/>
          <w:color w:val="auto"/>
        </w:rPr>
        <w:t>” means liability to a Multiemployer Plan as a result of a complete or partial withdrawal from such Multiemployer Plan, as such term is defined in Part I of Subtitle E of Title IV of ERISA.</w:t>
      </w:r>
    </w:p>
    <w:p>
      <w:pPr>
        <w:spacing w:after="0" w:line="162" w:lineRule="exact"/>
        <w:rPr>
          <w:sz w:val="20"/>
          <w:szCs w:val="20"/>
          <w:color w:val="auto"/>
        </w:rPr>
      </w:pPr>
    </w:p>
    <w:p>
      <w:pPr>
        <w:ind w:right="160" w:firstLine="991"/>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Write-Down and Conversion Powers</w:t>
      </w:r>
      <w:r>
        <w:rPr>
          <w:rFonts w:ascii="Times New Roman" w:cs="Times New Roman" w:eastAsia="Times New Roman" w:hAnsi="Times New Roman"/>
          <w:sz w:val="18"/>
          <w:szCs w:val="18"/>
          <w:color w:val="auto"/>
        </w:rPr>
        <w:t xml:space="preserve">” means, </w:t>
      </w:r>
      <w:r>
        <w:rPr>
          <w:rFonts w:ascii="Times New Roman" w:cs="Times New Roman" w:eastAsia="Times New Roman" w:hAnsi="Times New Roman"/>
          <w:sz w:val="18"/>
          <w:szCs w:val="18"/>
          <w:u w:val="single" w:color="auto"/>
          <w:color w:val="0000FF"/>
        </w:rPr>
        <w:t>(a)</w:t>
      </w:r>
      <w:r>
        <w:rPr>
          <w:rFonts w:ascii="Times New Roman" w:cs="Times New Roman" w:eastAsia="Times New Roman" w:hAnsi="Times New Roman"/>
          <w:sz w:val="18"/>
          <w:szCs w:val="18"/>
          <w:color w:val="auto"/>
        </w:rPr>
        <w:t xml:space="preserve">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u w:val="single" w:color="auto"/>
          <w:color w:val="0000FF"/>
        </w:rPr>
        <w:t>, and (b) with respect to the United Kingdom, any powers of the applicable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Resolution Authority under the Bail-In Legislation to cancel, reduce, modify or change the form of a liability of any UK Financial Institution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2792095</wp:posOffset>
            </wp:positionH>
            <wp:positionV relativeFrom="paragraph">
              <wp:posOffset>-819785</wp:posOffset>
            </wp:positionV>
            <wp:extent cx="128905" cy="8255"/>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485">
                      <a:extLst>
                        <a:ext uri="{28A0092B-C50C-407E-A947-70E740481C1C}"/>
                      </a:extLst>
                    </a:blip>
                    <a:srcRect/>
                    <a:stretch>
                      <a:fillRect/>
                    </a:stretch>
                  </pic:blipFill>
                  <pic:spPr bwMode="auto">
                    <a:xfrm>
                      <a:off x="0" y="0"/>
                      <a:ext cx="128905" cy="8255"/>
                    </a:xfrm>
                    <a:prstGeom prst="rect">
                      <a:avLst/>
                    </a:prstGeom>
                    <a:noFill/>
                  </pic:spPr>
                </pic:pic>
              </a:graphicData>
            </a:graphic>
          </wp:anchor>
        </w:drawing>
        <w:drawing>
          <wp:anchor simplePos="0" relativeHeight="251657728" behindDoc="1" locked="0" layoutInCell="0" allowOverlap="1">
            <wp:simplePos x="0" y="0"/>
            <wp:positionH relativeFrom="column">
              <wp:posOffset>3331845</wp:posOffset>
            </wp:positionH>
            <wp:positionV relativeFrom="paragraph">
              <wp:posOffset>-545465</wp:posOffset>
            </wp:positionV>
            <wp:extent cx="3420110" cy="8255"/>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486">
                      <a:extLst>
                        <a:ext uri="{28A0092B-C50C-407E-A947-70E740481C1C}"/>
                      </a:extLst>
                    </a:blip>
                    <a:srcRect/>
                    <a:stretch>
                      <a:fillRect/>
                    </a:stretch>
                  </pic:blipFill>
                  <pic:spPr bwMode="auto">
                    <a:xfrm>
                      <a:off x="0" y="0"/>
                      <a:ext cx="342011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-408305</wp:posOffset>
            </wp:positionV>
            <wp:extent cx="6763385" cy="8255"/>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487">
                      <a:extLst>
                        <a:ext uri="{28A0092B-C50C-407E-A947-70E740481C1C}"/>
                      </a:extLst>
                    </a:blip>
                    <a:srcRect/>
                    <a:stretch>
                      <a:fillRect/>
                    </a:stretch>
                  </pic:blipFill>
                  <pic:spPr bwMode="auto">
                    <a:xfrm>
                      <a:off x="0" y="0"/>
                      <a:ext cx="676338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-271145</wp:posOffset>
            </wp:positionV>
            <wp:extent cx="6814820" cy="889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88">
                      <a:extLst>
                        <a:ext uri="{28A0092B-C50C-407E-A947-70E740481C1C}"/>
                      </a:extLst>
                    </a:blip>
                    <a:srcRect/>
                    <a:stretch>
                      <a:fillRect/>
                    </a:stretch>
                  </pic:blipFill>
                  <pic:spPr bwMode="auto">
                    <a:xfrm>
                      <a:off x="0" y="0"/>
                      <a:ext cx="681482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-133985</wp:posOffset>
            </wp:positionV>
            <wp:extent cx="6780530" cy="8255"/>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89">
                      <a:extLst>
                        <a:ext uri="{28A0092B-C50C-407E-A947-70E740481C1C}"/>
                      </a:extLst>
                    </a:blip>
                    <a:srcRect/>
                    <a:stretch>
                      <a:fillRect/>
                    </a:stretch>
                  </pic:blipFill>
                  <pic:spPr bwMode="auto">
                    <a:xfrm>
                      <a:off x="0" y="0"/>
                      <a:ext cx="678053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2540</wp:posOffset>
            </wp:positionV>
            <wp:extent cx="5846445" cy="8255"/>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490">
                      <a:extLst>
                        <a:ext uri="{28A0092B-C50C-407E-A947-70E740481C1C}"/>
                      </a:extLst>
                    </a:blip>
                    <a:srcRect/>
                    <a:stretch>
                      <a:fillRect/>
                    </a:stretch>
                  </pic:blipFill>
                  <pic:spPr bwMode="auto">
                    <a:xfrm>
                      <a:off x="0" y="0"/>
                      <a:ext cx="5846445" cy="8255"/>
                    </a:xfrm>
                    <a:prstGeom prst="rect">
                      <a:avLst/>
                    </a:prstGeom>
                    <a:noFill/>
                  </pic:spPr>
                </pic:pic>
              </a:graphicData>
            </a:graphic>
          </wp:anchor>
        </w:drawing>
      </w:r>
    </w:p>
    <w:p>
      <w:pPr>
        <w:spacing w:after="0" w:line="169" w:lineRule="exact"/>
        <w:rPr>
          <w:sz w:val="20"/>
          <w:szCs w:val="20"/>
          <w:color w:val="auto"/>
        </w:rPr>
      </w:pPr>
    </w:p>
    <w:p>
      <w:pPr>
        <w:ind w:right="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1.02. </w:t>
      </w:r>
      <w:r>
        <w:rPr>
          <w:rFonts w:ascii="Times New Roman" w:cs="Times New Roman" w:eastAsia="Times New Roman" w:hAnsi="Times New Roman"/>
          <w:sz w:val="18"/>
          <w:szCs w:val="18"/>
          <w:u w:val="single" w:color="auto"/>
          <w:color w:val="auto"/>
        </w:rPr>
        <w:t>Classification of Loans and Borrowings</w:t>
      </w:r>
      <w:r>
        <w:rPr>
          <w:rFonts w:ascii="Times New Roman" w:cs="Times New Roman" w:eastAsia="Times New Roman" w:hAnsi="Times New Roman"/>
          <w:sz w:val="18"/>
          <w:szCs w:val="18"/>
          <w:color w:val="auto"/>
        </w:rPr>
        <w:t>. For purposes of this Agreement, Loans and Borrowings may be classified and referred to by Class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“Revolving Loan” or “Revolving Borrowing”) or by Type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“Eurocurrency Loan” or “Eurocurrency Borrowing”) or by Class and Type (</w:t>
      </w:r>
      <w:r>
        <w:rPr>
          <w:rFonts w:ascii="Times New Roman" w:cs="Times New Roman" w:eastAsia="Times New Roman" w:hAnsi="Times New Roman"/>
          <w:sz w:val="18"/>
          <w:szCs w:val="18"/>
          <w:u w:val="single" w:color="auto"/>
          <w:color w:val="auto"/>
        </w:rPr>
        <w:t>e.g.</w:t>
      </w:r>
      <w:r>
        <w:rPr>
          <w:rFonts w:ascii="Times New Roman" w:cs="Times New Roman" w:eastAsia="Times New Roman" w:hAnsi="Times New Roman"/>
          <w:sz w:val="18"/>
          <w:szCs w:val="18"/>
          <w:color w:val="auto"/>
        </w:rPr>
        <w:t>, a “Eurocurrency Revolving Loan” or “Eurocurrency Revolving Borrowing”).</w:t>
      </w:r>
    </w:p>
    <w:p>
      <w:pPr>
        <w:spacing w:after="0" w:line="176" w:lineRule="exact"/>
        <w:rPr>
          <w:sz w:val="20"/>
          <w:szCs w:val="20"/>
          <w:color w:val="auto"/>
        </w:rPr>
      </w:pPr>
    </w:p>
    <w:p>
      <w:pPr>
        <w:jc w:val="both"/>
        <w:ind w:right="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1.03. </w:t>
      </w:r>
      <w:r>
        <w:rPr>
          <w:rFonts w:ascii="Times New Roman" w:cs="Times New Roman" w:eastAsia="Times New Roman" w:hAnsi="Times New Roman"/>
          <w:sz w:val="18"/>
          <w:szCs w:val="18"/>
          <w:u w:val="single" w:color="auto"/>
          <w:color w:val="auto"/>
        </w:rPr>
        <w:t>Terms Generally</w:t>
      </w:r>
      <w:r>
        <w:rPr>
          <w:rFonts w:ascii="Times New Roman" w:cs="Times New Roman" w:eastAsia="Times New Roman" w:hAnsi="Times New Roman"/>
          <w:sz w:val="18"/>
          <w:szCs w:val="18"/>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70" w:right="459" w:bottom="1440" w:gutter="0" w:footer="0" w:header="0"/>
        </w:sectPr>
      </w:pPr>
    </w:p>
    <w:bookmarkStart w:id="334" w:name="page335"/>
    <w:bookmarkEnd w:id="334"/>
    <w:p>
      <w:pPr>
        <w:jc w:val="both"/>
        <w:ind w:left="4"/>
        <w:spacing w:after="0" w:line="270"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4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3" w:lineRule="exact"/>
        <w:rPr>
          <w:sz w:val="20"/>
          <w:szCs w:val="20"/>
          <w:color w:val="auto"/>
        </w:rPr>
      </w:pPr>
    </w:p>
    <w:p>
      <w:pPr>
        <w:ind w:left="4" w:right="180" w:hanging="4"/>
        <w:spacing w:after="0" w:line="265" w:lineRule="auto"/>
        <w:tabs>
          <w:tab w:leader="none" w:pos="249" w:val="left"/>
        </w:tabs>
        <w:numPr>
          <w:ilvl w:val="0"/>
          <w:numId w:val="27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w:t>
      </w:r>
    </w:p>
    <w:p>
      <w:pPr>
        <w:spacing w:after="0" w:line="1" w:lineRule="exact"/>
        <w:rPr>
          <w:rFonts w:ascii="Times New Roman" w:cs="Times New Roman" w:eastAsia="Times New Roman" w:hAnsi="Times New Roman"/>
          <w:sz w:val="17"/>
          <w:szCs w:val="17"/>
          <w:color w:val="auto"/>
        </w:rPr>
      </w:pPr>
    </w:p>
    <w:p>
      <w:pPr>
        <w:ind w:left="4" w:right="20" w:hanging="4"/>
        <w:spacing w:after="0" w:line="255" w:lineRule="auto"/>
        <w:tabs>
          <w:tab w:leader="none" w:pos="259" w:val="left"/>
        </w:tabs>
        <w:numPr>
          <w:ilvl w:val="0"/>
          <w:numId w:val="2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86" w:lineRule="exact"/>
        <w:rPr>
          <w:sz w:val="20"/>
          <w:szCs w:val="20"/>
          <w:color w:val="auto"/>
        </w:rPr>
      </w:pPr>
    </w:p>
    <w:p>
      <w:pPr>
        <w:ind w:left="4" w:right="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1.04. </w:t>
      </w:r>
      <w:r>
        <w:rPr>
          <w:rFonts w:ascii="Times New Roman" w:cs="Times New Roman" w:eastAsia="Times New Roman" w:hAnsi="Times New Roman"/>
          <w:sz w:val="18"/>
          <w:szCs w:val="18"/>
          <w:u w:val="single" w:color="auto"/>
          <w:color w:val="auto"/>
        </w:rPr>
        <w:t>Accounting Terms; GAAP; Pro Forma Calculations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FF4338"/>
        </w:rPr>
        <w:t>(a)</w:t>
      </w:r>
      <w:r>
        <w:rPr>
          <w:rFonts w:ascii="Times New Roman" w:cs="Times New Roman" w:eastAsia="Times New Roman" w:hAnsi="Times New Roman"/>
          <w:sz w:val="18"/>
          <w:szCs w:val="18"/>
          <w:color w:val="auto"/>
        </w:rPr>
        <w:t xml:space="preserve"> . (a) Except as otherwise expressly provided herein, all terms of an accounting or financial nature used herein shall be construed in accordance with GAAP as in effect from time to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the Company, by notice to each of the Agents, shall request an amendment to any provision hereof to eliminate the effect of any change occurring after the date hereof in GAAP or in the application thereof on the operation of such provision (or if any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 (ii) notwithstanding any other provision contained herein, all terms of an accounting or financial nature used herein shall be construed (other than for purposes of Sections 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3409950</wp:posOffset>
            </wp:positionH>
            <wp:positionV relativeFrom="paragraph">
              <wp:posOffset>-1027430</wp:posOffset>
            </wp:positionV>
            <wp:extent cx="183515" cy="8255"/>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492">
                      <a:extLst>
                        <a:ext uri="{28A0092B-C50C-407E-A947-70E740481C1C}"/>
                      </a:extLst>
                    </a:blip>
                    <a:srcRect/>
                    <a:stretch>
                      <a:fillRect/>
                    </a:stretch>
                  </pic:blipFill>
                  <pic:spPr bwMode="auto">
                    <a:xfrm>
                      <a:off x="0" y="0"/>
                      <a:ext cx="183515" cy="8255"/>
                    </a:xfrm>
                    <a:prstGeom prst="rect">
                      <a:avLst/>
                    </a:prstGeom>
                    <a:noFill/>
                  </pic:spPr>
                </pic:pic>
              </a:graphicData>
            </a:graphic>
          </wp:anchor>
        </w:drawing>
      </w:r>
    </w:p>
    <w:p>
      <w:pPr>
        <w:ind w:left="4" w:right="20"/>
        <w:spacing w:after="0" w:line="252" w:lineRule="auto"/>
        <w:rPr>
          <w:sz w:val="20"/>
          <w:szCs w:val="20"/>
          <w:color w:val="auto"/>
        </w:rPr>
      </w:pPr>
      <w:r>
        <w:rPr>
          <w:rFonts w:ascii="Times New Roman" w:cs="Times New Roman" w:eastAsia="Times New Roman" w:hAnsi="Times New Roman"/>
          <w:sz w:val="18"/>
          <w:szCs w:val="18"/>
          <w:color w:val="auto"/>
        </w:rPr>
        <w:t>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w:t>
      </w:r>
    </w:p>
    <w:p>
      <w:pPr>
        <w:spacing w:after="0" w:line="12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024"/>
          </w:cols>
          <w:pgMar w:left="436" w:top="270" w:right="439" w:bottom="1440" w:gutter="0" w:footer="0" w:header="0"/>
        </w:sectPr>
      </w:pPr>
    </w:p>
    <w:bookmarkStart w:id="335" w:name="page336"/>
    <w:bookmarkEnd w:id="335"/>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4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75" w:lineRule="exact"/>
        <w:rPr>
          <w:sz w:val="20"/>
          <w:szCs w:val="20"/>
          <w:color w:val="auto"/>
        </w:rPr>
      </w:pPr>
    </w:p>
    <w:p>
      <w:pPr>
        <w:ind w:right="60" w:firstLine="987"/>
        <w:spacing w:after="0" w:line="253" w:lineRule="auto"/>
        <w:tabs>
          <w:tab w:leader="none" w:pos="1246" w:val="left"/>
        </w:tabs>
        <w:numPr>
          <w:ilvl w:val="0"/>
          <w:numId w:val="2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9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1.05. </w:t>
      </w:r>
      <w:r>
        <w:rPr>
          <w:rFonts w:ascii="Times New Roman" w:cs="Times New Roman" w:eastAsia="Times New Roman" w:hAnsi="Times New Roman"/>
          <w:sz w:val="18"/>
          <w:szCs w:val="18"/>
          <w:u w:val="single" w:color="auto"/>
          <w:color w:val="auto"/>
        </w:rPr>
        <w:t>Currency Translation.</w:t>
      </w:r>
      <w:r>
        <w:rPr>
          <w:rFonts w:ascii="Times New Roman" w:cs="Times New Roman" w:eastAsia="Times New Roman" w:hAnsi="Times New Roman"/>
          <w:sz w:val="18"/>
          <w:szCs w:val="18"/>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000"/>
          </w:cols>
          <w:pgMar w:left="440" w:top="270" w:right="459" w:bottom="1440" w:gutter="0" w:footer="0" w:header="0"/>
        </w:sectPr>
      </w:pPr>
    </w:p>
    <w:bookmarkStart w:id="336" w:name="page337"/>
    <w:bookmarkEnd w:id="336"/>
    <w:p>
      <w:pPr>
        <w:ind w:right="160"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4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SECTION 1.06. </w:t>
      </w:r>
      <w:r>
        <w:rPr>
          <w:rFonts w:ascii="Times New Roman" w:cs="Times New Roman" w:eastAsia="Times New Roman" w:hAnsi="Times New Roman"/>
          <w:sz w:val="18"/>
          <w:szCs w:val="18"/>
          <w:u w:val="single" w:color="auto"/>
          <w:color w:val="auto"/>
        </w:rPr>
        <w:t>Effectuation of Transactions.</w:t>
      </w:r>
      <w:r>
        <w:rPr>
          <w:rFonts w:ascii="Times New Roman" w:cs="Times New Roman" w:eastAsia="Times New Roman" w:hAnsi="Times New Roman"/>
          <w:sz w:val="18"/>
          <w:szCs w:val="18"/>
          <w:color w:val="auto"/>
        </w:rPr>
        <w:t xml:space="preserve"> All references herein to the Company and the Subsidiaries on the Term Funding Date shall be deemed to be references to such Persons, and all the representations and warranties of the Company contained in this Agreement or any other Loan Document shall be deemed, on the Term Funding Date, to be made, in each case, after giving effect to the Cavium Acquisition and the other Transactions to occur on the Term Funding Date, unless the context otherwise expressly requires.</w:t>
      </w:r>
    </w:p>
    <w:p>
      <w:pPr>
        <w:spacing w:after="0" w:line="18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1.07. </w:t>
      </w:r>
      <w:r>
        <w:rPr>
          <w:rFonts w:ascii="Times New Roman" w:cs="Times New Roman" w:eastAsia="Times New Roman" w:hAnsi="Times New Roman"/>
          <w:sz w:val="18"/>
          <w:szCs w:val="18"/>
          <w:u w:val="single" w:color="auto"/>
          <w:color w:val="auto"/>
        </w:rPr>
        <w:t>Most Favored Nation Provision</w:t>
      </w:r>
      <w:r>
        <w:rPr>
          <w:rFonts w:ascii="Times New Roman" w:cs="Times New Roman" w:eastAsia="Times New Roman" w:hAnsi="Times New Roman"/>
          <w:sz w:val="18"/>
          <w:szCs w:val="18"/>
          <w:color w:val="auto"/>
        </w:rPr>
        <w:t xml:space="preserve">. In the event any indenture or other agreement or instrument evidencing, governing the rights of the holders of or otherwise relating to any Cavium Acquisition Indebtedness that is in the form of a term loan facility shall contain any restrictive or financial covenant or event of default that is either more restrictive (or more favorable to the holders of such Cavium Acquisition Indebtedness) than the corresponding restrictive or financial covenant or event of default set forth in this Agreement or is not comparable to any restrictive or financial covenant or event of default set forth in this Agreement, then, in each case, this Agreement shall automatically be deemed to have been amended to incorporate such restrictive or financial covenant or event of default, </w:t>
      </w:r>
      <w:r>
        <w:rPr>
          <w:rFonts w:ascii="Times New Roman" w:cs="Times New Roman" w:eastAsia="Times New Roman" w:hAnsi="Times New Roman"/>
          <w:sz w:val="18"/>
          <w:szCs w:val="18"/>
          <w:u w:val="single" w:color="auto"/>
          <w:color w:val="auto"/>
        </w:rPr>
        <w:t>mutatis mutandis</w:t>
      </w:r>
      <w:r>
        <w:rPr>
          <w:rFonts w:ascii="Times New Roman" w:cs="Times New Roman" w:eastAsia="Times New Roman" w:hAnsi="Times New Roman"/>
          <w:sz w:val="18"/>
          <w:szCs w:val="18"/>
          <w:color w:val="auto"/>
        </w:rPr>
        <w:t>, as if set forth fully herein, without any further action required on the part of any Person. The Company shall give prompt written notice to each of the Agents of the effectiveness of any such indenture or other agreement or instrument, providing to each of the Agents true and complete copies thereof, and shall execute any and all further documents and agreements, including amendments hereto, and take all such further actions, as shall be reasonably requested by any Agent to give effect to the provisions of this paragraph. Failure by the Company or any Subsidiary to observe or perform any such incorporated restrictive or financial covenant shall constitute an Event of Default under clause (d) of Section 7.01.</w:t>
      </w:r>
    </w:p>
    <w:p>
      <w:pPr>
        <w:spacing w:after="0" w:line="192" w:lineRule="exact"/>
        <w:rPr>
          <w:sz w:val="20"/>
          <w:szCs w:val="20"/>
          <w:color w:val="auto"/>
        </w:rPr>
      </w:pPr>
    </w:p>
    <w:p>
      <w:pPr>
        <w:ind w:right="260" w:firstLine="991"/>
        <w:spacing w:after="0" w:line="258" w:lineRule="auto"/>
        <w:rPr>
          <w:sz w:val="20"/>
          <w:szCs w:val="20"/>
          <w:color w:val="auto"/>
        </w:rPr>
      </w:pPr>
      <w:r>
        <w:rPr>
          <w:rFonts w:ascii="Times New Roman" w:cs="Times New Roman" w:eastAsia="Times New Roman" w:hAnsi="Times New Roman"/>
          <w:sz w:val="18"/>
          <w:szCs w:val="18"/>
          <w:u w:val="single" w:color="auto"/>
          <w:color w:val="0000FF"/>
        </w:rPr>
        <w:t>SECTION 1.08. Divisions. For all purposes under the Loan Documents, in connection with any division or plan of division under Delaware law (or any comparable event under a different jurisdiction’s laws): (a) if any asset, right, obligation or liability of any Person becomes the asset, right, obligation or liability of a different Person, then it shall be deemed to have been transferred from the original Person to the subsequent Person, and (b) if any new Person comes into existence, such new Person shall be deemed to have been organized and acquired on the first date of its existence by the holders of its Equity Interests at such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-548640</wp:posOffset>
            </wp:positionV>
            <wp:extent cx="5932170" cy="8255"/>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495">
                      <a:extLst>
                        <a:ext uri="{28A0092B-C50C-407E-A947-70E740481C1C}"/>
                      </a:extLst>
                    </a:blip>
                    <a:srcRect/>
                    <a:stretch>
                      <a:fillRect/>
                    </a:stretch>
                  </pic:blipFill>
                  <pic:spPr bwMode="auto">
                    <a:xfrm>
                      <a:off x="0" y="0"/>
                      <a:ext cx="59321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-411480</wp:posOffset>
            </wp:positionV>
            <wp:extent cx="6797675" cy="8255"/>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496">
                      <a:extLst>
                        <a:ext uri="{28A0092B-C50C-407E-A947-70E740481C1C}"/>
                      </a:extLst>
                    </a:blip>
                    <a:srcRect/>
                    <a:stretch>
                      <a:fillRect/>
                    </a:stretch>
                  </pic:blipFill>
                  <pic:spPr bwMode="auto">
                    <a:xfrm>
                      <a:off x="0" y="0"/>
                      <a:ext cx="679767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-274320</wp:posOffset>
            </wp:positionV>
            <wp:extent cx="6686550" cy="8255"/>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497">
                      <a:extLst>
                        <a:ext uri="{28A0092B-C50C-407E-A947-70E740481C1C}"/>
                      </a:extLst>
                    </a:blip>
                    <a:srcRect/>
                    <a:stretch>
                      <a:fillRect/>
                    </a:stretch>
                  </pic:blipFill>
                  <pic:spPr bwMode="auto">
                    <a:xfrm>
                      <a:off x="0" y="0"/>
                      <a:ext cx="668655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-137160</wp:posOffset>
            </wp:positionV>
            <wp:extent cx="6814820" cy="889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498">
                      <a:extLst>
                        <a:ext uri="{28A0092B-C50C-407E-A947-70E740481C1C}"/>
                      </a:extLst>
                    </a:blip>
                    <a:srcRect/>
                    <a:stretch>
                      <a:fillRect/>
                    </a:stretch>
                  </pic:blipFill>
                  <pic:spPr bwMode="auto">
                    <a:xfrm>
                      <a:off x="0" y="0"/>
                      <a:ext cx="681482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0</wp:posOffset>
            </wp:positionV>
            <wp:extent cx="2717165" cy="8255"/>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499">
                      <a:extLst>
                        <a:ext uri="{28A0092B-C50C-407E-A947-70E740481C1C}"/>
                      </a:extLst>
                    </a:blip>
                    <a:srcRect/>
                    <a:stretch>
                      <a:fillRect/>
                    </a:stretch>
                  </pic:blipFill>
                  <pic:spPr bwMode="auto">
                    <a:xfrm>
                      <a:off x="0" y="0"/>
                      <a:ext cx="2717165" cy="8255"/>
                    </a:xfrm>
                    <a:prstGeom prst="rect">
                      <a:avLst/>
                    </a:prstGeom>
                    <a:noFill/>
                  </pic:spPr>
                </pic:pic>
              </a:graphicData>
            </a:graphic>
          </wp:anchor>
        </w:drawing>
      </w:r>
    </w:p>
    <w:p>
      <w:pPr>
        <w:spacing w:after="0" w:line="9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0"/>
          </w:cols>
          <w:pgMar w:left="440" w:top="270" w:right="459" w:bottom="1440" w:gutter="0" w:footer="0" w:header="0"/>
        </w:sectPr>
      </w:pPr>
    </w:p>
    <w:bookmarkStart w:id="337" w:name="page338"/>
    <w:bookmarkEnd w:id="337"/>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ARTICLE II</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The Credits</w:t>
      </w:r>
    </w:p>
    <w:p>
      <w:pPr>
        <w:spacing w:after="0" w:line="225"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2.01. </w:t>
      </w:r>
      <w:r>
        <w:rPr>
          <w:rFonts w:ascii="Times New Roman" w:cs="Times New Roman" w:eastAsia="Times New Roman" w:hAnsi="Times New Roman"/>
          <w:sz w:val="18"/>
          <w:szCs w:val="18"/>
          <w:u w:val="single" w:color="auto"/>
          <w:color w:val="auto"/>
        </w:rPr>
        <w:t>Commitments</w:t>
      </w:r>
      <w:r>
        <w:rPr>
          <w:rFonts w:ascii="Times New Roman" w:cs="Times New Roman" w:eastAsia="Times New Roman" w:hAnsi="Times New Roman"/>
          <w:sz w:val="18"/>
          <w:szCs w:val="18"/>
          <w:color w:val="auto"/>
        </w:rPr>
        <w:t>. Subject to the terms and conditions set forth herein, each Lender agrees (a) to make a Term Loan in dollars to the Company on the Term Funding Date in a principal amount not exceeding its Term Commitment and (b) to make Revolving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Revolving Loans. Amounts repaid or prepaid in respect of Term Loans may not be reborrowed.</w:t>
      </w:r>
    </w:p>
    <w:p>
      <w:pPr>
        <w:spacing w:after="0" w:line="187" w:lineRule="exact"/>
        <w:rPr>
          <w:sz w:val="20"/>
          <w:szCs w:val="20"/>
          <w:color w:val="auto"/>
        </w:rPr>
      </w:pPr>
    </w:p>
    <w:p>
      <w:pPr>
        <w:ind w:right="2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2.02. </w:t>
      </w:r>
      <w:r>
        <w:rPr>
          <w:rFonts w:ascii="Times New Roman" w:cs="Times New Roman" w:eastAsia="Times New Roman" w:hAnsi="Times New Roman"/>
          <w:sz w:val="18"/>
          <w:szCs w:val="18"/>
          <w:u w:val="single" w:color="auto"/>
          <w:color w:val="auto"/>
        </w:rPr>
        <w:t>Loans and Borrowings</w:t>
      </w:r>
      <w:r>
        <w:rPr>
          <w:rFonts w:ascii="Times New Roman" w:cs="Times New Roman" w:eastAsia="Times New Roman" w:hAnsi="Times New Roman"/>
          <w:sz w:val="18"/>
          <w:szCs w:val="18"/>
          <w:color w:val="auto"/>
        </w:rPr>
        <w:t xml:space="preserve">. (a) Each Loan shall be made as part of a Borrowing consisting of Loans of the same Class and Type made by the Lenders ratably in accordance with their respective Commitments of the applicable Class. The failure of any Lender to make any Loan required to be made by it shall not relieve any other Lender of its obligations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Commitments of the Lenders are several and no Lender shall be responsible for any other Lender’s failure to make Loans as required.</w:t>
      </w:r>
    </w:p>
    <w:p>
      <w:pPr>
        <w:spacing w:after="0" w:line="72" w:lineRule="exact"/>
        <w:rPr>
          <w:sz w:val="20"/>
          <w:szCs w:val="20"/>
          <w:color w:val="auto"/>
        </w:rPr>
      </w:pPr>
    </w:p>
    <w:p>
      <w:pPr>
        <w:ind w:right="20" w:firstLine="987"/>
        <w:spacing w:after="0" w:line="261" w:lineRule="auto"/>
        <w:tabs>
          <w:tab w:leader="none" w:pos="1246"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Section 2.11, each Revolving Borrowing and Term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exercise of such option shall not affect the obligation of the Company to repay such Loan in accordance with the terms of this Agreement.</w:t>
      </w:r>
    </w:p>
    <w:p>
      <w:pPr>
        <w:spacing w:after="0" w:line="71" w:lineRule="exact"/>
        <w:rPr>
          <w:rFonts w:ascii="Times New Roman" w:cs="Times New Roman" w:eastAsia="Times New Roman" w:hAnsi="Times New Roman"/>
          <w:sz w:val="18"/>
          <w:szCs w:val="18"/>
          <w:color w:val="auto"/>
        </w:rPr>
      </w:pPr>
    </w:p>
    <w:p>
      <w:pPr>
        <w:ind w:firstLine="987"/>
        <w:spacing w:after="0" w:line="255" w:lineRule="auto"/>
        <w:tabs>
          <w:tab w:leader="none" w:pos="1236"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the commencement of each Interest Period for any Eurocurrency Borrowing, such Borrowing shall be in an aggregate amount that is an integral multiple of $1,000,000 and not less than $5,000,000;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Eurocurrency Borrowing that 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 ABR Revolving Borrowing may be in an aggregate amount that is equal to the entire unused balance of the Aggregate Revolving Commitment. Borrowings of more than one Type and Class may be outstanding at the same time;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there shall not at any time be more than a total of 10 (or such greater number as may be agreed to by the Applicable Facility Agent) Eurocurrency Borrowings outstanding.</w:t>
      </w:r>
    </w:p>
    <w:p>
      <w:pPr>
        <w:spacing w:after="0" w:line="80" w:lineRule="exact"/>
        <w:rPr>
          <w:rFonts w:ascii="Times New Roman" w:cs="Times New Roman" w:eastAsia="Times New Roman" w:hAnsi="Times New Roman"/>
          <w:sz w:val="18"/>
          <w:szCs w:val="18"/>
          <w:color w:val="auto"/>
        </w:rPr>
      </w:pPr>
    </w:p>
    <w:p>
      <w:pPr>
        <w:ind w:right="540" w:firstLine="987"/>
        <w:spacing w:after="0" w:line="282" w:lineRule="auto"/>
        <w:tabs>
          <w:tab w:leader="none" w:pos="1246" w:val="left"/>
        </w:tabs>
        <w:numPr>
          <w:ilvl w:val="0"/>
          <w:numId w:val="2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 of this Agreement, the Company shall not be entitled to request, or to elect to convert to or continue, any Eurocurrency Borrowing if the Interest Period requested with respect thereto would end after the applicable Maturity Date.</w:t>
      </w:r>
    </w:p>
    <w:p>
      <w:pPr>
        <w:spacing w:after="0" w:line="162" w:lineRule="exact"/>
        <w:rPr>
          <w:sz w:val="20"/>
          <w:szCs w:val="20"/>
          <w:color w:val="auto"/>
        </w:rPr>
      </w:pPr>
    </w:p>
    <w:p>
      <w:pPr>
        <w:ind w:right="44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2.03. </w:t>
      </w:r>
      <w:r>
        <w:rPr>
          <w:rFonts w:ascii="Times New Roman" w:cs="Times New Roman" w:eastAsia="Times New Roman" w:hAnsi="Times New Roman"/>
          <w:sz w:val="18"/>
          <w:szCs w:val="18"/>
          <w:u w:val="single" w:color="auto"/>
          <w:color w:val="auto"/>
        </w:rPr>
        <w:t>Requests for Borrowings.</w:t>
      </w:r>
      <w:r>
        <w:rPr>
          <w:rFonts w:ascii="Times New Roman" w:cs="Times New Roman" w:eastAsia="Times New Roman" w:hAnsi="Times New Roman"/>
          <w:sz w:val="18"/>
          <w:szCs w:val="18"/>
          <w:color w:val="auto"/>
        </w:rPr>
        <w:t xml:space="preserve"> To request a Revolving Borrowing or Term Borrowing, the Company shall notify the Applicable Facility Agent of such request by telephone or in writing (a) in the case of a Eurocurrency Borrowing, not later than 11:00 a.m., New York City time, three Business Days before the date of the proposed Borrowing (or, in the case of any Eurocurrency Term Borrowing, such shorter period of time as may be agreed to in writing by the Term Facility Agent) or (b) in the case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00"/>
          </w:cols>
          <w:pgMar w:left="440" w:top="270" w:right="459" w:bottom="1440" w:gutter="0" w:footer="0" w:header="0"/>
        </w:sectPr>
      </w:pPr>
    </w:p>
    <w:bookmarkStart w:id="338" w:name="page339"/>
    <w:bookmarkEnd w:id="338"/>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an ABR Borrowing, not later than 11:00 a.m., New York City time, on the day of the proposed Borrowing (or, in the case of any ABR Term Borrowing, such later time on such day as may be agreed to in writing by the Term Facility Agent). Each such telephonic and written Borrowing Request shall be irrevocable (except that the Borrowing Request for the Term Borrowing may be conditioned on the consummation of the Cavium Acquisition) and shall be made (or, if telephonic, confirmed promptly) by hand delivery or facsimile to the Applicable Facility Agent (with a copy to the General Administrative Agent) of an executed written Borrowing Request. Each such telephonic and written Borrowing Request shall specify the following information in compliance with Section 2.02:</w:t>
      </w:r>
    </w:p>
    <w:p>
      <w:pPr>
        <w:spacing w:after="0" w:line="79" w:lineRule="exact"/>
        <w:rPr>
          <w:sz w:val="20"/>
          <w:szCs w:val="20"/>
          <w:color w:val="auto"/>
        </w:rPr>
      </w:pPr>
    </w:p>
    <w:p>
      <w:pPr>
        <w:ind w:left="1080" w:hanging="221"/>
        <w:spacing w:after="0"/>
        <w:tabs>
          <w:tab w:leader="none" w:pos="108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requested Borrowing is to be a Term Borrowing or a Revolving Borrowing;</w:t>
      </w:r>
    </w:p>
    <w:p>
      <w:pPr>
        <w:spacing w:after="0" w:line="117"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aggregate amount of such Borrowing;</w:t>
      </w:r>
    </w:p>
    <w:p>
      <w:pPr>
        <w:spacing w:after="0" w:line="117" w:lineRule="exact"/>
        <w:rPr>
          <w:rFonts w:ascii="Times New Roman" w:cs="Times New Roman" w:eastAsia="Times New Roman" w:hAnsi="Times New Roman"/>
          <w:sz w:val="18"/>
          <w:szCs w:val="18"/>
          <w:color w:val="auto"/>
        </w:rPr>
      </w:pPr>
    </w:p>
    <w:p>
      <w:pPr>
        <w:ind w:left="1180" w:hanging="321"/>
        <w:spacing w:after="0"/>
        <w:tabs>
          <w:tab w:leader="none" w:pos="118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of such Borrowing, which shall be a Business Day;</w:t>
      </w:r>
    </w:p>
    <w:p>
      <w:pPr>
        <w:spacing w:after="0" w:line="117"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such Borrowing is to be an ABR Borrowing or a Eurocurrency Borrowing;</w:t>
      </w:r>
    </w:p>
    <w:p>
      <w:pPr>
        <w:spacing w:after="0" w:line="117" w:lineRule="exact"/>
        <w:rPr>
          <w:rFonts w:ascii="Times New Roman" w:cs="Times New Roman" w:eastAsia="Times New Roman" w:hAnsi="Times New Roman"/>
          <w:sz w:val="18"/>
          <w:szCs w:val="18"/>
          <w:color w:val="auto"/>
        </w:rPr>
      </w:pPr>
    </w:p>
    <w:p>
      <w:pPr>
        <w:ind w:left="440" w:right="80" w:firstLine="419"/>
        <w:spacing w:after="0" w:line="282" w:lineRule="auto"/>
        <w:tabs>
          <w:tab w:leader="none" w:pos="1118"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Eurocurrency Borrowing, the initial Interest Period to be applicable thereto, which shall be a period contemplated by the definition of the term “Interest Period”; and</w:t>
      </w:r>
    </w:p>
    <w:p>
      <w:pPr>
        <w:spacing w:after="0" w:line="53"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2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location and number of the account of the Company to which funds are to be disbursed.</w:t>
      </w:r>
    </w:p>
    <w:p>
      <w:pPr>
        <w:spacing w:after="0" w:line="225"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Applicable Facility Agent shall advise each Lender of the applicable Class of the details thereof and of the amount of such Lender’s Loan to be made as part of the requested Borrowing.</w:t>
      </w:r>
    </w:p>
    <w:p>
      <w:pPr>
        <w:spacing w:after="0" w:line="180" w:lineRule="exact"/>
        <w:rPr>
          <w:sz w:val="20"/>
          <w:szCs w:val="20"/>
          <w:color w:val="auto"/>
        </w:rPr>
      </w:pPr>
    </w:p>
    <w:p>
      <w:pPr>
        <w:ind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2.04. </w:t>
      </w:r>
      <w:r>
        <w:rPr>
          <w:rFonts w:ascii="Times New Roman" w:cs="Times New Roman" w:eastAsia="Times New Roman" w:hAnsi="Times New Roman"/>
          <w:sz w:val="18"/>
          <w:szCs w:val="18"/>
          <w:u w:val="single" w:color="auto"/>
          <w:color w:val="auto"/>
        </w:rPr>
        <w:t>Funding of Borrowings</w:t>
      </w:r>
      <w:r>
        <w:rPr>
          <w:rFonts w:ascii="Times New Roman" w:cs="Times New Roman" w:eastAsia="Times New Roman" w:hAnsi="Times New Roman"/>
          <w:sz w:val="18"/>
          <w:szCs w:val="18"/>
          <w:color w:val="auto"/>
        </w:rPr>
        <w:t>. (a) Each Lender shall make each Loan to be made by it hereunder on the proposed date thereof by wire transfer of immediately available funds by (i) in the case of Revolving Loans, 1:00 p.m., New York City time and (ii) in the case of Term Loans, 10:00 a.m., New York City time (or, in the case of ABR Term Loans, such later time as shall be two hours after the delivery by the Company of a Borrowing Request therefor in accordance with Section 2.03), in each case, to the account of the Applicable Facility Agent most recently designated by it for such purpose by notice to the Lenders. The Applicable Facility Agent will make such Loans available to the Company by promptly remitting the amounts so received, in like funds, to an account of the Company.</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0980"/>
          </w:cols>
          <w:pgMar w:left="440" w:top="270" w:right="479" w:bottom="1440" w:gutter="0" w:footer="0" w:header="0"/>
        </w:sectPr>
      </w:pPr>
    </w:p>
    <w:bookmarkStart w:id="339" w:name="page340"/>
    <w:bookmarkEnd w:id="339"/>
    <w:p>
      <w:pPr>
        <w:ind w:left="4" w:right="80" w:firstLine="987"/>
        <w:spacing w:after="0" w:line="268" w:lineRule="auto"/>
        <w:tabs>
          <w:tab w:leader="none" w:pos="1250" w:val="left"/>
        </w:tabs>
        <w:numPr>
          <w:ilvl w:val="1"/>
          <w:numId w:val="27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Unless an Applicable Facility Agent shall have received notice from a Lender prior to the proposed date of any Borrowing that such Lender will not make available to such Applicable Facility Agent such Lender’s share of such Borrowing, such Applicable Facility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Applicable Facility Agent, then the applicable Lender and the Company severally agree to pay to the Applicable Facility Agent forthwith on demand such corresponding amount with interest thereon, for each day from and including the date such amount is made available to the Company to but excluding the date of payment to the Applicable Facility Agent, at (i) in the case of a payment to be made by such Lender, the greater of the Federal Funds Effective Rate and a rate determined by the Applicable Facility Agent in accordance with banking industry rules on interbank compensation or</w:t>
      </w:r>
    </w:p>
    <w:p>
      <w:pPr>
        <w:ind w:left="4" w:hanging="4"/>
        <w:spacing w:after="0" w:line="253" w:lineRule="auto"/>
        <w:tabs>
          <w:tab w:leader="none" w:pos="269" w:val="left"/>
        </w:tabs>
        <w:numPr>
          <w:ilvl w:val="0"/>
          <w:numId w:val="2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payment to be made by the Company, the interest rate applicable to ABR Loans of the applicable Class. If the Company and such Lender shall pay such interest to the Applicable Facility Agent for the same or an overlapping period, the Applicable Facility Agent shall promptly remit to the Company the amount of such interest paid by the Company for such period. If such Lender pays such amount to the Applicable Facility Agent, then such amount shall constitute such Lender’s Loan included in such Borrowing. Any payment by the Company shall be without prejudice to any claim the Company may have against a Lender that shall have failed to make such payment to the Applicable Facility Agent.</w:t>
      </w:r>
    </w:p>
    <w:p>
      <w:pPr>
        <w:spacing w:after="0" w:line="187" w:lineRule="exact"/>
        <w:rPr>
          <w:sz w:val="20"/>
          <w:szCs w:val="20"/>
          <w:color w:val="auto"/>
        </w:rPr>
      </w:pPr>
    </w:p>
    <w:p>
      <w:pPr>
        <w:ind w:left="4"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2.05. </w:t>
      </w:r>
      <w:r>
        <w:rPr>
          <w:rFonts w:ascii="Times New Roman" w:cs="Times New Roman" w:eastAsia="Times New Roman" w:hAnsi="Times New Roman"/>
          <w:sz w:val="18"/>
          <w:szCs w:val="18"/>
          <w:u w:val="single" w:color="auto"/>
          <w:color w:val="auto"/>
        </w:rPr>
        <w:t>Interest Elections</w:t>
      </w:r>
      <w:r>
        <w:rPr>
          <w:rFonts w:ascii="Times New Roman" w:cs="Times New Roman" w:eastAsia="Times New Roman" w:hAnsi="Times New Roman"/>
          <w:sz w:val="18"/>
          <w:szCs w:val="18"/>
          <w:color w:val="auto"/>
        </w:rPr>
        <w:t>. (a) Each Revolving Borrowing and Term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79" w:lineRule="exact"/>
        <w:rPr>
          <w:sz w:val="20"/>
          <w:szCs w:val="20"/>
          <w:color w:val="auto"/>
        </w:rPr>
      </w:pPr>
    </w:p>
    <w:p>
      <w:pPr>
        <w:ind w:left="4" w:right="100" w:firstLine="987"/>
        <w:spacing w:after="0" w:line="256" w:lineRule="auto"/>
        <w:tabs>
          <w:tab w:leader="none" w:pos="1250" w:val="left"/>
        </w:tabs>
        <w:numPr>
          <w:ilvl w:val="2"/>
          <w:numId w:val="2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 election pursuant to this Section, the Company shall notify the Applicable Facility Agent of such election by telephone or in writing by the time that a Borrowing Request would be required under Section 2.03 if the Company were requesting a Revolving Borrowing of the Type resulting from such election to be made on the effective date of such election. Each such telephonic and written Interest Election Request shall be irrevocable and shall be made (or, if telephonic, confirmed promptly) by hand delivery or facsimile to the Applicable Facility Agent (with a copy to the General Administrative Agent) of an executed written Interest Election Request. Each telephonic and written Interest Election Request shall specify the following information in compliance with Section 2.02:</w:t>
      </w:r>
    </w:p>
    <w:p>
      <w:pPr>
        <w:spacing w:after="0" w:line="79" w:lineRule="exact"/>
        <w:rPr>
          <w:rFonts w:ascii="Times New Roman" w:cs="Times New Roman" w:eastAsia="Times New Roman" w:hAnsi="Times New Roman"/>
          <w:sz w:val="18"/>
          <w:szCs w:val="18"/>
          <w:color w:val="auto"/>
        </w:rPr>
      </w:pPr>
    </w:p>
    <w:p>
      <w:pPr>
        <w:jc w:val="both"/>
        <w:ind w:left="444" w:right="20" w:firstLine="419"/>
        <w:spacing w:after="0" w:line="276" w:lineRule="auto"/>
        <w:tabs>
          <w:tab w:leader="none" w:pos="1082" w:val="left"/>
        </w:tabs>
        <w:numPr>
          <w:ilvl w:val="1"/>
          <w:numId w:val="27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 (iii) and</w:t>
      </w:r>
    </w:p>
    <w:p>
      <w:pPr>
        <w:ind w:left="744" w:hanging="304"/>
        <w:spacing w:after="0"/>
        <w:tabs>
          <w:tab w:leader="none" w:pos="744" w:val="left"/>
        </w:tabs>
        <w:numPr>
          <w:ilvl w:val="0"/>
          <w:numId w:val="2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below shall be specified for each resulting Borrowing);</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4"/>
          </w:cols>
          <w:pgMar w:left="436" w:top="270" w:right="459" w:bottom="1440" w:gutter="0" w:footer="0" w:header="0"/>
        </w:sectPr>
      </w:pPr>
    </w:p>
    <w:bookmarkStart w:id="340" w:name="page341"/>
    <w:bookmarkEnd w:id="340"/>
    <w:p>
      <w:pPr>
        <w:ind w:left="1124" w:hanging="261"/>
        <w:spacing w:after="0"/>
        <w:tabs>
          <w:tab w:leader="none" w:pos="1124"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effective date of the election made pursuant to such Interest Election Request, which shall be a Business Day;</w:t>
      </w:r>
    </w:p>
    <w:p>
      <w:pPr>
        <w:spacing w:after="0" w:line="117" w:lineRule="exact"/>
        <w:rPr>
          <w:rFonts w:ascii="Times New Roman" w:cs="Times New Roman" w:eastAsia="Times New Roman" w:hAnsi="Times New Roman"/>
          <w:sz w:val="18"/>
          <w:szCs w:val="18"/>
          <w:color w:val="auto"/>
        </w:rPr>
      </w:pPr>
    </w:p>
    <w:p>
      <w:pPr>
        <w:ind w:left="1184" w:hanging="321"/>
        <w:spacing w:after="0"/>
        <w:tabs>
          <w:tab w:leader="none" w:pos="1184"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resulting Borrowing is to be an ABR Borrowing or a Eurocurrency Borrowing; and</w:t>
      </w:r>
    </w:p>
    <w:p>
      <w:pPr>
        <w:spacing w:after="0" w:line="117" w:lineRule="exact"/>
        <w:rPr>
          <w:rFonts w:ascii="Times New Roman" w:cs="Times New Roman" w:eastAsia="Times New Roman" w:hAnsi="Times New Roman"/>
          <w:sz w:val="18"/>
          <w:szCs w:val="18"/>
          <w:color w:val="auto"/>
        </w:rPr>
      </w:pPr>
    </w:p>
    <w:p>
      <w:pPr>
        <w:ind w:left="444" w:right="360" w:firstLine="419"/>
        <w:spacing w:after="0" w:line="282" w:lineRule="auto"/>
        <w:tabs>
          <w:tab w:leader="none" w:pos="1172" w:val="left"/>
        </w:tabs>
        <w:numPr>
          <w:ilvl w:val="0"/>
          <w:numId w:val="2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62" w:lineRule="exact"/>
        <w:rPr>
          <w:sz w:val="20"/>
          <w:szCs w:val="20"/>
          <w:color w:val="auto"/>
        </w:rPr>
      </w:pPr>
    </w:p>
    <w:p>
      <w:pPr>
        <w:ind w:left="4" w:right="100"/>
        <w:spacing w:after="0" w:line="282" w:lineRule="auto"/>
        <w:rPr>
          <w:sz w:val="20"/>
          <w:szCs w:val="20"/>
          <w:color w:val="auto"/>
        </w:rPr>
      </w:pPr>
      <w:r>
        <w:rPr>
          <w:rFonts w:ascii="Times New Roman" w:cs="Times New Roman" w:eastAsia="Times New Roman" w:hAnsi="Times New Roman"/>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162" w:lineRule="exact"/>
        <w:rPr>
          <w:sz w:val="20"/>
          <w:szCs w:val="20"/>
          <w:color w:val="auto"/>
        </w:rPr>
      </w:pPr>
    </w:p>
    <w:p>
      <w:pPr>
        <w:ind w:left="4" w:right="100" w:firstLine="987"/>
        <w:spacing w:after="0" w:line="282" w:lineRule="auto"/>
        <w:tabs>
          <w:tab w:leader="none" w:pos="1240" w:val="left"/>
        </w:tabs>
        <w:numPr>
          <w:ilvl w:val="1"/>
          <w:numId w:val="2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following receipt of an Interest Election Request in accordance with this Section, the Applicable Facility Agent shall advise each Lender of the applicable Class of the details thereof and of such Lender’s portion of each resulting Borrowing.</w:t>
      </w:r>
    </w:p>
    <w:p>
      <w:pPr>
        <w:spacing w:after="0" w:line="161" w:lineRule="exact"/>
        <w:rPr>
          <w:rFonts w:ascii="Times New Roman" w:cs="Times New Roman" w:eastAsia="Times New Roman" w:hAnsi="Times New Roman"/>
          <w:sz w:val="18"/>
          <w:szCs w:val="18"/>
          <w:color w:val="auto"/>
        </w:rPr>
      </w:pPr>
    </w:p>
    <w:p>
      <w:pPr>
        <w:ind w:left="4" w:firstLine="987"/>
        <w:spacing w:after="0" w:line="268" w:lineRule="auto"/>
        <w:tabs>
          <w:tab w:leader="none" w:pos="1250" w:val="left"/>
        </w:tabs>
        <w:numPr>
          <w:ilvl w:val="1"/>
          <w:numId w:val="28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Section 7.01 has occurred and is continuing with respect to the Company, or if any other Event of Default has occurred and is continuing and the Applicable Facility Agent, at the request of a Majority in Interest of Lenders of any Class, has notified the Company of the election to give effect to this sentence on account of such other Event of Default, then, in each such case, so long as such Event of Default is continuing,</w:t>
      </w:r>
    </w:p>
    <w:p>
      <w:pPr>
        <w:spacing w:after="0" w:line="4" w:lineRule="exact"/>
        <w:rPr>
          <w:rFonts w:ascii="Times New Roman" w:cs="Times New Roman" w:eastAsia="Times New Roman" w:hAnsi="Times New Roman"/>
          <w:sz w:val="17"/>
          <w:szCs w:val="17"/>
          <w:color w:val="auto"/>
        </w:rPr>
      </w:pPr>
    </w:p>
    <w:p>
      <w:pPr>
        <w:ind w:left="4" w:right="220" w:hanging="4"/>
        <w:spacing w:after="0" w:line="260" w:lineRule="auto"/>
        <w:tabs>
          <w:tab w:leader="none" w:pos="219" w:val="left"/>
        </w:tabs>
        <w:numPr>
          <w:ilvl w:val="0"/>
          <w:numId w:val="2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outstanding Borrowing of such Class may be converted to or continued as a Eurocurrency Borrowing and (ii) unless repaid, each Eurocurrency Borrowing of such Class shall be converted to an ABR Borrowing at the end of the Interest Period applicable thereto.</w:t>
      </w:r>
    </w:p>
    <w:p>
      <w:pPr>
        <w:spacing w:after="0" w:line="289" w:lineRule="exact"/>
        <w:rPr>
          <w:sz w:val="20"/>
          <w:szCs w:val="20"/>
          <w:color w:val="auto"/>
        </w:rPr>
      </w:pPr>
    </w:p>
    <w:p>
      <w:pPr>
        <w:ind w:left="4" w:right="16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2.06. </w:t>
      </w:r>
      <w:r>
        <w:rPr>
          <w:rFonts w:ascii="Times New Roman" w:cs="Times New Roman" w:eastAsia="Times New Roman" w:hAnsi="Times New Roman"/>
          <w:sz w:val="18"/>
          <w:szCs w:val="18"/>
          <w:u w:val="single" w:color="auto"/>
          <w:color w:val="auto"/>
        </w:rPr>
        <w:t>Termination and Reduction of Commitments</w:t>
      </w:r>
      <w:r>
        <w:rPr>
          <w:rFonts w:ascii="Times New Roman" w:cs="Times New Roman" w:eastAsia="Times New Roman" w:hAnsi="Times New Roman"/>
          <w:sz w:val="18"/>
          <w:szCs w:val="18"/>
          <w:color w:val="auto"/>
        </w:rPr>
        <w:t>. (a) Unless previously terminated, (i) the Term Commitment of each Term Lender shall automatically terminate on the earlier of (A) immediately after the making of the Term Loan by such Term Lender on the Term Funding Date and (B) the Term Commitment Termination Date and (ii) the Revolving Commitments shall automatically terminate on the Revolving Maturity Date.</w:t>
      </w:r>
    </w:p>
    <w:p>
      <w:pPr>
        <w:spacing w:after="0" w:line="72" w:lineRule="exact"/>
        <w:rPr>
          <w:sz w:val="20"/>
          <w:szCs w:val="20"/>
          <w:color w:val="auto"/>
        </w:rPr>
      </w:pPr>
    </w:p>
    <w:p>
      <w:pPr>
        <w:ind w:left="1244" w:hanging="253"/>
        <w:spacing w:after="0"/>
        <w:tabs>
          <w:tab w:leader="none" w:pos="1244" w:val="left"/>
        </w:tabs>
        <w:numPr>
          <w:ilvl w:val="1"/>
          <w:numId w:val="2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Company may at any time terminate, or from time to time permanently reduce, the Commitments of any Class;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w:t>
      </w:r>
    </w:p>
    <w:p>
      <w:pPr>
        <w:spacing w:after="0" w:line="27" w:lineRule="exact"/>
        <w:rPr>
          <w:rFonts w:ascii="Times New Roman" w:cs="Times New Roman" w:eastAsia="Times New Roman" w:hAnsi="Times New Roman"/>
          <w:sz w:val="18"/>
          <w:szCs w:val="18"/>
          <w:color w:val="auto"/>
        </w:rPr>
      </w:pPr>
    </w:p>
    <w:p>
      <w:pPr>
        <w:ind w:left="224" w:hanging="224"/>
        <w:spacing w:after="0"/>
        <w:tabs>
          <w:tab w:leader="none" w:pos="224" w:val="left"/>
        </w:tabs>
        <w:numPr>
          <w:ilvl w:val="0"/>
          <w:numId w:val="2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reduction of the Commitments of a Class shall be in an amount that is an integral multiple of $1,000,000 and not less than $5,000,000 and</w:t>
      </w:r>
    </w:p>
    <w:p>
      <w:pPr>
        <w:spacing w:after="0" w:line="9" w:lineRule="exact"/>
        <w:rPr>
          <w:rFonts w:ascii="Times New Roman" w:cs="Times New Roman" w:eastAsia="Times New Roman" w:hAnsi="Times New Roman"/>
          <w:sz w:val="18"/>
          <w:szCs w:val="18"/>
          <w:color w:val="auto"/>
        </w:rPr>
      </w:pPr>
    </w:p>
    <w:p>
      <w:pPr>
        <w:ind w:left="4" w:right="40" w:hanging="4"/>
        <w:spacing w:after="0" w:line="260" w:lineRule="auto"/>
        <w:tabs>
          <w:tab w:leader="none" w:pos="269" w:val="left"/>
        </w:tabs>
        <w:numPr>
          <w:ilvl w:val="0"/>
          <w:numId w:val="2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not terminate or reduce the Revolving Commitments if, after giving effect to any concurrent prepayment of the Revolving Loans in accordance with Section 2.08, the Aggregate Revolving Exposure would exceed the Aggregate Revolving Commitment.</w:t>
      </w:r>
    </w:p>
    <w:p>
      <w:pPr>
        <w:spacing w:after="0" w:line="114" w:lineRule="exact"/>
        <w:rPr>
          <w:sz w:val="20"/>
          <w:szCs w:val="20"/>
          <w:color w:val="auto"/>
        </w:rPr>
      </w:pPr>
    </w:p>
    <w:p>
      <w:pPr>
        <w:jc w:val="center"/>
        <w:ind w:right="-63"/>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0964"/>
          </w:cols>
          <w:pgMar w:left="436" w:top="270" w:right="499" w:bottom="1440" w:gutter="0" w:footer="0" w:header="0"/>
        </w:sectPr>
      </w:pPr>
    </w:p>
    <w:bookmarkStart w:id="341" w:name="page342"/>
    <w:bookmarkEnd w:id="341"/>
    <w:p>
      <w:pPr>
        <w:ind w:right="20" w:firstLine="987"/>
        <w:spacing w:after="0" w:line="254" w:lineRule="auto"/>
        <w:tabs>
          <w:tab w:leader="none" w:pos="1236" w:val="left"/>
        </w:tabs>
        <w:numPr>
          <w:ilvl w:val="0"/>
          <w:numId w:val="2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shall notify the Applicable Facility Agent (with a copy to the General Administrative Agent) of any election to terminate or reduce the Commitments under paragraph (b) of this Section at least three Business Days prior to the effective date of such termination or reduction, specifying the effective date thereof. Promptly following receipt of any such notice, the Applicable Facility Agent shall advise the Lenders of the applicable Class of the contents thereof. Each notice delivered by the Company pursuant to this Section shall be irrevocable;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notice of termination or reduction of the Commitments of any Class under paragraph (b) of this Section may state that such notice is conditioned upon the occurrence of one or more events specified therein, in which case such notice may be revoked by the Company (by notice to the Applicable Facility Agent (with a copy to the General Administrative Agent) on or prior to the specified effective date) if such condition is not satisfied. Any termination or reduction of the Commitments of any Class shall be permanent. Each reduction of the Commitments of any Class shall be made ratably among the Lenders in accordance with their respective Commitments of such Class.</w:t>
      </w:r>
    </w:p>
    <w:p>
      <w:pPr>
        <w:spacing w:after="0" w:line="188" w:lineRule="exact"/>
        <w:rPr>
          <w:sz w:val="20"/>
          <w:szCs w:val="20"/>
          <w:color w:val="auto"/>
        </w:rPr>
      </w:pPr>
    </w:p>
    <w:p>
      <w:pPr>
        <w:ind w:right="18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2.07. </w:t>
      </w:r>
      <w:r>
        <w:rPr>
          <w:rFonts w:ascii="Times New Roman" w:cs="Times New Roman" w:eastAsia="Times New Roman" w:hAnsi="Times New Roman"/>
          <w:sz w:val="18"/>
          <w:szCs w:val="18"/>
          <w:u w:val="single" w:color="auto"/>
          <w:color w:val="auto"/>
        </w:rPr>
        <w:t>Repayment of Loans; Evidence of Debt</w:t>
      </w:r>
      <w:r>
        <w:rPr>
          <w:rFonts w:ascii="Times New Roman" w:cs="Times New Roman" w:eastAsia="Times New Roman" w:hAnsi="Times New Roman"/>
          <w:sz w:val="18"/>
          <w:szCs w:val="18"/>
          <w:color w:val="auto"/>
        </w:rPr>
        <w:t>. (a) The Company hereby unconditionally promises to pay (i) to the Revolving Facility Agent for the account of each Revolving Lender the then unpaid principal amount of each Revolving Loan of such Revolving Lender on the Revolving Maturity Date and (ii) to the Term Facility Agent for the account of each Term Lender the then unpaid principal amount of each Term Loan of such Term Lender on the Term Maturity Date.</w:t>
      </w:r>
    </w:p>
    <w:p>
      <w:pPr>
        <w:spacing w:after="0" w:line="72" w:lineRule="exact"/>
        <w:rPr>
          <w:sz w:val="20"/>
          <w:szCs w:val="20"/>
          <w:color w:val="auto"/>
        </w:rPr>
      </w:pPr>
    </w:p>
    <w:p>
      <w:pPr>
        <w:ind w:firstLine="987"/>
        <w:spacing w:after="0" w:line="258" w:lineRule="auto"/>
        <w:tabs>
          <w:tab w:leader="none" w:pos="1246" w:val="left"/>
        </w:tabs>
        <w:numPr>
          <w:ilvl w:val="0"/>
          <w:numId w:val="2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records maintained by the Agents and the Lenders shall (in the case of the Lenders, to the extent they are not inconsistent with the records maintained by the Applicable Facility Agent pursuant to Section 9.04(b)(iv)) be </w:t>
      </w:r>
      <w:r>
        <w:rPr>
          <w:rFonts w:ascii="Times New Roman" w:cs="Times New Roman" w:eastAsia="Times New Roman" w:hAnsi="Times New Roman"/>
          <w:sz w:val="18"/>
          <w:szCs w:val="18"/>
          <w:u w:val="single" w:color="auto"/>
          <w:color w:val="auto"/>
        </w:rPr>
        <w:t>prima facie</w:t>
      </w:r>
      <w:r>
        <w:rPr>
          <w:rFonts w:ascii="Times New Roman" w:cs="Times New Roman" w:eastAsia="Times New Roman" w:hAnsi="Times New Roman"/>
          <w:sz w:val="18"/>
          <w:szCs w:val="18"/>
          <w:color w:val="auto"/>
        </w:rPr>
        <w:t xml:space="preserve"> evidence of the existence and amounts of the obligations of the Company in respect of the Loans, interest and fees due or accrued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failure of any Agent or any Lender to maintain such records or any error therein shall not in any manner affect the obligation of the Company to pay any amounts due hereunder in accordance with the terms of this Agreement.</w:t>
      </w:r>
    </w:p>
    <w:p>
      <w:pPr>
        <w:spacing w:after="0" w:line="75" w:lineRule="exact"/>
        <w:rPr>
          <w:rFonts w:ascii="Times New Roman" w:cs="Times New Roman" w:eastAsia="Times New Roman" w:hAnsi="Times New Roman"/>
          <w:sz w:val="18"/>
          <w:szCs w:val="18"/>
          <w:color w:val="auto"/>
        </w:rPr>
      </w:pPr>
    </w:p>
    <w:p>
      <w:pPr>
        <w:ind w:right="220" w:firstLine="987"/>
        <w:spacing w:after="0" w:line="281" w:lineRule="auto"/>
        <w:tabs>
          <w:tab w:leader="none" w:pos="1236" w:val="left"/>
        </w:tabs>
        <w:numPr>
          <w:ilvl w:val="0"/>
          <w:numId w:val="28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Lender may request that Loans of any Class made by it be evidenced by a promissory note. In such event, the Company shall prepare, execute and deliver to such Lender a promissory note payable to such Lender and its registered assigns and in a form approved by the Applicable Facility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64"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2.08. </w:t>
      </w:r>
      <w:r>
        <w:rPr>
          <w:rFonts w:ascii="Times New Roman" w:cs="Times New Roman" w:eastAsia="Times New Roman" w:hAnsi="Times New Roman"/>
          <w:sz w:val="18"/>
          <w:szCs w:val="18"/>
          <w:u w:val="single" w:color="auto"/>
          <w:color w:val="auto"/>
        </w:rPr>
        <w:t>Prepayment of Loans</w:t>
      </w:r>
      <w:r>
        <w:rPr>
          <w:rFonts w:ascii="Times New Roman" w:cs="Times New Roman" w:eastAsia="Times New Roman" w:hAnsi="Times New Roman"/>
          <w:sz w:val="18"/>
          <w:szCs w:val="18"/>
          <w:color w:val="auto"/>
        </w:rPr>
        <w:t>. (a) The Company shall have the right at any time and from time to time to prepay any Borrowing in whole or in part, without premium or penalty, subject to the requirements of this Section.</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000"/>
          </w:cols>
          <w:pgMar w:left="440" w:top="270" w:right="459" w:bottom="1440" w:gutter="0" w:footer="0" w:header="0"/>
        </w:sectPr>
      </w:pPr>
    </w:p>
    <w:bookmarkStart w:id="342" w:name="page343"/>
    <w:bookmarkEnd w:id="342"/>
    <w:p>
      <w:pPr>
        <w:ind w:left="4" w:firstLine="987"/>
        <w:spacing w:after="0" w:line="252" w:lineRule="auto"/>
        <w:tabs>
          <w:tab w:leader="none" w:pos="1250" w:val="left"/>
        </w:tabs>
        <w:numPr>
          <w:ilvl w:val="0"/>
          <w:numId w:val="2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shall notify the Applicable Facility Agent by telephone (confirmed, with a copy to the General Administrative Agent, by hand delivery or facsimile) or in writing (with a copy to the General Administrative Agent)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if a notice of optional prepayment of Revolving Borrowings is given in connection with a conditional notice of termination of the Revolving Commitments as contemplated by Section 2.06, then such notice of prepayment may be revoked (by notice to the Revolving Facility Agent (with a copy to the General Administrative Agent) on or prior to the specified date of prepayment) if such notice of termination is revoked in accordance with Section 2.06 and (B) a notice of optional prepayment of Term Borrowings may state that such notice is conditioned upon the occurrence of one or more events specified therein, in which case such notice may be revoked by the Company (by notice to the Term Facility Agent (with a copy to the General Administrative Agent) on or prior to the specified date of prepayment) if such condition is not satisfied. Promptly following receipt of any such notice, the Applicable Facility Agent shall advise the Lenders of the applicable Class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96" w:lineRule="exact"/>
        <w:rPr>
          <w:sz w:val="20"/>
          <w:szCs w:val="20"/>
          <w:color w:val="auto"/>
        </w:rPr>
      </w:pPr>
    </w:p>
    <w:p>
      <w:pPr>
        <w:ind w:left="4" w:right="4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2.09. </w:t>
      </w:r>
      <w:r>
        <w:rPr>
          <w:rFonts w:ascii="Times New Roman" w:cs="Times New Roman" w:eastAsia="Times New Roman" w:hAnsi="Times New Roman"/>
          <w:sz w:val="18"/>
          <w:szCs w:val="18"/>
          <w:u w:val="single" w:color="auto"/>
          <w:color w:val="auto"/>
        </w:rPr>
        <w:t>Fees</w:t>
      </w:r>
      <w:r>
        <w:rPr>
          <w:rFonts w:ascii="Times New Roman" w:cs="Times New Roman" w:eastAsia="Times New Roman" w:hAnsi="Times New Roman"/>
          <w:sz w:val="18"/>
          <w:szCs w:val="18"/>
          <w:color w:val="auto"/>
        </w:rPr>
        <w:t>. (a) The Company agrees to pay to the Revolving Facility Agent for the account of each Revolving Lender a commitment fee (the “</w:t>
      </w:r>
      <w:r>
        <w:rPr>
          <w:rFonts w:ascii="Times New Roman" w:cs="Times New Roman" w:eastAsia="Times New Roman" w:hAnsi="Times New Roman"/>
          <w:sz w:val="18"/>
          <w:szCs w:val="18"/>
          <w:u w:val="single" w:color="auto"/>
          <w:color w:val="auto"/>
        </w:rPr>
        <w:t>Revolving Commitment Fee</w:t>
      </w:r>
      <w:r>
        <w:rPr>
          <w:rFonts w:ascii="Times New Roman" w:cs="Times New Roman" w:eastAsia="Times New Roman" w:hAnsi="Times New Roman"/>
          <w:sz w:val="18"/>
          <w:szCs w:val="18"/>
          <w:color w:val="auto"/>
        </w:rPr>
        <w:t>”), which shall accrue at the Applicable Rate on the daily unused amount of the Revolving Commitment of such Lender during the period from and including the Effective Date to but excluding the date on which such Revolving Commitment terminates. 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81" w:lineRule="exact"/>
        <w:rPr>
          <w:sz w:val="20"/>
          <w:szCs w:val="20"/>
          <w:color w:val="auto"/>
        </w:rPr>
      </w:pPr>
    </w:p>
    <w:p>
      <w:pPr>
        <w:ind w:left="4" w:right="40" w:firstLine="987"/>
        <w:spacing w:after="0" w:line="272" w:lineRule="auto"/>
        <w:tabs>
          <w:tab w:leader="none" w:pos="1250" w:val="left"/>
        </w:tabs>
        <w:numPr>
          <w:ilvl w:val="1"/>
          <w:numId w:val="28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agrees to pay to the Term Facility Agent for the account of each Term Lender a ticking fee (the “</w:t>
      </w:r>
      <w:r>
        <w:rPr>
          <w:rFonts w:ascii="Times New Roman" w:cs="Times New Roman" w:eastAsia="Times New Roman" w:hAnsi="Times New Roman"/>
          <w:sz w:val="17"/>
          <w:szCs w:val="17"/>
          <w:u w:val="single" w:color="auto"/>
          <w:color w:val="auto"/>
        </w:rPr>
        <w:t>Term Ticking Fee</w:t>
      </w:r>
      <w:r>
        <w:rPr>
          <w:rFonts w:ascii="Times New Roman" w:cs="Times New Roman" w:eastAsia="Times New Roman" w:hAnsi="Times New Roman"/>
          <w:sz w:val="17"/>
          <w:szCs w:val="17"/>
          <w:color w:val="auto"/>
        </w:rPr>
        <w:t>”), which shall accrue at the Term Ticking Fee Rate on the daily amount of the Term Commitment of such Lender during the period (the “</w:t>
      </w:r>
      <w:r>
        <w:rPr>
          <w:rFonts w:ascii="Times New Roman" w:cs="Times New Roman" w:eastAsia="Times New Roman" w:hAnsi="Times New Roman"/>
          <w:sz w:val="17"/>
          <w:szCs w:val="17"/>
          <w:u w:val="single" w:color="auto"/>
          <w:color w:val="auto"/>
        </w:rPr>
        <w:t>Term Ticking Fee</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auto"/>
        </w:rPr>
        <w:t>Accrual Period</w:t>
      </w:r>
      <w:r>
        <w:rPr>
          <w:rFonts w:ascii="Times New Roman" w:cs="Times New Roman" w:eastAsia="Times New Roman" w:hAnsi="Times New Roman"/>
          <w:sz w:val="17"/>
          <w:szCs w:val="17"/>
          <w:color w:val="auto"/>
        </w:rPr>
        <w:t>”) that (i) commences on the date that is 60 days after the Signing Date and (ii) ends on the earlier of (A) the Term Funding Date and</w:t>
      </w:r>
    </w:p>
    <w:p>
      <w:pPr>
        <w:spacing w:after="0" w:line="1" w:lineRule="exact"/>
        <w:rPr>
          <w:rFonts w:ascii="Times New Roman" w:cs="Times New Roman" w:eastAsia="Times New Roman" w:hAnsi="Times New Roman"/>
          <w:sz w:val="17"/>
          <w:szCs w:val="17"/>
          <w:color w:val="auto"/>
        </w:rPr>
      </w:pPr>
    </w:p>
    <w:p>
      <w:pPr>
        <w:jc w:val="both"/>
        <w:ind w:left="4" w:right="280" w:hanging="4"/>
        <w:spacing w:after="0" w:line="255" w:lineRule="auto"/>
        <w:tabs>
          <w:tab w:leader="none" w:pos="289" w:val="left"/>
        </w:tabs>
        <w:numPr>
          <w:ilvl w:val="0"/>
          <w:numId w:val="2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on which the Term Commitment of such Lender terminates or expires. Accrued Term Ticking Fees shall be payable in arrears on the last day of the Term Ticking Fee Accrual Period. All Term Ticking Fees shall be computed on the basis of a year of 360 days and shall be payable for the actual number of days elapsed (including the first day but excluding the last day).</w:t>
      </w:r>
    </w:p>
    <w:p>
      <w:pPr>
        <w:spacing w:after="0" w:line="118"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004"/>
          </w:cols>
          <w:pgMar w:left="436" w:top="270" w:right="459" w:bottom="1440" w:gutter="0" w:footer="0" w:header="0"/>
        </w:sectPr>
      </w:pPr>
    </w:p>
    <w:bookmarkStart w:id="343" w:name="page344"/>
    <w:bookmarkEnd w:id="343"/>
    <w:p>
      <w:pPr>
        <w:ind w:right="240" w:firstLine="987"/>
        <w:spacing w:after="0" w:line="282" w:lineRule="auto"/>
        <w:tabs>
          <w:tab w:leader="none" w:pos="1236" w:val="left"/>
        </w:tabs>
        <w:numPr>
          <w:ilvl w:val="0"/>
          <w:numId w:val="2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agrees to pay to each Agent, for its own account, fees payable in the amounts and at the times separately agreed upon between the Company and such Agent.</w:t>
      </w:r>
    </w:p>
    <w:p>
      <w:pPr>
        <w:spacing w:after="0" w:line="53" w:lineRule="exact"/>
        <w:rPr>
          <w:rFonts w:ascii="Times New Roman" w:cs="Times New Roman" w:eastAsia="Times New Roman" w:hAnsi="Times New Roman"/>
          <w:sz w:val="18"/>
          <w:szCs w:val="18"/>
          <w:color w:val="auto"/>
        </w:rPr>
      </w:pPr>
    </w:p>
    <w:p>
      <w:pPr>
        <w:ind w:right="60" w:firstLine="987"/>
        <w:spacing w:after="0" w:line="261" w:lineRule="auto"/>
        <w:tabs>
          <w:tab w:leader="none" w:pos="1246" w:val="left"/>
        </w:tabs>
        <w:numPr>
          <w:ilvl w:val="0"/>
          <w:numId w:val="2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fees payable hereunder shall be paid on the dates due, in immediately available funds, to (i) in the case of the Revolving Commitment Fees, the Revolving Facility Agent for distribution to the Revolving Lenders entitled thereto, (ii) in the case of the Term Ticking Fees, the Term Facility Agent for distribution to the Term Lenders entitled thereto and (iii) in the case of any fees payable to any Agent for its own account, to such Agent. Fees paid shall not be refundable under any circumstances.</w:t>
      </w:r>
    </w:p>
    <w:p>
      <w:pPr>
        <w:spacing w:after="0" w:line="180"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7"/>
          <w:szCs w:val="17"/>
          <w:color w:val="auto"/>
        </w:rPr>
        <w:t xml:space="preserve">SECTION 2.10. </w:t>
      </w:r>
      <w:r>
        <w:rPr>
          <w:rFonts w:ascii="Times New Roman" w:cs="Times New Roman" w:eastAsia="Times New Roman" w:hAnsi="Times New Roman"/>
          <w:sz w:val="17"/>
          <w:szCs w:val="17"/>
          <w:u w:val="single" w:color="auto"/>
          <w:color w:val="auto"/>
        </w:rPr>
        <w:t>Interest</w:t>
      </w:r>
      <w:r>
        <w:rPr>
          <w:rFonts w:ascii="Times New Roman" w:cs="Times New Roman" w:eastAsia="Times New Roman" w:hAnsi="Times New Roman"/>
          <w:sz w:val="17"/>
          <w:szCs w:val="17"/>
          <w:color w:val="auto"/>
        </w:rPr>
        <w:t>. (a) The Loans comprising each ABR Borrowing shall bear interest at the Alternate Base Rate plus the Applicable</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Rate.</w:t>
      </w:r>
    </w:p>
    <w:p>
      <w:pPr>
        <w:spacing w:after="0" w:line="99" w:lineRule="exact"/>
        <w:rPr>
          <w:sz w:val="20"/>
          <w:szCs w:val="20"/>
          <w:color w:val="auto"/>
        </w:rPr>
      </w:pPr>
    </w:p>
    <w:p>
      <w:pPr>
        <w:ind w:right="100" w:firstLine="987"/>
        <w:spacing w:after="0" w:line="282" w:lineRule="auto"/>
        <w:tabs>
          <w:tab w:leader="none" w:pos="1246" w:val="left"/>
        </w:tabs>
        <w:numPr>
          <w:ilvl w:val="0"/>
          <w:numId w:val="2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Loans comprising each Eurocurrency Borrowing shall bear interest at the Adjusted LIBO Rate for the Interest Period in effect for such Borrowing plus the Applicable Rate.</w:t>
      </w:r>
    </w:p>
    <w:p>
      <w:pPr>
        <w:spacing w:after="0" w:line="53" w:lineRule="exact"/>
        <w:rPr>
          <w:rFonts w:ascii="Times New Roman" w:cs="Times New Roman" w:eastAsia="Times New Roman" w:hAnsi="Times New Roman"/>
          <w:sz w:val="18"/>
          <w:szCs w:val="18"/>
          <w:color w:val="auto"/>
        </w:rPr>
      </w:pPr>
    </w:p>
    <w:p>
      <w:pPr>
        <w:ind w:firstLine="987"/>
        <w:spacing w:after="0" w:line="255" w:lineRule="auto"/>
        <w:tabs>
          <w:tab w:leader="none" w:pos="1236" w:val="left"/>
        </w:tabs>
        <w:numPr>
          <w:ilvl w:val="0"/>
          <w:numId w:val="2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Commitment, 2.00% per annum plus the rate applicable to ABR Loans that are of the same Class as the Class of such Loan or Commitment, as provided in paragraph (a) of this Section, or (iii) in the case of any other amount, 2.00% per annum plus the rate applicable to ABR Revolving Loans, as provided in paragraph (a) of this Section.</w:t>
      </w:r>
    </w:p>
    <w:p>
      <w:pPr>
        <w:spacing w:after="0" w:line="80" w:lineRule="exact"/>
        <w:rPr>
          <w:rFonts w:ascii="Times New Roman" w:cs="Times New Roman" w:eastAsia="Times New Roman" w:hAnsi="Times New Roman"/>
          <w:sz w:val="18"/>
          <w:szCs w:val="18"/>
          <w:color w:val="auto"/>
        </w:rPr>
      </w:pPr>
    </w:p>
    <w:p>
      <w:pPr>
        <w:ind w:right="20" w:firstLine="987"/>
        <w:spacing w:after="0" w:line="256" w:lineRule="auto"/>
        <w:tabs>
          <w:tab w:leader="none" w:pos="1236" w:val="left"/>
        </w:tabs>
        <w:numPr>
          <w:ilvl w:val="0"/>
          <w:numId w:val="2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Accrued interest on each Loan shall be payable in arrears on each Interest Payment Date for such Loan and, in the case of a Revolving Loan, upon termination of the Revolving Commitments;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interest accrued pursuant to paragraph (c) of this Section shall be payable on demand, (ii) in the event of any repayment or prepayment of any Loan (other than a prepayment of an ABR Revolving Loan prior to the end of the Revolving Availability Period),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0980"/>
          </w:cols>
          <w:pgMar w:left="440" w:top="270" w:right="479" w:bottom="1440" w:gutter="0" w:footer="0" w:header="0"/>
        </w:sectPr>
      </w:pPr>
    </w:p>
    <w:bookmarkStart w:id="344" w:name="page345"/>
    <w:bookmarkEnd w:id="344"/>
    <w:p>
      <w:pPr>
        <w:ind w:right="80" w:firstLine="987"/>
        <w:spacing w:after="0" w:line="258" w:lineRule="auto"/>
        <w:tabs>
          <w:tab w:leader="none" w:pos="1236" w:val="left"/>
        </w:tabs>
        <w:numPr>
          <w:ilvl w:val="0"/>
          <w:numId w:val="2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Applicable Facility Agent, and such determination shall be conclusive absent manifest error.</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u w:val="single" w:color="auto"/>
          <w:color w:val="auto"/>
        </w:rPr>
        <w:t>Alternate Rate of Interest</w:t>
      </w:r>
      <w:r>
        <w:rPr>
          <w:rFonts w:ascii="Times New Roman" w:cs="Times New Roman" w:eastAsia="Times New Roman" w:hAnsi="Times New Roman"/>
          <w:sz w:val="18"/>
          <w:szCs w:val="18"/>
          <w:color w:val="auto"/>
        </w:rPr>
        <w:t>. (a) If prior to the commencement of any Interest Period for a Eurocurrency Borrowing of any</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Class:</w:t>
      </w:r>
    </w:p>
    <w:p>
      <w:pPr>
        <w:spacing w:after="0" w:line="99" w:lineRule="exact"/>
        <w:rPr>
          <w:sz w:val="20"/>
          <w:szCs w:val="20"/>
          <w:color w:val="auto"/>
        </w:rPr>
      </w:pPr>
    </w:p>
    <w:p>
      <w:pPr>
        <w:ind w:left="440" w:right="220" w:firstLine="419"/>
        <w:spacing w:after="0" w:line="282" w:lineRule="auto"/>
        <w:tabs>
          <w:tab w:leader="none" w:pos="1078" w:val="left"/>
        </w:tabs>
        <w:numPr>
          <w:ilvl w:val="0"/>
          <w:numId w:val="2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Applicable Facility Agent determines (which determination shall be conclusive absent manifest error) that adequate and reasonable means do not exist for ascertaining the Adjusted LIBO Rate for such Interest Period; or</w:t>
      </w:r>
    </w:p>
    <w:p>
      <w:pPr>
        <w:spacing w:after="0" w:line="53" w:lineRule="exact"/>
        <w:rPr>
          <w:rFonts w:ascii="Times New Roman" w:cs="Times New Roman" w:eastAsia="Times New Roman" w:hAnsi="Times New Roman"/>
          <w:sz w:val="18"/>
          <w:szCs w:val="18"/>
          <w:color w:val="auto"/>
        </w:rPr>
      </w:pPr>
    </w:p>
    <w:p>
      <w:pPr>
        <w:ind w:left="440" w:right="80" w:firstLine="419"/>
        <w:spacing w:after="0" w:line="266" w:lineRule="auto"/>
        <w:tabs>
          <w:tab w:leader="none" w:pos="1128" w:val="left"/>
        </w:tabs>
        <w:numPr>
          <w:ilvl w:val="0"/>
          <w:numId w:val="2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Applicable Facility Agent is advised by a Majority in Interest of the Lenders of such Class that the Adjusted LIBO Rate for such Interest Period will not adequately and fairly reflect the cost to such Lenders of making or maintaining their Loans included in such Eurocurrency Borrowing for such Interest Period;</w:t>
      </w:r>
    </w:p>
    <w:p>
      <w:pPr>
        <w:spacing w:after="0" w:line="176"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then the Applicable Facility Agent shall give notice (which may be telephonic) thereof to the Company, the General Administrative Agent and the Lenders of such Class as promptly as practicable and, until the Applicable Facility Agent notifies the Company, the General Administrative Agent and the Lenders of such Class that the circumstances giving rise to such notice no longer exist, (A) any Interest Election Request that requests the conversion of any Borrowing of such Class to, or continuation of any Borrowing of such Class as, a Eurocurrency Borrowing shall be ineffective, and such Borrowing shall be continued as an ABR Borrowing, and (B) any Borrowing Request for a Eurocurrency Borrowing of such Class shall be treated as a request for an ABR Borrowing.</w:t>
      </w:r>
    </w:p>
    <w:p>
      <w:pPr>
        <w:spacing w:after="0" w:line="79" w:lineRule="exact"/>
        <w:rPr>
          <w:sz w:val="20"/>
          <w:szCs w:val="20"/>
          <w:color w:val="auto"/>
        </w:rPr>
      </w:pPr>
    </w:p>
    <w:p>
      <w:pPr>
        <w:ind w:right="20" w:firstLine="987"/>
        <w:spacing w:after="0" w:line="253" w:lineRule="auto"/>
        <w:tabs>
          <w:tab w:leader="none" w:pos="1246" w:val="left"/>
        </w:tabs>
        <w:numPr>
          <w:ilvl w:val="0"/>
          <w:numId w:val="2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If at any time the Applicable Facility Agent determines (which determination shall be conclusive absent manifest error) that (i) the circumstances set forth in paragraph (a)(i) of this Section have arisen (including because the LIBO Screen Rate is not available or published on a current basis) and such circumstances are unlikely to be temporary or (ii) the circumstances set forth in paragraph (a)(i) of this Section have not arisen but the supervisor or the administrator of the LIBO Screen Rate or a Governmental Authority having jurisdiction over such Applicable Facility Agent has made a public statement identifying a specific date after which the LIBO Screen Rate shall no longer be used for determining interest rates for loans, then the Agents and the Company shall endeavor to establish an alternate rate of interest to the Adjusted LIBO Rate that gives due consideration to the then prevailing market convention for determining a rate of interest for syndicated loans denominated in dollars in the United States at such time, and the Agents and the Company shall enter into an amendment to this Agreement to reflect such alternate rate of interest and such other related changes to this Agreement as may be applicable;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alternate rate of interest shall be less than zero, such rate shall be deemed to be zero for all purposes of this Agreement. Such amendment shall become effective without any further action or consent of any other party to this Agreement so long as the Agents shall not have received, within five Business Days of the date notice of such alternate rate of interest is provided to the Lenders, a written notice from the Required Lenders stating that the Required Lenders object to such amendment. Until an</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00"/>
          </w:cols>
          <w:pgMar w:left="440" w:top="270" w:right="459" w:bottom="1440" w:gutter="0" w:footer="0" w:header="0"/>
        </w:sectPr>
      </w:pPr>
    </w:p>
    <w:bookmarkStart w:id="345" w:name="page346"/>
    <w:bookmarkEnd w:id="345"/>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alternate rate of interest shall be determined in accordance with this paragraph (but, in the case of the circumstances described in clause (ii) above, only to the extent the LIBO Screen Rate for such Interest Period is not available or published at such time on a current basis), (x) any Interest Election Request that requests the conversion of any Borrowing to, or continuation of any Borrowing as, a Eurocurrency Borrowing shall be ineffective, and such Borrowing shall be continued as an ABR Borrowing, and (y) any Borrowing Request for a Eurocurrency Borrowing shall be treated as a request for an ABR Borrowing.</w:t>
      </w:r>
    </w:p>
    <w:p>
      <w:pPr>
        <w:spacing w:after="0" w:line="18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u w:val="single" w:color="auto"/>
          <w:color w:val="auto"/>
        </w:rPr>
        <w:t>Increased Costs; Illegality</w:t>
      </w:r>
      <w:r>
        <w:rPr>
          <w:rFonts w:ascii="Times New Roman" w:cs="Times New Roman" w:eastAsia="Times New Roman" w:hAnsi="Times New Roman"/>
          <w:sz w:val="18"/>
          <w:szCs w:val="18"/>
          <w:color w:val="auto"/>
        </w:rPr>
        <w:t>. (a) If any Change in Law shall:</w:t>
      </w:r>
    </w:p>
    <w:p>
      <w:pPr>
        <w:spacing w:after="0" w:line="117" w:lineRule="exact"/>
        <w:rPr>
          <w:sz w:val="20"/>
          <w:szCs w:val="20"/>
          <w:color w:val="auto"/>
        </w:rPr>
      </w:pPr>
    </w:p>
    <w:p>
      <w:pPr>
        <w:ind w:left="440" w:right="100" w:firstLine="419"/>
        <w:spacing w:after="0" w:line="266" w:lineRule="auto"/>
        <w:tabs>
          <w:tab w:leader="none" w:pos="1078"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67" w:lineRule="exact"/>
        <w:rPr>
          <w:rFonts w:ascii="Times New Roman" w:cs="Times New Roman" w:eastAsia="Times New Roman" w:hAnsi="Times New Roman"/>
          <w:sz w:val="18"/>
          <w:szCs w:val="18"/>
          <w:color w:val="auto"/>
        </w:rPr>
      </w:pPr>
    </w:p>
    <w:p>
      <w:pPr>
        <w:ind w:left="440" w:right="120" w:firstLine="419"/>
        <w:spacing w:after="0" w:line="282" w:lineRule="auto"/>
        <w:tabs>
          <w:tab w:leader="none" w:pos="1128"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impose on any Lender or the London interbank market any other condition, cost or expense (other than Taxes) affecting this Agreement or the Loans made by such Lender; or</w:t>
      </w:r>
    </w:p>
    <w:p>
      <w:pPr>
        <w:spacing w:after="0" w:line="53" w:lineRule="exact"/>
        <w:rPr>
          <w:rFonts w:ascii="Times New Roman" w:cs="Times New Roman" w:eastAsia="Times New Roman" w:hAnsi="Times New Roman"/>
          <w:sz w:val="18"/>
          <w:szCs w:val="18"/>
          <w:color w:val="auto"/>
        </w:rPr>
      </w:pPr>
    </w:p>
    <w:p>
      <w:pPr>
        <w:jc w:val="both"/>
        <w:ind w:left="440" w:right="40" w:firstLine="419"/>
        <w:spacing w:after="0" w:line="266" w:lineRule="auto"/>
        <w:tabs>
          <w:tab w:leader="none" w:pos="1178" w:val="left"/>
        </w:tabs>
        <w:numPr>
          <w:ilvl w:val="0"/>
          <w:numId w:val="2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76"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84" w:lineRule="exact"/>
        <w:rPr>
          <w:sz w:val="20"/>
          <w:szCs w:val="20"/>
          <w:color w:val="auto"/>
        </w:rPr>
      </w:pPr>
    </w:p>
    <w:p>
      <w:pPr>
        <w:ind w:firstLine="987"/>
        <w:spacing w:after="0" w:line="258" w:lineRule="auto"/>
        <w:tabs>
          <w:tab w:leader="none" w:pos="1246" w:val="left"/>
        </w:tabs>
        <w:numPr>
          <w:ilvl w:val="0"/>
          <w:numId w:val="2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000"/>
          </w:cols>
          <w:pgMar w:left="440" w:top="270" w:right="459" w:bottom="1440" w:gutter="0" w:footer="0" w:header="0"/>
        </w:sectPr>
      </w:pPr>
    </w:p>
    <w:bookmarkStart w:id="346" w:name="page347"/>
    <w:bookmarkEnd w:id="346"/>
    <w:p>
      <w:pPr>
        <w:ind w:right="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adequacy and liquidity), then, from time to time within 10 days 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75" w:lineRule="exact"/>
        <w:rPr>
          <w:sz w:val="20"/>
          <w:szCs w:val="20"/>
          <w:color w:val="auto"/>
        </w:rPr>
      </w:pPr>
    </w:p>
    <w:p>
      <w:pPr>
        <w:jc w:val="both"/>
        <w:ind w:right="200" w:firstLine="987"/>
        <w:spacing w:after="0" w:line="261" w:lineRule="auto"/>
        <w:tabs>
          <w:tab w:leader="none" w:pos="1236" w:val="left"/>
        </w:tabs>
        <w:numPr>
          <w:ilvl w:val="0"/>
          <w:numId w:val="2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71" w:lineRule="exact"/>
        <w:rPr>
          <w:rFonts w:ascii="Times New Roman" w:cs="Times New Roman" w:eastAsia="Times New Roman" w:hAnsi="Times New Roman"/>
          <w:sz w:val="18"/>
          <w:szCs w:val="18"/>
          <w:color w:val="auto"/>
        </w:rPr>
      </w:pPr>
    </w:p>
    <w:p>
      <w:pPr>
        <w:ind w:firstLine="987"/>
        <w:spacing w:after="0" w:line="256" w:lineRule="auto"/>
        <w:tabs>
          <w:tab w:leader="none" w:pos="1246" w:val="left"/>
        </w:tabs>
        <w:numPr>
          <w:ilvl w:val="0"/>
          <w:numId w:val="2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Failure or delay on the part of any Lender to demand compensation pursuant to this Section shall not constitute a waiver of such Lender’s right to demand such compensation;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79" w:lineRule="exact"/>
        <w:rPr>
          <w:rFonts w:ascii="Times New Roman" w:cs="Times New Roman" w:eastAsia="Times New Roman" w:hAnsi="Times New Roman"/>
          <w:sz w:val="18"/>
          <w:szCs w:val="18"/>
          <w:color w:val="auto"/>
        </w:rPr>
      </w:pPr>
    </w:p>
    <w:p>
      <w:pPr>
        <w:ind w:firstLine="987"/>
        <w:spacing w:after="0" w:line="252" w:lineRule="auto"/>
        <w:tabs>
          <w:tab w:leader="none" w:pos="1236" w:val="left"/>
        </w:tabs>
        <w:numPr>
          <w:ilvl w:val="0"/>
          <w:numId w:val="2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the Applicable Facility Agent and each other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Applicable Facility Agent without reference to the Adjusted LIBO Rate component of the Alternate Base Rate, in each case until such Lender notifies the Applicable Facility Agent, each other Agent and the Company that the circumstances giving rise to such determination no longer exist. Upon receipt of such notice, (A) the Company shall, upon demand from such Lender (with a copy to the Applicable Facility Agent and each other Agent) prepay or, if applicable, convert all Eurocurrency Loans of such Lender to ABR Loans (the interest rate on which ABR Loans of such Lender shall, if necessary to avoid such illegality, be</w:t>
      </w:r>
    </w:p>
    <w:p>
      <w:pPr>
        <w:spacing w:after="0" w:line="13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0960"/>
          </w:cols>
          <w:pgMar w:left="440" w:top="270" w:right="499" w:bottom="1440" w:gutter="0" w:footer="0" w:header="0"/>
        </w:sectPr>
      </w:pPr>
    </w:p>
    <w:bookmarkStart w:id="347" w:name="page348"/>
    <w:bookmarkEnd w:id="347"/>
    <w:p>
      <w:pPr>
        <w:ind w:right="6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determined by the Applicable Facility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Applicable Facility Agent shall during the period of such suspension compute the Alternate Base Rate applicable to such Lender without reference to the Adjusted LIBO Rate component thereof until the Applicable Facility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89"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2.13. </w:t>
      </w:r>
      <w:r>
        <w:rPr>
          <w:rFonts w:ascii="Times New Roman" w:cs="Times New Roman" w:eastAsia="Times New Roman" w:hAnsi="Times New Roman"/>
          <w:sz w:val="18"/>
          <w:szCs w:val="18"/>
          <w:u w:val="single" w:color="auto"/>
          <w:color w:val="auto"/>
        </w:rPr>
        <w:t>Break Funding Payments</w:t>
      </w:r>
      <w:r>
        <w:rPr>
          <w:rFonts w:ascii="Times New Roman" w:cs="Times New Roman" w:eastAsia="Times New Roman" w:hAnsi="Times New Roman"/>
          <w:sz w:val="18"/>
          <w:szCs w:val="18"/>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36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000"/>
          </w:cols>
          <w:pgMar w:left="440" w:top="270" w:right="459" w:bottom="1440" w:gutter="0" w:footer="0" w:header="0"/>
        </w:sectPr>
      </w:pPr>
    </w:p>
    <w:bookmarkStart w:id="348" w:name="page349"/>
    <w:bookmarkEnd w:id="348"/>
    <w:p>
      <w:pPr>
        <w:ind w:right="80" w:firstLine="991"/>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2.14.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xml:space="preserve">. (a) </w:t>
      </w:r>
      <w:r>
        <w:rPr>
          <w:rFonts w:ascii="Times New Roman" w:cs="Times New Roman" w:eastAsia="Times New Roman" w:hAnsi="Times New Roman"/>
          <w:sz w:val="18"/>
          <w:szCs w:val="18"/>
          <w:u w:val="single" w:color="auto"/>
          <w:color w:val="auto"/>
        </w:rPr>
        <w:t>Payments Free of Taxes</w:t>
      </w:r>
      <w:r>
        <w:rPr>
          <w:rFonts w:ascii="Times New Roman" w:cs="Times New Roman" w:eastAsia="Times New Roman" w:hAnsi="Times New Roman"/>
          <w:sz w:val="18"/>
          <w:szCs w:val="18"/>
          <w:color w:val="auto"/>
        </w:rPr>
        <w:t>. Any and all payments by or on account of any obligation of the Company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84" w:lineRule="exact"/>
        <w:rPr>
          <w:sz w:val="20"/>
          <w:szCs w:val="20"/>
          <w:color w:val="auto"/>
        </w:rPr>
      </w:pPr>
    </w:p>
    <w:p>
      <w:pPr>
        <w:ind w:right="180" w:firstLine="987"/>
        <w:spacing w:after="0" w:line="282" w:lineRule="auto"/>
        <w:tabs>
          <w:tab w:leader="none" w:pos="1246" w:val="left"/>
        </w:tabs>
        <w:numPr>
          <w:ilvl w:val="0"/>
          <w:numId w:val="2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Payment of Other Taxes by the Company</w:t>
      </w:r>
      <w:r>
        <w:rPr>
          <w:rFonts w:ascii="Times New Roman" w:cs="Times New Roman" w:eastAsia="Times New Roman" w:hAnsi="Times New Roman"/>
          <w:sz w:val="18"/>
          <w:szCs w:val="18"/>
          <w:color w:val="auto"/>
        </w:rPr>
        <w:t>. The Company shall timely pay to the relevant Governmental Authority in accordance with applicable law, or at the option of any Agent timely reimburse such Agent for the payment of, any Other Taxes.</w:t>
      </w:r>
    </w:p>
    <w:p>
      <w:pPr>
        <w:spacing w:after="0" w:line="53" w:lineRule="exact"/>
        <w:rPr>
          <w:rFonts w:ascii="Times New Roman" w:cs="Times New Roman" w:eastAsia="Times New Roman" w:hAnsi="Times New Roman"/>
          <w:sz w:val="18"/>
          <w:szCs w:val="18"/>
          <w:color w:val="auto"/>
        </w:rPr>
      </w:pPr>
    </w:p>
    <w:p>
      <w:pPr>
        <w:ind w:firstLine="987"/>
        <w:spacing w:after="0" w:line="261" w:lineRule="auto"/>
        <w:tabs>
          <w:tab w:leader="none" w:pos="1236" w:val="left"/>
        </w:tabs>
        <w:numPr>
          <w:ilvl w:val="0"/>
          <w:numId w:val="2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Evidence of Payment</w:t>
      </w:r>
      <w:r>
        <w:rPr>
          <w:rFonts w:ascii="Times New Roman" w:cs="Times New Roman" w:eastAsia="Times New Roman" w:hAnsi="Times New Roman"/>
          <w:sz w:val="18"/>
          <w:szCs w:val="18"/>
          <w:color w:val="auto"/>
        </w:rPr>
        <w:t>. As soon as practicable after any payment of Taxes by the Company to a Governmental Authority pursuant to this Section, the Company shall deliver to the Applicable Facility Agent and the General Administrative Agent the original or a certified copy of a receipt issued by such Governmental Authority evidencing such payment, a copy of the return reporting such payment or other evidence of such payment reasonably satisfactory to the Applicable Facility Agent and the General Administrative Agent.</w:t>
      </w:r>
    </w:p>
    <w:p>
      <w:pPr>
        <w:spacing w:after="0" w:line="71" w:lineRule="exact"/>
        <w:rPr>
          <w:rFonts w:ascii="Times New Roman" w:cs="Times New Roman" w:eastAsia="Times New Roman" w:hAnsi="Times New Roman"/>
          <w:sz w:val="18"/>
          <w:szCs w:val="18"/>
          <w:color w:val="auto"/>
        </w:rPr>
      </w:pPr>
    </w:p>
    <w:p>
      <w:pPr>
        <w:ind w:firstLine="987"/>
        <w:spacing w:after="0" w:line="255" w:lineRule="auto"/>
        <w:tabs>
          <w:tab w:leader="none" w:pos="1246" w:val="left"/>
        </w:tabs>
        <w:numPr>
          <w:ilvl w:val="0"/>
          <w:numId w:val="2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Indemnification by the Company</w:t>
      </w:r>
      <w:r>
        <w:rPr>
          <w:rFonts w:ascii="Times New Roman" w:cs="Times New Roman" w:eastAsia="Times New Roman" w:hAnsi="Times New Roman"/>
          <w:sz w:val="18"/>
          <w:szCs w:val="18"/>
          <w:color w:val="auto"/>
        </w:rPr>
        <w:t>. The Company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Applicable Facility Agent and the General Administrative Agent), or by the Applicable Facility Agent (with a copy to the General Administrative Agent) on its own behalf or on behalf of a Lender, shall be conclusive absent manifest error.</w:t>
      </w:r>
    </w:p>
    <w:p>
      <w:pPr>
        <w:spacing w:after="0" w:line="80" w:lineRule="exact"/>
        <w:rPr>
          <w:rFonts w:ascii="Times New Roman" w:cs="Times New Roman" w:eastAsia="Times New Roman" w:hAnsi="Times New Roman"/>
          <w:sz w:val="18"/>
          <w:szCs w:val="18"/>
          <w:color w:val="auto"/>
        </w:rPr>
      </w:pPr>
    </w:p>
    <w:p>
      <w:pPr>
        <w:ind w:right="200" w:firstLine="987"/>
        <w:spacing w:after="0" w:line="271" w:lineRule="auto"/>
        <w:tabs>
          <w:tab w:leader="none" w:pos="1236" w:val="left"/>
        </w:tabs>
        <w:numPr>
          <w:ilvl w:val="0"/>
          <w:numId w:val="29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u w:val="single" w:color="auto"/>
          <w:color w:val="auto"/>
        </w:rPr>
        <w:t>Indemnification by the Lenders</w:t>
      </w:r>
      <w:r>
        <w:rPr>
          <w:rFonts w:ascii="Times New Roman" w:cs="Times New Roman" w:eastAsia="Times New Roman" w:hAnsi="Times New Roman"/>
          <w:sz w:val="17"/>
          <w:szCs w:val="17"/>
          <w:color w:val="auto"/>
        </w:rPr>
        <w:t>. Each Lender shall severally indemnify within 10 days after demand therefor (i) each Agent for any Indemnified Taxes attributable to such Lender (but only to the extent that the Company has not already indemnified such Agent for such Indemnified Taxes and without limiting the obligation of the Company to do so), (ii) the Agents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any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any Agent shall be conclusive absent manifest error. Each Lender hereby authorizes each Agent to set off and apply any and all amounts at any time owing to such Lender under any Loan Document or otherwise payable by such Agent to such Lender from any other source against any amount due to such Agent under this paragraph.</w:t>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000"/>
          </w:cols>
          <w:pgMar w:left="440" w:top="270" w:right="459" w:bottom="1440" w:gutter="0" w:footer="0" w:header="0"/>
        </w:sectPr>
      </w:pPr>
    </w:p>
    <w:bookmarkStart w:id="349" w:name="page350"/>
    <w:bookmarkEnd w:id="349"/>
    <w:p>
      <w:pPr>
        <w:ind w:right="40" w:firstLine="987"/>
        <w:spacing w:after="0" w:line="253" w:lineRule="auto"/>
        <w:tabs>
          <w:tab w:leader="none" w:pos="1216" w:val="left"/>
        </w:tabs>
        <w:numPr>
          <w:ilvl w:val="0"/>
          <w:numId w:val="3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Status of Lenders</w:t>
      </w:r>
      <w:r>
        <w:rPr>
          <w:rFonts w:ascii="Times New Roman" w:cs="Times New Roman" w:eastAsia="Times New Roman" w:hAnsi="Times New Roman"/>
          <w:sz w:val="18"/>
          <w:szCs w:val="18"/>
          <w:color w:val="auto"/>
        </w:rPr>
        <w:t>. (i) Any Lender that is entitled to an exemption from or reduction of withholding Tax with respect to payments made under any Loan Document shall deliver to the Company, the Applicable Facility Agent and the General Administrative Agent, at the time or times reasonably requested by the Company, the Applicable Facility Agent or the General Administrative Agent, such properly completed and executed documentation reasonably requested by the Company, the Applicable Facility Agent or the General Administrative Agent as will permit such payments to be made without withholding or at a reduced rate of withholding. In addition, any Lender, if reasonably requested by the Company, the Applicable Facility Agent or the General Administrative Agent, shall deliver such other documentation prescribed by applicable law or reasonably requested by the Company, the Applicable Facility Agent or the General Administrative Agent as will enable the Company, the Applicable Facility Agent and the General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82" w:lineRule="exact"/>
        <w:rPr>
          <w:sz w:val="20"/>
          <w:szCs w:val="20"/>
          <w:color w:val="auto"/>
        </w:rPr>
      </w:pPr>
    </w:p>
    <w:p>
      <w:pPr>
        <w:ind w:firstLine="987"/>
        <w:spacing w:after="0" w:line="254" w:lineRule="auto"/>
        <w:tabs>
          <w:tab w:leader="none" w:pos="1256" w:val="left"/>
        </w:tabs>
        <w:numPr>
          <w:ilvl w:val="0"/>
          <w:numId w:val="3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the Applicable Facility Agent and the General Administrative Agent at the time or times prescribed by law and at such time or times reasonably requested by the Company, the Applicable Facility Agent or the General Administrative Agent such documentation prescribed by applicable law (including as prescribed by Section 1471(b)(3)(C)(i) of the Code) and such additional documentation reasonably requested by the Company, the Applicable Facility Agent or the General Administrative Agent as may be necessary for the Company, the Applicable Facility Agent and the General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80" w:lineRule="exact"/>
        <w:rPr>
          <w:sz w:val="20"/>
          <w:szCs w:val="20"/>
          <w:color w:val="auto"/>
        </w:rPr>
      </w:pPr>
    </w:p>
    <w:p>
      <w:pPr>
        <w:ind w:right="100" w:firstLine="991"/>
        <w:spacing w:after="0" w:line="266" w:lineRule="auto"/>
        <w:rPr>
          <w:sz w:val="20"/>
          <w:szCs w:val="20"/>
          <w:color w:val="auto"/>
        </w:rPr>
      </w:pPr>
      <w:r>
        <w:rPr>
          <w:rFonts w:ascii="Times New Roman" w:cs="Times New Roman" w:eastAsia="Times New Roman" w:hAnsi="Times New Roman"/>
          <w:sz w:val="18"/>
          <w:szCs w:val="18"/>
          <w:color w:val="auto"/>
        </w:rPr>
        <w:t>Each Lender agrees that if any form or certification it previously delivered expires or becomes obsolete or inaccurate in any respect, it shall update such form or certification or promptly notify the Company, the Applicable Facility Agent and the General Administrative Agent in writing of its legal inability to do so.</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0980"/>
          </w:cols>
          <w:pgMar w:left="440" w:top="270" w:right="479" w:bottom="1440" w:gutter="0" w:footer="0" w:header="0"/>
        </w:sectPr>
      </w:pPr>
    </w:p>
    <w:bookmarkStart w:id="350" w:name="page351"/>
    <w:bookmarkEnd w:id="350"/>
    <w:p>
      <w:pPr>
        <w:ind w:firstLine="987"/>
        <w:spacing w:after="0" w:line="253" w:lineRule="auto"/>
        <w:tabs>
          <w:tab w:leader="none" w:pos="1246" w:val="left"/>
        </w:tabs>
        <w:numPr>
          <w:ilvl w:val="0"/>
          <w:numId w:val="3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Treatment of Certain Refunds</w:t>
      </w:r>
      <w:r>
        <w:rPr>
          <w:rFonts w:ascii="Times New Roman" w:cs="Times New Roman" w:eastAsia="Times New Roman" w:hAnsi="Times New Roman"/>
          <w:sz w:val="18"/>
          <w:szCs w:val="18"/>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79"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3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the term “applicable law” includes FATCA.</w:t>
      </w:r>
    </w:p>
    <w:p>
      <w:pPr>
        <w:spacing w:after="0" w:line="225" w:lineRule="exact"/>
        <w:rPr>
          <w:sz w:val="20"/>
          <w:szCs w:val="20"/>
          <w:color w:val="auto"/>
        </w:rPr>
      </w:pPr>
    </w:p>
    <w:p>
      <w:pPr>
        <w:ind w:right="40"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2.15. </w:t>
      </w:r>
      <w:r>
        <w:rPr>
          <w:rFonts w:ascii="Times New Roman" w:cs="Times New Roman" w:eastAsia="Times New Roman" w:hAnsi="Times New Roman"/>
          <w:sz w:val="18"/>
          <w:szCs w:val="18"/>
          <w:u w:val="single" w:color="auto"/>
          <w:color w:val="auto"/>
        </w:rPr>
        <w:t>Payments Generally; Pro Rata Treatment; Sharing of Setoffs</w:t>
      </w:r>
      <w:r>
        <w:rPr>
          <w:rFonts w:ascii="Times New Roman" w:cs="Times New Roman" w:eastAsia="Times New Roman" w:hAnsi="Times New Roman"/>
          <w:sz w:val="18"/>
          <w:szCs w:val="18"/>
          <w:color w:val="auto"/>
        </w:rPr>
        <w:t>. (a) The Company shall make each payment required to be made by it hereunder or under any other Loan Document prior to the time required hereunder or under such other Loan Document for such payment (or, if no such time is expressly required, prior to 1:00 p.m., New York City time), on the date when due, in immediately available funds, without any defense, setoff, recoupment or counterclaim. Any amounts received after such time on any date may, in the discretion of the Applicable Facility Agent, be deemed to have been received on the next succeeding Business Day for purposes of calculating interest thereon. All such payments shall be made to such account as may be specified by the Applicable Facility Agent, except that payments pursuant to Sections 2.12, 2.13, 2.14 and 9.03 shall be made directly to the Persons entitled thereto and payments pursuant to other Loan Documents shall be made to the Persons specified therein. The Applicable Facility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84" w:lineRule="exact"/>
        <w:rPr>
          <w:sz w:val="20"/>
          <w:szCs w:val="20"/>
          <w:color w:val="auto"/>
        </w:rPr>
      </w:pPr>
    </w:p>
    <w:p>
      <w:pPr>
        <w:jc w:val="both"/>
        <w:ind w:right="40" w:firstLine="987"/>
        <w:spacing w:after="0" w:line="266" w:lineRule="auto"/>
        <w:tabs>
          <w:tab w:leader="none" w:pos="1246" w:val="left"/>
        </w:tabs>
        <w:numPr>
          <w:ilvl w:val="0"/>
          <w:numId w:val="3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at any time insufficient funds are received by and available to the Agents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00"/>
          </w:cols>
          <w:pgMar w:left="440" w:top="270" w:right="459" w:bottom="1440" w:gutter="0" w:footer="0" w:header="0"/>
        </w:sectPr>
      </w:pPr>
    </w:p>
    <w:bookmarkStart w:id="351" w:name="page352"/>
    <w:bookmarkEnd w:id="351"/>
    <w:p>
      <w:pPr>
        <w:ind w:right="40" w:firstLine="987"/>
        <w:spacing w:after="0" w:line="253" w:lineRule="auto"/>
        <w:tabs>
          <w:tab w:leader="none" w:pos="1236" w:val="left"/>
        </w:tabs>
        <w:numPr>
          <w:ilvl w:val="0"/>
          <w:numId w:val="3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Agents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79" w:lineRule="exact"/>
        <w:rPr>
          <w:rFonts w:ascii="Times New Roman" w:cs="Times New Roman" w:eastAsia="Times New Roman" w:hAnsi="Times New Roman"/>
          <w:sz w:val="18"/>
          <w:szCs w:val="18"/>
          <w:color w:val="auto"/>
        </w:rPr>
      </w:pPr>
    </w:p>
    <w:p>
      <w:pPr>
        <w:ind w:firstLine="987"/>
        <w:spacing w:after="0" w:line="274" w:lineRule="auto"/>
        <w:tabs>
          <w:tab w:leader="none" w:pos="1246" w:val="left"/>
        </w:tabs>
        <w:numPr>
          <w:ilvl w:val="0"/>
          <w:numId w:val="30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Unless an Agent shall have received notice from the Company prior to the date on which any payment is due to such Agent for the account of the Lenders that the Company will not make such payment, such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such Agent forthwith on demand the amount so distributed to such Lender with interest thereon, for each day from and including the date such amount is distributed to it to but excluding the date of payment to such Agent, at the greater of the Federal Funds Effective Rate and a rate determined by such Agent in accordance with banking industry rules on interbank compensation.</w:t>
      </w:r>
    </w:p>
    <w:p>
      <w:pPr>
        <w:spacing w:after="0" w:line="64" w:lineRule="exact"/>
        <w:rPr>
          <w:rFonts w:ascii="Times New Roman" w:cs="Times New Roman" w:eastAsia="Times New Roman" w:hAnsi="Times New Roman"/>
          <w:sz w:val="17"/>
          <w:szCs w:val="17"/>
          <w:color w:val="auto"/>
        </w:rPr>
      </w:pPr>
    </w:p>
    <w:p>
      <w:pPr>
        <w:ind w:right="160" w:firstLine="987"/>
        <w:spacing w:after="0" w:line="266" w:lineRule="auto"/>
        <w:tabs>
          <w:tab w:leader="none" w:pos="1236" w:val="left"/>
        </w:tabs>
        <w:numPr>
          <w:ilvl w:val="0"/>
          <w:numId w:val="3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Lender shall fail to make any payment required to be made by it hereunder to or for the account of any Agent, then such Agent may, in its discretion (notwithstanding any contrary provision hereof), apply any amounts thereafter received by such Agent for the account of such Lender to satisfy such Lender’s obligations in respect of such payment until all such unsatisfied obligations have been discharged.</w:t>
      </w:r>
    </w:p>
    <w:p>
      <w:pPr>
        <w:spacing w:after="0" w:line="176"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2.16. </w:t>
      </w:r>
      <w:r>
        <w:rPr>
          <w:rFonts w:ascii="Times New Roman" w:cs="Times New Roman" w:eastAsia="Times New Roman" w:hAnsi="Times New Roman"/>
          <w:sz w:val="18"/>
          <w:szCs w:val="18"/>
          <w:u w:val="single" w:color="auto"/>
          <w:color w:val="auto"/>
        </w:rPr>
        <w:t>Mitigation Obligations; Replacement of Lenders</w:t>
      </w:r>
      <w:r>
        <w:rPr>
          <w:rFonts w:ascii="Times New Roman" w:cs="Times New Roman" w:eastAsia="Times New Roman" w:hAnsi="Times New Roman"/>
          <w:sz w:val="18"/>
          <w:szCs w:val="18"/>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000"/>
          </w:cols>
          <w:pgMar w:left="440" w:top="270" w:right="459" w:bottom="1440" w:gutter="0" w:footer="0" w:header="0"/>
        </w:sectPr>
      </w:pPr>
    </w:p>
    <w:bookmarkStart w:id="352" w:name="page353"/>
    <w:bookmarkEnd w:id="352"/>
    <w:p>
      <w:pPr>
        <w:ind w:left="4"/>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75" w:lineRule="exact"/>
        <w:rPr>
          <w:sz w:val="20"/>
          <w:szCs w:val="20"/>
          <w:color w:val="auto"/>
        </w:rPr>
      </w:pPr>
    </w:p>
    <w:p>
      <w:pPr>
        <w:ind w:left="4" w:firstLine="987"/>
        <w:spacing w:after="0" w:line="267" w:lineRule="auto"/>
        <w:tabs>
          <w:tab w:leader="none" w:pos="1250" w:val="left"/>
        </w:tabs>
        <w:numPr>
          <w:ilvl w:val="1"/>
          <w:numId w:val="30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If (i) any Lender requests compensation under Section 2.12, (ii) the Company is required to pay any Indemnified Taxes or additional amounts to any Lender or any Governmental Authority for the account of any Lender pursuant to Section 2.14, (iii) any Lender has become a Defaulting Lender or (iv) any Lender has failed to consent to a proposed amendment, waiver, discharge or termination that under Section 9.02 requires the consent of all the Lenders (or all the affected Lenders or all the Lenders of the affected Class) and with respect to which the Required Lenders (or, in circumstances where Section 9.02 does not require the consent of the Required Lenders, a Majority in Interest of the Lenders of the affected Class) shall have granted their consent, then the Company may, at its sole expense and effort, upon notice to such Lender, the Applicable Facility Agent and the General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of a particular Class) to an Eligible Assignee that shall assume such obligations (which may be another Lender, if a Lender accepts such assignment and delegation);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w:t>
      </w:r>
    </w:p>
    <w:p>
      <w:pPr>
        <w:ind w:left="4" w:hanging="4"/>
        <w:spacing w:after="0" w:line="251" w:lineRule="auto"/>
        <w:tabs>
          <w:tab w:leader="none" w:pos="299" w:val="left"/>
        </w:tabs>
        <w:numPr>
          <w:ilvl w:val="0"/>
          <w:numId w:val="3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have received the prior written consent of the Applicable Facility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of a particular Class)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Applicable Facility Agent and the assignee and that the Lender required to make such assignment and delegation need not be a party thereto.</w:t>
      </w:r>
    </w:p>
    <w:p>
      <w:pPr>
        <w:spacing w:after="0" w:line="200" w:lineRule="exact"/>
        <w:rPr>
          <w:sz w:val="20"/>
          <w:szCs w:val="20"/>
          <w:color w:val="auto"/>
        </w:rPr>
      </w:pPr>
    </w:p>
    <w:p>
      <w:pPr>
        <w:spacing w:after="0" w:line="28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004"/>
          </w:cols>
          <w:pgMar w:left="436" w:top="270" w:right="459" w:bottom="1440" w:gutter="0" w:footer="0" w:header="0"/>
        </w:sectPr>
      </w:pPr>
    </w:p>
    <w:bookmarkStart w:id="353" w:name="page354"/>
    <w:bookmarkEnd w:id="353"/>
    <w:p>
      <w:pPr>
        <w:ind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2.17. </w:t>
      </w:r>
      <w:r>
        <w:rPr>
          <w:rFonts w:ascii="Times New Roman" w:cs="Times New Roman" w:eastAsia="Times New Roman" w:hAnsi="Times New Roman"/>
          <w:sz w:val="18"/>
          <w:szCs w:val="18"/>
          <w:u w:val="single" w:color="auto"/>
          <w:color w:val="auto"/>
        </w:rPr>
        <w:t>Defaulting Lenders</w:t>
      </w:r>
      <w:r>
        <w:rPr>
          <w:rFonts w:ascii="Times New Roman" w:cs="Times New Roman" w:eastAsia="Times New Roman" w:hAnsi="Times New Roman"/>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54" w:lineRule="exact"/>
        <w:rPr>
          <w:sz w:val="20"/>
          <w:szCs w:val="20"/>
          <w:color w:val="auto"/>
        </w:rPr>
      </w:pPr>
    </w:p>
    <w:p>
      <w:pPr>
        <w:ind w:left="440" w:right="160" w:firstLine="419"/>
        <w:spacing w:after="0" w:line="282" w:lineRule="auto"/>
        <w:tabs>
          <w:tab w:leader="none" w:pos="1108" w:val="left"/>
        </w:tabs>
        <w:numPr>
          <w:ilvl w:val="0"/>
          <w:numId w:val="3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Revolving Commitment Fees and the Term Ticking Fees shall cease to accrue on the unused amount of the Revolving Commitment or on the Term Commitment, as the case may be, of such Defaulting Lender;</w:t>
      </w:r>
    </w:p>
    <w:p>
      <w:pPr>
        <w:spacing w:after="0" w:line="53" w:lineRule="exact"/>
        <w:rPr>
          <w:rFonts w:ascii="Times New Roman" w:cs="Times New Roman" w:eastAsia="Times New Roman" w:hAnsi="Times New Roman"/>
          <w:sz w:val="18"/>
          <w:szCs w:val="18"/>
          <w:color w:val="auto"/>
        </w:rPr>
      </w:pPr>
    </w:p>
    <w:p>
      <w:pPr>
        <w:ind w:left="440" w:right="40" w:firstLine="419"/>
        <w:spacing w:after="0" w:line="258" w:lineRule="auto"/>
        <w:tabs>
          <w:tab w:leader="none" w:pos="1118" w:val="left"/>
        </w:tabs>
        <w:numPr>
          <w:ilvl w:val="0"/>
          <w:numId w:val="3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Revolving Commitment, the Revolving Exposure, the Term Commitment and the Term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75" w:lineRule="exact"/>
        <w:rPr>
          <w:rFonts w:ascii="Times New Roman" w:cs="Times New Roman" w:eastAsia="Times New Roman" w:hAnsi="Times New Roman"/>
          <w:sz w:val="18"/>
          <w:szCs w:val="18"/>
          <w:color w:val="auto"/>
        </w:rPr>
      </w:pPr>
    </w:p>
    <w:p>
      <w:pPr>
        <w:ind w:left="440" w:right="60" w:firstLine="419"/>
        <w:spacing w:after="0" w:line="252" w:lineRule="auto"/>
        <w:tabs>
          <w:tab w:leader="none" w:pos="1108" w:val="left"/>
        </w:tabs>
        <w:numPr>
          <w:ilvl w:val="0"/>
          <w:numId w:val="3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payment of principal, interest, fees or other amounts received by the Applicable Facility Agent for the account of such Defaulting Lender (whether voluntary or mandatory, at maturity, pursuant to Article VII or otherwise) or received by the Applicable Facility Agent from a Defaulting Lender pursuant to Section 2.15(c) shall be applied at such time or times as may be determined by the Applicable Facility Agent as follows: </w:t>
      </w:r>
      <w:r>
        <w:rPr>
          <w:rFonts w:ascii="Times New Roman" w:cs="Times New Roman" w:eastAsia="Times New Roman" w:hAnsi="Times New Roman"/>
          <w:sz w:val="18"/>
          <w:szCs w:val="18"/>
          <w:i w:val="1"/>
          <w:iCs w:val="1"/>
          <w:color w:val="auto"/>
        </w:rPr>
        <w:t>first</w:t>
      </w:r>
      <w:r>
        <w:rPr>
          <w:rFonts w:ascii="Times New Roman" w:cs="Times New Roman" w:eastAsia="Times New Roman" w:hAnsi="Times New Roman"/>
          <w:sz w:val="18"/>
          <w:szCs w:val="18"/>
          <w:color w:val="auto"/>
        </w:rPr>
        <w:t xml:space="preserve">, to the payment of any amounts owing by such Defaulting Lender to the Agents hereunder; </w:t>
      </w:r>
      <w:r>
        <w:rPr>
          <w:rFonts w:ascii="Times New Roman" w:cs="Times New Roman" w:eastAsia="Times New Roman" w:hAnsi="Times New Roman"/>
          <w:sz w:val="18"/>
          <w:szCs w:val="18"/>
          <w:i w:val="1"/>
          <w:iCs w:val="1"/>
          <w:color w:val="auto"/>
        </w:rPr>
        <w:t>second</w:t>
      </w:r>
      <w:r>
        <w:rPr>
          <w:rFonts w:ascii="Times New Roman" w:cs="Times New Roman" w:eastAsia="Times New Roman" w:hAnsi="Times New Roman"/>
          <w:sz w:val="18"/>
          <w:szCs w:val="18"/>
          <w:color w:val="auto"/>
        </w:rPr>
        <w:t xml:space="preserve">, as the Company may request (so long as no Default exists), to the funding of any Loan in respect of which such Defaulting Lender has failed to fund its portion thereof as required by this Agreement, as determined by the Applicable Facility Agent; </w:t>
      </w:r>
      <w:r>
        <w:rPr>
          <w:rFonts w:ascii="Times New Roman" w:cs="Times New Roman" w:eastAsia="Times New Roman" w:hAnsi="Times New Roman"/>
          <w:sz w:val="18"/>
          <w:szCs w:val="18"/>
          <w:i w:val="1"/>
          <w:iCs w:val="1"/>
          <w:color w:val="auto"/>
        </w:rPr>
        <w:t>third</w:t>
      </w:r>
      <w:r>
        <w:rPr>
          <w:rFonts w:ascii="Times New Roman" w:cs="Times New Roman" w:eastAsia="Times New Roman" w:hAnsi="Times New Roman"/>
          <w:sz w:val="18"/>
          <w:szCs w:val="18"/>
          <w:color w:val="auto"/>
        </w:rPr>
        <w:t xml:space="preserve">, if so determined by the Applicable Facility Agent and the Company, to be held in a deposit account and released pro rata in order to satisfy such Defaulting Lender’s potential future funding obligations with respect to Loans under this Agreement; </w:t>
      </w:r>
      <w:r>
        <w:rPr>
          <w:rFonts w:ascii="Times New Roman" w:cs="Times New Roman" w:eastAsia="Times New Roman" w:hAnsi="Times New Roman"/>
          <w:sz w:val="18"/>
          <w:szCs w:val="18"/>
          <w:i w:val="1"/>
          <w:iCs w:val="1"/>
          <w:color w:val="auto"/>
        </w:rPr>
        <w:t>fourth</w:t>
      </w:r>
      <w:r>
        <w:rPr>
          <w:rFonts w:ascii="Times New Roman" w:cs="Times New Roman" w:eastAsia="Times New Roman" w:hAnsi="Times New Roman"/>
          <w:sz w:val="18"/>
          <w:szCs w:val="18"/>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Times New Roman" w:cs="Times New Roman" w:eastAsia="Times New Roman" w:hAnsi="Times New Roman"/>
          <w:sz w:val="18"/>
          <w:szCs w:val="18"/>
          <w:i w:val="1"/>
          <w:iCs w:val="1"/>
          <w:color w:val="auto"/>
        </w:rPr>
        <w:t>fifth</w:t>
      </w:r>
      <w:r>
        <w:rPr>
          <w:rFonts w:ascii="Times New Roman" w:cs="Times New Roman" w:eastAsia="Times New Roman" w:hAnsi="Times New Roman"/>
          <w:sz w:val="18"/>
          <w:szCs w:val="18"/>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Times New Roman" w:cs="Times New Roman" w:eastAsia="Times New Roman" w:hAnsi="Times New Roman"/>
          <w:sz w:val="18"/>
          <w:szCs w:val="18"/>
          <w:i w:val="1"/>
          <w:iCs w:val="1"/>
          <w:color w:val="auto"/>
        </w:rPr>
        <w:t>sixth</w:t>
      </w:r>
      <w:r>
        <w:rPr>
          <w:rFonts w:ascii="Times New Roman" w:cs="Times New Roman" w:eastAsia="Times New Roman" w:hAnsi="Times New Roman"/>
          <w:sz w:val="18"/>
          <w:szCs w:val="18"/>
          <w:color w:val="auto"/>
        </w:rPr>
        <w:t xml:space="preserve">, to such Defaulting Lender or as otherwise directed by a court of competent jurisdiction;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(x) such payment is a payment of the principal amount of any Loans of any Class in respect of which such Defaulting Lender has not fully funded its appropriate share and (y) such Loans were made at a time when the</w:t>
      </w:r>
    </w:p>
    <w:p>
      <w:pPr>
        <w:spacing w:after="0" w:line="25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1000"/>
          </w:cols>
          <w:pgMar w:left="440" w:top="270" w:right="459" w:bottom="1440" w:gutter="0" w:footer="0" w:header="0"/>
        </w:sectPr>
      </w:pPr>
    </w:p>
    <w:bookmarkStart w:id="354" w:name="page355"/>
    <w:bookmarkEnd w:id="354"/>
    <w:p>
      <w:pPr>
        <w:ind w:left="440" w:right="120"/>
        <w:spacing w:after="0" w:line="277"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conditions set forth in Section 4.03 were satisfied or waived, such payment shall be applied solely to pay the Loans of the applicable Class of all non-Defaulting Lenders of such Class on a pro rata basis prior to being applied to the payment of any Loans of such Defaulting Lender until such time as all Loans of such Class are held by the Lenders pro rata in accordance with the Commitments of such Class.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68"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In the event that the Revolving Facility Agent and the Company each agree that a Defaulting Lender that is a Revolving Lender has adequately remedied all matters that caused such Revolving Lender to be a Defaulting Lender, then such Revolving Lender shall purchase at par such of the Revolving Loans of the other Revolving Lenders as the Revolving Facility Agent shall determine to be necessary in order for such Revolving Lender to hold such Revolving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87"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In the event that the Term Facility Agent and the Company each agree that a Defaulting Lender that is a Term Lender has adequately remedied all matters that caused such Term Lender to be a Defaulting Lender, then on such date such Term Lender shall take such actions as the Term Facility Agent may determine to be appropriate in connection with such Term Lender ceasing to be a Defaulting Lender, and such Term Lender shall thereupon cease to be a Defaulting Lender (but shall not be entitled to receive any Term Ticking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87"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The Company may terminate the unused amount of the Revolving Commitment of any Revolving Lender that is a Defaulting Lender upon not less than two Business Days’ prior notice to the Revolving Facility Agent (which shall promptly notify the Revolving Lenders thereof) and the General Administrative Agent; provided that (i) no Event of Default shall have occurred and be continuing and (ii) such termination shall not be deemed to be a waiver or release of any claim the Company, the Agents or any Lender may have against such Defaulting Lender.</w:t>
      </w:r>
    </w:p>
    <w:p>
      <w:pPr>
        <w:spacing w:after="0" w:line="180"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The rights and remedies against, and with respect to, a Defaulting Lender under this Section are in addition to, and cumulative and not in limitation of, all other rights and remedies that any Agent, any Lender or the Company may at any time have against, or with respect to, such Defaulting Lender.</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020"/>
          </w:cols>
          <w:pgMar w:left="440" w:top="270" w:right="439" w:bottom="1440" w:gutter="0" w:footer="0" w:header="0"/>
        </w:sectPr>
      </w:pPr>
    </w:p>
    <w:bookmarkStart w:id="355" w:name="page356"/>
    <w:bookmarkEnd w:id="355"/>
    <w:p>
      <w:pPr>
        <w:ind w:left="4" w:right="100" w:firstLine="991"/>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2.18. </w:t>
      </w:r>
      <w:r>
        <w:rPr>
          <w:rFonts w:ascii="Times New Roman" w:cs="Times New Roman" w:eastAsia="Times New Roman" w:hAnsi="Times New Roman"/>
          <w:sz w:val="18"/>
          <w:szCs w:val="18"/>
          <w:u w:val="single" w:color="auto"/>
          <w:color w:val="auto"/>
        </w:rPr>
        <w:t>Bridge Facility</w:t>
      </w:r>
      <w:r>
        <w:rPr>
          <w:rFonts w:ascii="Times New Roman" w:cs="Times New Roman" w:eastAsia="Times New Roman" w:hAnsi="Times New Roman"/>
          <w:sz w:val="18"/>
          <w:szCs w:val="18"/>
          <w:color w:val="auto"/>
        </w:rPr>
        <w:t xml:space="preserve">. (a) The Company may, by written notice to the General Administrative Agent, request the establishment of Bridge Commitments,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aggregate amount of the Bridge Commitments established hereunder shall not exceed the Bridge Facility Amount. Each such notice shall specify (i) the date on which the Company proposes that the Bridge Commitments shall become effective, which shall be a date not less than 10 Business Days (or such shorter period as may be agreed to by the General Administrative Agent) after the date on which such notice is delivered to the General Administrative Agent, and (ii) the amount of the Bridge Commitments being established (it being agreed that, except to the extent such Lender shall have separately agreed in writing to provide any Bridge Commitment, any Lender approached to provide any Bridge Commitment may elect or decline, in its sole discretion, to provide such Bridge Commitment).</w:t>
      </w:r>
    </w:p>
    <w:p>
      <w:pPr>
        <w:spacing w:after="0" w:line="81" w:lineRule="exact"/>
        <w:rPr>
          <w:sz w:val="20"/>
          <w:szCs w:val="20"/>
          <w:color w:val="auto"/>
        </w:rPr>
      </w:pPr>
    </w:p>
    <w:p>
      <w:pPr>
        <w:ind w:left="4" w:right="140" w:firstLine="987"/>
        <w:spacing w:after="0" w:line="268" w:lineRule="auto"/>
        <w:tabs>
          <w:tab w:leader="none" w:pos="1250" w:val="left"/>
        </w:tabs>
        <w:numPr>
          <w:ilvl w:val="1"/>
          <w:numId w:val="30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The terms and conditions of the Bridge Commitments and the Bridge Loans to be made thereunder shall be as set forth in the Bridge Facility Agreement,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 the Bridge Loans shall be extensions of credit to the Company that are not Guaranteed by any Person, (ii) the Bridge Loans shall rank pari passu in right of payment with the other Loans and shall not be secured by any Liens on any assets of the Company or its Subsidiaries and (iii) the Bridge Facility Agreement shall not contain any affirmative, negative or financial covenant applicable to the Company or the Subsidiaries or any event of default that benefits the Bridge Lenders (but not the other Lenders), in each case, except if this Agreement is amended to include such affirmative, negative or financial covenant or event of default for the benefit of all Lenders (it being understood that nothing in this clause</w:t>
      </w:r>
    </w:p>
    <w:p>
      <w:pPr>
        <w:spacing w:after="0" w:line="4" w:lineRule="exact"/>
        <w:rPr>
          <w:rFonts w:ascii="Times New Roman" w:cs="Times New Roman" w:eastAsia="Times New Roman" w:hAnsi="Times New Roman"/>
          <w:sz w:val="17"/>
          <w:szCs w:val="17"/>
          <w:color w:val="auto"/>
        </w:rPr>
      </w:pPr>
    </w:p>
    <w:p>
      <w:pPr>
        <w:ind w:left="4" w:right="40" w:hanging="4"/>
        <w:spacing w:after="0" w:line="255" w:lineRule="auto"/>
        <w:tabs>
          <w:tab w:leader="none" w:pos="319" w:val="left"/>
        </w:tabs>
        <w:numPr>
          <w:ilvl w:val="0"/>
          <w:numId w:val="3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limit the scheduled maturity date, interest rate, benchmark rate floors, fees, original issue discounts, commitment termination requirements (including mandatory reductions) and prepayment requirement (including mandatory prepayments) applicable to the Bridge Commitments or the Bridge Loans).</w:t>
      </w:r>
    </w:p>
    <w:p>
      <w:pPr>
        <w:spacing w:after="0" w:line="77" w:lineRule="exact"/>
        <w:rPr>
          <w:rFonts w:ascii="Times New Roman" w:cs="Times New Roman" w:eastAsia="Times New Roman" w:hAnsi="Times New Roman"/>
          <w:sz w:val="18"/>
          <w:szCs w:val="18"/>
          <w:color w:val="auto"/>
        </w:rPr>
      </w:pPr>
    </w:p>
    <w:p>
      <w:pPr>
        <w:ind w:left="4" w:firstLine="987"/>
        <w:spacing w:after="0" w:line="253" w:lineRule="auto"/>
        <w:tabs>
          <w:tab w:leader="none" w:pos="1240" w:val="left"/>
        </w:tabs>
        <w:numPr>
          <w:ilvl w:val="1"/>
          <w:numId w:val="3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Bridge Commitments shall be effected pursuant to a Bridge Facility Agreement executed and delivered by the Company, each Bridge Lender providing such Bridge Commitments and the Bridge Facility Agent, subject to the satisfaction of such conditions precedent thereto as may be set forth in the Bridge Facility Agreement. The Bridge Facility Agreement may, without the consent of any Lender, effect such amendments to this Agreement and the other Loan Documents as may be necessary or appropriate, in the opinion of the Company and the Bridge Facility Agent, to give effect to the provisions of this Section, including any amendments necessary or appropriate to treat the Bridge Commitments and the Bridge Loans as a new Class of Commitments and Loans hereunder (including for purposes of voting) or to provide to the Bridge Facility Agent such rights (including indemnity and exculpation provisions) and obligations as are comparable to those of the Term Facility Agent. Upon the effectiveness of the Bridge Commitment of any Bridge Lender, such Bridge Lender shall be deemed to be a “Lender” (and a Lender in respect of Commitments and Loans of the applicable Class) hereunder, and henceforth shall be entitled to all the rights of, and benefits accruing to, Lenders (or Lenders in respect of Commitments and Loans of the applicable Class) hereunder and shall be bound by all agreements, acknowledgements and other obligations of Lenders (or Lenders in respect of Commitments and Loans of the applicable Class) hereunder and under the other Credit Documents.</w:t>
      </w:r>
    </w:p>
    <w:p>
      <w:pPr>
        <w:spacing w:after="0" w:line="124"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004"/>
          </w:cols>
          <w:pgMar w:left="436" w:top="270" w:right="459" w:bottom="1440" w:gutter="0" w:footer="0" w:header="0"/>
        </w:sectPr>
      </w:pPr>
    </w:p>
    <w:bookmarkStart w:id="356" w:name="page357"/>
    <w:bookmarkEnd w:id="356"/>
    <w:p>
      <w:pPr>
        <w:ind w:left="4" w:right="60" w:firstLine="987"/>
        <w:spacing w:after="0" w:line="266" w:lineRule="auto"/>
        <w:tabs>
          <w:tab w:leader="none" w:pos="1250" w:val="left"/>
        </w:tabs>
        <w:numPr>
          <w:ilvl w:val="0"/>
          <w:numId w:val="3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General Administrative Agent shall notify the Lenders promptly upon receipt by the General Administrative Agent of any notice from the Company referred to in paragraph (a) of this Section and of the effectiveness of the Bridge Commitments, in each case advising the Lenders of the details thereof.</w:t>
      </w:r>
    </w:p>
    <w:p>
      <w:pPr>
        <w:spacing w:after="0" w:line="176"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ARTICLE III</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u w:val="single" w:color="auto"/>
          <w:color w:val="auto"/>
        </w:rPr>
        <w:t>Representations and Warranties</w:t>
      </w:r>
    </w:p>
    <w:p>
      <w:pPr>
        <w:spacing w:after="0" w:line="225" w:lineRule="exact"/>
        <w:rPr>
          <w:sz w:val="20"/>
          <w:szCs w:val="20"/>
          <w:color w:val="auto"/>
        </w:rPr>
      </w:pPr>
    </w:p>
    <w:p>
      <w:pPr>
        <w:ind w:left="4" w:right="420" w:firstLine="991"/>
        <w:spacing w:after="0" w:line="282" w:lineRule="auto"/>
        <w:rPr>
          <w:sz w:val="20"/>
          <w:szCs w:val="20"/>
          <w:color w:val="auto"/>
        </w:rPr>
      </w:pPr>
      <w:r>
        <w:rPr>
          <w:rFonts w:ascii="Times New Roman" w:cs="Times New Roman" w:eastAsia="Times New Roman" w:hAnsi="Times New Roman"/>
          <w:sz w:val="18"/>
          <w:szCs w:val="18"/>
          <w:color w:val="auto"/>
        </w:rPr>
        <w:t>The Company represents and warrants to the Lenders, on the Effective Date, the Term Funding Date and on each other date on which representations and warranties are required to be, or are deemed to be, made under the Loan Documents, that:</w:t>
      </w:r>
    </w:p>
    <w:p>
      <w:pPr>
        <w:spacing w:after="0" w:line="162" w:lineRule="exact"/>
        <w:rPr>
          <w:sz w:val="20"/>
          <w:szCs w:val="20"/>
          <w:color w:val="auto"/>
        </w:rPr>
      </w:pPr>
    </w:p>
    <w:p>
      <w:pPr>
        <w:ind w:left="4" w:right="16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3.01. </w:t>
      </w:r>
      <w:r>
        <w:rPr>
          <w:rFonts w:ascii="Times New Roman" w:cs="Times New Roman" w:eastAsia="Times New Roman" w:hAnsi="Times New Roman"/>
          <w:sz w:val="18"/>
          <w:szCs w:val="18"/>
          <w:u w:val="single" w:color="auto"/>
          <w:color w:val="auto"/>
        </w:rPr>
        <w:t>Organization; Powers</w:t>
      </w:r>
      <w:r>
        <w:rPr>
          <w:rFonts w:ascii="Times New Roman" w:cs="Times New Roman" w:eastAsia="Times New Roman" w:hAnsi="Times New Roman"/>
          <w:sz w:val="18"/>
          <w:szCs w:val="18"/>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83" w:lineRule="exact"/>
        <w:rPr>
          <w:sz w:val="20"/>
          <w:szCs w:val="20"/>
          <w:color w:val="auto"/>
        </w:rPr>
      </w:pPr>
    </w:p>
    <w:p>
      <w:pPr>
        <w:ind w:left="4"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3.02. </w:t>
      </w:r>
      <w:r>
        <w:rPr>
          <w:rFonts w:ascii="Times New Roman" w:cs="Times New Roman" w:eastAsia="Times New Roman" w:hAnsi="Times New Roman"/>
          <w:sz w:val="18"/>
          <w:szCs w:val="18"/>
          <w:u w:val="single" w:color="auto"/>
          <w:color w:val="auto"/>
        </w:rPr>
        <w:t>Authorization; Enforceability</w:t>
      </w:r>
      <w:r>
        <w:rPr>
          <w:rFonts w:ascii="Times New Roman" w:cs="Times New Roman" w:eastAsia="Times New Roman" w:hAnsi="Times New Roman"/>
          <w:sz w:val="18"/>
          <w:szCs w:val="18"/>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87" w:lineRule="exact"/>
        <w:rPr>
          <w:sz w:val="20"/>
          <w:szCs w:val="20"/>
          <w:color w:val="auto"/>
        </w:rPr>
      </w:pPr>
    </w:p>
    <w:p>
      <w:pPr>
        <w:ind w:left="4" w:firstLine="991"/>
        <w:spacing w:after="0" w:line="269" w:lineRule="auto"/>
        <w:rPr>
          <w:sz w:val="20"/>
          <w:szCs w:val="20"/>
          <w:color w:val="auto"/>
        </w:rPr>
      </w:pPr>
      <w:r>
        <w:rPr>
          <w:rFonts w:ascii="Times New Roman" w:cs="Times New Roman" w:eastAsia="Times New Roman" w:hAnsi="Times New Roman"/>
          <w:sz w:val="17"/>
          <w:szCs w:val="17"/>
          <w:color w:val="auto"/>
        </w:rPr>
        <w:t xml:space="preserve">SECTION 3.03. </w:t>
      </w:r>
      <w:r>
        <w:rPr>
          <w:rFonts w:ascii="Times New Roman" w:cs="Times New Roman" w:eastAsia="Times New Roman" w:hAnsi="Times New Roman"/>
          <w:sz w:val="17"/>
          <w:szCs w:val="17"/>
          <w:u w:val="single" w:color="auto"/>
          <w:color w:val="auto"/>
        </w:rPr>
        <w:t>Governmental Approvals; Absence of Conflicts</w:t>
      </w:r>
      <w:r>
        <w:rPr>
          <w:rFonts w:ascii="Times New Roman" w:cs="Times New Roman" w:eastAsia="Times New Roman" w:hAnsi="Times New Roman"/>
          <w:sz w:val="17"/>
          <w:szCs w:val="17"/>
          <w:color w:val="auto"/>
        </w:rPr>
        <w:t>. The Transactions (a) do not require any consent or approval of, registration or filing with or any other action by any Governmental Authority, except such as have been or, in the case of filings relating to the consummation of the Cavium Acquisition, substantially contemporaneously with the funding of Term Loans on the Term Funding Date will be, obtained or made and are (or will so be) in full force and effect, (b) will not violate any applicable law, including any order of any Governmental Authority, except to the extent any such violations, individually or in the aggregate, would not reasonably be expected to result in a Material Adverse Effect,</w:t>
      </w:r>
    </w:p>
    <w:p>
      <w:pPr>
        <w:spacing w:after="0" w:line="3" w:lineRule="exact"/>
        <w:rPr>
          <w:sz w:val="20"/>
          <w:szCs w:val="20"/>
          <w:color w:val="auto"/>
        </w:rPr>
      </w:pPr>
    </w:p>
    <w:p>
      <w:pPr>
        <w:ind w:left="4" w:right="60" w:hanging="4"/>
        <w:spacing w:after="0" w:line="253" w:lineRule="auto"/>
        <w:tabs>
          <w:tab w:leader="none" w:pos="249" w:val="left"/>
        </w:tabs>
        <w:numPr>
          <w:ilvl w:val="0"/>
          <w:numId w:val="3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w:t>
      </w:r>
    </w:p>
    <w:p>
      <w:pPr>
        <w:spacing w:after="0" w:line="12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004"/>
          </w:cols>
          <w:pgMar w:left="436" w:top="270" w:right="459" w:bottom="1440" w:gutter="0" w:footer="0" w:header="0"/>
        </w:sectPr>
      </w:pPr>
    </w:p>
    <w:bookmarkStart w:id="357" w:name="page358"/>
    <w:bookmarkEnd w:id="357"/>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or right of renegotiation of any obligation thereunder, in each case except for the Cavium Debt Refinancing and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76" w:lineRule="exact"/>
        <w:rPr>
          <w:sz w:val="20"/>
          <w:szCs w:val="20"/>
          <w:color w:val="auto"/>
        </w:rPr>
      </w:pPr>
    </w:p>
    <w:p>
      <w:pPr>
        <w:ind w:right="36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3.04. </w:t>
      </w:r>
      <w:r>
        <w:rPr>
          <w:rFonts w:ascii="Times New Roman" w:cs="Times New Roman" w:eastAsia="Times New Roman" w:hAnsi="Times New Roman"/>
          <w:sz w:val="18"/>
          <w:szCs w:val="18"/>
          <w:u w:val="single" w:color="auto"/>
          <w:color w:val="auto"/>
        </w:rPr>
        <w:t>Financial Condition; No Material Adverse Change</w:t>
      </w:r>
      <w:r>
        <w:rPr>
          <w:rFonts w:ascii="Times New Roman" w:cs="Times New Roman" w:eastAsia="Times New Roman" w:hAnsi="Times New Roman"/>
          <w:sz w:val="18"/>
          <w:szCs w:val="18"/>
          <w:color w:val="auto"/>
        </w:rPr>
        <w:t>. (a) The Company has heretofore furnished to the Lenders its consolidated balance sheet and related consolidated statements of operations, shareholders’ equity and cash flows as of and for the fiscal year ended February 3, 2018, audited by and accompanied by the opinion of Deloitte &amp; Touche LLP. Such financial statements present fairly, in all material respects, the financial position, results of operations and cash flows of the Company and its consolidated Subsidiaries as of such dates and for such periods in accordance with GAAP.</w:t>
      </w:r>
    </w:p>
    <w:p>
      <w:pPr>
        <w:spacing w:after="0" w:line="75" w:lineRule="exact"/>
        <w:rPr>
          <w:sz w:val="20"/>
          <w:szCs w:val="20"/>
          <w:color w:val="auto"/>
        </w:rPr>
      </w:pPr>
    </w:p>
    <w:p>
      <w:pPr>
        <w:ind w:right="80" w:firstLine="987"/>
        <w:spacing w:after="0" w:line="282" w:lineRule="auto"/>
        <w:tabs>
          <w:tab w:leader="none" w:pos="1246" w:val="left"/>
        </w:tabs>
        <w:numPr>
          <w:ilvl w:val="0"/>
          <w:numId w:val="3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February 3, 2018,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62"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3.05. </w:t>
      </w:r>
      <w:r>
        <w:rPr>
          <w:rFonts w:ascii="Times New Roman" w:cs="Times New Roman" w:eastAsia="Times New Roman" w:hAnsi="Times New Roman"/>
          <w:sz w:val="18"/>
          <w:szCs w:val="18"/>
          <w:u w:val="single" w:color="auto"/>
          <w:color w:val="auto"/>
        </w:rPr>
        <w:t>Properties</w:t>
      </w:r>
      <w:r>
        <w:rPr>
          <w:rFonts w:ascii="Times New Roman" w:cs="Times New Roman" w:eastAsia="Times New Roman" w:hAnsi="Times New Roman"/>
          <w:sz w:val="18"/>
          <w:szCs w:val="18"/>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72" w:lineRule="exact"/>
        <w:rPr>
          <w:sz w:val="20"/>
          <w:szCs w:val="20"/>
          <w:color w:val="auto"/>
        </w:rPr>
      </w:pPr>
    </w:p>
    <w:p>
      <w:pPr>
        <w:ind w:right="20" w:firstLine="987"/>
        <w:spacing w:after="0" w:line="254" w:lineRule="auto"/>
        <w:tabs>
          <w:tab w:leader="none" w:pos="1246" w:val="left"/>
        </w:tabs>
        <w:numPr>
          <w:ilvl w:val="0"/>
          <w:numId w:val="3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the rights of any other Person, except for any such infringements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000"/>
          </w:cols>
          <w:pgMar w:left="440" w:top="270" w:right="459" w:bottom="1440" w:gutter="0" w:footer="0" w:header="0"/>
        </w:sectPr>
      </w:pPr>
    </w:p>
    <w:bookmarkStart w:id="358" w:name="page359"/>
    <w:bookmarkEnd w:id="358"/>
    <w:p>
      <w:pPr>
        <w:ind w:left="4" w:right="120" w:firstLine="991"/>
        <w:spacing w:after="0" w:line="272"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3.06. </w:t>
      </w:r>
      <w:r>
        <w:rPr>
          <w:rFonts w:ascii="Times New Roman" w:cs="Times New Roman" w:eastAsia="Times New Roman" w:hAnsi="Times New Roman"/>
          <w:sz w:val="17"/>
          <w:szCs w:val="17"/>
          <w:u w:val="single" w:color="auto"/>
          <w:color w:val="auto"/>
        </w:rPr>
        <w:t>Litigation and Environmental Matters</w:t>
      </w:r>
      <w:r>
        <w:rPr>
          <w:rFonts w:ascii="Times New Roman" w:cs="Times New Roman" w:eastAsia="Times New Roman" w:hAnsi="Times New Roman"/>
          <w:sz w:val="17"/>
          <w:szCs w:val="17"/>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w:t>
      </w:r>
    </w:p>
    <w:p>
      <w:pPr>
        <w:spacing w:after="0" w:line="2" w:lineRule="exact"/>
        <w:rPr>
          <w:sz w:val="20"/>
          <w:szCs w:val="20"/>
          <w:color w:val="auto"/>
        </w:rPr>
      </w:pPr>
    </w:p>
    <w:p>
      <w:pPr>
        <w:ind w:left="264" w:hanging="264"/>
        <w:spacing w:after="0"/>
        <w:tabs>
          <w:tab w:leader="none" w:pos="264" w:val="left"/>
        </w:tabs>
        <w:numPr>
          <w:ilvl w:val="0"/>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involve any of the Loan Documents.</w:t>
      </w:r>
    </w:p>
    <w:p>
      <w:pPr>
        <w:spacing w:after="0" w:line="98" w:lineRule="exact"/>
        <w:rPr>
          <w:rFonts w:ascii="Times New Roman" w:cs="Times New Roman" w:eastAsia="Times New Roman" w:hAnsi="Times New Roman"/>
          <w:sz w:val="18"/>
          <w:szCs w:val="18"/>
          <w:color w:val="auto"/>
        </w:rPr>
      </w:pPr>
    </w:p>
    <w:p>
      <w:pPr>
        <w:ind w:left="4" w:firstLine="987"/>
        <w:spacing w:after="0" w:line="258" w:lineRule="auto"/>
        <w:tabs>
          <w:tab w:leader="none" w:pos="1250" w:val="left"/>
        </w:tabs>
        <w:numPr>
          <w:ilvl w:val="1"/>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75" w:lineRule="exact"/>
        <w:rPr>
          <w:rFonts w:ascii="Times New Roman" w:cs="Times New Roman" w:eastAsia="Times New Roman" w:hAnsi="Times New Roman"/>
          <w:sz w:val="18"/>
          <w:szCs w:val="18"/>
          <w:color w:val="auto"/>
        </w:rPr>
      </w:pPr>
    </w:p>
    <w:p>
      <w:pPr>
        <w:ind w:left="4" w:right="100" w:firstLine="987"/>
        <w:spacing w:after="0" w:line="282" w:lineRule="auto"/>
        <w:tabs>
          <w:tab w:leader="none" w:pos="1240" w:val="left"/>
        </w:tabs>
        <w:numPr>
          <w:ilvl w:val="1"/>
          <w:numId w:val="3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62" w:lineRule="exact"/>
        <w:rPr>
          <w:sz w:val="20"/>
          <w:szCs w:val="20"/>
          <w:color w:val="auto"/>
        </w:rPr>
      </w:pPr>
    </w:p>
    <w:p>
      <w:pPr>
        <w:ind w:left="4" w:right="1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3.07.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68" w:lineRule="exact"/>
        <w:rPr>
          <w:sz w:val="20"/>
          <w:szCs w:val="20"/>
          <w:color w:val="auto"/>
        </w:rPr>
      </w:pPr>
    </w:p>
    <w:p>
      <w:pPr>
        <w:ind w:left="4" w:right="80" w:firstLine="987"/>
        <w:spacing w:after="0" w:line="255" w:lineRule="auto"/>
        <w:tabs>
          <w:tab w:leader="none" w:pos="1250" w:val="left"/>
        </w:tabs>
        <w:numPr>
          <w:ilvl w:val="0"/>
          <w:numId w:val="3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or applicable Sanctions.</w:t>
      </w:r>
    </w:p>
    <w:p>
      <w:pPr>
        <w:spacing w:after="0" w:line="189" w:lineRule="exact"/>
        <w:rPr>
          <w:sz w:val="20"/>
          <w:szCs w:val="20"/>
          <w:color w:val="auto"/>
        </w:rPr>
      </w:pPr>
    </w:p>
    <w:p>
      <w:pPr>
        <w:ind w:left="4" w:right="10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3.08. </w:t>
      </w:r>
      <w:r>
        <w:rPr>
          <w:rFonts w:ascii="Times New Roman" w:cs="Times New Roman" w:eastAsia="Times New Roman" w:hAnsi="Times New Roman"/>
          <w:sz w:val="18"/>
          <w:szCs w:val="18"/>
          <w:u w:val="single" w:color="auto"/>
          <w:color w:val="auto"/>
        </w:rPr>
        <w:t>Investment Company Status</w:t>
      </w:r>
      <w:r>
        <w:rPr>
          <w:rFonts w:ascii="Times New Roman" w:cs="Times New Roman" w:eastAsia="Times New Roman" w:hAnsi="Times New Roman"/>
          <w:sz w:val="18"/>
          <w:szCs w:val="18"/>
          <w:color w:val="auto"/>
        </w:rPr>
        <w:t>. The Company is not an “investment company” as defined in, or subject to regulation under, the Investment Company Act of 1940.</w:t>
      </w:r>
    </w:p>
    <w:p>
      <w:pPr>
        <w:spacing w:after="0" w:line="162" w:lineRule="exact"/>
        <w:rPr>
          <w:sz w:val="20"/>
          <w:szCs w:val="20"/>
          <w:color w:val="auto"/>
        </w:rPr>
      </w:pPr>
    </w:p>
    <w:p>
      <w:pPr>
        <w:ind w:left="4"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3.09.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2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004"/>
          </w:cols>
          <w:pgMar w:left="436" w:top="270" w:right="459" w:bottom="1440" w:gutter="0" w:footer="0" w:header="0"/>
        </w:sectPr>
      </w:pPr>
    </w:p>
    <w:bookmarkStart w:id="359" w:name="page360"/>
    <w:bookmarkEnd w:id="359"/>
    <w:p>
      <w:pPr>
        <w:ind w:firstLine="991"/>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3.10. </w:t>
      </w:r>
      <w:r>
        <w:rPr>
          <w:rFonts w:ascii="Times New Roman" w:cs="Times New Roman" w:eastAsia="Times New Roman" w:hAnsi="Times New Roman"/>
          <w:sz w:val="18"/>
          <w:szCs w:val="18"/>
          <w:u w:val="single" w:color="auto"/>
          <w:color w:val="auto"/>
        </w:rPr>
        <w:t>ERISA</w:t>
      </w:r>
      <w:r>
        <w:rPr>
          <w:rFonts w:ascii="Times New Roman" w:cs="Times New Roman" w:eastAsia="Times New Roman" w:hAnsi="Times New Roman"/>
          <w:sz w:val="18"/>
          <w:szCs w:val="18"/>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88"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3.11. </w:t>
      </w:r>
      <w:r>
        <w:rPr>
          <w:rFonts w:ascii="Times New Roman" w:cs="Times New Roman" w:eastAsia="Times New Roman" w:hAnsi="Times New Roman"/>
          <w:sz w:val="18"/>
          <w:szCs w:val="18"/>
          <w:u w:val="single" w:color="auto"/>
          <w:color w:val="auto"/>
        </w:rPr>
        <w:t>Solvency</w:t>
      </w:r>
      <w:r>
        <w:rPr>
          <w:rFonts w:ascii="Times New Roman" w:cs="Times New Roman" w:eastAsia="Times New Roman" w:hAnsi="Times New Roman"/>
          <w:sz w:val="18"/>
          <w:szCs w:val="18"/>
          <w:color w:val="auto"/>
        </w:rPr>
        <w:t>. On the Effective Date and on the Term Funding Date, in each case, after giving effect to the Transactions to occur on such date, including the making of the Loans and the application of the proceeds thereof, (a) the fair value of the assets of the Company and the Subsidiaries, on a consolidated basis, will exceed, on a consolidated basis, their debts and liabilities, subordinated, contingent or otherwise, (b) the present fair saleable value of the property of the Company and the Subsidiaries, on a consolidated basis, will be greater than the amount that will be required to pay the probable liability, on a consolidated basis, of their debts and other liabilities, subordinated, contingent or otherwise, as such debts and other liabilities become absolute and matured, (c) the Company and the Subsidiaries, on a consolidated basis, will be able to pay their debts and liabilities, subordinated, contingent or otherwise, as such liabilities become absolute and matured and (d) the Company and the Subsidiaries, on a consolidated basis, will not be engaged in, and will not be about to engage in, business for which they have unreasonably small capital. For purposes of this Section, the amount of any contingent liability at any time shall be computed as the amount that would reasonably be expected to become an actual and matured liability.</w:t>
      </w:r>
    </w:p>
    <w:p>
      <w:pPr>
        <w:spacing w:after="0" w:line="194" w:lineRule="exact"/>
        <w:rPr>
          <w:sz w:val="20"/>
          <w:szCs w:val="20"/>
          <w:color w:val="auto"/>
        </w:rPr>
      </w:pPr>
    </w:p>
    <w:p>
      <w:pPr>
        <w:ind w:right="2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3.12. </w:t>
      </w:r>
      <w:r>
        <w:rPr>
          <w:rFonts w:ascii="Times New Roman" w:cs="Times New Roman" w:eastAsia="Times New Roman" w:hAnsi="Times New Roman"/>
          <w:sz w:val="18"/>
          <w:szCs w:val="18"/>
          <w:u w:val="single" w:color="auto"/>
          <w:color w:val="auto"/>
        </w:rPr>
        <w:t>Disclosure</w:t>
      </w:r>
      <w:r>
        <w:rPr>
          <w:rFonts w:ascii="Times New Roman" w:cs="Times New Roman" w:eastAsia="Times New Roman" w:hAnsi="Times New Roman"/>
          <w:sz w:val="18"/>
          <w:szCs w:val="18"/>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 by or on behalf of the Company or any Subsidiary to any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1000"/>
          </w:cols>
          <w:pgMar w:left="440" w:top="270" w:right="459" w:bottom="1440" w:gutter="0" w:footer="0" w:header="0"/>
        </w:sectPr>
      </w:pPr>
    </w:p>
    <w:bookmarkStart w:id="360" w:name="page361"/>
    <w:bookmarkEnd w:id="360"/>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provided thereto prior to the Effective Date). The financial projections and other forward-looking information that have been furnished by or on behalf of the Company or any Subsidiary to any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any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Cavium’s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80" w:lineRule="exact"/>
        <w:rPr>
          <w:sz w:val="20"/>
          <w:szCs w:val="20"/>
          <w:color w:val="auto"/>
        </w:rPr>
      </w:pPr>
    </w:p>
    <w:p>
      <w:pPr>
        <w:ind w:left="440" w:right="20" w:firstLine="419"/>
        <w:spacing w:after="0" w:line="261" w:lineRule="auto"/>
        <w:tabs>
          <w:tab w:leader="none" w:pos="1118" w:val="left"/>
        </w:tabs>
        <w:numPr>
          <w:ilvl w:val="0"/>
          <w:numId w:val="3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Beneficial Ownership Certification is required to be delivered pursuant to Section 4.01(g)(ii), then, as of the Effective Date, the information set forth in such Beneficial Ownership Certification is true and correct in all respects. If a Beneficial Ownership Certification is required to be delivered pursuant to Section 6.04(a) or 9.19, then, as of the date of the delivery thereof, the information set forth in such Beneficial Ownership Certification is true and correct in all respects.</w:t>
      </w:r>
    </w:p>
    <w:p>
      <w:pPr>
        <w:spacing w:after="0" w:line="180" w:lineRule="exact"/>
        <w:rPr>
          <w:sz w:val="20"/>
          <w:szCs w:val="20"/>
          <w:color w:val="auto"/>
        </w:rPr>
      </w:pPr>
    </w:p>
    <w:p>
      <w:pPr>
        <w:ind w:right="4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3.13. </w:t>
      </w:r>
      <w:r>
        <w:rPr>
          <w:rFonts w:ascii="Times New Roman" w:cs="Times New Roman" w:eastAsia="Times New Roman" w:hAnsi="Times New Roman"/>
          <w:sz w:val="18"/>
          <w:szCs w:val="18"/>
          <w:u w:val="single" w:color="auto"/>
          <w:color w:val="auto"/>
        </w:rPr>
        <w:t>Federal Reserve Regulations</w:t>
      </w:r>
      <w:r>
        <w:rPr>
          <w:rFonts w:ascii="Times New Roman" w:cs="Times New Roman" w:eastAsia="Times New Roman" w:hAnsi="Times New Roman"/>
          <w:sz w:val="18"/>
          <w:szCs w:val="18"/>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83" w:lineRule="exact"/>
        <w:rPr>
          <w:sz w:val="20"/>
          <w:szCs w:val="20"/>
          <w:color w:val="auto"/>
        </w:rPr>
      </w:pPr>
    </w:p>
    <w:p>
      <w:pPr>
        <w:ind w:right="16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3.14.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The Company will (a) use the proceeds of the Terms Loans solely to finance, in part, the Cavium Acquisition, the Cavium Debt Refinancing and the payment of fees and expenses related to the Transactions and (b) use the proceeds of the Revolving Loans for general corporate purposes of the Company and the Subsidiaries.</w:t>
      </w:r>
    </w:p>
    <w:p>
      <w:pPr>
        <w:spacing w:after="0" w:line="176" w:lineRule="exact"/>
        <w:rPr>
          <w:sz w:val="20"/>
          <w:szCs w:val="20"/>
          <w:color w:val="auto"/>
        </w:rPr>
      </w:pPr>
    </w:p>
    <w:p>
      <w:pPr>
        <w:ind w:right="16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3.15. </w:t>
      </w:r>
      <w:r>
        <w:rPr>
          <w:rFonts w:ascii="Times New Roman" w:cs="Times New Roman" w:eastAsia="Times New Roman" w:hAnsi="Times New Roman"/>
          <w:sz w:val="18"/>
          <w:szCs w:val="18"/>
          <w:u w:val="single" w:color="auto"/>
          <w:color w:val="auto"/>
        </w:rPr>
        <w:t>Ranking of Obligations</w:t>
      </w:r>
      <w:r>
        <w:rPr>
          <w:rFonts w:ascii="Times New Roman" w:cs="Times New Roman" w:eastAsia="Times New Roman" w:hAnsi="Times New Roman"/>
          <w:sz w:val="18"/>
          <w:szCs w:val="18"/>
          <w:color w:val="auto"/>
        </w:rPr>
        <w:t>. The obligations of the Company under the Loan Documents rank at least equally with all of the unsubordinated Indebtedness of the Company, and ahead of all subordinated Indebtedness, if any, of the Company.</w:t>
      </w:r>
    </w:p>
    <w:p>
      <w:pPr>
        <w:spacing w:after="0" w:line="33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1000"/>
          </w:cols>
          <w:pgMar w:left="440" w:top="270" w:right="459" w:bottom="1440" w:gutter="0" w:footer="0" w:header="0"/>
        </w:sectPr>
      </w:pPr>
    </w:p>
    <w:bookmarkStart w:id="361" w:name="page362"/>
    <w:bookmarkEnd w:id="361"/>
    <w:p>
      <w:pPr>
        <w:ind w:right="60" w:firstLine="991"/>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3.16. </w:t>
      </w:r>
      <w:r>
        <w:rPr>
          <w:rFonts w:ascii="Times New Roman" w:cs="Times New Roman" w:eastAsia="Times New Roman" w:hAnsi="Times New Roman"/>
          <w:sz w:val="18"/>
          <w:szCs w:val="18"/>
          <w:u w:val="single" w:color="auto"/>
          <w:color w:val="auto"/>
        </w:rPr>
        <w:t>Choice of Law Provisions</w:t>
      </w:r>
      <w:r>
        <w:rPr>
          <w:rFonts w:ascii="Times New Roman" w:cs="Times New Roman" w:eastAsia="Times New Roman" w:hAnsi="Times New Roman"/>
          <w:sz w:val="18"/>
          <w:szCs w:val="18"/>
          <w:color w:val="auto"/>
        </w:rPr>
        <w:t>. The choice of law provisions set forth in Section 9.09 are legal, valid and binding under the laws of Bermuda, and the Company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The Company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 waiver by the Company of any immunity and any objection to the venue of the proceedings in such State or Federal court are legal, valid and binding obligations of the Company, and the Company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94"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3.17. </w:t>
      </w:r>
      <w:r>
        <w:rPr>
          <w:rFonts w:ascii="Times New Roman" w:cs="Times New Roman" w:eastAsia="Times New Roman" w:hAnsi="Times New Roman"/>
          <w:sz w:val="18"/>
          <w:szCs w:val="18"/>
          <w:u w:val="single" w:color="auto"/>
          <w:color w:val="auto"/>
        </w:rPr>
        <w:t>No Immunity</w:t>
      </w:r>
      <w:r>
        <w:rPr>
          <w:rFonts w:ascii="Times New Roman" w:cs="Times New Roman" w:eastAsia="Times New Roman" w:hAnsi="Times New Roman"/>
          <w:sz w:val="18"/>
          <w:szCs w:val="18"/>
          <w:color w:val="auto"/>
        </w:rPr>
        <w:t>. The Company is subject to civil and commercial laws with respect to its obligations under the Loan Documents, and the execution, delivery and performance by the Company of any Loan Document constitute and will constitute private and commercial acts and not public or governmental acts. Neither the Company nor any of its properties has any immunity from jurisdiction of any court or from any legal process (whether through service or notice, attachment prior to judgment, attachment in aid of execution, execution or otherwise) under the laws of the jurisdiction in which the Company is organized in respect of its obligations under any Loan Document.</w:t>
      </w:r>
    </w:p>
    <w:p>
      <w:pPr>
        <w:spacing w:after="0" w:line="183" w:lineRule="exact"/>
        <w:rPr>
          <w:sz w:val="20"/>
          <w:szCs w:val="20"/>
          <w:color w:val="auto"/>
        </w:rPr>
      </w:pPr>
    </w:p>
    <w:p>
      <w:pPr>
        <w:ind w:right="100" w:firstLine="991"/>
        <w:spacing w:after="0" w:line="255" w:lineRule="auto"/>
        <w:rPr>
          <w:sz w:val="20"/>
          <w:szCs w:val="20"/>
          <w:color w:val="auto"/>
        </w:rPr>
      </w:pPr>
      <w:r>
        <w:rPr>
          <w:rFonts w:ascii="Times New Roman" w:cs="Times New Roman" w:eastAsia="Times New Roman" w:hAnsi="Times New Roman"/>
          <w:sz w:val="18"/>
          <w:szCs w:val="18"/>
          <w:color w:val="auto"/>
        </w:rPr>
        <w:t xml:space="preserve">SECTION 3.18. </w:t>
      </w:r>
      <w:r>
        <w:rPr>
          <w:rFonts w:ascii="Times New Roman" w:cs="Times New Roman" w:eastAsia="Times New Roman" w:hAnsi="Times New Roman"/>
          <w:sz w:val="18"/>
          <w:szCs w:val="18"/>
          <w:u w:val="single" w:color="auto"/>
          <w:color w:val="auto"/>
        </w:rPr>
        <w:t>Proper Form; No Recordation</w:t>
      </w:r>
      <w:r>
        <w:rPr>
          <w:rFonts w:ascii="Times New Roman" w:cs="Times New Roman" w:eastAsia="Times New Roman" w:hAnsi="Times New Roman"/>
          <w:sz w:val="18"/>
          <w:szCs w:val="18"/>
          <w:color w:val="auto"/>
        </w:rPr>
        <w:t>. Each Loan Document is in proper legal form under the laws of Bermuda for the enforcement thereof against the Company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the Company.</w:t>
      </w:r>
    </w:p>
    <w:p>
      <w:pPr>
        <w:spacing w:after="0" w:line="18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3.19.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Financial Institutions</w:t>
      </w:r>
      <w:r>
        <w:rPr>
          <w:rFonts w:ascii="Times New Roman" w:cs="Times New Roman" w:eastAsia="Times New Roman" w:hAnsi="Times New Roman"/>
          <w:sz w:val="18"/>
          <w:szCs w:val="18"/>
          <w:color w:val="auto"/>
        </w:rPr>
        <w:t xml:space="preserve">. The Company is not an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Financial Institution.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1617345</wp:posOffset>
            </wp:positionH>
            <wp:positionV relativeFrom="paragraph">
              <wp:posOffset>26035</wp:posOffset>
            </wp:positionV>
            <wp:extent cx="394335" cy="8255"/>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25">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4386580</wp:posOffset>
            </wp:positionH>
            <wp:positionV relativeFrom="paragraph">
              <wp:posOffset>26035</wp:posOffset>
            </wp:positionV>
            <wp:extent cx="394335" cy="8255"/>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26">
                      <a:extLst>
                        <a:ext uri="{28A0092B-C50C-407E-A947-70E740481C1C}"/>
                      </a:extLst>
                    </a:blip>
                    <a:srcRect/>
                    <a:stretch>
                      <a:fillRect/>
                    </a:stretch>
                  </pic:blipFill>
                  <pic:spPr bwMode="auto">
                    <a:xfrm>
                      <a:off x="0" y="0"/>
                      <a:ext cx="394335" cy="8255"/>
                    </a:xfrm>
                    <a:prstGeom prst="rect">
                      <a:avLst/>
                    </a:prstGeom>
                    <a:noFill/>
                  </pic:spPr>
                </pic:pic>
              </a:graphicData>
            </a:graphic>
          </wp:anchor>
        </w:drawing>
      </w:r>
    </w:p>
    <w:p>
      <w:pPr>
        <w:spacing w:after="0" w:line="20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u w:val="single" w:color="auto"/>
          <w:color w:val="auto"/>
        </w:rPr>
        <w:t>Conditions</w:t>
      </w:r>
    </w:p>
    <w:p>
      <w:pPr>
        <w:spacing w:after="0" w:line="225" w:lineRule="exact"/>
        <w:rPr>
          <w:sz w:val="20"/>
          <w:szCs w:val="20"/>
          <w:color w:val="auto"/>
        </w:rPr>
      </w:pPr>
    </w:p>
    <w:p>
      <w:pPr>
        <w:ind w:right="20"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4.01. </w:t>
      </w:r>
      <w:r>
        <w:rPr>
          <w:rFonts w:ascii="Times New Roman" w:cs="Times New Roman" w:eastAsia="Times New Roman" w:hAnsi="Times New Roman"/>
          <w:sz w:val="18"/>
          <w:szCs w:val="18"/>
          <w:u w:val="single" w:color="auto"/>
          <w:color w:val="auto"/>
        </w:rPr>
        <w:t>Effective Date</w:t>
      </w:r>
      <w:r>
        <w:rPr>
          <w:rFonts w:ascii="Times New Roman" w:cs="Times New Roman" w:eastAsia="Times New Roman" w:hAnsi="Times New Roman"/>
          <w:sz w:val="18"/>
          <w:szCs w:val="18"/>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0980"/>
          </w:cols>
          <w:pgMar w:left="440" w:top="270" w:right="479" w:bottom="1440" w:gutter="0" w:footer="0" w:header="0"/>
        </w:sectPr>
      </w:pPr>
    </w:p>
    <w:bookmarkStart w:id="362" w:name="page363"/>
    <w:bookmarkEnd w:id="362"/>
    <w:p>
      <w:pPr>
        <w:ind w:left="4" w:right="20" w:firstLine="419"/>
        <w:spacing w:after="0" w:line="266" w:lineRule="auto"/>
        <w:tabs>
          <w:tab w:leader="none" w:pos="671" w:val="left"/>
        </w:tabs>
        <w:numPr>
          <w:ilvl w:val="1"/>
          <w:numId w:val="3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General Administrative Agent shall have received from each party hereto (i) a counterpart of this Agreement executed by each party hereto or (ii) written evidence satisfactory to the General Administrative Agent (which may include facsimile transmission or other electronic imaging) that such party has signed a counterpart of this Agreement.</w:t>
      </w:r>
    </w:p>
    <w:p>
      <w:pPr>
        <w:spacing w:after="0" w:line="67" w:lineRule="exact"/>
        <w:rPr>
          <w:rFonts w:ascii="Times New Roman" w:cs="Times New Roman" w:eastAsia="Times New Roman" w:hAnsi="Times New Roman"/>
          <w:sz w:val="18"/>
          <w:szCs w:val="18"/>
          <w:color w:val="auto"/>
        </w:rPr>
      </w:pPr>
    </w:p>
    <w:p>
      <w:pPr>
        <w:ind w:left="4" w:firstLine="419"/>
        <w:spacing w:after="0" w:line="312" w:lineRule="auto"/>
        <w:tabs>
          <w:tab w:leader="none" w:pos="681" w:val="left"/>
        </w:tabs>
        <w:numPr>
          <w:ilvl w:val="1"/>
          <w:numId w:val="3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General Administrative Agent shall have received written opinions (addressed to the Agents and the Lenders and dated the Effective Date) of Hogan Lovells US LLP and Appleby (Bermuda) Limited, in each case, in form and substance customary for financings of this type.</w:t>
      </w:r>
    </w:p>
    <w:p>
      <w:pPr>
        <w:spacing w:after="0" w:line="31" w:lineRule="exact"/>
        <w:rPr>
          <w:rFonts w:ascii="Times New Roman" w:cs="Times New Roman" w:eastAsia="Times New Roman" w:hAnsi="Times New Roman"/>
          <w:sz w:val="17"/>
          <w:szCs w:val="17"/>
          <w:color w:val="auto"/>
        </w:rPr>
      </w:pPr>
    </w:p>
    <w:p>
      <w:pPr>
        <w:ind w:left="4" w:right="140" w:firstLine="419"/>
        <w:spacing w:after="0" w:line="257" w:lineRule="auto"/>
        <w:tabs>
          <w:tab w:leader="none" w:pos="671" w:val="left"/>
        </w:tabs>
        <w:numPr>
          <w:ilvl w:val="1"/>
          <w:numId w:val="3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General Administrative Agent shall have received a certificate of the Company, dated the Effective Date and executed by the secretary, an assistant secretary or a director of the Company, attaching (i) a copy of each organizational document of the Company, which shall, to the extent applicable, be certified as of the Effective Date or a recent date prior thereto by the appropriate Governmental Authority,</w:t>
      </w:r>
    </w:p>
    <w:p>
      <w:pPr>
        <w:spacing w:after="0" w:line="1" w:lineRule="exact"/>
        <w:rPr>
          <w:rFonts w:ascii="Times New Roman" w:cs="Times New Roman" w:eastAsia="Times New Roman" w:hAnsi="Times New Roman"/>
          <w:sz w:val="18"/>
          <w:szCs w:val="18"/>
          <w:color w:val="auto"/>
        </w:rPr>
      </w:pPr>
    </w:p>
    <w:p>
      <w:pPr>
        <w:ind w:left="4" w:hanging="4"/>
        <w:spacing w:after="0" w:line="253" w:lineRule="auto"/>
        <w:tabs>
          <w:tab w:leader="none" w:pos="268" w:val="left"/>
        </w:tabs>
        <w:numPr>
          <w:ilvl w:val="0"/>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signature and incumbency certificates of the officers of the Company executing each Loan Document, (iii) resolutions of the board of directors of the Company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the applicable Governmental Authority of Bermuda, dated the Effective Date or a recent date prior thereto, in each case, in form and substance customary for financings of this type.</w:t>
      </w:r>
    </w:p>
    <w:p>
      <w:pPr>
        <w:spacing w:after="0" w:line="78" w:lineRule="exact"/>
        <w:rPr>
          <w:rFonts w:ascii="Times New Roman" w:cs="Times New Roman" w:eastAsia="Times New Roman" w:hAnsi="Times New Roman"/>
          <w:sz w:val="18"/>
          <w:szCs w:val="18"/>
          <w:color w:val="auto"/>
        </w:rPr>
      </w:pPr>
    </w:p>
    <w:p>
      <w:pPr>
        <w:ind w:left="4" w:right="20" w:firstLine="419"/>
        <w:spacing w:after="0" w:line="258" w:lineRule="auto"/>
        <w:tabs>
          <w:tab w:leader="none" w:pos="681" w:val="left"/>
        </w:tabs>
        <w:numPr>
          <w:ilvl w:val="1"/>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General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 (i) 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75" w:lineRule="exact"/>
        <w:rPr>
          <w:rFonts w:ascii="Times New Roman" w:cs="Times New Roman" w:eastAsia="Times New Roman" w:hAnsi="Times New Roman"/>
          <w:sz w:val="18"/>
          <w:szCs w:val="18"/>
          <w:color w:val="auto"/>
        </w:rPr>
      </w:pPr>
    </w:p>
    <w:p>
      <w:pPr>
        <w:ind w:left="4" w:right="60" w:firstLine="419"/>
        <w:spacing w:after="0" w:line="266" w:lineRule="auto"/>
        <w:tabs>
          <w:tab w:leader="none" w:pos="671" w:val="left"/>
        </w:tabs>
        <w:numPr>
          <w:ilvl w:val="1"/>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General Administrative Agent shall have received a certificate in the form of Exhibit E from the Company, dated the Effective Date and signed by its chief financial officer, certifying that the Company and the Subsidiaries, on a consolidated basis after giving effect to the Transactions that are to occur on the Effective Date, are solvent.</w:t>
      </w:r>
    </w:p>
    <w:p>
      <w:pPr>
        <w:spacing w:after="0" w:line="67" w:lineRule="exact"/>
        <w:rPr>
          <w:rFonts w:ascii="Times New Roman" w:cs="Times New Roman" w:eastAsia="Times New Roman" w:hAnsi="Times New Roman"/>
          <w:sz w:val="18"/>
          <w:szCs w:val="18"/>
          <w:color w:val="auto"/>
        </w:rPr>
      </w:pPr>
    </w:p>
    <w:p>
      <w:pPr>
        <w:ind w:left="4" w:right="140" w:firstLine="419"/>
        <w:spacing w:after="0" w:line="261" w:lineRule="auto"/>
        <w:tabs>
          <w:tab w:leader="none" w:pos="651" w:val="left"/>
        </w:tabs>
        <w:numPr>
          <w:ilvl w:val="1"/>
          <w:numId w:val="3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Effective Date, in each case, to the extent required to be paid on or prior to the Effective Date and, in the case of costs and expenses, invoiced at least two Business Days prior to the Effective Date.</w:t>
      </w:r>
    </w:p>
    <w:p>
      <w:pPr>
        <w:spacing w:after="0" w:line="112" w:lineRule="exact"/>
        <w:rPr>
          <w:sz w:val="20"/>
          <w:szCs w:val="20"/>
          <w:color w:val="auto"/>
        </w:rPr>
      </w:pPr>
    </w:p>
    <w:p>
      <w:pPr>
        <w:jc w:val="center"/>
        <w:ind w:right="396"/>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0544"/>
          </w:cols>
          <w:pgMar w:left="876" w:top="270" w:right="479" w:bottom="1440" w:gutter="0" w:footer="0" w:header="0"/>
        </w:sectPr>
      </w:pPr>
    </w:p>
    <w:bookmarkStart w:id="363" w:name="page364"/>
    <w:bookmarkEnd w:id="363"/>
    <w:p>
      <w:pPr>
        <w:ind w:left="440" w:right="180" w:firstLine="419"/>
        <w:spacing w:after="0" w:line="256" w:lineRule="auto"/>
        <w:tabs>
          <w:tab w:leader="none" w:pos="1118" w:val="left"/>
        </w:tabs>
        <w:numPr>
          <w:ilvl w:val="0"/>
          <w:numId w:val="3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Lenders shall have received, (i) at least three Business Days prior to the Effective Date, all documentation and other information regarding the Company and the Subsidiaries required by bank regulatory authorities under applicable “know your customer” and anti-money laundering rules and regulations, including, without limitation, the USA PATRIOT Act, that has been reasonably requested by any Agent or any Lender at least 10 Business Days prior to the Effective Date and (ii) to the extent the Company qualifies as a “legal entity customer” under the Beneficial Ownership Regulation, at least three Business Days prior to the Effective Date, a Beneficial Ownership Certification in relation to the Company.</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General Administrative Agent shall notify the Company and the Lenders of the Effective Date, and such notice shall be conclusive and binding.</w:t>
      </w:r>
    </w:p>
    <w:p>
      <w:pPr>
        <w:spacing w:after="0" w:line="225" w:lineRule="exact"/>
        <w:rPr>
          <w:sz w:val="20"/>
          <w:szCs w:val="20"/>
          <w:color w:val="auto"/>
        </w:rPr>
      </w:pPr>
    </w:p>
    <w:p>
      <w:pPr>
        <w:ind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4.02. </w:t>
      </w:r>
      <w:r>
        <w:rPr>
          <w:rFonts w:ascii="Times New Roman" w:cs="Times New Roman" w:eastAsia="Times New Roman" w:hAnsi="Times New Roman"/>
          <w:sz w:val="18"/>
          <w:szCs w:val="18"/>
          <w:u w:val="single" w:color="auto"/>
          <w:color w:val="auto"/>
        </w:rPr>
        <w:t>Term Funding Date</w:t>
      </w:r>
      <w:r>
        <w:rPr>
          <w:rFonts w:ascii="Times New Roman" w:cs="Times New Roman" w:eastAsia="Times New Roman" w:hAnsi="Times New Roman"/>
          <w:sz w:val="18"/>
          <w:szCs w:val="18"/>
          <w:color w:val="auto"/>
        </w:rPr>
        <w:t>. The obligations of the Term Lenders to make Term Loans hereunder are subject to the occurrence of the Effective Date, receipt by the Term Facility Agent of a Borrowing Request therefor in accordance with Section 2.03 and the satisfaction (or waiver in accordance with Section 9.02) of the following conditions:</w:t>
      </w:r>
    </w:p>
    <w:p>
      <w:pPr>
        <w:spacing w:after="0" w:line="68" w:lineRule="exact"/>
        <w:rPr>
          <w:sz w:val="20"/>
          <w:szCs w:val="20"/>
          <w:color w:val="auto"/>
        </w:rPr>
      </w:pPr>
    </w:p>
    <w:p>
      <w:pPr>
        <w:ind w:left="440" w:right="140" w:firstLine="419"/>
        <w:spacing w:after="0" w:line="254" w:lineRule="auto"/>
        <w:tabs>
          <w:tab w:leader="none" w:pos="1108" w:val="left"/>
        </w:tabs>
        <w:numPr>
          <w:ilvl w:val="0"/>
          <w:numId w:val="3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Cavium Acquisition shall have been (or, substantially contemporaneously with the borrowing of the Term Loans, shall be) consummated pursuant to and on the terms set forth in the Cavium Acquisition Agreement, without giving effect to any amendments, waivers or other modifications thereto, or any consents (including by way of an agreement) thereunder, that in each case are materially adverse to the interests of the Lenders or the Arrangers, unless the Arrangers shall have provided their written consent thereto (it being understood that (i) any reduction of less than 10% in the merger consideration for the Cavium Acquisition will be deemed not to be (and any reduction of 10% or more will be deemed to be) materially adverse to the Lenders and the Arrangers and (ii) any increase of less than 10% in the merger consideration for the Cavium Acquisition will be deemed not to be materially adverse to the Lenders and the Arrangers;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increase is solely in the form of the common stock of the Company issued as part of the merger consideration for the Cavium Acquisition).</w:t>
      </w:r>
    </w:p>
    <w:p>
      <w:pPr>
        <w:spacing w:after="0" w:line="83"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3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Since the Signing Date, there shall not have occurred any Material Adverse Effect on the Acquired Companies that is continuing.</w:t>
      </w:r>
    </w:p>
    <w:p>
      <w:pPr>
        <w:spacing w:after="0" w:line="117" w:lineRule="exact"/>
        <w:rPr>
          <w:rFonts w:ascii="Times New Roman" w:cs="Times New Roman" w:eastAsia="Times New Roman" w:hAnsi="Times New Roman"/>
          <w:sz w:val="18"/>
          <w:szCs w:val="18"/>
          <w:color w:val="auto"/>
        </w:rPr>
      </w:pPr>
    </w:p>
    <w:p>
      <w:pPr>
        <w:ind w:left="440" w:right="80" w:firstLine="419"/>
        <w:spacing w:after="0" w:line="261" w:lineRule="auto"/>
        <w:tabs>
          <w:tab w:leader="none" w:pos="1108" w:val="left"/>
        </w:tabs>
        <w:numPr>
          <w:ilvl w:val="0"/>
          <w:numId w:val="3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time of and upon giving effect to the borrowing of the Term Loans and the application of proceeds thereof on the Term Funding Date, (i) the Cavium Business Representations shall be true and correct, (ii) the Specified Representations shall be true and correct (A) in the case of the representations and warranties qualified as to materiality, in all respects and (B) otherwise, in all material respects and (iii) there shall not exist any Event of Default under clause (a), (b), (h), (i) or, solely with respect to failure to comply with Section 6.04, (d) of Section 7.01.</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1020"/>
          </w:cols>
          <w:pgMar w:left="440" w:top="270" w:right="439" w:bottom="1440" w:gutter="0" w:footer="0" w:header="0"/>
        </w:sectPr>
      </w:pPr>
    </w:p>
    <w:bookmarkStart w:id="364" w:name="page365"/>
    <w:bookmarkEnd w:id="364"/>
    <w:p>
      <w:pPr>
        <w:ind w:left="440" w:right="120" w:firstLine="419"/>
        <w:spacing w:after="0" w:line="258" w:lineRule="auto"/>
        <w:tabs>
          <w:tab w:leader="none" w:pos="1118" w:val="left"/>
        </w:tabs>
        <w:numPr>
          <w:ilvl w:val="0"/>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Term Funding Date, in each case, to the extent required to be paid on or prior to the Term Funding Date and, in the case of costs and expenses, invoiced at least two Business Days prior to the Term Funding Date.</w:t>
      </w:r>
    </w:p>
    <w:p>
      <w:pPr>
        <w:spacing w:after="0" w:line="75" w:lineRule="exact"/>
        <w:rPr>
          <w:rFonts w:ascii="Times New Roman" w:cs="Times New Roman" w:eastAsia="Times New Roman" w:hAnsi="Times New Roman"/>
          <w:sz w:val="18"/>
          <w:szCs w:val="18"/>
          <w:color w:val="auto"/>
        </w:rPr>
      </w:pPr>
    </w:p>
    <w:p>
      <w:pPr>
        <w:ind w:left="440" w:right="60" w:firstLine="419"/>
        <w:spacing w:after="0" w:line="282" w:lineRule="auto"/>
        <w:tabs>
          <w:tab w:leader="none" w:pos="1108" w:val="left"/>
        </w:tabs>
        <w:numPr>
          <w:ilvl w:val="0"/>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Substantially concurrently with the consummation of the Cavium Acquisition, the Cavium Debt Refinancing shall be consummated, and the Term Facility Agent shall receive customary payoff documentation in respect thereof.</w:t>
      </w:r>
    </w:p>
    <w:p>
      <w:pPr>
        <w:spacing w:after="0" w:line="53" w:lineRule="exact"/>
        <w:rPr>
          <w:rFonts w:ascii="Times New Roman" w:cs="Times New Roman" w:eastAsia="Times New Roman" w:hAnsi="Times New Roman"/>
          <w:sz w:val="18"/>
          <w:szCs w:val="18"/>
          <w:color w:val="auto"/>
        </w:rPr>
      </w:pPr>
    </w:p>
    <w:p>
      <w:pPr>
        <w:ind w:left="440" w:right="180" w:firstLine="419"/>
        <w:spacing w:after="0" w:line="312" w:lineRule="auto"/>
        <w:tabs>
          <w:tab w:leader="none" w:pos="1088" w:val="left"/>
        </w:tabs>
        <w:numPr>
          <w:ilvl w:val="0"/>
          <w:numId w:val="32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Term Facility Agent shall have received a certificate, dated the Term Funding Date and signed by the chief executive officer or the chief financial officer of the Company, certifying that the conditions set forth in paragraphs (a), (b) and (c) of this Section have been satisfied.</w:t>
      </w:r>
    </w:p>
    <w:p>
      <w:pPr>
        <w:spacing w:after="0" w:line="31" w:lineRule="exact"/>
        <w:rPr>
          <w:rFonts w:ascii="Times New Roman" w:cs="Times New Roman" w:eastAsia="Times New Roman" w:hAnsi="Times New Roman"/>
          <w:sz w:val="17"/>
          <w:szCs w:val="17"/>
          <w:color w:val="auto"/>
        </w:rPr>
      </w:pPr>
    </w:p>
    <w:p>
      <w:pPr>
        <w:ind w:left="440" w:right="100" w:firstLine="419"/>
        <w:spacing w:after="0" w:line="266" w:lineRule="auto"/>
        <w:tabs>
          <w:tab w:leader="none" w:pos="1118" w:val="left"/>
        </w:tabs>
        <w:numPr>
          <w:ilvl w:val="0"/>
          <w:numId w:val="3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 Facility Agent shall have received a certificate in the form of Exhibit E from the Company, dated the Term Funding Date and signed by its chief financial officer, certifying that the Company and the Subsidiaries, on a consolidated basis after giving effect to the Transactions to occur on the Term Funding Date, are solvent.</w:t>
      </w:r>
    </w:p>
    <w:p>
      <w:pPr>
        <w:spacing w:after="0" w:line="2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Term Facility Agent shall notify the Company and the Term Lenders of the Term Funding Date, and such notice shall be conclusive and binding.</w:t>
      </w:r>
    </w:p>
    <w:p>
      <w:pPr>
        <w:spacing w:after="0" w:line="225" w:lineRule="exact"/>
        <w:rPr>
          <w:sz w:val="20"/>
          <w:szCs w:val="20"/>
          <w:color w:val="auto"/>
        </w:rPr>
      </w:pPr>
    </w:p>
    <w:p>
      <w:pPr>
        <w:ind w:right="30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4.03. </w:t>
      </w:r>
      <w:r>
        <w:rPr>
          <w:rFonts w:ascii="Times New Roman" w:cs="Times New Roman" w:eastAsia="Times New Roman" w:hAnsi="Times New Roman"/>
          <w:sz w:val="18"/>
          <w:szCs w:val="18"/>
          <w:u w:val="single" w:color="auto"/>
          <w:color w:val="auto"/>
        </w:rPr>
        <w:t>Each Revolving Credit Event</w:t>
      </w:r>
      <w:r>
        <w:rPr>
          <w:rFonts w:ascii="Times New Roman" w:cs="Times New Roman" w:eastAsia="Times New Roman" w:hAnsi="Times New Roman"/>
          <w:sz w:val="18"/>
          <w:szCs w:val="18"/>
          <w:color w:val="auto"/>
        </w:rPr>
        <w:t>. The obligation of each Revolving Lender to make a Revolving Loan on the occasion of each Revolving Borrowing (other than any conversion or continuation of any outstanding Revolving Loans) is subject to receipt of the Borrowing Request therefor in accordance herewith and to the satisfaction of the following conditions:</w:t>
      </w:r>
    </w:p>
    <w:p>
      <w:pPr>
        <w:spacing w:after="0" w:line="68" w:lineRule="exact"/>
        <w:rPr>
          <w:sz w:val="20"/>
          <w:szCs w:val="20"/>
          <w:color w:val="auto"/>
        </w:rPr>
      </w:pPr>
    </w:p>
    <w:p>
      <w:pPr>
        <w:ind w:left="440" w:firstLine="419"/>
        <w:spacing w:after="0" w:line="258" w:lineRule="auto"/>
        <w:tabs>
          <w:tab w:leader="none" w:pos="1108" w:val="left"/>
        </w:tabs>
        <w:numPr>
          <w:ilvl w:val="0"/>
          <w:numId w:val="3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 on and as of such prior date.</w:t>
      </w:r>
    </w:p>
    <w:p>
      <w:pPr>
        <w:spacing w:after="0" w:line="7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3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the time of and immediately after giving effect to such Revolving Borrowing, no Default shall have occurred and be continuing.</w:t>
      </w:r>
    </w:p>
    <w:p>
      <w:pPr>
        <w:spacing w:after="0" w:line="225" w:lineRule="exact"/>
        <w:rPr>
          <w:sz w:val="20"/>
          <w:szCs w:val="20"/>
          <w:color w:val="auto"/>
        </w:rPr>
      </w:pPr>
    </w:p>
    <w:p>
      <w:pPr>
        <w:ind w:right="160" w:firstLine="991"/>
        <w:spacing w:after="0" w:line="312" w:lineRule="auto"/>
        <w:rPr>
          <w:sz w:val="20"/>
          <w:szCs w:val="20"/>
          <w:color w:val="auto"/>
        </w:rPr>
      </w:pPr>
      <w:r>
        <w:rPr>
          <w:rFonts w:ascii="Times New Roman" w:cs="Times New Roman" w:eastAsia="Times New Roman" w:hAnsi="Times New Roman"/>
          <w:sz w:val="17"/>
          <w:szCs w:val="17"/>
          <w:color w:val="auto"/>
        </w:rPr>
        <w:t>On the date of any Revolving Borrowing (other than any conversion or continuation of any outstanding Revolving Loans), the Company shall be deemed to have represented and warranted that the conditions specified in paragraphs (a) and (b) of this Section have been satisfied.</w:t>
      </w:r>
    </w:p>
    <w:p>
      <w:pPr>
        <w:spacing w:after="0" w:line="7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0980"/>
          </w:cols>
          <w:pgMar w:left="440" w:top="270" w:right="479" w:bottom="1440" w:gutter="0" w:footer="0" w:header="0"/>
        </w:sectPr>
      </w:pPr>
    </w:p>
    <w:bookmarkStart w:id="365" w:name="page366"/>
    <w:bookmarkEnd w:id="365"/>
    <w:p>
      <w:pPr>
        <w:jc w:val="center"/>
        <w:ind w:right="-5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u w:val="single" w:color="auto"/>
          <w:color w:val="auto"/>
        </w:rPr>
        <w:t>Affirmative Covenants</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5.01. </w:t>
      </w:r>
      <w:r>
        <w:rPr>
          <w:rFonts w:ascii="Times New Roman" w:cs="Times New Roman" w:eastAsia="Times New Roman" w:hAnsi="Times New Roman"/>
          <w:sz w:val="18"/>
          <w:szCs w:val="18"/>
          <w:u w:val="single" w:color="auto"/>
          <w:color w:val="auto"/>
        </w:rPr>
        <w:t>Financial Statements and Other Information</w:t>
      </w:r>
      <w:r>
        <w:rPr>
          <w:rFonts w:ascii="Times New Roman" w:cs="Times New Roman" w:eastAsia="Times New Roman" w:hAnsi="Times New Roman"/>
          <w:sz w:val="18"/>
          <w:szCs w:val="18"/>
          <w:color w:val="auto"/>
        </w:rPr>
        <w:t>. The Company will furnish to each Agent, on behalf of each Lender:</w:t>
      </w:r>
    </w:p>
    <w:p>
      <w:pPr>
        <w:spacing w:after="0" w:line="117" w:lineRule="exact"/>
        <w:rPr>
          <w:sz w:val="20"/>
          <w:szCs w:val="20"/>
          <w:color w:val="auto"/>
        </w:rPr>
      </w:pPr>
    </w:p>
    <w:p>
      <w:pPr>
        <w:ind w:left="440" w:firstLine="419"/>
        <w:spacing w:after="0" w:line="254" w:lineRule="auto"/>
        <w:tabs>
          <w:tab w:leader="none" w:pos="1108" w:val="left"/>
        </w:tabs>
        <w:numPr>
          <w:ilvl w:val="0"/>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90 days after the end of each fiscal year of the Company, commencing with the fiscal year ending February 2, 2019,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80" w:lineRule="exact"/>
        <w:rPr>
          <w:rFonts w:ascii="Times New Roman" w:cs="Times New Roman" w:eastAsia="Times New Roman" w:hAnsi="Times New Roman"/>
          <w:sz w:val="18"/>
          <w:szCs w:val="18"/>
          <w:color w:val="auto"/>
        </w:rPr>
      </w:pPr>
    </w:p>
    <w:p>
      <w:pPr>
        <w:ind w:left="440" w:right="80" w:firstLine="419"/>
        <w:spacing w:after="0" w:line="255" w:lineRule="auto"/>
        <w:tabs>
          <w:tab w:leader="none" w:pos="1118" w:val="left"/>
        </w:tabs>
        <w:numPr>
          <w:ilvl w:val="0"/>
          <w:numId w:val="3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12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0940"/>
          </w:cols>
          <w:pgMar w:left="440" w:top="270" w:right="519" w:bottom="1440" w:gutter="0" w:footer="0" w:header="0"/>
        </w:sectPr>
      </w:pPr>
    </w:p>
    <w:bookmarkStart w:id="366" w:name="page367"/>
    <w:bookmarkEnd w:id="366"/>
    <w:p>
      <w:pPr>
        <w:ind w:left="440" w:right="60" w:firstLine="419"/>
        <w:spacing w:after="0" w:line="254" w:lineRule="auto"/>
        <w:tabs>
          <w:tab w:leader="none" w:pos="1108" w:val="left"/>
        </w:tabs>
        <w:numPr>
          <w:ilvl w:val="0"/>
          <w:numId w:val="3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3" w:lineRule="exact"/>
        <w:rPr>
          <w:rFonts w:ascii="Times New Roman" w:cs="Times New Roman" w:eastAsia="Times New Roman" w:hAnsi="Times New Roman"/>
          <w:sz w:val="18"/>
          <w:szCs w:val="18"/>
          <w:color w:val="auto"/>
        </w:rPr>
      </w:pPr>
    </w:p>
    <w:p>
      <w:pPr>
        <w:ind w:left="440" w:right="40" w:firstLine="419"/>
        <w:spacing w:after="0" w:line="282" w:lineRule="auto"/>
        <w:tabs>
          <w:tab w:leader="none" w:pos="1118" w:val="left"/>
        </w:tabs>
        <w:numPr>
          <w:ilvl w:val="0"/>
          <w:numId w:val="3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53" w:lineRule="exact"/>
        <w:rPr>
          <w:rFonts w:ascii="Times New Roman" w:cs="Times New Roman" w:eastAsia="Times New Roman" w:hAnsi="Times New Roman"/>
          <w:sz w:val="18"/>
          <w:szCs w:val="18"/>
          <w:color w:val="auto"/>
        </w:rPr>
      </w:pPr>
    </w:p>
    <w:p>
      <w:pPr>
        <w:ind w:left="440" w:right="380" w:firstLine="419"/>
        <w:spacing w:after="0" w:line="266" w:lineRule="auto"/>
        <w:tabs>
          <w:tab w:leader="none" w:pos="1108" w:val="left"/>
        </w:tabs>
        <w:numPr>
          <w:ilvl w:val="0"/>
          <w:numId w:val="3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promptly after any request therefor, such other information regarding the operations, business affairs, assets, liabilities (including contingent liabilities) and financial condition of the Company or any Subsidiary, or compliance with the terms of any Loan Document, as any Agent or any Lender (through the Applicable Facility Agent) may reasonably request in writing.</w:t>
      </w:r>
    </w:p>
    <w:p>
      <w:pPr>
        <w:spacing w:after="0" w:line="176" w:lineRule="exact"/>
        <w:rPr>
          <w:sz w:val="20"/>
          <w:szCs w:val="20"/>
          <w:color w:val="auto"/>
        </w:rPr>
      </w:pPr>
    </w:p>
    <w:p>
      <w:pPr>
        <w:ind w:right="240"/>
        <w:spacing w:after="0" w:line="281" w:lineRule="auto"/>
        <w:rPr>
          <w:sz w:val="20"/>
          <w:szCs w:val="20"/>
          <w:color w:val="auto"/>
        </w:rPr>
      </w:pPr>
      <w:r>
        <w:rPr>
          <w:rFonts w:ascii="Times New Roman" w:cs="Times New Roman" w:eastAsia="Times New Roman" w:hAnsi="Times New Roman"/>
          <w:sz w:val="17"/>
          <w:szCs w:val="17"/>
          <w:color w:val="auto"/>
        </w:rPr>
        <w:t>Information required to be delivered pursuant to clause (a), (b) or (e) of this Section shall be deemed to have been delivered to the Lenders if such information, or one or more annual or quarterly reports containing such information, shall have been posted by the Agents on an IntraLinks or similar site to which the Lenders have been granted access or shall be available on the website of the SEC at http://www.sec.gov. Information required to be delivered pursuant to this Section to any Agent may also be delivered by electronic communications pursuant to procedures approved by such Agent.</w:t>
      </w:r>
    </w:p>
    <w:p>
      <w:pPr>
        <w:spacing w:after="0" w:line="164"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5.02. </w:t>
      </w:r>
      <w:r>
        <w:rPr>
          <w:rFonts w:ascii="Times New Roman" w:cs="Times New Roman" w:eastAsia="Times New Roman" w:hAnsi="Times New Roman"/>
          <w:sz w:val="18"/>
          <w:szCs w:val="18"/>
          <w:u w:val="single" w:color="auto"/>
          <w:color w:val="auto"/>
        </w:rPr>
        <w:t>Notices of Material Events</w:t>
      </w:r>
      <w:r>
        <w:rPr>
          <w:rFonts w:ascii="Times New Roman" w:cs="Times New Roman" w:eastAsia="Times New Roman" w:hAnsi="Times New Roman"/>
          <w:sz w:val="18"/>
          <w:szCs w:val="18"/>
          <w:color w:val="auto"/>
        </w:rPr>
        <w:t>. Promptly after any Responsible Officer of the Company obtains actual knowledge thereof,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will furnish to each Agent written notice of the following:</w:t>
      </w:r>
    </w:p>
    <w:p>
      <w:pPr>
        <w:spacing w:after="0" w:line="99" w:lineRule="exact"/>
        <w:rPr>
          <w:sz w:val="20"/>
          <w:szCs w:val="20"/>
          <w:color w:val="auto"/>
        </w:rPr>
      </w:pPr>
    </w:p>
    <w:p>
      <w:pPr>
        <w:ind w:left="1100" w:hanging="241"/>
        <w:spacing w:after="0"/>
        <w:tabs>
          <w:tab w:leader="none" w:pos="1100" w:val="left"/>
        </w:tabs>
        <w:numPr>
          <w:ilvl w:val="0"/>
          <w:numId w:val="3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occurrence of, or receipt by the Company of any written notice claiming the occurrence of, any Default;</w:t>
      </w:r>
    </w:p>
    <w:p>
      <w:pPr>
        <w:spacing w:after="0" w:line="117" w:lineRule="exact"/>
        <w:rPr>
          <w:rFonts w:ascii="Times New Roman" w:cs="Times New Roman" w:eastAsia="Times New Roman" w:hAnsi="Times New Roman"/>
          <w:sz w:val="18"/>
          <w:szCs w:val="18"/>
          <w:color w:val="auto"/>
        </w:rPr>
      </w:pPr>
    </w:p>
    <w:p>
      <w:pPr>
        <w:jc w:val="both"/>
        <w:ind w:left="440" w:right="60" w:firstLine="419"/>
        <w:spacing w:after="0" w:line="261" w:lineRule="auto"/>
        <w:tabs>
          <w:tab w:leader="none" w:pos="1118" w:val="left"/>
        </w:tabs>
        <w:numPr>
          <w:ilvl w:val="0"/>
          <w:numId w:val="3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Agents and the Lenders, that in each case would reasonably be expected to result in a Material Adverse Effect or that in any manner questions the validity of any Loan Document;</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440" w:top="270" w:right="459" w:bottom="1440" w:gutter="0" w:footer="0" w:header="0"/>
        </w:sectPr>
      </w:pPr>
    </w:p>
    <w:bookmarkStart w:id="367" w:name="page368"/>
    <w:bookmarkEnd w:id="367"/>
    <w:p>
      <w:pPr>
        <w:ind w:left="440" w:right="600" w:firstLine="419"/>
        <w:spacing w:after="0" w:line="282" w:lineRule="auto"/>
        <w:tabs>
          <w:tab w:leader="none" w:pos="1108" w:val="left"/>
        </w:tabs>
        <w:numPr>
          <w:ilvl w:val="0"/>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occurrence of any ERISA Event that, alone or together with any other ERISA Events that have occurred would reasonably be expected to result in a Material Adverse Effect;</w:t>
      </w:r>
    </w:p>
    <w:p>
      <w:pPr>
        <w:spacing w:after="0" w:line="53" w:lineRule="exact"/>
        <w:rPr>
          <w:rFonts w:ascii="Times New Roman" w:cs="Times New Roman" w:eastAsia="Times New Roman" w:hAnsi="Times New Roman"/>
          <w:sz w:val="18"/>
          <w:szCs w:val="18"/>
          <w:color w:val="auto"/>
        </w:rPr>
      </w:pPr>
    </w:p>
    <w:p>
      <w:pPr>
        <w:ind w:left="440" w:right="200" w:firstLine="419"/>
        <w:spacing w:after="0" w:line="282" w:lineRule="auto"/>
        <w:tabs>
          <w:tab w:leader="none" w:pos="1118" w:val="left"/>
        </w:tabs>
        <w:numPr>
          <w:ilvl w:val="0"/>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53" w:lineRule="exact"/>
        <w:rPr>
          <w:rFonts w:ascii="Times New Roman" w:cs="Times New Roman" w:eastAsia="Times New Roman" w:hAnsi="Times New Roman"/>
          <w:sz w:val="18"/>
          <w:szCs w:val="18"/>
          <w:color w:val="auto"/>
        </w:rPr>
      </w:pPr>
    </w:p>
    <w:p>
      <w:pPr>
        <w:ind w:left="1100" w:hanging="241"/>
        <w:spacing w:after="0"/>
        <w:tabs>
          <w:tab w:leader="none" w:pos="1100" w:val="left"/>
        </w:tabs>
        <w:numPr>
          <w:ilvl w:val="0"/>
          <w:numId w:val="3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62" w:lineRule="exact"/>
        <w:rPr>
          <w:sz w:val="20"/>
          <w:szCs w:val="20"/>
          <w:color w:val="auto"/>
        </w:rPr>
      </w:pPr>
    </w:p>
    <w:p>
      <w:pPr>
        <w:ind w:right="18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5.03. </w:t>
      </w:r>
      <w:r>
        <w:rPr>
          <w:rFonts w:ascii="Times New Roman" w:cs="Times New Roman" w:eastAsia="Times New Roman" w:hAnsi="Times New Roman"/>
          <w:sz w:val="18"/>
          <w:szCs w:val="18"/>
          <w:u w:val="single" w:color="auto"/>
          <w:color w:val="auto"/>
        </w:rPr>
        <w:t>Existence; Conduct of Business</w:t>
      </w:r>
      <w:r>
        <w:rPr>
          <w:rFonts w:ascii="Times New Roman" w:cs="Times New Roman" w:eastAsia="Times New Roman" w:hAnsi="Times New Roman"/>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83" w:lineRule="exact"/>
        <w:rPr>
          <w:sz w:val="20"/>
          <w:szCs w:val="20"/>
          <w:color w:val="auto"/>
        </w:rPr>
      </w:pPr>
    </w:p>
    <w:p>
      <w:pPr>
        <w:ind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5.04. </w:t>
      </w:r>
      <w:r>
        <w:rPr>
          <w:rFonts w:ascii="Times New Roman" w:cs="Times New Roman" w:eastAsia="Times New Roman" w:hAnsi="Times New Roman"/>
          <w:sz w:val="18"/>
          <w:szCs w:val="18"/>
          <w:u w:val="single" w:color="auto"/>
          <w:color w:val="auto"/>
        </w:rPr>
        <w:t>Payment of Taxes</w:t>
      </w:r>
      <w:r>
        <w:rPr>
          <w:rFonts w:ascii="Times New Roman" w:cs="Times New Roman" w:eastAsia="Times New Roman" w:hAnsi="Times New Roman"/>
          <w:sz w:val="18"/>
          <w:szCs w:val="18"/>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83" w:lineRule="exact"/>
        <w:rPr>
          <w:sz w:val="20"/>
          <w:szCs w:val="20"/>
          <w:color w:val="auto"/>
        </w:rPr>
      </w:pPr>
    </w:p>
    <w:p>
      <w:pPr>
        <w:ind w:right="12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5.05. </w:t>
      </w:r>
      <w:r>
        <w:rPr>
          <w:rFonts w:ascii="Times New Roman" w:cs="Times New Roman" w:eastAsia="Times New Roman" w:hAnsi="Times New Roman"/>
          <w:sz w:val="18"/>
          <w:szCs w:val="18"/>
          <w:u w:val="single" w:color="auto"/>
          <w:color w:val="auto"/>
        </w:rPr>
        <w:t>Maintenance of Properties and Rights</w:t>
      </w:r>
      <w:r>
        <w:rPr>
          <w:rFonts w:ascii="Times New Roman" w:cs="Times New Roman" w:eastAsia="Times New Roman" w:hAnsi="Times New Roman"/>
          <w:sz w:val="18"/>
          <w:szCs w:val="18"/>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prohibit any transaction expressly permitted under Section 6.04(a).</w:t>
      </w:r>
    </w:p>
    <w:p>
      <w:pPr>
        <w:spacing w:after="0" w:line="187"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5.06. </w:t>
      </w:r>
      <w:r>
        <w:rPr>
          <w:rFonts w:ascii="Times New Roman" w:cs="Times New Roman" w:eastAsia="Times New Roman" w:hAnsi="Times New Roman"/>
          <w:sz w:val="18"/>
          <w:szCs w:val="18"/>
          <w:u w:val="single" w:color="auto"/>
          <w:color w:val="auto"/>
        </w:rPr>
        <w:t>Insurance</w:t>
      </w:r>
      <w:r>
        <w:rPr>
          <w:rFonts w:ascii="Times New Roman" w:cs="Times New Roman" w:eastAsia="Times New Roman" w:hAnsi="Times New Roman"/>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1000"/>
          </w:cols>
          <w:pgMar w:left="440" w:top="270" w:right="459" w:bottom="1440" w:gutter="0" w:footer="0" w:header="0"/>
        </w:sectPr>
      </w:pPr>
    </w:p>
    <w:bookmarkStart w:id="368" w:name="page369"/>
    <w:bookmarkEnd w:id="368"/>
    <w:p>
      <w:pPr>
        <w:ind w:left="4" w:firstLine="991"/>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5.07. </w:t>
      </w:r>
      <w:r>
        <w:rPr>
          <w:rFonts w:ascii="Times New Roman" w:cs="Times New Roman" w:eastAsia="Times New Roman" w:hAnsi="Times New Roman"/>
          <w:sz w:val="18"/>
          <w:szCs w:val="18"/>
          <w:u w:val="single" w:color="auto"/>
          <w:color w:val="auto"/>
        </w:rPr>
        <w:t>Books and Records; Inspection and Audit Rights</w:t>
      </w:r>
      <w:r>
        <w:rPr>
          <w:rFonts w:ascii="Times New Roman" w:cs="Times New Roman" w:eastAsia="Times New Roman" w:hAnsi="Times New Roman"/>
          <w:sz w:val="18"/>
          <w:szCs w:val="18"/>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any Agent (acting on its own behalf or on behalf of any of the Lenders), and any agent designated by any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Agents collectively may not exercise such rights more often than once during any calendar year (it being understood that any expenses incurred by the Agents in connection therewith shall be subject to reimbursement by the Company in accordance with Section 9.03);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further</w:t>
      </w:r>
      <w:r>
        <w:rPr>
          <w:rFonts w:ascii="Times New Roman" w:cs="Times New Roman" w:eastAsia="Times New Roman" w:hAnsi="Times New Roman"/>
          <w:sz w:val="18"/>
          <w:szCs w:val="18"/>
          <w:color w:val="auto"/>
        </w:rPr>
        <w:t>, that when an Event of Default exists, the Agents (or any of their agents) may do any of the foregoing (at the expense of the Company) at any time during normal business hours and upon reasonable advance notice. The Agents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w:t>
      </w:r>
    </w:p>
    <w:p>
      <w:pPr>
        <w:spacing w:after="0" w:line="1" w:lineRule="exact"/>
        <w:rPr>
          <w:sz w:val="20"/>
          <w:szCs w:val="20"/>
          <w:color w:val="auto"/>
        </w:rPr>
      </w:pPr>
    </w:p>
    <w:p>
      <w:pPr>
        <w:ind w:left="4" w:right="80" w:hanging="4"/>
        <w:spacing w:after="0" w:line="253" w:lineRule="auto"/>
        <w:tabs>
          <w:tab w:leader="none" w:pos="269" w:val="left"/>
        </w:tabs>
        <w:numPr>
          <w:ilvl w:val="0"/>
          <w:numId w:val="3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 respect of which disclosure to any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Company shall use commercially reasonable efforts to secure the requisite consent to permit such disclosure, inspection, examination or discussion and will notify the Agents that such information is being withheld in reliance on this sentence.</w:t>
      </w:r>
    </w:p>
    <w:p>
      <w:pPr>
        <w:spacing w:after="0" w:line="187" w:lineRule="exact"/>
        <w:rPr>
          <w:sz w:val="20"/>
          <w:szCs w:val="20"/>
          <w:color w:val="auto"/>
        </w:rPr>
      </w:pPr>
    </w:p>
    <w:p>
      <w:pPr>
        <w:ind w:left="4" w:right="10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5.08.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3" w:lineRule="exact"/>
        <w:rPr>
          <w:sz w:val="20"/>
          <w:szCs w:val="20"/>
          <w:color w:val="auto"/>
        </w:rPr>
      </w:pPr>
    </w:p>
    <w:p>
      <w:pPr>
        <w:jc w:val="both"/>
        <w:ind w:left="4" w:right="4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5.09. </w:t>
      </w:r>
      <w:r>
        <w:rPr>
          <w:rFonts w:ascii="Times New Roman" w:cs="Times New Roman" w:eastAsia="Times New Roman" w:hAnsi="Times New Roman"/>
          <w:sz w:val="18"/>
          <w:szCs w:val="18"/>
          <w:u w:val="single" w:color="auto"/>
          <w:color w:val="auto"/>
        </w:rPr>
        <w:t>Use of Proceeds</w:t>
      </w:r>
      <w:r>
        <w:rPr>
          <w:rFonts w:ascii="Times New Roman" w:cs="Times New Roman" w:eastAsia="Times New Roman" w:hAnsi="Times New Roman"/>
          <w:sz w:val="18"/>
          <w:szCs w:val="18"/>
          <w:color w:val="auto"/>
        </w:rPr>
        <w:t>. (a) The proceeds of the Term Loans will be used solely to finance, in part, the Cavium Acquisition and the Cavium Debt Refinancing and to pay costs and expenses incurred in connection with the Transactions. The proceeds of the Revolving Loans will be used for general corporate purposes of the Company and the Subsidiaries.</w:t>
      </w:r>
    </w:p>
    <w:p>
      <w:pPr>
        <w:spacing w:after="0" w:line="108"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0984"/>
          </w:cols>
          <w:pgMar w:left="436" w:top="270" w:right="479" w:bottom="1440" w:gutter="0" w:footer="0" w:header="0"/>
        </w:sectPr>
      </w:pPr>
    </w:p>
    <w:bookmarkStart w:id="369" w:name="page370"/>
    <w:bookmarkEnd w:id="369"/>
    <w:p>
      <w:pPr>
        <w:ind w:left="4" w:right="140" w:firstLine="987"/>
        <w:spacing w:after="0" w:line="255" w:lineRule="auto"/>
        <w:tabs>
          <w:tab w:leader="none" w:pos="1250" w:val="left"/>
        </w:tabs>
        <w:numPr>
          <w:ilvl w:val="1"/>
          <w:numId w:val="3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 or</w:t>
      </w:r>
    </w:p>
    <w:p>
      <w:pPr>
        <w:spacing w:after="0" w:line="2" w:lineRule="exact"/>
        <w:rPr>
          <w:rFonts w:ascii="Times New Roman" w:cs="Times New Roman" w:eastAsia="Times New Roman" w:hAnsi="Times New Roman"/>
          <w:sz w:val="18"/>
          <w:szCs w:val="18"/>
          <w:color w:val="auto"/>
        </w:rPr>
      </w:pPr>
    </w:p>
    <w:p>
      <w:pPr>
        <w:ind w:left="324" w:hanging="324"/>
        <w:spacing w:after="0"/>
        <w:tabs>
          <w:tab w:leader="none" w:pos="324" w:val="left"/>
        </w:tabs>
        <w:numPr>
          <w:ilvl w:val="0"/>
          <w:numId w:val="3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any manner that would result in the violation of any Sanctions applicable to any party hereto.</w:t>
      </w:r>
    </w:p>
    <w:p>
      <w:pPr>
        <w:spacing w:after="0" w:line="200" w:lineRule="exact"/>
        <w:rPr>
          <w:sz w:val="20"/>
          <w:szCs w:val="20"/>
          <w:color w:val="auto"/>
        </w:rPr>
      </w:pPr>
    </w:p>
    <w:p>
      <w:pPr>
        <w:spacing w:after="0" w:line="223"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ARTICLE VI</w:t>
      </w:r>
    </w:p>
    <w:p>
      <w:pPr>
        <w:spacing w:after="0" w:line="225"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u w:val="single" w:color="auto"/>
          <w:color w:val="auto"/>
        </w:rPr>
        <w:t>Negative Covenants</w:t>
      </w:r>
    </w:p>
    <w:p>
      <w:pPr>
        <w:spacing w:after="0" w:line="225" w:lineRule="exact"/>
        <w:rPr>
          <w:sz w:val="20"/>
          <w:szCs w:val="20"/>
          <w:color w:val="auto"/>
        </w:rPr>
      </w:pPr>
    </w:p>
    <w:p>
      <w:pPr>
        <w:ind w:left="4" w:right="100" w:firstLine="991"/>
        <w:spacing w:after="0" w:line="266" w:lineRule="auto"/>
        <w:rPr>
          <w:sz w:val="20"/>
          <w:szCs w:val="20"/>
          <w:color w:val="auto"/>
        </w:rPr>
      </w:pPr>
      <w:r>
        <w:rPr>
          <w:rFonts w:ascii="Times New Roman" w:cs="Times New Roman" w:eastAsia="Times New Roman" w:hAnsi="Times New Roman"/>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76" w:lineRule="exact"/>
        <w:rPr>
          <w:sz w:val="20"/>
          <w:szCs w:val="20"/>
          <w:color w:val="auto"/>
        </w:rPr>
      </w:pPr>
    </w:p>
    <w:p>
      <w:pPr>
        <w:ind w:left="984"/>
        <w:spacing w:after="0"/>
        <w:rPr>
          <w:sz w:val="20"/>
          <w:szCs w:val="20"/>
          <w:color w:val="auto"/>
        </w:rPr>
      </w:pPr>
      <w:r>
        <w:rPr>
          <w:rFonts w:ascii="Times New Roman" w:cs="Times New Roman" w:eastAsia="Times New Roman" w:hAnsi="Times New Roman"/>
          <w:sz w:val="18"/>
          <w:szCs w:val="18"/>
          <w:color w:val="auto"/>
        </w:rPr>
        <w:t xml:space="preserve">SECTION 6.01. </w:t>
      </w:r>
      <w:r>
        <w:rPr>
          <w:rFonts w:ascii="Times New Roman" w:cs="Times New Roman" w:eastAsia="Times New Roman" w:hAnsi="Times New Roman"/>
          <w:sz w:val="18"/>
          <w:szCs w:val="18"/>
          <w:u w:val="single" w:color="auto"/>
          <w:color w:val="auto"/>
        </w:rPr>
        <w:t>Indebtedness</w:t>
      </w:r>
      <w:r>
        <w:rPr>
          <w:rFonts w:ascii="Times New Roman" w:cs="Times New Roman" w:eastAsia="Times New Roman" w:hAnsi="Times New Roman"/>
          <w:sz w:val="18"/>
          <w:szCs w:val="18"/>
          <w:color w:val="auto"/>
        </w:rPr>
        <w:t>. The Company will not permit any Subsidiary to create, incur, assume or permit to exist any Indebtedness,</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other than:</w:t>
      </w:r>
    </w:p>
    <w:p>
      <w:pPr>
        <w:spacing w:after="0" w:line="99" w:lineRule="exact"/>
        <w:rPr>
          <w:sz w:val="20"/>
          <w:szCs w:val="20"/>
          <w:color w:val="auto"/>
        </w:rPr>
      </w:pPr>
    </w:p>
    <w:p>
      <w:pPr>
        <w:ind w:left="444" w:right="120" w:firstLine="419"/>
        <w:spacing w:after="0" w:line="266" w:lineRule="auto"/>
        <w:tabs>
          <w:tab w:leader="none" w:pos="1112" w:val="left"/>
        </w:tabs>
        <w:numPr>
          <w:ilvl w:val="0"/>
          <w:numId w:val="3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existing on the Effective Date and set forth on Schedule 6.01 and any renewals, 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67" w:lineRule="exact"/>
        <w:rPr>
          <w:rFonts w:ascii="Times New Roman" w:cs="Times New Roman" w:eastAsia="Times New Roman" w:hAnsi="Times New Roman"/>
          <w:sz w:val="18"/>
          <w:szCs w:val="18"/>
          <w:color w:val="auto"/>
        </w:rPr>
      </w:pPr>
    </w:p>
    <w:p>
      <w:pPr>
        <w:ind w:left="444" w:right="460" w:firstLine="419"/>
        <w:spacing w:after="0" w:line="282" w:lineRule="auto"/>
        <w:tabs>
          <w:tab w:leader="none" w:pos="1122" w:val="left"/>
        </w:tabs>
        <w:numPr>
          <w:ilvl w:val="0"/>
          <w:numId w:val="3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Subsidiary owed to the Company or any other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shall not have been transferred to any Person other than the Company or a Subsidiary;</w:t>
      </w:r>
    </w:p>
    <w:p>
      <w:pPr>
        <w:spacing w:after="0" w:line="53" w:lineRule="exact"/>
        <w:rPr>
          <w:rFonts w:ascii="Times New Roman" w:cs="Times New Roman" w:eastAsia="Times New Roman" w:hAnsi="Times New Roman"/>
          <w:sz w:val="18"/>
          <w:szCs w:val="18"/>
          <w:color w:val="auto"/>
        </w:rPr>
      </w:pPr>
    </w:p>
    <w:p>
      <w:pPr>
        <w:ind w:left="444" w:right="180" w:firstLine="419"/>
        <w:spacing w:after="0" w:line="282" w:lineRule="auto"/>
        <w:tabs>
          <w:tab w:leader="none" w:pos="1112" w:val="left"/>
        </w:tabs>
        <w:numPr>
          <w:ilvl w:val="0"/>
          <w:numId w:val="3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Guarantees by any Subsidiary of Indebtedness of any other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a Subsidiary shall not Guarantee Indebtedness of any other Subsidiary that it would not have been permitted to incur under this Section if it were a primary obligor thereon;</w:t>
      </w:r>
    </w:p>
    <w:p>
      <w:pPr>
        <w:spacing w:after="0" w:line="53" w:lineRule="exact"/>
        <w:rPr>
          <w:rFonts w:ascii="Times New Roman" w:cs="Times New Roman" w:eastAsia="Times New Roman" w:hAnsi="Times New Roman"/>
          <w:sz w:val="18"/>
          <w:szCs w:val="18"/>
          <w:color w:val="auto"/>
        </w:rPr>
      </w:pPr>
    </w:p>
    <w:p>
      <w:pPr>
        <w:ind w:left="444" w:firstLine="419"/>
        <w:spacing w:after="0" w:line="255" w:lineRule="auto"/>
        <w:tabs>
          <w:tab w:leader="none" w:pos="1122" w:val="left"/>
        </w:tabs>
        <w:numPr>
          <w:ilvl w:val="0"/>
          <w:numId w:val="3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of any Subsidiary (i) incurred to finance the acquisition, construction or improvement of any fixed or capital assets, including Capital Lease Obligations,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21"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1004"/>
          </w:cols>
          <w:pgMar w:left="436" w:top="270" w:right="459" w:bottom="1440" w:gutter="0" w:footer="0" w:header="0"/>
        </w:sectPr>
      </w:pPr>
    </w:p>
    <w:bookmarkStart w:id="370" w:name="page371"/>
    <w:bookmarkEnd w:id="370"/>
    <w:p>
      <w:pPr>
        <w:ind w:left="4" w:firstLine="419"/>
        <w:spacing w:after="0" w:line="254" w:lineRule="auto"/>
        <w:tabs>
          <w:tab w:leader="none" w:pos="671"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Indebtedness of any Person that becomes a Subsidiary (or of any Person not previously a Subsidiary that is merged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Indebtedness exists at the time such Person becomes a Subsidiary (or is so merged or consolidated) or such assets are acquired and is not created in contemplation of or in connection with such Person becoming a Subsidiary (or such merger or consolidation) or such assets being acquired, and any renewals, extensions and refinancings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3" w:lineRule="exact"/>
        <w:rPr>
          <w:rFonts w:ascii="Times New Roman" w:cs="Times New Roman" w:eastAsia="Times New Roman" w:hAnsi="Times New Roman"/>
          <w:sz w:val="18"/>
          <w:szCs w:val="18"/>
          <w:color w:val="auto"/>
        </w:rPr>
      </w:pPr>
    </w:p>
    <w:p>
      <w:pPr>
        <w:ind w:left="4" w:right="300" w:firstLine="419"/>
        <w:spacing w:after="0" w:line="261" w:lineRule="auto"/>
        <w:tabs>
          <w:tab w:leader="none" w:pos="651" w:val="left"/>
        </w:tabs>
        <w:numPr>
          <w:ilvl w:val="1"/>
          <w:numId w:val="3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 w:right="260" w:hanging="4"/>
        <w:spacing w:after="0" w:line="260" w:lineRule="auto"/>
        <w:tabs>
          <w:tab w:leader="none" w:pos="268" w:val="left"/>
        </w:tabs>
        <w:numPr>
          <w:ilvl w:val="0"/>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73" w:lineRule="exact"/>
        <w:rPr>
          <w:rFonts w:ascii="Times New Roman" w:cs="Times New Roman" w:eastAsia="Times New Roman" w:hAnsi="Times New Roman"/>
          <w:sz w:val="18"/>
          <w:szCs w:val="18"/>
          <w:color w:val="auto"/>
        </w:rPr>
      </w:pPr>
    </w:p>
    <w:p>
      <w:pPr>
        <w:ind w:left="4" w:right="80" w:firstLine="419"/>
        <w:spacing w:after="0" w:line="266" w:lineRule="auto"/>
        <w:tabs>
          <w:tab w:leader="none" w:pos="681" w:val="left"/>
        </w:tabs>
        <w:numPr>
          <w:ilvl w:val="1"/>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67" w:lineRule="exact"/>
        <w:rPr>
          <w:rFonts w:ascii="Times New Roman" w:cs="Times New Roman" w:eastAsia="Times New Roman" w:hAnsi="Times New Roman"/>
          <w:sz w:val="18"/>
          <w:szCs w:val="18"/>
          <w:color w:val="auto"/>
        </w:rPr>
      </w:pPr>
    </w:p>
    <w:p>
      <w:pPr>
        <w:ind w:left="4" w:right="420" w:firstLine="419"/>
        <w:spacing w:after="0" w:line="282" w:lineRule="auto"/>
        <w:tabs>
          <w:tab w:leader="none" w:pos="681" w:val="left"/>
        </w:tabs>
        <w:numPr>
          <w:ilvl w:val="1"/>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Indebtedness in the form of purchase price adjustments and earn-outs incurred in connection with any Acquisition or joint venture investment not prohibited hereunder;</w:t>
      </w:r>
    </w:p>
    <w:p>
      <w:pPr>
        <w:spacing w:after="0" w:line="53" w:lineRule="exact"/>
        <w:rPr>
          <w:rFonts w:ascii="Times New Roman" w:cs="Times New Roman" w:eastAsia="Times New Roman" w:hAnsi="Times New Roman"/>
          <w:sz w:val="18"/>
          <w:szCs w:val="18"/>
          <w:color w:val="auto"/>
        </w:rPr>
      </w:pPr>
    </w:p>
    <w:p>
      <w:pPr>
        <w:ind w:left="644" w:hanging="221"/>
        <w:spacing w:after="0"/>
        <w:tabs>
          <w:tab w:leader="none" w:pos="644" w:val="left"/>
        </w:tabs>
        <w:numPr>
          <w:ilvl w:val="1"/>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Capital Lease Obligations arising under any Sale/Leaseback Transaction set forth on Schedule 6.03;</w:t>
      </w:r>
    </w:p>
    <w:p>
      <w:pPr>
        <w:spacing w:after="0" w:line="117" w:lineRule="exact"/>
        <w:rPr>
          <w:rFonts w:ascii="Times New Roman" w:cs="Times New Roman" w:eastAsia="Times New Roman" w:hAnsi="Times New Roman"/>
          <w:sz w:val="18"/>
          <w:szCs w:val="18"/>
          <w:color w:val="auto"/>
        </w:rPr>
      </w:pPr>
    </w:p>
    <w:p>
      <w:pPr>
        <w:ind w:left="4" w:right="320" w:firstLine="419"/>
        <w:spacing w:after="0" w:line="282" w:lineRule="auto"/>
        <w:tabs>
          <w:tab w:leader="none" w:pos="641" w:val="left"/>
        </w:tabs>
        <w:numPr>
          <w:ilvl w:val="1"/>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Indebtedness owing to any insurance company in connection with the financing of insurance premiums permitted by such insurance company in the ordinary course of business; </w:t>
      </w:r>
      <w:r>
        <w:rPr>
          <w:rFonts w:ascii="Times New Roman" w:cs="Times New Roman" w:eastAsia="Times New Roman" w:hAnsi="Times New Roman"/>
          <w:sz w:val="18"/>
          <w:szCs w:val="18"/>
          <w:color w:val="FF4338"/>
          <w:strike w:val="1"/>
        </w:rPr>
        <w:t>and</w:t>
      </w:r>
    </w:p>
    <w:p>
      <w:pPr>
        <w:spacing w:after="0" w:line="53" w:lineRule="exact"/>
        <w:rPr>
          <w:rFonts w:ascii="Times New Roman" w:cs="Times New Roman" w:eastAsia="Times New Roman" w:hAnsi="Times New Roman"/>
          <w:sz w:val="18"/>
          <w:szCs w:val="18"/>
          <w:color w:val="auto"/>
        </w:rPr>
      </w:pPr>
    </w:p>
    <w:p>
      <w:pPr>
        <w:ind w:left="4" w:right="60" w:firstLine="419"/>
        <w:spacing w:after="0" w:line="258" w:lineRule="auto"/>
        <w:tabs>
          <w:tab w:leader="none" w:pos="681" w:val="left"/>
        </w:tabs>
        <w:numPr>
          <w:ilvl w:val="1"/>
          <w:numId w:val="3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Indebtedness,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15% of Consolidated Net Tangible Assets</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u w:val="single" w:color="auto"/>
          <w:color w:val="0000FF"/>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946150</wp:posOffset>
            </wp:positionH>
            <wp:positionV relativeFrom="paragraph">
              <wp:posOffset>0</wp:posOffset>
            </wp:positionV>
            <wp:extent cx="34290" cy="8255"/>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36">
                      <a:extLst>
                        <a:ext uri="{28A0092B-C50C-407E-A947-70E740481C1C}"/>
                      </a:extLst>
                    </a:blip>
                    <a:srcRect/>
                    <a:stretch>
                      <a:fillRect/>
                    </a:stretch>
                  </pic:blipFill>
                  <pic:spPr bwMode="auto">
                    <a:xfrm>
                      <a:off x="0" y="0"/>
                      <a:ext cx="34290" cy="8255"/>
                    </a:xfrm>
                    <a:prstGeom prst="rect">
                      <a:avLst/>
                    </a:prstGeom>
                    <a:noFill/>
                  </pic:spPr>
                </pic:pic>
              </a:graphicData>
            </a:graphic>
          </wp:anchor>
        </w:drawing>
      </w:r>
    </w:p>
    <w:p>
      <w:pPr>
        <w:spacing w:after="0" w:line="96" w:lineRule="exact"/>
        <w:rPr>
          <w:sz w:val="20"/>
          <w:szCs w:val="20"/>
          <w:color w:val="auto"/>
        </w:rPr>
      </w:pPr>
    </w:p>
    <w:p>
      <w:pPr>
        <w:jc w:val="center"/>
        <w:ind w:right="316"/>
        <w:spacing w:after="0"/>
        <w:rPr>
          <w:sz w:val="20"/>
          <w:szCs w:val="20"/>
          <w:color w:val="auto"/>
        </w:rPr>
      </w:pPr>
      <w:r>
        <w:rPr>
          <w:rFonts w:ascii="Times New Roman" w:cs="Times New Roman" w:eastAsia="Times New Roman" w:hAnsi="Times New Roman"/>
          <w:sz w:val="18"/>
          <w:szCs w:val="18"/>
          <w:color w:val="auto"/>
        </w:rPr>
        <w:t>68</w:t>
      </w:r>
    </w:p>
    <w:p>
      <w:pPr>
        <w:sectPr>
          <w:pgSz w:w="11900" w:h="16838" w:orient="portrait"/>
          <w:cols w:equalWidth="0" w:num="1">
            <w:col w:w="10464"/>
          </w:cols>
          <w:pgMar w:left="876" w:top="270" w:right="559" w:bottom="1440" w:gutter="0" w:footer="0" w:header="0"/>
        </w:sectPr>
      </w:pPr>
    </w:p>
    <w:bookmarkStart w:id="371" w:name="page372"/>
    <w:bookmarkEnd w:id="371"/>
    <w:p>
      <w:pPr>
        <w:ind w:left="440" w:right="560" w:firstLine="419"/>
        <w:spacing w:after="0" w:line="266" w:lineRule="auto"/>
        <w:tabs>
          <w:tab w:leader="none" w:pos="1078" w:val="left"/>
        </w:tabs>
        <w:numPr>
          <w:ilvl w:val="0"/>
          <w:numId w:val="333"/>
        </w:numPr>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prior to the Inphi Acquisition Closing Date, Acquisition Indebtedness of Maui Topco constituting Inphi Acquisition Indebtedness, including any senior unsecured notes that rank (or will rank on the Inphi Acquisition Closing Date) pari passu with the Obligations of the Company;</w:t>
      </w:r>
    </w:p>
    <w:p>
      <w:pPr>
        <w:spacing w:after="0" w:line="67" w:lineRule="exact"/>
        <w:rPr>
          <w:rFonts w:ascii="Times New Roman" w:cs="Times New Roman" w:eastAsia="Times New Roman" w:hAnsi="Times New Roman"/>
          <w:sz w:val="18"/>
          <w:szCs w:val="18"/>
          <w:u w:val="single" w:color="auto"/>
          <w:color w:val="0000FF"/>
        </w:rPr>
      </w:pPr>
    </w:p>
    <w:p>
      <w:pPr>
        <w:ind w:left="1160" w:hanging="301"/>
        <w:spacing w:after="0"/>
        <w:tabs>
          <w:tab w:leader="none" w:pos="1160" w:val="left"/>
        </w:tabs>
        <w:numPr>
          <w:ilvl w:val="0"/>
          <w:numId w:val="333"/>
        </w:numPr>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u w:val="single" w:color="auto"/>
          <w:color w:val="0000FF"/>
        </w:rPr>
        <w:t>on and after the Inphi Acquisition Closing Date, the Marvell 2018 Senior Unsecured Notes and the Inphi Convertible Notes; and</w:t>
      </w:r>
    </w:p>
    <w:p>
      <w:pPr>
        <w:spacing w:after="0" w:line="117" w:lineRule="exact"/>
        <w:rPr>
          <w:rFonts w:ascii="Times New Roman" w:cs="Times New Roman" w:eastAsia="Times New Roman" w:hAnsi="Times New Roman"/>
          <w:sz w:val="18"/>
          <w:szCs w:val="18"/>
          <w:u w:val="single" w:color="auto"/>
          <w:color w:val="0000FF"/>
        </w:rPr>
      </w:pPr>
    </w:p>
    <w:p>
      <w:pPr>
        <w:ind w:left="440" w:right="140" w:firstLine="419"/>
        <w:spacing w:after="0" w:line="266" w:lineRule="auto"/>
        <w:tabs>
          <w:tab w:leader="none" w:pos="1118" w:val="left"/>
        </w:tabs>
        <w:numPr>
          <w:ilvl w:val="0"/>
          <w:numId w:val="333"/>
        </w:numPr>
        <w:rPr>
          <w:rFonts w:ascii="Times New Roman" w:cs="Times New Roman" w:eastAsia="Times New Roman" w:hAnsi="Times New Roman"/>
          <w:sz w:val="18"/>
          <w:szCs w:val="18"/>
          <w:u w:val="single" w:color="auto"/>
          <w:color w:val="0000FF"/>
        </w:rPr>
      </w:pPr>
      <w:r>
        <w:rPr>
          <w:rFonts w:ascii="Times New Roman" w:cs="Times New Roman" w:eastAsia="Times New Roman" w:hAnsi="Times New Roman"/>
          <w:sz w:val="18"/>
          <w:szCs w:val="18"/>
          <w:u w:val="single" w:color="auto"/>
          <w:color w:val="0000FF"/>
        </w:rPr>
        <w:t>on and after the Inphi Acquisition Closing Date, Guarantees by any Subsidiary of any Indebtedness solely</w:t>
      </w:r>
      <w:r>
        <w:rPr>
          <w:rFonts w:ascii="Times New Roman" w:cs="Times New Roman" w:eastAsia="Times New Roman" w:hAnsi="Times New Roman"/>
          <w:sz w:val="18"/>
          <w:szCs w:val="18"/>
          <w:color w:val="0000FF"/>
        </w:rPr>
        <w:t xml:space="preserve"> </w:t>
      </w:r>
      <w:r>
        <w:rPr>
          <w:rFonts w:ascii="Times New Roman" w:cs="Times New Roman" w:eastAsia="Times New Roman" w:hAnsi="Times New Roman"/>
          <w:sz w:val="18"/>
          <w:szCs w:val="18"/>
          <w:color w:val="008000"/>
        </w:rPr>
        <w:t>to the extent such</w:t>
      </w:r>
      <w:r>
        <w:rPr>
          <w:rFonts w:ascii="Times New Roman" w:cs="Times New Roman" w:eastAsia="Times New Roman" w:hAnsi="Times New Roman"/>
          <w:sz w:val="18"/>
          <w:szCs w:val="18"/>
          <w:color w:val="0000FF"/>
        </w:rPr>
        <w:t xml:space="preserve"> </w:t>
      </w:r>
      <w:r>
        <w:rPr>
          <w:rFonts w:ascii="Times New Roman" w:cs="Times New Roman" w:eastAsia="Times New Roman" w:hAnsi="Times New Roman"/>
          <w:sz w:val="18"/>
          <w:szCs w:val="18"/>
          <w:u w:val="single" w:color="auto"/>
          <w:color w:val="0000FF"/>
        </w:rPr>
        <w:t>Subsidiary</w:t>
      </w:r>
      <w:r>
        <w:rPr>
          <w:rFonts w:ascii="Times New Roman" w:cs="Times New Roman" w:eastAsia="Times New Roman" w:hAnsi="Times New Roman"/>
          <w:sz w:val="18"/>
          <w:szCs w:val="18"/>
          <w:color w:val="0000FF"/>
        </w:rPr>
        <w:t xml:space="preserve"> </w:t>
      </w:r>
      <w:r>
        <w:rPr>
          <w:rFonts w:ascii="Times New Roman" w:cs="Times New Roman" w:eastAsia="Times New Roman" w:hAnsi="Times New Roman"/>
          <w:sz w:val="18"/>
          <w:szCs w:val="18"/>
          <w:u w:val="single" w:color="auto"/>
          <w:color w:val="0000FF"/>
        </w:rPr>
        <w:t>also Guarantees the Obligations of the Company on a pari passu basis pursuant to a guaranty in form and content reasonably satisfactory to the General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546100</wp:posOffset>
            </wp:positionH>
            <wp:positionV relativeFrom="paragraph">
              <wp:posOffset>-964565</wp:posOffset>
            </wp:positionV>
            <wp:extent cx="6077585" cy="8255"/>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38">
                      <a:extLst>
                        <a:ext uri="{28A0092B-C50C-407E-A947-70E740481C1C}"/>
                      </a:extLst>
                    </a:blip>
                    <a:srcRect/>
                    <a:stretch>
                      <a:fillRect/>
                    </a:stretch>
                  </pic:blipFill>
                  <pic:spPr bwMode="auto">
                    <a:xfrm>
                      <a:off x="0" y="0"/>
                      <a:ext cx="607758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-827405</wp:posOffset>
            </wp:positionV>
            <wp:extent cx="6275070" cy="8255"/>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39">
                      <a:extLst>
                        <a:ext uri="{28A0092B-C50C-407E-A947-70E740481C1C}"/>
                      </a:extLst>
                    </a:blip>
                    <a:srcRect/>
                    <a:stretch>
                      <a:fillRect/>
                    </a:stretch>
                  </pic:blipFill>
                  <pic:spPr bwMode="auto">
                    <a:xfrm>
                      <a:off x="0" y="0"/>
                      <a:ext cx="6275070"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-690245</wp:posOffset>
            </wp:positionV>
            <wp:extent cx="471170" cy="889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40">
                      <a:extLst>
                        <a:ext uri="{28A0092B-C50C-407E-A947-70E740481C1C}"/>
                      </a:extLst>
                    </a:blip>
                    <a:srcRect/>
                    <a:stretch>
                      <a:fillRect/>
                    </a:stretch>
                  </pic:blipFill>
                  <pic:spPr bwMode="auto">
                    <a:xfrm>
                      <a:off x="0" y="0"/>
                      <a:ext cx="471170" cy="8890"/>
                    </a:xfrm>
                    <a:prstGeom prst="rect">
                      <a:avLst/>
                    </a:prstGeom>
                    <a:noFill/>
                  </pic:spPr>
                </pic:pic>
              </a:graphicData>
            </a:graphic>
          </wp:anchor>
        </w:drawing>
        <w:drawing>
          <wp:anchor simplePos="0" relativeHeight="251657728" behindDoc="1" locked="0" layoutInCell="0" allowOverlap="1">
            <wp:simplePos x="0" y="0"/>
            <wp:positionH relativeFrom="column">
              <wp:posOffset>546100</wp:posOffset>
            </wp:positionH>
            <wp:positionV relativeFrom="paragraph">
              <wp:posOffset>-484505</wp:posOffset>
            </wp:positionV>
            <wp:extent cx="6069330" cy="8255"/>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41">
                      <a:extLst>
                        <a:ext uri="{28A0092B-C50C-407E-A947-70E740481C1C}"/>
                      </a:extLst>
                    </a:blip>
                    <a:srcRect/>
                    <a:stretch>
                      <a:fillRect/>
                    </a:stretch>
                  </pic:blipFill>
                  <pic:spPr bwMode="auto">
                    <a:xfrm>
                      <a:off x="0" y="0"/>
                      <a:ext cx="6069330" cy="8255"/>
                    </a:xfrm>
                    <a:prstGeom prst="rect">
                      <a:avLst/>
                    </a:prstGeom>
                    <a:noFill/>
                  </pic:spPr>
                </pic:pic>
              </a:graphicData>
            </a:graphic>
          </wp:anchor>
        </w:drawing>
        <w:drawing>
          <wp:anchor simplePos="0" relativeHeight="251657728" behindDoc="1" locked="0" layoutInCell="0" allowOverlap="1">
            <wp:simplePos x="0" y="0"/>
            <wp:positionH relativeFrom="column">
              <wp:posOffset>546100</wp:posOffset>
            </wp:positionH>
            <wp:positionV relativeFrom="paragraph">
              <wp:posOffset>-313055</wp:posOffset>
            </wp:positionV>
            <wp:extent cx="6351905" cy="4318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42">
                      <a:extLst>
                        <a:ext uri="{28A0092B-C50C-407E-A947-70E740481C1C}"/>
                      </a:extLst>
                    </a:blip>
                    <a:srcRect/>
                    <a:stretch>
                      <a:fillRect/>
                    </a:stretch>
                  </pic:blipFill>
                  <pic:spPr bwMode="auto">
                    <a:xfrm>
                      <a:off x="0" y="0"/>
                      <a:ext cx="6351905" cy="43180"/>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-141605</wp:posOffset>
            </wp:positionV>
            <wp:extent cx="6523355" cy="8255"/>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43">
                      <a:extLst>
                        <a:ext uri="{28A0092B-C50C-407E-A947-70E740481C1C}"/>
                      </a:extLst>
                    </a:blip>
                    <a:srcRect/>
                    <a:stretch>
                      <a:fillRect/>
                    </a:stretch>
                  </pic:blipFill>
                  <pic:spPr bwMode="auto">
                    <a:xfrm>
                      <a:off x="0" y="0"/>
                      <a:ext cx="652335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-4445</wp:posOffset>
            </wp:positionV>
            <wp:extent cx="1405890" cy="8255"/>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44">
                      <a:extLst>
                        <a:ext uri="{28A0092B-C50C-407E-A947-70E740481C1C}"/>
                      </a:extLst>
                    </a:blip>
                    <a:srcRect/>
                    <a:stretch>
                      <a:fillRect/>
                    </a:stretch>
                  </pic:blipFill>
                  <pic:spPr bwMode="auto">
                    <a:xfrm>
                      <a:off x="0" y="0"/>
                      <a:ext cx="1405890" cy="8255"/>
                    </a:xfrm>
                    <a:prstGeom prst="rect">
                      <a:avLst/>
                    </a:prstGeom>
                    <a:noFill/>
                  </pic:spPr>
                </pic:pic>
              </a:graphicData>
            </a:graphic>
          </wp:anchor>
        </w:drawing>
      </w:r>
    </w:p>
    <w:p>
      <w:pPr>
        <w:spacing w:after="0" w:line="156"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6.01, if any item of Indebtedness meets the criteria of more than one of the categories of Indebtedness described in clauses (a) through (</w:t>
      </w:r>
      <w:r>
        <w:rPr>
          <w:rFonts w:ascii="Times New Roman" w:cs="Times New Roman" w:eastAsia="Times New Roman" w:hAnsi="Times New Roman"/>
          <w:sz w:val="18"/>
          <w:szCs w:val="18"/>
          <w:color w:val="FF4338"/>
          <w:strike w:val="1"/>
        </w:rPr>
        <w:t>k</w:t>
      </w:r>
      <w:r>
        <w:rPr>
          <w:rFonts w:ascii="Times New Roman" w:cs="Times New Roman" w:eastAsia="Times New Roman" w:hAnsi="Times New Roman"/>
          <w:sz w:val="18"/>
          <w:szCs w:val="18"/>
          <w:u w:val="single" w:color="auto"/>
          <w:color w:val="0000FF"/>
        </w:rPr>
        <w:t>n</w:t>
      </w:r>
      <w:r>
        <w:rPr>
          <w:rFonts w:ascii="Times New Roman" w:cs="Times New Roman" w:eastAsia="Times New Roman" w:hAnsi="Times New Roman"/>
          <w:sz w:val="18"/>
          <w:szCs w:val="18"/>
          <w:color w:val="auto"/>
        </w:rPr>
        <w:t xml:space="preserve">)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 except as set forth below with respect to </w:t>
      </w:r>
      <w:r>
        <w:rPr>
          <w:rFonts w:ascii="Times New Roman" w:cs="Times New Roman" w:eastAsia="Times New Roman" w:hAnsi="Times New Roman"/>
          <w:sz w:val="18"/>
          <w:szCs w:val="18"/>
          <w:color w:val="FF4338"/>
          <w:strike w:val="1"/>
        </w:rPr>
        <w:t>clause</w:t>
      </w:r>
      <w:r>
        <w:rPr>
          <w:rFonts w:ascii="Times New Roman" w:cs="Times New Roman" w:eastAsia="Times New Roman" w:hAnsi="Times New Roman"/>
          <w:sz w:val="18"/>
          <w:szCs w:val="18"/>
          <w:u w:val="single" w:color="auto"/>
          <w:color w:val="0000FF"/>
        </w:rPr>
        <w:t>clauses</w:t>
      </w:r>
      <w:r>
        <w:rPr>
          <w:rFonts w:ascii="Times New Roman" w:cs="Times New Roman" w:eastAsia="Times New Roman" w:hAnsi="Times New Roman"/>
          <w:sz w:val="18"/>
          <w:szCs w:val="18"/>
          <w:color w:val="auto"/>
        </w:rPr>
        <w:t xml:space="preserve"> (k) </w:t>
      </w:r>
      <w:r>
        <w:rPr>
          <w:rFonts w:ascii="Times New Roman" w:cs="Times New Roman" w:eastAsia="Times New Roman" w:hAnsi="Times New Roman"/>
          <w:sz w:val="18"/>
          <w:szCs w:val="18"/>
          <w:color w:val="0000FF"/>
        </w:rPr>
        <w:t>and (n)</w:t>
      </w:r>
      <w:r>
        <w:rPr>
          <w:rFonts w:ascii="Times New Roman" w:cs="Times New Roman" w:eastAsia="Times New Roman" w:hAnsi="Times New Roman"/>
          <w:sz w:val="18"/>
          <w:szCs w:val="18"/>
          <w:color w:val="auto"/>
        </w:rPr>
        <w:t xml:space="preserve">, not into any clause under which it could not have been included at the time it was incurred) or, solely in the case of </w:t>
      </w:r>
      <w:r>
        <w:rPr>
          <w:rFonts w:ascii="Times New Roman" w:cs="Times New Roman" w:eastAsia="Times New Roman" w:hAnsi="Times New Roman"/>
          <w:sz w:val="18"/>
          <w:szCs w:val="18"/>
          <w:color w:val="FF4338"/>
          <w:strike w:val="1"/>
        </w:rPr>
        <w:t>clause</w:t>
      </w:r>
      <w:r>
        <w:rPr>
          <w:rFonts w:ascii="Times New Roman" w:cs="Times New Roman" w:eastAsia="Times New Roman" w:hAnsi="Times New Roman"/>
          <w:sz w:val="18"/>
          <w:szCs w:val="18"/>
          <w:u w:val="single" w:color="auto"/>
          <w:color w:val="0000FF"/>
        </w:rPr>
        <w:t>clauses</w:t>
      </w:r>
      <w:r>
        <w:rPr>
          <w:rFonts w:ascii="Times New Roman" w:cs="Times New Roman" w:eastAsia="Times New Roman" w:hAnsi="Times New Roman"/>
          <w:sz w:val="18"/>
          <w:szCs w:val="18"/>
          <w:color w:val="auto"/>
        </w:rPr>
        <w:t xml:space="preserve"> (k) </w:t>
      </w:r>
      <w:r>
        <w:rPr>
          <w:rFonts w:ascii="Times New Roman" w:cs="Times New Roman" w:eastAsia="Times New Roman" w:hAnsi="Times New Roman"/>
          <w:sz w:val="18"/>
          <w:szCs w:val="18"/>
          <w:u w:val="single" w:color="auto"/>
          <w:color w:val="0000FF"/>
        </w:rPr>
        <w:t>and (n)</w:t>
      </w:r>
      <w:r>
        <w:rPr>
          <w:rFonts w:ascii="Times New Roman" w:cs="Times New Roman" w:eastAsia="Times New Roman" w:hAnsi="Times New Roman"/>
          <w:sz w:val="18"/>
          <w:szCs w:val="18"/>
          <w:color w:val="auto"/>
        </w:rPr>
        <w:t xml:space="preserve"> above, at the time of such reclassification.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2200275</wp:posOffset>
            </wp:positionH>
            <wp:positionV relativeFrom="paragraph">
              <wp:posOffset>-546100</wp:posOffset>
            </wp:positionV>
            <wp:extent cx="60325" cy="8255"/>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45">
                      <a:extLst>
                        <a:ext uri="{28A0092B-C50C-407E-A947-70E740481C1C}"/>
                      </a:extLst>
                    </a:blip>
                    <a:srcRect/>
                    <a:stretch>
                      <a:fillRect/>
                    </a:stretch>
                  </pic:blipFill>
                  <pic:spPr bwMode="auto">
                    <a:xfrm>
                      <a:off x="0" y="0"/>
                      <a:ext cx="60325" cy="8255"/>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-134620</wp:posOffset>
            </wp:positionV>
            <wp:extent cx="848995" cy="889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46">
                      <a:extLst>
                        <a:ext uri="{28A0092B-C50C-407E-A947-70E740481C1C}"/>
                      </a:extLst>
                    </a:blip>
                    <a:srcRect/>
                    <a:stretch>
                      <a:fillRect/>
                    </a:stretch>
                  </pic:blipFill>
                  <pic:spPr bwMode="auto">
                    <a:xfrm>
                      <a:off x="0" y="0"/>
                      <a:ext cx="848995" cy="8890"/>
                    </a:xfrm>
                    <a:prstGeom prst="rect">
                      <a:avLst/>
                    </a:prstGeom>
                    <a:noFill/>
                  </pic:spPr>
                </pic:pic>
              </a:graphicData>
            </a:graphic>
          </wp:anchor>
        </w:drawing>
        <w:drawing>
          <wp:anchor simplePos="0" relativeHeight="251657728" behindDoc="1" locked="0" layoutInCell="0" allowOverlap="1">
            <wp:simplePos x="0" y="0"/>
            <wp:positionH relativeFrom="column">
              <wp:posOffset>2880995</wp:posOffset>
            </wp:positionH>
            <wp:positionV relativeFrom="paragraph">
              <wp:posOffset>-168910</wp:posOffset>
            </wp:positionV>
            <wp:extent cx="354965" cy="8255"/>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47">
                      <a:extLst>
                        <a:ext uri="{28A0092B-C50C-407E-A947-70E740481C1C}"/>
                      </a:extLst>
                    </a:blip>
                    <a:srcRect/>
                    <a:stretch>
                      <a:fillRect/>
                    </a:stretch>
                  </pic:blipFill>
                  <pic:spPr bwMode="auto">
                    <a:xfrm>
                      <a:off x="0" y="0"/>
                      <a:ext cx="354965" cy="8255"/>
                    </a:xfrm>
                    <a:prstGeom prst="rect">
                      <a:avLst/>
                    </a:prstGeom>
                    <a:noFill/>
                  </pic:spPr>
                </pic:pic>
              </a:graphicData>
            </a:graphic>
          </wp:anchor>
        </w:drawing>
        <w:drawing>
          <wp:anchor simplePos="0" relativeHeight="251657728" behindDoc="1" locked="0" layoutInCell="0" allowOverlap="1">
            <wp:simplePos x="0" y="0"/>
            <wp:positionH relativeFrom="column">
              <wp:posOffset>2020570</wp:posOffset>
            </wp:positionH>
            <wp:positionV relativeFrom="paragraph">
              <wp:posOffset>1905</wp:posOffset>
            </wp:positionV>
            <wp:extent cx="848360" cy="8255"/>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48">
                      <a:extLst>
                        <a:ext uri="{28A0092B-C50C-407E-A947-70E740481C1C}"/>
                      </a:extLst>
                    </a:blip>
                    <a:srcRect/>
                    <a:stretch>
                      <a:fillRect/>
                    </a:stretch>
                  </pic:blipFill>
                  <pic:spPr bwMode="auto">
                    <a:xfrm>
                      <a:off x="0" y="0"/>
                      <a:ext cx="848360" cy="8255"/>
                    </a:xfrm>
                    <a:prstGeom prst="rect">
                      <a:avLst/>
                    </a:prstGeom>
                    <a:noFill/>
                  </pic:spPr>
                </pic:pic>
              </a:graphicData>
            </a:graphic>
          </wp:anchor>
        </w:drawing>
      </w:r>
    </w:p>
    <w:p>
      <w:pPr>
        <w:spacing w:after="0" w:line="167" w:lineRule="exact"/>
        <w:rPr>
          <w:sz w:val="20"/>
          <w:szCs w:val="20"/>
          <w:color w:val="auto"/>
        </w:rPr>
      </w:pPr>
    </w:p>
    <w:p>
      <w:pPr>
        <w:ind w:right="14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u w:val="single" w:color="auto"/>
          <w:color w:val="auto"/>
        </w:rPr>
        <w:t>Liens</w:t>
      </w:r>
      <w:r>
        <w:rPr>
          <w:rFonts w:ascii="Times New Roman" w:cs="Times New Roman" w:eastAsia="Times New Roman" w:hAnsi="Times New Roman"/>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68" w:lineRule="exact"/>
        <w:rPr>
          <w:sz w:val="20"/>
          <w:szCs w:val="20"/>
          <w:color w:val="auto"/>
        </w:rPr>
      </w:pPr>
    </w:p>
    <w:p>
      <w:pPr>
        <w:ind w:left="1100" w:hanging="241"/>
        <w:spacing w:after="0"/>
        <w:tabs>
          <w:tab w:leader="none" w:pos="1100" w:val="left"/>
        </w:tabs>
        <w:numPr>
          <w:ilvl w:val="1"/>
          <w:numId w:val="3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Permitted Liens;</w:t>
      </w:r>
    </w:p>
    <w:p>
      <w:pPr>
        <w:spacing w:after="0" w:line="117"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1"/>
          <w:numId w:val="3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Lien on any asset of the Company or any Subsidiary existing on the Effective Date and set forth on Schedule 6.02;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w:t>
      </w:r>
    </w:p>
    <w:p>
      <w:pPr>
        <w:spacing w:after="0" w:line="27" w:lineRule="exact"/>
        <w:rPr>
          <w:rFonts w:ascii="Times New Roman" w:cs="Times New Roman" w:eastAsia="Times New Roman" w:hAnsi="Times New Roman"/>
          <w:sz w:val="18"/>
          <w:szCs w:val="18"/>
          <w:color w:val="auto"/>
        </w:rPr>
      </w:pPr>
    </w:p>
    <w:p>
      <w:pPr>
        <w:ind w:left="440" w:right="20" w:hanging="4"/>
        <w:spacing w:after="0" w:line="253" w:lineRule="auto"/>
        <w:tabs>
          <w:tab w:leader="none" w:pos="655" w:val="left"/>
        </w:tabs>
        <w:numPr>
          <w:ilvl w:val="0"/>
          <w:numId w:val="3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Lien shall not apply to any other asset of the Company or any Subsidiary (other than improvements or accessions thereto and the proceeds thereof) and (ii) such Lien shall secure only those obligations that it secures on the Effective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1000"/>
          </w:cols>
          <w:pgMar w:left="440" w:top="270" w:right="459" w:bottom="1440" w:gutter="0" w:footer="0" w:header="0"/>
        </w:sectPr>
      </w:pPr>
    </w:p>
    <w:bookmarkStart w:id="372" w:name="page373"/>
    <w:bookmarkEnd w:id="372"/>
    <w:p>
      <w:pPr>
        <w:ind w:right="220" w:firstLine="419"/>
        <w:spacing w:after="0" w:line="254" w:lineRule="auto"/>
        <w:tabs>
          <w:tab w:leader="none" w:pos="668" w:val="left"/>
        </w:tabs>
        <w:numPr>
          <w:ilvl w:val="0"/>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Liens on fixed or capital assets acquired, constructed or improved by the Company or any Subsidiary securing Indebtedness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80" w:lineRule="exact"/>
        <w:rPr>
          <w:rFonts w:ascii="Times New Roman" w:cs="Times New Roman" w:eastAsia="Times New Roman" w:hAnsi="Times New Roman"/>
          <w:sz w:val="18"/>
          <w:szCs w:val="18"/>
          <w:color w:val="auto"/>
        </w:rPr>
      </w:pPr>
    </w:p>
    <w:p>
      <w:pPr>
        <w:ind w:firstLine="419"/>
        <w:spacing w:after="0" w:line="271" w:lineRule="auto"/>
        <w:tabs>
          <w:tab w:leader="none" w:pos="678" w:val="left"/>
        </w:tabs>
        <w:numPr>
          <w:ilvl w:val="0"/>
          <w:numId w:val="33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any Lien on any asset acquired by the Company or any Subsidiary after the Effective Date existing at the time of the acquisition thereof or existing on any asset of any Person that becomes a Subsidiary (or of any Person not previously a Subsidiary that is merged or consolidated with or into the Company or a Subsidiary in a transaction permitted hereunder) after the Effective Date and prior to the time such Person becomes a Subsidiary (or is so merged or consolidated),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(i) such Lien is not created in contemplation of or in connection with such acquisition or such Person becoming a Subsidiary (or such merger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65" w:lineRule="exact"/>
        <w:rPr>
          <w:rFonts w:ascii="Times New Roman" w:cs="Times New Roman" w:eastAsia="Times New Roman" w:hAnsi="Times New Roman"/>
          <w:sz w:val="17"/>
          <w:szCs w:val="17"/>
          <w:color w:val="auto"/>
        </w:rPr>
      </w:pPr>
    </w:p>
    <w:p>
      <w:pPr>
        <w:ind w:right="280" w:firstLine="419"/>
        <w:spacing w:after="0" w:line="282" w:lineRule="auto"/>
        <w:tabs>
          <w:tab w:leader="none" w:pos="668" w:val="left"/>
        </w:tabs>
        <w:numPr>
          <w:ilvl w:val="0"/>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53" w:lineRule="exact"/>
        <w:rPr>
          <w:rFonts w:ascii="Times New Roman" w:cs="Times New Roman" w:eastAsia="Times New Roman" w:hAnsi="Times New Roman"/>
          <w:sz w:val="18"/>
          <w:szCs w:val="18"/>
          <w:color w:val="auto"/>
        </w:rPr>
      </w:pPr>
    </w:p>
    <w:p>
      <w:pPr>
        <w:ind w:right="180" w:firstLine="419"/>
        <w:spacing w:after="0" w:line="289" w:lineRule="auto"/>
        <w:tabs>
          <w:tab w:leader="none" w:pos="648" w:val="left"/>
        </w:tabs>
        <w:numPr>
          <w:ilvl w:val="0"/>
          <w:numId w:val="33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49" w:lineRule="exact"/>
        <w:rPr>
          <w:rFonts w:ascii="Times New Roman" w:cs="Times New Roman" w:eastAsia="Times New Roman" w:hAnsi="Times New Roman"/>
          <w:sz w:val="17"/>
          <w:szCs w:val="17"/>
          <w:color w:val="auto"/>
        </w:rPr>
      </w:pPr>
    </w:p>
    <w:p>
      <w:pPr>
        <w:ind w:right="20" w:firstLine="419"/>
        <w:spacing w:after="0" w:line="282" w:lineRule="auto"/>
        <w:tabs>
          <w:tab w:leader="none" w:pos="678" w:val="left"/>
        </w:tabs>
        <w:numPr>
          <w:ilvl w:val="0"/>
          <w:numId w:val="3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94"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70</w:t>
      </w:r>
    </w:p>
    <w:p>
      <w:pPr>
        <w:sectPr>
          <w:pgSz w:w="11900" w:h="16838" w:orient="portrait"/>
          <w:cols w:equalWidth="0" w:num="1">
            <w:col w:w="10540"/>
          </w:cols>
          <w:pgMar w:left="880" w:top="270" w:right="479" w:bottom="1440" w:gutter="0" w:footer="0" w:header="0"/>
        </w:sectPr>
      </w:pPr>
    </w:p>
    <w:bookmarkStart w:id="373" w:name="page374"/>
    <w:bookmarkEnd w:id="373"/>
    <w:p>
      <w:pPr>
        <w:ind w:left="1120" w:hanging="261"/>
        <w:spacing w:after="0"/>
        <w:tabs>
          <w:tab w:leader="none" w:pos="1120"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Liens deemed to exist in connection with Sale/Leaseback Transactions set forth on Schedule 6.03 or permitted by Section 6.03(a);</w:t>
      </w:r>
    </w:p>
    <w:p>
      <w:pPr>
        <w:spacing w:after="0" w:line="117" w:lineRule="exact"/>
        <w:rPr>
          <w:rFonts w:ascii="Times New Roman" w:cs="Times New Roman" w:eastAsia="Times New Roman" w:hAnsi="Times New Roman"/>
          <w:sz w:val="18"/>
          <w:szCs w:val="18"/>
          <w:color w:val="auto"/>
        </w:rPr>
      </w:pPr>
    </w:p>
    <w:p>
      <w:pPr>
        <w:ind w:left="440" w:right="560" w:firstLine="419"/>
        <w:spacing w:after="0" w:line="266" w:lineRule="auto"/>
        <w:tabs>
          <w:tab w:leader="none" w:pos="1078"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67" w:lineRule="exact"/>
        <w:rPr>
          <w:rFonts w:ascii="Times New Roman" w:cs="Times New Roman" w:eastAsia="Times New Roman" w:hAnsi="Times New Roman"/>
          <w:sz w:val="18"/>
          <w:szCs w:val="18"/>
          <w:color w:val="auto"/>
        </w:rPr>
      </w:pPr>
    </w:p>
    <w:p>
      <w:pPr>
        <w:ind w:left="440" w:right="180" w:firstLine="419"/>
        <w:spacing w:after="0" w:line="282" w:lineRule="auto"/>
        <w:tabs>
          <w:tab w:leader="none" w:pos="1078"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Liens on the net cash proceeds of any Acquisition Indebtedness held in escrow by a third party escrow agent prior to the release thereof from escrow; and</w:t>
      </w:r>
    </w:p>
    <w:p>
      <w:pPr>
        <w:spacing w:after="0" w:line="53" w:lineRule="exact"/>
        <w:rPr>
          <w:rFonts w:ascii="Times New Roman" w:cs="Times New Roman" w:eastAsia="Times New Roman" w:hAnsi="Times New Roman"/>
          <w:sz w:val="18"/>
          <w:szCs w:val="18"/>
          <w:color w:val="auto"/>
        </w:rPr>
      </w:pPr>
    </w:p>
    <w:p>
      <w:pPr>
        <w:ind w:left="440" w:firstLine="419"/>
        <w:spacing w:after="0" w:line="258" w:lineRule="auto"/>
        <w:tabs>
          <w:tab w:leader="none" w:pos="1118" w:val="left"/>
        </w:tabs>
        <w:numPr>
          <w:ilvl w:val="0"/>
          <w:numId w:val="3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other Liens,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 Attributable Debt in respect of all outstanding Sale/Leaseback Transactions permitted by Section 6.03(b) does not exceed 15% of Consolidated Net Tangible Assets.</w:t>
      </w:r>
    </w:p>
    <w:p>
      <w:pPr>
        <w:spacing w:after="0" w:line="183"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87" w:lineRule="exact"/>
        <w:rPr>
          <w:sz w:val="20"/>
          <w:szCs w:val="20"/>
          <w:color w:val="auto"/>
        </w:rPr>
      </w:pPr>
    </w:p>
    <w:p>
      <w:pPr>
        <w:ind w:firstLine="991"/>
        <w:spacing w:after="0" w:line="282" w:lineRule="auto"/>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u w:val="single" w:color="auto"/>
          <w:color w:val="auto"/>
        </w:rPr>
        <w:t>Sale/Leaseback Transactions</w:t>
      </w:r>
      <w:r>
        <w:rPr>
          <w:rFonts w:ascii="Times New Roman" w:cs="Times New Roman" w:eastAsia="Times New Roman" w:hAnsi="Times New Roman"/>
          <w:sz w:val="18"/>
          <w:szCs w:val="18"/>
          <w:color w:val="auto"/>
        </w:rPr>
        <w:t>. The Company will not, and will not permit any Subsidiary to, enter into any Sale/Leaseback Transaction, except Sale/Leaseback Transactions set forth on Schedule 6.03 and the following:</w:t>
      </w:r>
    </w:p>
    <w:p>
      <w:pPr>
        <w:spacing w:after="0" w:line="54" w:lineRule="exact"/>
        <w:rPr>
          <w:sz w:val="20"/>
          <w:szCs w:val="20"/>
          <w:color w:val="auto"/>
        </w:rPr>
      </w:pPr>
    </w:p>
    <w:p>
      <w:pPr>
        <w:ind w:right="40" w:firstLine="987"/>
        <w:spacing w:after="0" w:line="266" w:lineRule="auto"/>
        <w:tabs>
          <w:tab w:leader="none" w:pos="1236" w:val="left"/>
        </w:tabs>
        <w:numPr>
          <w:ilvl w:val="0"/>
          <w:numId w:val="3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Sale/Leaseback Transaction entered into to finance the acquisition or construction of any fixed or capital assets by the Company or any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71</w:t>
      </w:r>
    </w:p>
    <w:p>
      <w:pPr>
        <w:sectPr>
          <w:pgSz w:w="11900" w:h="16838" w:orient="portrait"/>
          <w:cols w:equalWidth="0" w:num="1">
            <w:col w:w="11000"/>
          </w:cols>
          <w:pgMar w:left="440" w:top="270" w:right="459" w:bottom="1440" w:gutter="0" w:footer="0" w:header="0"/>
        </w:sectPr>
      </w:pPr>
    </w:p>
    <w:bookmarkStart w:id="374" w:name="page375"/>
    <w:bookmarkEnd w:id="374"/>
    <w:p>
      <w:pPr>
        <w:ind w:left="4" w:right="100" w:firstLine="987"/>
        <w:spacing w:after="0" w:line="281" w:lineRule="auto"/>
        <w:tabs>
          <w:tab w:leader="none" w:pos="1250" w:val="left"/>
        </w:tabs>
        <w:numPr>
          <w:ilvl w:val="0"/>
          <w:numId w:val="33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other Sale/Leaseback Transactions,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15% of Consolidated Net Tangible Assets.</w:t>
      </w:r>
    </w:p>
    <w:p>
      <w:pPr>
        <w:spacing w:after="0" w:line="164" w:lineRule="exact"/>
        <w:rPr>
          <w:sz w:val="20"/>
          <w:szCs w:val="20"/>
          <w:color w:val="auto"/>
        </w:rPr>
      </w:pPr>
    </w:p>
    <w:p>
      <w:pPr>
        <w:ind w:left="4" w:firstLine="991"/>
        <w:spacing w:after="0" w:line="269" w:lineRule="auto"/>
        <w:rPr>
          <w:sz w:val="20"/>
          <w:szCs w:val="20"/>
          <w:color w:val="auto"/>
        </w:rPr>
      </w:pPr>
      <w:r>
        <w:rPr>
          <w:rFonts w:ascii="Times New Roman" w:cs="Times New Roman" w:eastAsia="Times New Roman" w:hAnsi="Times New Roman"/>
          <w:sz w:val="17"/>
          <w:szCs w:val="17"/>
          <w:color w:val="auto"/>
        </w:rPr>
        <w:t xml:space="preserve">SECTION 6.04. </w:t>
      </w:r>
      <w:r>
        <w:rPr>
          <w:rFonts w:ascii="Times New Roman" w:cs="Times New Roman" w:eastAsia="Times New Roman" w:hAnsi="Times New Roman"/>
          <w:sz w:val="17"/>
          <w:szCs w:val="17"/>
          <w:u w:val="single" w:color="auto"/>
          <w:color w:val="auto"/>
        </w:rPr>
        <w:t>Fundamental Changes; Business Activities</w:t>
      </w:r>
      <w:r>
        <w:rPr>
          <w:rFonts w:ascii="Times New Roman" w:cs="Times New Roman" w:eastAsia="Times New Roman" w:hAnsi="Times New Roman"/>
          <w:sz w:val="17"/>
          <w:szCs w:val="17"/>
          <w:color w:val="auto"/>
        </w:rPr>
        <w:t xml:space="preserve">. (a) The Company will not, and will not permit any Subsidiary to, amalgamate with, merge into or consolidate with any other Person, or permit any other Person to amalgamate with, merge into or consolidate with it, or liquidate or dissolve, except that (i) the Cavium Acquisition may be consummated </w:t>
      </w:r>
      <w:r>
        <w:rPr>
          <w:rFonts w:ascii="Times New Roman" w:cs="Times New Roman" w:eastAsia="Times New Roman" w:hAnsi="Times New Roman"/>
          <w:sz w:val="17"/>
          <w:szCs w:val="17"/>
          <w:color w:val="FF4338"/>
        </w:rPr>
        <w:t>and</w:t>
      </w:r>
      <w:r>
        <w:rPr>
          <w:rFonts w:ascii="Times New Roman" w:cs="Times New Roman" w:eastAsia="Times New Roman" w:hAnsi="Times New Roman"/>
          <w:sz w:val="17"/>
          <w:szCs w:val="17"/>
          <w:u w:val="single" w:color="auto"/>
          <w:color w:val="0000FF"/>
        </w:rPr>
        <w:t>,</w:t>
      </w:r>
      <w:r>
        <w:rPr>
          <w:rFonts w:ascii="Times New Roman" w:cs="Times New Roman" w:eastAsia="Times New Roman" w:hAnsi="Times New Roman"/>
          <w:sz w:val="17"/>
          <w:szCs w:val="17"/>
          <w:color w:val="auto"/>
        </w:rPr>
        <w:t xml:space="preserve"> (ii</w:t>
      </w:r>
      <w:r>
        <w:rPr>
          <w:rFonts w:ascii="Times New Roman" w:cs="Times New Roman" w:eastAsia="Times New Roman" w:hAnsi="Times New Roman"/>
          <w:sz w:val="17"/>
          <w:szCs w:val="17"/>
          <w:u w:val="single" w:color="auto"/>
          <w:color w:val="0000FF"/>
        </w:rPr>
        <w:t>) the Inphi Acquisition and the Inphi Acquisition Permitted Reorganization</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u w:val="single" w:color="auto"/>
          <w:color w:val="0000FF"/>
        </w:rPr>
        <w:t>may be consummated and (iii</w:t>
      </w:r>
      <w:r>
        <w:rPr>
          <w:rFonts w:ascii="Times New Roman" w:cs="Times New Roman" w:eastAsia="Times New Roman" w:hAnsi="Times New Roman"/>
          <w:sz w:val="17"/>
          <w:szCs w:val="17"/>
          <w:color w:val="000000"/>
        </w:rPr>
        <w:t>) if at the time thereof and immediately after giving effect thereto no Event of Default shall have occurred and be</w:t>
      </w:r>
      <w:r>
        <w:rPr>
          <w:rFonts w:ascii="Times New Roman" w:cs="Times New Roman" w:eastAsia="Times New Roman" w:hAnsi="Times New Roman"/>
          <w:sz w:val="17"/>
          <w:szCs w:val="17"/>
          <w:color w:val="0000FF"/>
        </w:rPr>
        <w:t xml:space="preserve"> </w:t>
      </w:r>
      <w:r>
        <w:rPr>
          <w:rFonts w:ascii="Times New Roman" w:cs="Times New Roman" w:eastAsia="Times New Roman" w:hAnsi="Times New Roman"/>
          <w:sz w:val="17"/>
          <w:szCs w:val="17"/>
          <w:color w:val="000000"/>
        </w:rPr>
        <w:t>continuing and, in the case of clause (D) below, the Company shall be in compliance on a pro forma basis with the covenant set forth in Section 6.06,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3211195</wp:posOffset>
            </wp:positionH>
            <wp:positionV relativeFrom="paragraph">
              <wp:posOffset>-340360</wp:posOffset>
            </wp:positionV>
            <wp:extent cx="193675" cy="8255"/>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52">
                      <a:extLst>
                        <a:ext uri="{28A0092B-C50C-407E-A947-70E740481C1C}"/>
                      </a:extLst>
                    </a:blip>
                    <a:srcRect/>
                    <a:stretch>
                      <a:fillRect/>
                    </a:stretch>
                  </pic:blipFill>
                  <pic:spPr bwMode="auto">
                    <a:xfrm>
                      <a:off x="0" y="0"/>
                      <a:ext cx="193675" cy="8255"/>
                    </a:xfrm>
                    <a:prstGeom prst="rect">
                      <a:avLst/>
                    </a:prstGeom>
                    <a:noFill/>
                  </pic:spPr>
                </pic:pic>
              </a:graphicData>
            </a:graphic>
          </wp:anchor>
        </w:drawing>
        <w:drawing>
          <wp:anchor simplePos="0" relativeHeight="251657728" behindDoc="1" locked="0" layoutInCell="0" allowOverlap="1">
            <wp:simplePos x="0" y="0"/>
            <wp:positionH relativeFrom="column">
              <wp:posOffset>3402965</wp:posOffset>
            </wp:positionH>
            <wp:positionV relativeFrom="paragraph">
              <wp:posOffset>-263525</wp:posOffset>
            </wp:positionV>
            <wp:extent cx="3591560" cy="8890"/>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53">
                      <a:extLst>
                        <a:ext uri="{28A0092B-C50C-407E-A947-70E740481C1C}"/>
                      </a:extLst>
                    </a:blip>
                    <a:srcRect/>
                    <a:stretch>
                      <a:fillRect/>
                    </a:stretch>
                  </pic:blipFill>
                  <pic:spPr bwMode="auto">
                    <a:xfrm>
                      <a:off x="0" y="0"/>
                      <a:ext cx="35915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-126365</wp:posOffset>
            </wp:positionV>
            <wp:extent cx="1354455" cy="8255"/>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54">
                      <a:extLst>
                        <a:ext uri="{28A0092B-C50C-407E-A947-70E740481C1C}"/>
                      </a:extLst>
                    </a:blip>
                    <a:srcRect/>
                    <a:stretch>
                      <a:fillRect/>
                    </a:stretch>
                  </pic:blipFill>
                  <pic:spPr bwMode="auto">
                    <a:xfrm>
                      <a:off x="0" y="0"/>
                      <a:ext cx="1354455" cy="8255"/>
                    </a:xfrm>
                    <a:prstGeom prst="rect">
                      <a:avLst/>
                    </a:prstGeom>
                    <a:noFill/>
                  </pic:spPr>
                </pic:pic>
              </a:graphicData>
            </a:graphic>
          </wp:anchor>
        </w:drawing>
      </w:r>
    </w:p>
    <w:p>
      <w:pPr>
        <w:ind w:left="4" w:right="20" w:hanging="4"/>
        <w:spacing w:after="0" w:line="251" w:lineRule="auto"/>
        <w:tabs>
          <w:tab w:leader="none" w:pos="299" w:val="left"/>
        </w:tabs>
        <w:numPr>
          <w:ilvl w:val="0"/>
          <w:numId w:val="3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Person may amalgamate, merge or consolidate with the Company in a transaction in which the Company is the surviving entity, (B) the Company may merge or consolidate with any Person (including the Permitted Reorganization Merger Subsidiary) in a transaction in which such Person is the surviving entity,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(1) such Person is a corporation organized under the laws of the State of Delaware, (2) prior to or substantially concurrently with the consummation of such merger or consolidation, (x) such Person shall execute and deliver to the Agents an assumption agreement (the “</w:t>
      </w:r>
      <w:r>
        <w:rPr>
          <w:rFonts w:ascii="Times New Roman" w:cs="Times New Roman" w:eastAsia="Times New Roman" w:hAnsi="Times New Roman"/>
          <w:sz w:val="18"/>
          <w:szCs w:val="18"/>
          <w:u w:val="single" w:color="auto"/>
          <w:color w:val="auto"/>
        </w:rPr>
        <w:t>Assumption Agreement</w:t>
      </w:r>
      <w:r>
        <w:rPr>
          <w:rFonts w:ascii="Times New Roman" w:cs="Times New Roman" w:eastAsia="Times New Roman" w:hAnsi="Times New Roman"/>
          <w:sz w:val="18"/>
          <w:szCs w:val="18"/>
          <w:color w:val="auto"/>
        </w:rPr>
        <w:t>”), in form and substance reasonably satisfactory to the Agents, pursuant to which such Person shall assume all of the obligations of the Company under this Agreement and the other Loan Documents, and (y) such Person shall deliver to the Agents such documents, certificates and opinions as any of the Agents may reasonably request relating to such Person, such merger or consolidation or the Assumption Agreement, all in form and substance reasonably satisfactory to the Agents, and (3) the Lenders shall have received, at least five Business Days prior to the date of the consummation of such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any Agent or any Lender and (y) to the extent such Person qualifies as a “legal entity customer” under the Beneficial Ownership Regulation, a Beneficial Ownership Certification in relation to such Person, it being agreed that upon the execution and delivery to the Agents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12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004"/>
          </w:cols>
          <w:pgMar w:left="436" w:top="270" w:right="459" w:bottom="1440" w:gutter="0" w:footer="0" w:header="0"/>
        </w:sectPr>
      </w:pPr>
    </w:p>
    <w:bookmarkStart w:id="375" w:name="page376"/>
    <w:bookmarkEnd w:id="375"/>
    <w:p>
      <w:pPr>
        <w:ind w:left="4" w:right="240" w:firstLine="987"/>
        <w:spacing w:after="0" w:line="289" w:lineRule="auto"/>
        <w:tabs>
          <w:tab w:leader="none" w:pos="1250" w:val="left"/>
        </w:tabs>
        <w:numPr>
          <w:ilvl w:val="0"/>
          <w:numId w:val="34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the Subsidiaries (whether now owned or hereafter acquired), taken as a whole.</w:t>
      </w:r>
    </w:p>
    <w:p>
      <w:pPr>
        <w:spacing w:after="0" w:line="157" w:lineRule="exact"/>
        <w:rPr>
          <w:rFonts w:ascii="Times New Roman" w:cs="Times New Roman" w:eastAsia="Times New Roman" w:hAnsi="Times New Roman"/>
          <w:sz w:val="17"/>
          <w:szCs w:val="17"/>
          <w:color w:val="auto"/>
        </w:rPr>
      </w:pPr>
    </w:p>
    <w:p>
      <w:pPr>
        <w:ind w:left="4" w:firstLine="987"/>
        <w:spacing w:after="0" w:line="266" w:lineRule="auto"/>
        <w:tabs>
          <w:tab w:leader="none" w:pos="1240" w:val="left"/>
        </w:tabs>
        <w:numPr>
          <w:ilvl w:val="0"/>
          <w:numId w:val="3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 including the business of Cavium and its subsidiaries conducted by them on the Effective Date.</w:t>
      </w:r>
    </w:p>
    <w:p>
      <w:pPr>
        <w:spacing w:after="0" w:line="176" w:lineRule="exact"/>
        <w:rPr>
          <w:sz w:val="20"/>
          <w:szCs w:val="20"/>
          <w:color w:val="auto"/>
        </w:rPr>
      </w:pPr>
    </w:p>
    <w:p>
      <w:pPr>
        <w:ind w:left="4" w:right="40" w:firstLine="991"/>
        <w:spacing w:after="0" w:line="269" w:lineRule="auto"/>
        <w:rPr>
          <w:sz w:val="20"/>
          <w:szCs w:val="20"/>
          <w:color w:val="auto"/>
        </w:rPr>
      </w:pPr>
      <w:r>
        <w:rPr>
          <w:rFonts w:ascii="Times New Roman" w:cs="Times New Roman" w:eastAsia="Times New Roman" w:hAnsi="Times New Roman"/>
          <w:sz w:val="17"/>
          <w:szCs w:val="17"/>
          <w:u w:val="single" w:color="auto"/>
          <w:color w:val="0000FF"/>
        </w:rPr>
        <w:t xml:space="preserve">SECTION 6.05. [Reserved]. </w:t>
      </w:r>
      <w:r>
        <w:rPr>
          <w:rFonts w:ascii="Times New Roman" w:cs="Times New Roman" w:eastAsia="Times New Roman" w:hAnsi="Times New Roman"/>
          <w:sz w:val="17"/>
          <w:szCs w:val="17"/>
          <w:u w:val="single" w:color="auto"/>
          <w:color w:val="FF4338"/>
          <w:strike w:val="1"/>
        </w:rPr>
        <w:t>Restrictive Agreements</w:t>
      </w:r>
      <w:r>
        <w:rPr>
          <w:rFonts w:ascii="Times New Roman" w:cs="Times New Roman" w:eastAsia="Times New Roman" w:hAnsi="Times New Roman"/>
          <w:sz w:val="17"/>
          <w:szCs w:val="17"/>
          <w:color w:val="FF4338"/>
          <w:strike w:val="1"/>
        </w:rPr>
        <w:t>. The Company will not, and will not permit any Subsidiary to, enter into or permit to</w:t>
      </w:r>
      <w:r>
        <w:rPr>
          <w:rFonts w:ascii="Times New Roman" w:cs="Times New Roman" w:eastAsia="Times New Roman" w:hAnsi="Times New Roman"/>
          <w:sz w:val="17"/>
          <w:szCs w:val="17"/>
          <w:u w:val="single" w:color="auto"/>
          <w:color w:val="0000FF"/>
        </w:rPr>
        <w:t xml:space="preserve"> </w:t>
      </w:r>
      <w:r>
        <w:rPr>
          <w:rFonts w:ascii="Times New Roman" w:cs="Times New Roman" w:eastAsia="Times New Roman" w:hAnsi="Times New Roman"/>
          <w:sz w:val="17"/>
          <w:szCs w:val="17"/>
          <w:color w:val="FF4338"/>
          <w:strike w:val="1"/>
        </w:rPr>
        <w:t xml:space="preserve">exist any agreement or other arrangement that restricts or imposes any condition upon (a) the ability of the Company or any Subsidiary to create, incur or permit to exist any Lien upon any of its assets to secure the Obligations or (b) the ability of any Subsidiary to pay dividends or other distributions with respect to its Equity Interests or to make or repay loans or advances to the Company or any other Subsidiary or to Guarantee Indebtedness of the Company or any Subsidiary; </w:t>
      </w:r>
      <w:r>
        <w:rPr>
          <w:rFonts w:ascii="Times New Roman" w:cs="Times New Roman" w:eastAsia="Times New Roman" w:hAnsi="Times New Roman"/>
          <w:sz w:val="17"/>
          <w:szCs w:val="17"/>
          <w:u w:val="single" w:color="auto"/>
          <w:color w:val="FF4338"/>
          <w:strike w:val="1"/>
        </w:rPr>
        <w:t>provided</w:t>
      </w:r>
      <w:r>
        <w:rPr>
          <w:rFonts w:ascii="Times New Roman" w:cs="Times New Roman" w:eastAsia="Times New Roman" w:hAnsi="Times New Roman"/>
          <w:sz w:val="17"/>
          <w:szCs w:val="17"/>
          <w:color w:val="FF4338"/>
          <w:strike w:val="1"/>
        </w:rPr>
        <w:t xml:space="preserve"> that (i) the foregoing shall not apply to (A) restrictions and conditions imposed by law or by any Loan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625475</wp:posOffset>
            </wp:positionH>
            <wp:positionV relativeFrom="paragraph">
              <wp:posOffset>-537845</wp:posOffset>
            </wp:positionV>
            <wp:extent cx="1303020" cy="8255"/>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56">
                      <a:extLst>
                        <a:ext uri="{28A0092B-C50C-407E-A947-70E740481C1C}"/>
                      </a:extLst>
                    </a:blip>
                    <a:srcRect/>
                    <a:stretch>
                      <a:fillRect/>
                    </a:stretch>
                  </pic:blipFill>
                  <pic:spPr bwMode="auto">
                    <a:xfrm>
                      <a:off x="0" y="0"/>
                      <a:ext cx="1303020" cy="8255"/>
                    </a:xfrm>
                    <a:prstGeom prst="rect">
                      <a:avLst/>
                    </a:prstGeom>
                    <a:noFill/>
                  </pic:spPr>
                </pic:pic>
              </a:graphicData>
            </a:graphic>
          </wp:anchor>
        </w:drawing>
      </w:r>
    </w:p>
    <w:p>
      <w:pPr>
        <w:ind w:left="4" w:right="60" w:hanging="4"/>
        <w:spacing w:after="0" w:line="251" w:lineRule="auto"/>
        <w:tabs>
          <w:tab w:leader="none" w:pos="289" w:val="left"/>
        </w:tabs>
        <w:numPr>
          <w:ilvl w:val="0"/>
          <w:numId w:val="342"/>
        </w:numPr>
        <w:rPr>
          <w:rFonts w:ascii="Times New Roman" w:cs="Times New Roman" w:eastAsia="Times New Roman" w:hAnsi="Times New Roman"/>
          <w:sz w:val="18"/>
          <w:szCs w:val="18"/>
          <w:color w:val="FF4338"/>
          <w:strike w:val="1"/>
        </w:rPr>
      </w:pPr>
      <w:r>
        <w:rPr>
          <w:rFonts w:ascii="Times New Roman" w:cs="Times New Roman" w:eastAsia="Times New Roman" w:hAnsi="Times New Roman"/>
          <w:sz w:val="18"/>
          <w:szCs w:val="18"/>
          <w:color w:val="FF4338"/>
          <w:strike w:val="1"/>
        </w:rPr>
        <w:t xml:space="preserve">restrictions and conditions existing on the Effective Date and identified on Schedule 6.05 and amendments, extensions and renewals thereof (including any such extension or renewal arising as a result of an extension, renewal or refinancing of any Indebtedness containing such restriction or condition),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in each case, that the scope of any such restriction or condition shall not have been expanded as a result thereof, (C) restrictions and conditions imposed by agreements relating to Indebtedness permitted by Section 6.01(e) of any Person that becomes a Subsidiary after the Effective Date existing at the time such Subsidiary becomes a Subsidiary,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that such restrictions and conditions apply only to such Subsidiary, and amendments, extensions and renewals thereof (including any such extension or renewal arising as a result of an extension, renewal or refinancing of any Indebtedness containing such restriction or condition),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in each case, that the scope of any such restriction or condition shall not have been expanded as a result thereof, (D) in the case of any Subsidiary that is not a wholly owned Subsidiary or the Equity Interests in any Person that is not a Subsidiary, restrictions and conditions imposed by the organizational documents of such Subsidiary or such other Person or any related joint venture, shareholders’ or similar agreement,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in each case, that such restrictions and conditions apply only to such Subsidiary and to any Equity Interests in such Subsidiary or to the Equity Interests in such other Person, as applicable, (E) restrictions on cash or deposits or net worth imposed by customers, suppliers or landlords under agreements entered into in the ordinary course of business and (F) (1) restrictions and conditions imposed by any agreement or instrument evidencing or governing any Cavium Acquisition</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73</w:t>
      </w:r>
    </w:p>
    <w:p>
      <w:pPr>
        <w:sectPr>
          <w:pgSz w:w="11900" w:h="16838" w:orient="portrait"/>
          <w:cols w:equalWidth="0" w:num="1">
            <w:col w:w="11024"/>
          </w:cols>
          <w:pgMar w:left="436" w:top="270" w:right="439" w:bottom="1440" w:gutter="0" w:footer="0" w:header="0"/>
        </w:sectPr>
      </w:pPr>
    </w:p>
    <w:bookmarkStart w:id="376" w:name="page377"/>
    <w:bookmarkEnd w:id="376"/>
    <w:p>
      <w:pPr>
        <w:spacing w:after="0" w:line="252" w:lineRule="auto"/>
        <w:rPr>
          <w:sz w:val="20"/>
          <w:szCs w:val="20"/>
          <w:color w:val="auto"/>
        </w:rPr>
      </w:pPr>
      <w:r>
        <w:rPr>
          <w:rFonts w:ascii="Times New Roman" w:cs="Times New Roman" w:eastAsia="Times New Roman" w:hAnsi="Times New Roman"/>
          <w:sz w:val="18"/>
          <w:szCs w:val="18"/>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Indebtedness,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that, in the good faith judgment of the Company, such restrictions and conditions are on customary market terms for Indebtedness of such type and such restrictions and conditions would not reasonably be expected to impair in any material respect the ability of the Company to meet its obligations under the Loan Documents, and amendments, extensions and renewals thereof (including any such extension or renewal arising as a result of an extension, renewal or refinancing of any Indebtedness containing such restriction or condition),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in each case, that the scope of any such restriction or condition shall not have been expanded as a result thereof, and (2) restrictions and conditions imposed by any agreement or instrument evidencing or governing any other Indebtedness,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that such restrictions and conditions are not materially less favorable to the interests of the Lenders from the restrictions imposed by any agreement or instrument referred to in clause (1) above; (ii) clause (a) of the foregoing shall not apply to (A) restrictions or conditions imposed by any agreement governing Liens permitted by clause (c), (d), (k), (l), (m) or (o) of the definition of “Permitted Liens” or 6.02(c), 6.02(e), 6.02(g), 6.02(h), 6.02(i) or 6.02(j), in each case, if such restrictions or conditions apply only to the assets securing such Indebtedness or subject to such Liens, (B) customary provisions in leases and other agreements restricting the assignment thereof and (C) customary restrictions in respect of intellectual property contained in licenses or sublicenses of, or other grants of rights to use or exploit, such intellectual property and (iii) clause (b) of the foregoing shall not apply to customary restrictions and conditions contained in agreements relating to the sale of a Subsidiary, or a business unit, division, product line or line of business, that are applicable solely pending such sale, </w:t>
      </w:r>
      <w:r>
        <w:rPr>
          <w:rFonts w:ascii="Times New Roman" w:cs="Times New Roman" w:eastAsia="Times New Roman" w:hAnsi="Times New Roman"/>
          <w:sz w:val="18"/>
          <w:szCs w:val="18"/>
          <w:u w:val="single" w:color="auto"/>
          <w:color w:val="FF4338"/>
          <w:strike w:val="1"/>
        </w:rPr>
        <w:t>provided</w:t>
      </w:r>
      <w:r>
        <w:rPr>
          <w:rFonts w:ascii="Times New Roman" w:cs="Times New Roman" w:eastAsia="Times New Roman" w:hAnsi="Times New Roman"/>
          <w:sz w:val="18"/>
          <w:szCs w:val="18"/>
          <w:color w:val="FF4338"/>
          <w:strike w:val="1"/>
        </w:rPr>
        <w:t xml:space="preserve"> that such restrictions and conditions apply only to the Subsidiary, or the business unit, division, product line or line of business, that is to be sold and such sale is permitted hereunder.</w:t>
      </w:r>
    </w:p>
    <w:p>
      <w:pPr>
        <w:spacing w:after="0" w:line="304" w:lineRule="exact"/>
        <w:rPr>
          <w:sz w:val="20"/>
          <w:szCs w:val="20"/>
          <w:color w:val="auto"/>
        </w:rPr>
      </w:pPr>
    </w:p>
    <w:p>
      <w:pPr>
        <w:ind w:right="8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6.06. </w:t>
      </w:r>
      <w:r>
        <w:rPr>
          <w:rFonts w:ascii="Times New Roman" w:cs="Times New Roman" w:eastAsia="Times New Roman" w:hAnsi="Times New Roman"/>
          <w:sz w:val="18"/>
          <w:szCs w:val="18"/>
          <w:u w:val="single" w:color="auto"/>
          <w:color w:val="auto"/>
        </w:rPr>
        <w:t>Leverage Ratio</w:t>
      </w:r>
      <w:r>
        <w:rPr>
          <w:rFonts w:ascii="Times New Roman" w:cs="Times New Roman" w:eastAsia="Times New Roman" w:hAnsi="Times New Roman"/>
          <w:sz w:val="18"/>
          <w:szCs w:val="18"/>
          <w:color w:val="auto"/>
        </w:rPr>
        <w:t xml:space="preserve">. The Company will not permit the Leverage Ratio on the last day of any fiscal quarter of the Company to exceed </w:t>
      </w:r>
      <w:r>
        <w:rPr>
          <w:rFonts w:ascii="Times New Roman" w:cs="Times New Roman" w:eastAsia="Times New Roman" w:hAnsi="Times New Roman"/>
          <w:sz w:val="18"/>
          <w:szCs w:val="18"/>
          <w:u w:val="single" w:color="auto"/>
          <w:color w:val="0000FF"/>
        </w:rPr>
        <w:t>(a)</w:t>
      </w:r>
      <w:r>
        <w:rPr>
          <w:rFonts w:ascii="Times New Roman" w:cs="Times New Roman" w:eastAsia="Times New Roman" w:hAnsi="Times New Roman"/>
          <w:sz w:val="18"/>
          <w:szCs w:val="18"/>
          <w:color w:val="auto"/>
        </w:rPr>
        <w:t xml:space="preserve"> 3.00 to 1.00</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0000FF"/>
        </w:rPr>
        <w:t>and (b) commencing with the fiscal quarter following the Inphi Acquisition Closing Date (or, with respect to any pro forma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calculation required to be made on or after the Inphi Acquisition Closing Date, commencing with the Inphi Acquisition Closing Date), 4.75 to 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340360</wp:posOffset>
            </wp:positionH>
            <wp:positionV relativeFrom="paragraph">
              <wp:posOffset>-141605</wp:posOffset>
            </wp:positionV>
            <wp:extent cx="6395085" cy="8255"/>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58">
                      <a:extLst>
                        <a:ext uri="{28A0092B-C50C-407E-A947-70E740481C1C}"/>
                      </a:extLst>
                    </a:blip>
                    <a:srcRect/>
                    <a:stretch>
                      <a:fillRect/>
                    </a:stretch>
                  </pic:blipFill>
                  <pic:spPr bwMode="auto">
                    <a:xfrm>
                      <a:off x="0" y="0"/>
                      <a:ext cx="6395085" cy="8255"/>
                    </a:xfrm>
                    <a:prstGeom prst="rect">
                      <a:avLst/>
                    </a:prstGeom>
                    <a:noFill/>
                  </pic:spPr>
                </pic:pic>
              </a:graphicData>
            </a:graphic>
          </wp:anchor>
        </w:drawing>
        <w:drawing>
          <wp:anchor simplePos="0" relativeHeight="251657728" behindDoc="1" locked="0" layoutInCell="0" allowOverlap="1">
            <wp:simplePos x="0" y="0"/>
            <wp:positionH relativeFrom="column">
              <wp:posOffset>1072515</wp:posOffset>
            </wp:positionH>
            <wp:positionV relativeFrom="paragraph">
              <wp:posOffset>-175895</wp:posOffset>
            </wp:positionV>
            <wp:extent cx="5665470" cy="8255"/>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59">
                      <a:extLst>
                        <a:ext uri="{28A0092B-C50C-407E-A947-70E740481C1C}"/>
                      </a:extLst>
                    </a:blip>
                    <a:srcRect/>
                    <a:stretch>
                      <a:fillRect/>
                    </a:stretch>
                  </pic:blipFill>
                  <pic:spPr bwMode="auto">
                    <a:xfrm>
                      <a:off x="0" y="0"/>
                      <a:ext cx="566547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-4445</wp:posOffset>
            </wp:positionV>
            <wp:extent cx="6746240" cy="8255"/>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60">
                      <a:extLst>
                        <a:ext uri="{28A0092B-C50C-407E-A947-70E740481C1C}"/>
                      </a:extLst>
                    </a:blip>
                    <a:srcRect/>
                    <a:stretch>
                      <a:fillRect/>
                    </a:stretch>
                  </pic:blipFill>
                  <pic:spPr bwMode="auto">
                    <a:xfrm>
                      <a:off x="0" y="0"/>
                      <a:ext cx="6746240" cy="8255"/>
                    </a:xfrm>
                    <a:prstGeom prst="rect">
                      <a:avLst/>
                    </a:prstGeom>
                    <a:noFill/>
                  </pic:spPr>
                </pic:pic>
              </a:graphicData>
            </a:graphic>
          </wp:anchor>
        </w:drawing>
      </w:r>
    </w:p>
    <w:p>
      <w:pPr>
        <w:spacing w:after="0" w:line="3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VII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Events of Default</w:t>
      </w:r>
    </w:p>
    <w:p>
      <w:pPr>
        <w:spacing w:after="0" w:line="22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 xml:space="preserve">SECTION 7.01. </w:t>
      </w:r>
      <w:r>
        <w:rPr>
          <w:rFonts w:ascii="Times New Roman" w:cs="Times New Roman" w:eastAsia="Times New Roman" w:hAnsi="Times New Roman"/>
          <w:sz w:val="18"/>
          <w:szCs w:val="18"/>
          <w:u w:val="single" w:color="auto"/>
          <w:color w:val="auto"/>
        </w:rPr>
        <w:t>Events of Default; Remedies</w:t>
      </w:r>
      <w:r>
        <w:rPr>
          <w:rFonts w:ascii="Times New Roman" w:cs="Times New Roman" w:eastAsia="Times New Roman" w:hAnsi="Times New Roman"/>
          <w:sz w:val="18"/>
          <w:szCs w:val="18"/>
          <w:color w:val="auto"/>
        </w:rPr>
        <w:t>. If any of the following events (“</w:t>
      </w:r>
      <w:r>
        <w:rPr>
          <w:rFonts w:ascii="Times New Roman" w:cs="Times New Roman" w:eastAsia="Times New Roman" w:hAnsi="Times New Roman"/>
          <w:sz w:val="18"/>
          <w:szCs w:val="18"/>
          <w:u w:val="single" w:color="auto"/>
          <w:color w:val="auto"/>
        </w:rPr>
        <w:t>Events of Default</w:t>
      </w:r>
      <w:r>
        <w:rPr>
          <w:rFonts w:ascii="Times New Roman" w:cs="Times New Roman" w:eastAsia="Times New Roman" w:hAnsi="Times New Roman"/>
          <w:sz w:val="18"/>
          <w:szCs w:val="18"/>
          <w:color w:val="auto"/>
        </w:rPr>
        <w:t>”) shall occur:</w:t>
      </w:r>
    </w:p>
    <w:p>
      <w:pPr>
        <w:spacing w:after="0" w:line="117" w:lineRule="exact"/>
        <w:rPr>
          <w:sz w:val="20"/>
          <w:szCs w:val="20"/>
          <w:color w:val="auto"/>
        </w:rPr>
      </w:pPr>
    </w:p>
    <w:p>
      <w:pPr>
        <w:ind w:left="440" w:right="300" w:firstLine="419"/>
        <w:spacing w:after="0" w:line="282" w:lineRule="auto"/>
        <w:tabs>
          <w:tab w:leader="none" w:pos="1108" w:val="left"/>
        </w:tabs>
        <w:numPr>
          <w:ilvl w:val="0"/>
          <w:numId w:val="3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principal of any Loan when and as the same shall become due and payable, whether at the due date thereof or at a date fixed for prepayment thereof or otherwise;</w:t>
      </w:r>
    </w:p>
    <w:p>
      <w:pPr>
        <w:spacing w:after="0" w:line="53" w:lineRule="exact"/>
        <w:rPr>
          <w:rFonts w:ascii="Times New Roman" w:cs="Times New Roman" w:eastAsia="Times New Roman" w:hAnsi="Times New Roman"/>
          <w:sz w:val="18"/>
          <w:szCs w:val="18"/>
          <w:color w:val="auto"/>
        </w:rPr>
      </w:pPr>
    </w:p>
    <w:p>
      <w:pPr>
        <w:ind w:left="440" w:right="120" w:firstLine="419"/>
        <w:spacing w:after="0" w:line="266" w:lineRule="auto"/>
        <w:tabs>
          <w:tab w:leader="none" w:pos="1118" w:val="left"/>
        </w:tabs>
        <w:numPr>
          <w:ilvl w:val="0"/>
          <w:numId w:val="3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74</w:t>
      </w:r>
    </w:p>
    <w:p>
      <w:pPr>
        <w:sectPr>
          <w:pgSz w:w="11900" w:h="16838" w:orient="portrait"/>
          <w:cols w:equalWidth="0" w:num="1">
            <w:col w:w="11000"/>
          </w:cols>
          <w:pgMar w:left="440" w:top="270" w:right="459" w:bottom="1440" w:gutter="0" w:footer="0" w:header="0"/>
        </w:sectPr>
      </w:pPr>
    </w:p>
    <w:bookmarkStart w:id="377" w:name="page378"/>
    <w:bookmarkEnd w:id="377"/>
    <w:p>
      <w:pPr>
        <w:ind w:right="20" w:firstLine="419"/>
        <w:spacing w:after="0" w:line="266" w:lineRule="auto"/>
        <w:tabs>
          <w:tab w:leader="none" w:pos="668"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67" w:lineRule="exact"/>
        <w:rPr>
          <w:rFonts w:ascii="Times New Roman" w:cs="Times New Roman" w:eastAsia="Times New Roman" w:hAnsi="Times New Roman"/>
          <w:sz w:val="18"/>
          <w:szCs w:val="18"/>
          <w:color w:val="auto"/>
        </w:rPr>
      </w:pPr>
    </w:p>
    <w:p>
      <w:pPr>
        <w:ind w:right="260" w:firstLine="419"/>
        <w:spacing w:after="0" w:line="282" w:lineRule="auto"/>
        <w:tabs>
          <w:tab w:leader="none" w:pos="678"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observe or perform any covenant, condition or agreement contained in Section 5.02(a), 5.03 (with respect to the existence of the Company) or 5.09 or in Article VI;</w:t>
      </w:r>
    </w:p>
    <w:p>
      <w:pPr>
        <w:spacing w:after="0" w:line="53" w:lineRule="exact"/>
        <w:rPr>
          <w:rFonts w:ascii="Times New Roman" w:cs="Times New Roman" w:eastAsia="Times New Roman" w:hAnsi="Times New Roman"/>
          <w:sz w:val="18"/>
          <w:szCs w:val="18"/>
          <w:color w:val="auto"/>
        </w:rPr>
      </w:pPr>
    </w:p>
    <w:p>
      <w:pPr>
        <w:ind w:right="220" w:firstLine="419"/>
        <w:spacing w:after="0" w:line="266" w:lineRule="auto"/>
        <w:tabs>
          <w:tab w:leader="none" w:pos="668"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fail to observe or perform any covenant, condition or agreement contained in any Loan Document (other than those specified in clause (a), (b) or (d) of this Section), and such failure shall continue unremedied for a period of 30 days after written notice thereof from any Agent or any Lender to the Company (with a copy to each of the Agents in the case of any such notice from a Lender);</w:t>
      </w:r>
    </w:p>
    <w:p>
      <w:pPr>
        <w:spacing w:after="0" w:line="67" w:lineRule="exact"/>
        <w:rPr>
          <w:rFonts w:ascii="Times New Roman" w:cs="Times New Roman" w:eastAsia="Times New Roman" w:hAnsi="Times New Roman"/>
          <w:sz w:val="18"/>
          <w:szCs w:val="18"/>
          <w:color w:val="auto"/>
        </w:rPr>
      </w:pPr>
    </w:p>
    <w:p>
      <w:pPr>
        <w:ind w:right="320" w:firstLine="419"/>
        <w:spacing w:after="0" w:line="282" w:lineRule="auto"/>
        <w:tabs>
          <w:tab w:leader="none" w:pos="648"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53" w:lineRule="exact"/>
        <w:rPr>
          <w:rFonts w:ascii="Times New Roman" w:cs="Times New Roman" w:eastAsia="Times New Roman" w:hAnsi="Times New Roman"/>
          <w:sz w:val="18"/>
          <w:szCs w:val="18"/>
          <w:color w:val="auto"/>
        </w:rPr>
      </w:pPr>
    </w:p>
    <w:p>
      <w:pPr>
        <w:ind w:firstLine="419"/>
        <w:spacing w:after="0" w:line="253" w:lineRule="auto"/>
        <w:tabs>
          <w:tab w:leader="none" w:pos="678" w:val="left"/>
        </w:tabs>
        <w:numPr>
          <w:ilvl w:val="0"/>
          <w:numId w:val="3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124" w:lineRule="exact"/>
        <w:rPr>
          <w:sz w:val="20"/>
          <w:szCs w:val="20"/>
          <w:color w:val="auto"/>
        </w:rPr>
      </w:pPr>
    </w:p>
    <w:p>
      <w:pPr>
        <w:jc w:val="center"/>
        <w:ind w:right="440"/>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0580"/>
          </w:cols>
          <w:pgMar w:left="880" w:top="270" w:right="439" w:bottom="1440" w:gutter="0" w:footer="0" w:header="0"/>
        </w:sectPr>
      </w:pPr>
    </w:p>
    <w:bookmarkStart w:id="378" w:name="page379"/>
    <w:bookmarkEnd w:id="378"/>
    <w:p>
      <w:pPr>
        <w:ind w:left="4" w:right="120" w:firstLine="419"/>
        <w:spacing w:after="0" w:line="272" w:lineRule="auto"/>
        <w:tabs>
          <w:tab w:leader="none" w:pos="681" w:val="left"/>
        </w:tabs>
        <w:numPr>
          <w:ilvl w:val="1"/>
          <w:numId w:val="34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spacing w:after="0" w:line="1" w:lineRule="exact"/>
        <w:rPr>
          <w:rFonts w:ascii="Times New Roman" w:cs="Times New Roman" w:eastAsia="Times New Roman" w:hAnsi="Times New Roman"/>
          <w:sz w:val="17"/>
          <w:szCs w:val="17"/>
          <w:color w:val="auto"/>
        </w:rPr>
      </w:pPr>
    </w:p>
    <w:p>
      <w:pPr>
        <w:ind w:left="4" w:right="300" w:hanging="4"/>
        <w:spacing w:after="0" w:line="255" w:lineRule="auto"/>
        <w:tabs>
          <w:tab w:leader="none" w:pos="268" w:val="left"/>
        </w:tabs>
        <w:numPr>
          <w:ilvl w:val="0"/>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77" w:lineRule="exact"/>
        <w:rPr>
          <w:rFonts w:ascii="Times New Roman" w:cs="Times New Roman" w:eastAsia="Times New Roman" w:hAnsi="Times New Roman"/>
          <w:sz w:val="18"/>
          <w:szCs w:val="18"/>
          <w:color w:val="auto"/>
        </w:rPr>
      </w:pPr>
    </w:p>
    <w:p>
      <w:pPr>
        <w:ind w:left="4" w:firstLine="419"/>
        <w:spacing w:after="0" w:line="254" w:lineRule="auto"/>
        <w:tabs>
          <w:tab w:leader="none" w:pos="641" w:val="left"/>
        </w:tabs>
        <w:numPr>
          <w:ilvl w:val="1"/>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(i) voluntarily commence any proceeding or file any petition seeking liquidation, reorganization, winding-up or other relief under any United States (Federal or state) or foreign bankruptcy, insolvency, receivership, winding-up or similar law now or hereafter in effect (other than, in the case of any Subsidiary, a voluntary liquidation or dissolution permitted by Section 6.04(a) (ii)(E)),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80" w:lineRule="exact"/>
        <w:rPr>
          <w:rFonts w:ascii="Times New Roman" w:cs="Times New Roman" w:eastAsia="Times New Roman" w:hAnsi="Times New Roman"/>
          <w:sz w:val="18"/>
          <w:szCs w:val="18"/>
          <w:color w:val="auto"/>
        </w:rPr>
      </w:pPr>
    </w:p>
    <w:p>
      <w:pPr>
        <w:ind w:left="4" w:right="520" w:firstLine="419"/>
        <w:spacing w:after="0" w:line="282" w:lineRule="auto"/>
        <w:tabs>
          <w:tab w:leader="none" w:pos="641" w:val="left"/>
        </w:tabs>
        <w:numPr>
          <w:ilvl w:val="1"/>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Material Subsidiary shall become unable, admit in writing its inability or fail generally to pay its debts as they become due;</w:t>
      </w:r>
    </w:p>
    <w:p>
      <w:pPr>
        <w:spacing w:after="0" w:line="53" w:lineRule="exact"/>
        <w:rPr>
          <w:rFonts w:ascii="Times New Roman" w:cs="Times New Roman" w:eastAsia="Times New Roman" w:hAnsi="Times New Roman"/>
          <w:sz w:val="18"/>
          <w:szCs w:val="18"/>
          <w:color w:val="auto"/>
        </w:rPr>
      </w:pPr>
    </w:p>
    <w:p>
      <w:pPr>
        <w:ind w:left="4" w:right="60" w:firstLine="419"/>
        <w:spacing w:after="0" w:line="256" w:lineRule="auto"/>
        <w:tabs>
          <w:tab w:leader="none" w:pos="681" w:val="left"/>
        </w:tabs>
        <w:numPr>
          <w:ilvl w:val="1"/>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79" w:lineRule="exact"/>
        <w:rPr>
          <w:rFonts w:ascii="Times New Roman" w:cs="Times New Roman" w:eastAsia="Times New Roman" w:hAnsi="Times New Roman"/>
          <w:sz w:val="18"/>
          <w:szCs w:val="18"/>
          <w:color w:val="auto"/>
        </w:rPr>
      </w:pPr>
    </w:p>
    <w:p>
      <w:pPr>
        <w:ind w:left="4" w:right="20" w:firstLine="419"/>
        <w:spacing w:after="0" w:line="282" w:lineRule="auto"/>
        <w:tabs>
          <w:tab w:leader="none" w:pos="641" w:val="left"/>
        </w:tabs>
        <w:numPr>
          <w:ilvl w:val="1"/>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one or more ERISA Events shall have occurred that, individually or in the aggregate, would reasonably be expected to result in a Material Adverse Effect; or</w:t>
      </w:r>
    </w:p>
    <w:p>
      <w:pPr>
        <w:spacing w:after="0" w:line="53" w:lineRule="exact"/>
        <w:rPr>
          <w:rFonts w:ascii="Times New Roman" w:cs="Times New Roman" w:eastAsia="Times New Roman" w:hAnsi="Times New Roman"/>
          <w:sz w:val="18"/>
          <w:szCs w:val="18"/>
          <w:color w:val="auto"/>
        </w:rPr>
      </w:pPr>
    </w:p>
    <w:p>
      <w:pPr>
        <w:ind w:left="724" w:hanging="301"/>
        <w:spacing w:after="0"/>
        <w:tabs>
          <w:tab w:leader="none" w:pos="724" w:val="left"/>
        </w:tabs>
        <w:numPr>
          <w:ilvl w:val="1"/>
          <w:numId w:val="3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Change in Control shall occur;</w:t>
      </w:r>
    </w:p>
    <w:p>
      <w:pPr>
        <w:spacing w:after="0" w:line="158" w:lineRule="exact"/>
        <w:rPr>
          <w:sz w:val="20"/>
          <w:szCs w:val="20"/>
          <w:color w:val="auto"/>
        </w:rPr>
      </w:pPr>
    </w:p>
    <w:p>
      <w:pPr>
        <w:jc w:val="center"/>
        <w:ind w:right="436"/>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0584"/>
          </w:cols>
          <w:pgMar w:left="876" w:top="270" w:right="439" w:bottom="1440" w:gutter="0" w:footer="0" w:header="0"/>
        </w:sectPr>
      </w:pPr>
    </w:p>
    <w:bookmarkStart w:id="379" w:name="page380"/>
    <w:bookmarkEnd w:id="379"/>
    <w:p>
      <w:pPr>
        <w:ind w:left="4" w:right="20"/>
        <w:spacing w:after="0" w:line="268"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then, and in every such event (other than an event with respect to the Company described in clause (h) or (i) of this Section), and at any time thereafter during the continuance of such event, the General Administrative Agent may, and at the request of (i) prior to the earlier of the borrowing of the Term Loans on the Term Funding Date and the termination or expiration of all the Term Commitments, (x) in the case of any Event of Default under clause (a), (b), (h), (i) or, solely with respect to failure to observe or perform any covenant in Section 6.04, (d) of this Section, the Required Lenders or (y) in the case of any other Event of Default, the Majority in Interest of the Revolving Lenders or (ii) on and after the earlier of the borrowing of the Term Loans on the Term Funding Date and the termination or expiration of all the Term Commitments, the Required Lenders shall, by notice to the Company, take any or all of the following actions, at the same or different times: (A) terminate the Revolving Commitments and, subject to the next succeeding paragraph, the Term Commitments, and thereupon the Revolving Commitments and/or the Term Commitments shall terminate immediately, and</w:t>
      </w:r>
    </w:p>
    <w:p>
      <w:pPr>
        <w:ind w:left="4" w:hanging="4"/>
        <w:spacing w:after="0" w:line="251" w:lineRule="auto"/>
        <w:tabs>
          <w:tab w:leader="none" w:pos="289" w:val="left"/>
        </w:tabs>
        <w:numPr>
          <w:ilvl w:val="0"/>
          <w:numId w:val="3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declare the Loans then outstanding to be due and payable in whole (or in part (but ratably as among the Classes of Loans and the Loans of each Class at the time outstanding),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and the Term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94" w:lineRule="exact"/>
        <w:rPr>
          <w:sz w:val="20"/>
          <w:szCs w:val="20"/>
          <w:color w:val="auto"/>
        </w:rPr>
      </w:pPr>
    </w:p>
    <w:p>
      <w:pPr>
        <w:ind w:left="4"/>
        <w:spacing w:after="0" w:line="268" w:lineRule="auto"/>
        <w:rPr>
          <w:sz w:val="20"/>
          <w:szCs w:val="20"/>
          <w:color w:val="auto"/>
        </w:rPr>
      </w:pPr>
      <w:r>
        <w:rPr>
          <w:rFonts w:ascii="Times New Roman" w:cs="Times New Roman" w:eastAsia="Times New Roman" w:hAnsi="Times New Roman"/>
          <w:sz w:val="17"/>
          <w:szCs w:val="17"/>
          <w:color w:val="auto"/>
        </w:rPr>
        <w:t>During the period from and including the Effective Date to and including the earlier of the borrowing of the Term Loans on the Term Funding Date and the termination or expiration of all the Term Commitments, and notwithstanding (I) any failure by the Company or any Subsidiary to observe or perform the covenants set forth in Article V or VI hereof (other than failure to observe or perform any covenant contained in Section 6.04), (II) the occurrence of any Default or Event of Default (other than any Event of Default under clause (a), (b), (h), (i) or, with respect to failure to observe or perform any covenant contained in Section 6.04, (d) of this Section) or (III) subject to the parenthetical provisions in clauses (I) and (II) above, any provision to the contrary in this Agreement, none of the General Administrative Agent, the Term Facility Agent or any Term Lender shall be entitled to (1) rescind, terminate or cancel the Term Facility or any of the Term Commitments hereunder, or exercise any right or remedy under this Agreement or any other Loan Document to the extent that to do so would prevent, limit or delay the making by any Term Lender of its Term Loan on the Term Funding Date,</w:t>
      </w:r>
    </w:p>
    <w:p>
      <w:pPr>
        <w:ind w:left="4" w:right="80" w:hanging="4"/>
        <w:spacing w:after="0" w:line="253" w:lineRule="auto"/>
        <w:tabs>
          <w:tab w:leader="none" w:pos="259" w:val="left"/>
        </w:tabs>
        <w:numPr>
          <w:ilvl w:val="0"/>
          <w:numId w:val="3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 the case of any Term Lender, refuse to make its Term Loan on the Term Funding Date or (3) in the case of any Term Lender, exercise any right of set-off or counterclaim in respect of its Term Loan to the extent that to do so would prevent, limit or delay the making of its Term Loan on the Term Funding Date;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for the avoidance of doubt, the borrowing of the Term Loans on the Term Funding Date shall be subject to the satisfaction (or waiver in accordance with</w:t>
      </w:r>
    </w:p>
    <w:p>
      <w:pPr>
        <w:spacing w:after="0" w:line="121"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0984"/>
          </w:cols>
          <w:pgMar w:left="436" w:top="270" w:right="479" w:bottom="1440" w:gutter="0" w:footer="0" w:header="0"/>
        </w:sectPr>
      </w:pPr>
    </w:p>
    <w:bookmarkStart w:id="380" w:name="page381"/>
    <w:bookmarkEnd w:id="380"/>
    <w:p>
      <w:pPr>
        <w:ind w:right="18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9.02) of the conditions precedent set forth in Section 4.02. For the avoidance of doubt, (x) the rights, remedies and entitlements of the General Administrative Agent, the Term Facility Agent and the Term Lenders with respect to any condition precedent set forth in Section 4.02 shall not be limited in the event that any such condition is not satisfied on the Term Funding Date, (y) after the funding of the Term Loans on the Term Funding Date, all of the rights, remedies and entitlements of the General Administrative Agent, the Term Facility Agent and the Term Lenders under this Agreement and the other Loan Documents shall be available and may be exercised by them notwithstanding that such rights, remedies or entitlements were not available prior to such time as a result of the provisions of this paragraph and (z) nothing in this paragraph shall affect the rights, remedies or entitlements (or the ability to exercise the same) of (i) the Revolving Facility Agent or the Revolving Lenders or, insofar as such rights, remedies or entitlements relate to the Revolving Facility, the General Administrative Agent, including any such rights, remedies or entitlements set forth in the immediately preceding paragraph, or (ii) the General Administrative Agent, the Term Facility Agent or the Term Lenders with respect to any Event of Default under clause (a), (b), (h), (i) or, with respect to failure to observe or perform any covenant contained in Section 6.04, (d) of this Section, including any such rights, remedies or entitlements set forth in the immediately preceding paragraph.</w:t>
      </w:r>
    </w:p>
    <w:p>
      <w:pPr>
        <w:spacing w:after="0" w:line="192"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7.02. </w:t>
      </w:r>
      <w:r>
        <w:rPr>
          <w:rFonts w:ascii="Times New Roman" w:cs="Times New Roman" w:eastAsia="Times New Roman" w:hAnsi="Times New Roman"/>
          <w:sz w:val="18"/>
          <w:szCs w:val="18"/>
          <w:u w:val="single" w:color="auto"/>
          <w:color w:val="auto"/>
        </w:rPr>
        <w:t>Clean-up Period</w:t>
      </w:r>
      <w:r>
        <w:rPr>
          <w:rFonts w:ascii="Times New Roman" w:cs="Times New Roman" w:eastAsia="Times New Roman" w:hAnsi="Times New Roman"/>
          <w:sz w:val="18"/>
          <w:szCs w:val="18"/>
          <w:color w:val="auto"/>
        </w:rPr>
        <w:t>. Notwithstanding anything to the contrary in this Agreement (including Section 7.01(c)), during the period from and including the Term Funding Date and ending on the date that is 30 days after the Term Funding Date (the “</w:t>
      </w:r>
      <w:r>
        <w:rPr>
          <w:rFonts w:ascii="Times New Roman" w:cs="Times New Roman" w:eastAsia="Times New Roman" w:hAnsi="Times New Roman"/>
          <w:sz w:val="18"/>
          <w:szCs w:val="18"/>
          <w:u w:val="single" w:color="auto"/>
          <w:color w:val="auto"/>
        </w:rPr>
        <w:t>Clean-up Period</w:t>
      </w:r>
      <w:r>
        <w:rPr>
          <w:rFonts w:ascii="Times New Roman" w:cs="Times New Roman" w:eastAsia="Times New Roman" w:hAnsi="Times New Roman"/>
          <w:sz w:val="18"/>
          <w:szCs w:val="18"/>
          <w:color w:val="auto"/>
        </w:rPr>
        <w:t>”), if any representation or warranty (other than the Specified Representations) made by the Company in the Loan Documents or in any certificate or writing furnished pursuant to this Agreement (other than any certificate furnished pursuant to Section 4.02(f) or 4.02(g)) shall prove to have been incorrect when made solely by reason of any circumstance relating to the Cavium Business, such breach of such representation or warranty shall not constitute a Default or Event of Default (other than for purposes of Section 4.03 or 5.02(a)) if and for so long as the circumstances giving rise to such breach of such representation or warranty (a) are capable of being remedied within the Clean-Up Period and the Company and the Subsidiaries are taking appropriate steps to remedy such breach, (b) do not have and would not reasonably be expected to have a Material Adverse Effect and (c) were not procured by or approved by the Company or any of the Subsidiaries (other than the Cavium Business). If the relevant circumstances are continuing on or after the expiration of the Clean-up Period, the breach of such representation or warranty, if otherwise constituting a Default or an Event of Default, shall then constitute a Default or an Event of Default, as the case may be, notwithstanding the immediately preceding sentence (and without prejudice to the rights and remedies of the Agents and the Lenders hereunder). For the avoidance of doubt, nothing in this Section 7.02 shall affect the conditions precedent set forth in Article IV.</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1000"/>
          </w:cols>
          <w:pgMar w:left="440" w:top="270" w:right="459" w:bottom="1440" w:gutter="0" w:footer="0" w:header="0"/>
        </w:sectPr>
      </w:pPr>
    </w:p>
    <w:bookmarkStart w:id="381" w:name="page382"/>
    <w:bookmarkEnd w:id="381"/>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VIII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u w:val="single" w:color="auto"/>
          <w:color w:val="auto"/>
        </w:rPr>
        <w:t>The Agents</w:t>
      </w:r>
    </w:p>
    <w:p>
      <w:pPr>
        <w:spacing w:after="0" w:line="225"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Each of the Lenders hereby irrevocably appoints each of the entities named as an Agent in the heading of this Agreement and its successors to serve in the applicable capacity under the Loan Documents, and authorizes each Agent to take such actions and to exercise such powers as are delegated to such Agent by the terms of the Loan Documents, together with such actions and powers as are reasonably incidental thereto.</w:t>
      </w:r>
    </w:p>
    <w:p>
      <w:pPr>
        <w:spacing w:after="0" w:line="176" w:lineRule="exact"/>
        <w:rPr>
          <w:sz w:val="20"/>
          <w:szCs w:val="20"/>
          <w:color w:val="auto"/>
        </w:rPr>
      </w:pPr>
    </w:p>
    <w:p>
      <w:pPr>
        <w:ind w:right="60" w:firstLine="991"/>
        <w:spacing w:after="0" w:line="261" w:lineRule="auto"/>
        <w:rPr>
          <w:sz w:val="20"/>
          <w:szCs w:val="20"/>
          <w:color w:val="auto"/>
        </w:rPr>
      </w:pPr>
      <w:r>
        <w:rPr>
          <w:rFonts w:ascii="Times New Roman" w:cs="Times New Roman" w:eastAsia="Times New Roman" w:hAnsi="Times New Roman"/>
          <w:sz w:val="18"/>
          <w:szCs w:val="18"/>
          <w:color w:val="auto"/>
        </w:rPr>
        <w:t>The Person serving as any Agent hereunder shall have the same rights and powers in its capacity as a Lender as any other Lender and may exercise the same as though it were not an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an Agent hereunder and without any duty to account therefor to the Lenders or any other Agent.</w:t>
      </w:r>
    </w:p>
    <w:p>
      <w:pPr>
        <w:spacing w:after="0" w:line="180"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No Agent shall have any duties or obligations except those expressly set forth in the Loan Documents with respect to such Agent, and each Agent’s duties hereunder shall be administrative in nature. Without limiting the generality of the foregoing, (a) no Agent shall be subject to any fiduciary or other implied duties, regardless of whether a Default has occurred and is continuing (and it is understood and agreed that the use of the term “agent” herein or in any other Loan Documents (or any other similar term) with reference to any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no Agent shall have any duty to take any discretionary action or to exercise any discretionary power, except discretionary rights and powers expressly contemplated by the Loan Documents that such Agent is required to exercise as directed in writing by the Required Lenders (or such other number or percentage of the Lenders as shall be necessary, or as such Agent shall believe in good faith to be necessary, under the circumstances as provided in the Loan Documents),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Agent shall be required to take any action that, in its opinion, could expose such Agent to liability or be contrary to any Loan Document or applicable law, and (c) except as expressly set forth in the Loan Documents, no Agent shall have any duty to disclose, and no Agent shall be liable for the failure to disclose, any information relating to the Company, any Subsidiary or any other Affiliate thereof that is communicated to or obtained by the Person serving as such Agent or any of its Affiliates in any capacity. No Agent shall be liable for any action taken or not taken by it with the consent or at the request of the Required Lenders (or such other number or percentage of the Lenders as shall be necessary, or as such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Each Agent shall be deemed not to have knowledge of any Default unless and until written notice thereof (stating that it is a “notice of default”) is given to such Agent by the Company, any other Agent or any Lender, and no Agent shall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000"/>
          </w:cols>
          <w:pgMar w:left="440" w:top="270" w:right="459" w:bottom="1440" w:gutter="0" w:footer="0" w:header="0"/>
        </w:sectPr>
      </w:pPr>
    </w:p>
    <w:bookmarkStart w:id="382" w:name="page383"/>
    <w:bookmarkEnd w:id="382"/>
    <w:p>
      <w:pPr>
        <w:ind w:right="2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enforceability, effectiveness or genuineness of any Loan Document or any other agreement, instrument or document, or (v) the satisfaction of any condition set forth in Article IV or elsewhere in any Loan Document, other than to confirm receipt of items expressly required to be delivered to such Agent or satisfaction of any condition that expressly refers to the matters described therein being acceptable or satisfactory to such Agent.</w:t>
      </w:r>
    </w:p>
    <w:p>
      <w:pPr>
        <w:spacing w:after="0" w:line="176"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Each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Each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each Agent may presume that such condition is satisfactory to such Lender unless such Agent shall have received notice to the contrary from such Lender (or from another Agent on behalf of such Lender) prior to the making of such Loan. Each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The obligations under the Loan Documents of the Agents shall be several and not joint, and no Agent shall be responsible for any other Agent’s failure to perform its obligations under any Loan Document. Notwithstanding anything herein to the contrary, no Agent shall have any liability arising from, or be responsible for any loss, cost or expense suffered on account of, (i) any errors or omissions in the records maintained by any other Agent as contemplated by Section 9.04(b)(iv) (it being understood and agreed that, for purposes of determining whether the Required Lenders or any other requisite Lenders shall have consented to any amendment, waiver or other modification of any Loan Document, each Agent shall be entitled to rely, and shall not incur any liability for relying, on the records maintained by any other Agent as contemplated by Section 9.04(b)(iv)) or (ii) any determination by any Agent that any Lender is a Defaulting Lender, or the effective date of such status, it being further understood and agreed that no Agent shall have any obligation to determine whether any Lender is a Defaulting Lender.</w:t>
      </w:r>
    </w:p>
    <w:p>
      <w:pPr>
        <w:spacing w:after="0" w:line="191" w:lineRule="exact"/>
        <w:rPr>
          <w:sz w:val="20"/>
          <w:szCs w:val="20"/>
          <w:color w:val="auto"/>
        </w:rPr>
      </w:pPr>
    </w:p>
    <w:p>
      <w:pPr>
        <w:ind w:right="20" w:firstLine="991"/>
        <w:spacing w:after="0" w:line="255" w:lineRule="auto"/>
        <w:rPr>
          <w:sz w:val="20"/>
          <w:szCs w:val="20"/>
          <w:color w:val="auto"/>
        </w:rPr>
      </w:pPr>
      <w:r>
        <w:rPr>
          <w:rFonts w:ascii="Times New Roman" w:cs="Times New Roman" w:eastAsia="Times New Roman" w:hAnsi="Times New Roman"/>
          <w:sz w:val="18"/>
          <w:szCs w:val="18"/>
          <w:color w:val="auto"/>
        </w:rPr>
        <w:t>Each Agent may perform any of and all its duties and exercise its rights and powers hereunder or under any other Loan Document by or through any one or more sub-agents appointed by such Agent. Each Agent and any such sub-agent may perform any of and all their duties and exercise their rights and powers through their respective Related Parties. The exculpatory provisions of this Article shall apply to any such sub-agent and to the Related Parties of each Agent and any such sub-agent, and shall apply to their respective activities in connection with the syndication of the credit facilities provided for herein as well as activities as an Agent. No Agent shall be responsible for the negligence or misconduct of any of its sub-agents except to the extent that a court of competent jurisdiction determines in a final and nonappealable judgment that such Agent acted with gross negligence or willful misconduct in the selection of such sub-agents.</w:t>
      </w:r>
    </w:p>
    <w:p>
      <w:pPr>
        <w:spacing w:after="0" w:line="12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0980"/>
          </w:cols>
          <w:pgMar w:left="440" w:top="270" w:right="479" w:bottom="1440" w:gutter="0" w:footer="0" w:header="0"/>
        </w:sectPr>
      </w:pPr>
    </w:p>
    <w:bookmarkStart w:id="383" w:name="page384"/>
    <w:bookmarkEnd w:id="383"/>
    <w:p>
      <w:pPr>
        <w:ind w:firstLine="991"/>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Subject to the terms of this paragraph, each Agent may resign at any time from its capacity as such. In connection with such resignation, such Agent shall give notice of its intent to resign to the other Agents, the Lenders and the Company. Upon receipt of any such notice of resignation, the Required Lenders shall have the right, subject to the consent of the Company (not to be unreasonably withheld, conditioned or delayed) so long as no Event of Default under clause (a), (b), (h) or (i) of Section 7.01 shall have occurred and be continuing, to appoint a successor. If no successor shall have been so appointed by the Required Lenders and shall have accepted such appointment within 30 days after the retiring Agent gives notice of its intent to resign, then the retiring Agent may, on behalf of the Lenders, appoint a successor Agent, which shall be a bank with an office in New York, New York, or an Affiliate of any such bank. If the Person serving as an Agent is a Defaulting Lender pursuant to clause (d) of the definition thereof, the Required Lenders may, to the extent permitted by applicable law, by notice in writing to the other Agents, the Company and such Person remove such Person as an Agent and, subject to the consent of the Company (not to be unreasonably withheld, conditioned or delayed) so long as no Event of Default under clause (a), (b), (h) or (i) of Section 7.01 shall have occurred and be continuing, appoint a successor. Upon the acceptance of its appointment as an Agent hereunder by a successor, such successor shall succeed to and become vested with all the rights, powers, privileges and duties of the retiring or removed Agent, and the retiring or removed Agent shall be discharged from its duties and obligations hereunder and under the other Loan Documents. The fees payable by the Company to a successor Agent shall be the same as those payable to its predecessor unless otherwise agreed by the Company and such successor. Notwithstanding the foregoing, in the event no successor Agent shall have been so appointed and shall have accepted such appointment within 30 days after the retiring Agent gives notice of its intent to resign, the retiring Agent may give notice of the effectiveness of its resignation to the other Agents, the Lenders and the Company, whereupon, on the date of effectiveness of such resignation stated in such notice, (a) the retiring Agent shall be discharged from its duties and obligations hereunder and under the other Loan Documents, and (b) the Required Lenders shall succeed to and become vested with all the rights, powers, privileges and duties of the retiring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all payments required to be made hereunder or under any other Loan Document to the retiring Agent for the account of any Person other than the retiring Agent shall be made directly to such Person and (ii) all notices and other communications required or contemplated to be given or made to the retiring Agent shall also directly be given or made to each Lender. Following the effectiveness of any Agent’s resignation or removal from its capacity as such, the provisions of this Article and Section 9.03, as well as any exculpatory, reimbursement and indemnification provisions set forth in any other Loan Document, shall continue in effect for the benefit of such retiring or removed Agent, its sub-agents and their respective Related Parties in respect of any actions taken or omitted to be taken by any of them while it was acting as an Agent.</w:t>
      </w:r>
    </w:p>
    <w:p>
      <w:pPr>
        <w:spacing w:after="0" w:line="13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1000"/>
          </w:cols>
          <w:pgMar w:left="440" w:top="270" w:right="459" w:bottom="1440" w:gutter="0" w:footer="0" w:header="0"/>
        </w:sectPr>
      </w:pPr>
    </w:p>
    <w:bookmarkStart w:id="384" w:name="page385"/>
    <w:bookmarkEnd w:id="384"/>
    <w:p>
      <w:pPr>
        <w:ind w:firstLine="991"/>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Lender acknowledges that it has, independently and without reliance upon the Agents, the Arrangers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 reliance upon the Agents, the Arrangers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87" w:lineRule="exact"/>
        <w:rPr>
          <w:sz w:val="20"/>
          <w:szCs w:val="20"/>
          <w:color w:val="auto"/>
        </w:rPr>
      </w:pPr>
    </w:p>
    <w:p>
      <w:pPr>
        <w:ind w:right="40" w:firstLine="991"/>
        <w:spacing w:after="0" w:line="261" w:lineRule="auto"/>
        <w:rPr>
          <w:sz w:val="20"/>
          <w:szCs w:val="20"/>
          <w:color w:val="auto"/>
        </w:rPr>
      </w:pPr>
      <w:r>
        <w:rPr>
          <w:rFonts w:ascii="Times New Roman" w:cs="Times New Roman" w:eastAsia="Times New Roman" w:hAnsi="Times New Roman"/>
          <w:sz w:val="18"/>
          <w:szCs w:val="18"/>
          <w:color w:val="auto"/>
        </w:rPr>
        <w:t>Each Lender acknowledges and agrees that any Agent or one or more of its Affiliates may (but is not obligated to) act as administrative agent or a similar representative for the holders of any Cavium Acquisition Indebtedness. Each Lender and the Company waives any conflict of interest, now contemplated or arising hereafter, in connection therewith and agrees not to assert against such Agent, any of its Affiliates or any Related Party of any of the foregoing any claims, causes of action, damages or liabilities of whatever kind or nature relating thereto.</w:t>
      </w:r>
    </w:p>
    <w:p>
      <w:pPr>
        <w:spacing w:after="0" w:line="180" w:lineRule="exact"/>
        <w:rPr>
          <w:sz w:val="20"/>
          <w:szCs w:val="20"/>
          <w:color w:val="auto"/>
        </w:rPr>
      </w:pPr>
    </w:p>
    <w:p>
      <w:pPr>
        <w:ind w:right="80" w:firstLine="991"/>
        <w:spacing w:after="0" w:line="261" w:lineRule="auto"/>
        <w:rPr>
          <w:sz w:val="20"/>
          <w:szCs w:val="20"/>
          <w:color w:val="auto"/>
        </w:rPr>
      </w:pPr>
      <w:r>
        <w:rPr>
          <w:rFonts w:ascii="Times New Roman" w:cs="Times New Roman" w:eastAsia="Times New Roman" w:hAnsi="Times New Roman"/>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any Agent or the Lenders on the Effective Date or the Term Funding Date.</w:t>
      </w:r>
    </w:p>
    <w:p>
      <w:pPr>
        <w:spacing w:after="0" w:line="180"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In case of the pendency of any proceeding with respect to the Company under any United States (Federal or state) or foreign bankruptcy, insolvency, receivership, winding-up or similar law now or hereafter in effect, the General Administrative Agent (irrespective of whether the principal of any Loan shall then be due and payable as herein expressed or by declaration or otherwise and irrespective of whether any Agent shall have made any demand on the Company) shall be entitled and empowered (but not obligated) by intervention in such proceeding or otherwise:</w:t>
      </w:r>
    </w:p>
    <w:p>
      <w:pPr>
        <w:spacing w:after="0" w:line="72" w:lineRule="exact"/>
        <w:rPr>
          <w:sz w:val="20"/>
          <w:szCs w:val="20"/>
          <w:color w:val="auto"/>
        </w:rPr>
      </w:pPr>
    </w:p>
    <w:p>
      <w:pPr>
        <w:jc w:val="both"/>
        <w:ind w:left="440" w:right="560" w:firstLine="419"/>
        <w:spacing w:after="0" w:line="266" w:lineRule="auto"/>
        <w:tabs>
          <w:tab w:leader="none" w:pos="1108" w:val="left"/>
        </w:tabs>
        <w:numPr>
          <w:ilvl w:val="0"/>
          <w:numId w:val="3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Agents (including any claim under Sections 2.12, 2.13, 2.14 and 9.03) allowed in such judicial proceeding; and</w:t>
      </w:r>
    </w:p>
    <w:p>
      <w:pPr>
        <w:spacing w:after="0" w:line="67"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3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ind w:right="40"/>
        <w:spacing w:after="0" w:line="261" w:lineRule="auto"/>
        <w:rPr>
          <w:sz w:val="20"/>
          <w:szCs w:val="20"/>
          <w:color w:val="auto"/>
        </w:rPr>
      </w:pPr>
      <w:r>
        <w:rPr>
          <w:rFonts w:ascii="Times New Roman" w:cs="Times New Roman" w:eastAsia="Times New Roman" w:hAnsi="Times New Roman"/>
          <w:sz w:val="18"/>
          <w:szCs w:val="18"/>
          <w:color w:val="auto"/>
        </w:rPr>
        <w:t>and any custodian, receiver, assignee, trustee, liquidator, sequestrator or other similar official in any such proceeding is hereby authorized by each Lender to make such payments to the General Administrative Agent and, in the event that the General Administrative Agent shall consent to the making of such payments directly to the Lenders, to pay to the General Administrative Agent any amount due to it, in its capacity as the General Administrative Agent, under the Loan Documents (including under Section 9.03).</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000"/>
          </w:cols>
          <w:pgMar w:left="440" w:top="270" w:right="459" w:bottom="1440" w:gutter="0" w:footer="0" w:header="0"/>
        </w:sectPr>
      </w:pPr>
    </w:p>
    <w:bookmarkStart w:id="385" w:name="page386"/>
    <w:bookmarkEnd w:id="385"/>
    <w:p>
      <w:pPr>
        <w:ind w:left="4" w:right="60" w:firstLine="991"/>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Lender (x) represents and warrants, as of the date such Person became a Lender party hereto, to, and (y) covenants, from the date such Person became a Lender party hereto to the date such Person ceases being a Lender party hereto, for the benefit of, the Agents and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w:t>
      </w:r>
    </w:p>
    <w:p>
      <w:pPr>
        <w:spacing w:after="0" w:line="2" w:lineRule="exact"/>
        <w:rPr>
          <w:sz w:val="20"/>
          <w:szCs w:val="20"/>
          <w:color w:val="auto"/>
        </w:rPr>
      </w:pPr>
    </w:p>
    <w:p>
      <w:pPr>
        <w:ind w:left="4" w:right="40" w:hanging="4"/>
        <w:spacing w:after="0" w:line="253" w:lineRule="auto"/>
        <w:tabs>
          <w:tab w:leader="none" w:pos="289" w:val="left"/>
        </w:tabs>
        <w:numPr>
          <w:ilvl w:val="0"/>
          <w:numId w:val="3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entrance into, participation in, administration of and performance of the Loans, the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Commitments and this Agreement or (iv) such other representation, warranty and covenant as may be agreed in writing between the Applicable Facility Agent and such Lender.</w:t>
      </w:r>
    </w:p>
    <w:p>
      <w:pPr>
        <w:spacing w:after="0" w:line="187" w:lineRule="exact"/>
        <w:rPr>
          <w:sz w:val="20"/>
          <w:szCs w:val="20"/>
          <w:color w:val="auto"/>
        </w:rPr>
      </w:pPr>
    </w:p>
    <w:p>
      <w:pPr>
        <w:ind w:left="4" w:firstLine="991"/>
        <w:spacing w:after="0" w:line="254" w:lineRule="auto"/>
        <w:rPr>
          <w:sz w:val="20"/>
          <w:szCs w:val="20"/>
          <w:color w:val="auto"/>
        </w:rPr>
      </w:pPr>
      <w:r>
        <w:rPr>
          <w:rFonts w:ascii="Times New Roman" w:cs="Times New Roman" w:eastAsia="Times New Roman" w:hAnsi="Times New Roman"/>
          <w:sz w:val="18"/>
          <w:szCs w:val="18"/>
          <w:color w:val="auto"/>
        </w:rPr>
        <w:t>In addition, unless clause (i) of the immediately preceding paragraph is true with respect to a Lender or such Lender has not provided another representation, warranty and covenant as provided in clause (iv) of the immediately preceding paragraph, such Lender further (a) represents and warrants, as of the date such Person became a Lender party hereto, to and (b) covenants, from the date such Person became a Lender party hereto to the date such Person ceases being a Lender party hereto, for the benefit of the Agents and the Arrangers and their respective Affiliates, and not, for the avoidance of doubt, to or for the benefit of the Company, that</w:t>
      </w:r>
      <w:r>
        <w:rPr>
          <w:rFonts w:ascii="Times New Roman" w:cs="Times New Roman" w:eastAsia="Times New Roman" w:hAnsi="Times New Roman"/>
          <w:sz w:val="18"/>
          <w:szCs w:val="18"/>
          <w:color w:val="FF4338"/>
          <w:strike w:val="1"/>
        </w:rPr>
        <w:t>: (i)</w:t>
      </w:r>
      <w:r>
        <w:rPr>
          <w:rFonts w:ascii="Times New Roman" w:cs="Times New Roman" w:eastAsia="Times New Roman" w:hAnsi="Times New Roman"/>
          <w:sz w:val="18"/>
          <w:szCs w:val="18"/>
          <w:color w:val="auto"/>
        </w:rPr>
        <w:t xml:space="preserve"> none of the Agents or the Arrangers or any of their respective Affiliates is a fiduciary with respect to the assets of such Lender (including in connection with the reservation or exercise of any rights by any Agent under this Agreement, any Loan Document or any documents related hereto or thereto)</w:t>
      </w:r>
      <w:r>
        <w:rPr>
          <w:rFonts w:ascii="Times New Roman" w:cs="Times New Roman" w:eastAsia="Times New Roman" w:hAnsi="Times New Roman"/>
          <w:sz w:val="18"/>
          <w:szCs w:val="18"/>
          <w:color w:val="FF4338"/>
          <w:strike w:val="1"/>
        </w:rPr>
        <w:t>, (ii) the Person making the investment decision on behalf of such Lender with respect to 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FF4338"/>
          <w:strike w:val="1"/>
        </w:rPr>
        <w:t>entrance into, participation in, administration of and performance of the Loans, the Commitments and this Agreement is independent (within the meaning of 29 CFR § 2510.3-21) and is a bank, an insurance carrier, an investment adviser, a broker-dealer or other person that holds, or</w:t>
      </w:r>
    </w:p>
    <w:p>
      <w:pPr>
        <w:spacing w:after="0" w:line="121"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0964"/>
          </w:cols>
          <w:pgMar w:left="436" w:top="270" w:right="499" w:bottom="1440" w:gutter="0" w:footer="0" w:header="0"/>
        </w:sectPr>
      </w:pPr>
    </w:p>
    <w:bookmarkStart w:id="386" w:name="page387"/>
    <w:bookmarkEnd w:id="386"/>
    <w:p>
      <w:pPr>
        <w:spacing w:after="0" w:line="272" w:lineRule="auto"/>
        <w:rPr>
          <w:sz w:val="20"/>
          <w:szCs w:val="20"/>
          <w:color w:val="auto"/>
        </w:rPr>
      </w:pPr>
      <w:r>
        <w:rPr>
          <w:rFonts w:ascii="Times New Roman" w:cs="Times New Roman" w:eastAsia="Times New Roman" w:hAnsi="Times New Roman"/>
          <w:sz w:val="17"/>
          <w:szCs w:val="17"/>
          <w:color w:val="FF4338"/>
          <w:strike w:val="1"/>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has under management or control, total assets of at least $50,000,000, in each case as described in 29 CFR § 2510.3-21(c)(1)(i)(A)-(E), (iii) the Person making the investment decision on behalf of such Lender with respect to the entrance into, participation in, administration of and performance of the Loans, the Commitments and this Agreement is capable of evaluating investment risks independently, both in general and with regard to particular transactions and investment strategies (including in respect of the Obligations), (iv) the Person making the investment decision on behalf of such Lender with respect to the entrance into, participation in, administration of and performance of the Loans, the Commitments and this Agreement is a fiduciary under ERISA or the Code, or both, with respect to the Loans, the Commitments and this Agreement and is responsible for exercising independent judgment in evaluating the transactions hereunder and (v) no fee or other compensation is being paid directly to any Agent or any Arranger or any of their respective Affiliates for investment advice (as opposed to other services) in connection with the Loans, the Commitments or this Agreement.</w:t>
      </w:r>
      <w:r>
        <w:rPr>
          <w:rFonts w:ascii="Times New Roman" w:cs="Times New Roman" w:eastAsia="Times New Roman" w:hAnsi="Times New Roman"/>
          <w:sz w:val="17"/>
          <w:szCs w:val="17"/>
          <w:color w:val="008000"/>
          <w:strike w:val="1"/>
        </w:rPr>
        <w:t>.</w:t>
      </w:r>
    </w:p>
    <w:p>
      <w:pPr>
        <w:spacing w:after="0" w:line="172" w:lineRule="exact"/>
        <w:rPr>
          <w:sz w:val="20"/>
          <w:szCs w:val="20"/>
          <w:color w:val="auto"/>
        </w:rPr>
      </w:pPr>
    </w:p>
    <w:p>
      <w:pPr>
        <w:ind w:right="40" w:firstLine="991"/>
        <w:spacing w:after="0" w:line="254" w:lineRule="auto"/>
        <w:rPr>
          <w:sz w:val="20"/>
          <w:szCs w:val="20"/>
          <w:color w:val="auto"/>
        </w:rPr>
      </w:pPr>
      <w:r>
        <w:rPr>
          <w:rFonts w:ascii="Times New Roman" w:cs="Times New Roman" w:eastAsia="Times New Roman" w:hAnsi="Times New Roman"/>
          <w:sz w:val="18"/>
          <w:szCs w:val="18"/>
          <w:color w:val="auto"/>
        </w:rPr>
        <w:t>The Agents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Commitments and this Agreement, (b) may recognize a gain if it extended the Loans or the Commitments for an amount less than the amount being paid for an interest in the Loans or the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92" w:lineRule="exact"/>
        <w:rPr>
          <w:sz w:val="20"/>
          <w:szCs w:val="20"/>
          <w:color w:val="auto"/>
        </w:rPr>
      </w:pPr>
    </w:p>
    <w:p>
      <w:pPr>
        <w:ind w:right="40" w:firstLine="991"/>
        <w:spacing w:after="0" w:line="266" w:lineRule="auto"/>
        <w:rPr>
          <w:sz w:val="20"/>
          <w:szCs w:val="20"/>
          <w:color w:val="auto"/>
        </w:rPr>
      </w:pPr>
      <w:r>
        <w:rPr>
          <w:rFonts w:ascii="Times New Roman" w:cs="Times New Roman" w:eastAsia="Times New Roman" w:hAnsi="Times New Roman"/>
          <w:sz w:val="18"/>
          <w:szCs w:val="18"/>
          <w:color w:val="auto"/>
        </w:rPr>
        <w:t>Notwithstanding anything herein to the contrary, none of the Arrangers, the Syndication Agents or the Documentation Agents shall have any duties or obligations under this Agreement or any other Loan Document (except in its capacity, as applicable, as an Agent or a Lender), but all such Persons shall have the benefit of the indemnities and exculpatory provisions provided for hereunder or thereunder.</w:t>
      </w:r>
    </w:p>
    <w:p>
      <w:pPr>
        <w:spacing w:after="0" w:line="176" w:lineRule="exact"/>
        <w:rPr>
          <w:sz w:val="20"/>
          <w:szCs w:val="20"/>
          <w:color w:val="auto"/>
        </w:rPr>
      </w:pPr>
    </w:p>
    <w:p>
      <w:pPr>
        <w:ind w:right="240" w:firstLine="991"/>
        <w:spacing w:after="0" w:line="266" w:lineRule="auto"/>
        <w:rPr>
          <w:sz w:val="20"/>
          <w:szCs w:val="20"/>
          <w:color w:val="auto"/>
        </w:rPr>
      </w:pPr>
      <w:r>
        <w:rPr>
          <w:rFonts w:ascii="Times New Roman" w:cs="Times New Roman" w:eastAsia="Times New Roman" w:hAnsi="Times New Roman"/>
          <w:sz w:val="18"/>
          <w:szCs w:val="18"/>
          <w:color w:val="auto"/>
        </w:rPr>
        <w:t>The provisions of this Article are solely for the benefit of the Agents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0960"/>
          </w:cols>
          <w:pgMar w:left="440" w:top="270" w:right="499" w:bottom="1440" w:gutter="0" w:footer="0" w:header="0"/>
        </w:sectPr>
      </w:pPr>
    </w:p>
    <w:bookmarkStart w:id="387" w:name="page388"/>
    <w:bookmarkEnd w:id="387"/>
    <w:p>
      <w:pPr>
        <w:jc w:val="center"/>
        <w:ind w:right="-3"/>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ARTICLE IX</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u w:val="single" w:color="auto"/>
          <w:color w:val="auto"/>
        </w:rPr>
        <w:t>Miscellaneous</w:t>
      </w:r>
    </w:p>
    <w:p>
      <w:pPr>
        <w:spacing w:after="0" w:line="225" w:lineRule="exact"/>
        <w:rPr>
          <w:sz w:val="20"/>
          <w:szCs w:val="20"/>
          <w:color w:val="auto"/>
        </w:rPr>
      </w:pPr>
    </w:p>
    <w:p>
      <w:pPr>
        <w:ind w:left="4" w:right="220" w:firstLine="991"/>
        <w:spacing w:after="0" w:line="266" w:lineRule="auto"/>
        <w:rPr>
          <w:sz w:val="20"/>
          <w:szCs w:val="20"/>
          <w:color w:val="auto"/>
        </w:rPr>
      </w:pPr>
      <w:r>
        <w:rPr>
          <w:rFonts w:ascii="Times New Roman" w:cs="Times New Roman" w:eastAsia="Times New Roman" w:hAnsi="Times New Roman"/>
          <w:sz w:val="18"/>
          <w:szCs w:val="18"/>
          <w:color w:val="auto"/>
        </w:rPr>
        <w:t xml:space="preserve">SECTION 9.01. </w:t>
      </w:r>
      <w:r>
        <w:rPr>
          <w:rFonts w:ascii="Times New Roman" w:cs="Times New Roman" w:eastAsia="Times New Roman" w:hAnsi="Times New Roman"/>
          <w:sz w:val="18"/>
          <w:szCs w:val="18"/>
          <w:u w:val="single" w:color="auto"/>
          <w:color w:val="auto"/>
        </w:rPr>
        <w:t>Notices</w:t>
      </w:r>
      <w:r>
        <w:rPr>
          <w:rFonts w:ascii="Times New Roman" w:cs="Times New Roman" w:eastAsia="Times New Roman" w:hAnsi="Times New Roman"/>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68" w:lineRule="exact"/>
        <w:rPr>
          <w:sz w:val="20"/>
          <w:szCs w:val="20"/>
          <w:color w:val="auto"/>
        </w:rPr>
      </w:pPr>
    </w:p>
    <w:p>
      <w:pPr>
        <w:ind w:left="444" w:right="260" w:firstLine="419"/>
        <w:spacing w:after="0" w:line="282" w:lineRule="auto"/>
        <w:tabs>
          <w:tab w:leader="none" w:pos="1082" w:val="left"/>
        </w:tabs>
        <w:numPr>
          <w:ilvl w:val="0"/>
          <w:numId w:val="3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Company, to Marvell Technology Group Ltd., 5488 Marvell Lane, Santa Clara, California 95054, Attention of Jean Hu, Chief Financial Officer (Fax No. 408-222-1917, Email: jeanhu@marvell.com);</w:t>
      </w:r>
    </w:p>
    <w:p>
      <w:pPr>
        <w:spacing w:after="0" w:line="53" w:lineRule="exact"/>
        <w:rPr>
          <w:rFonts w:ascii="Times New Roman" w:cs="Times New Roman" w:eastAsia="Times New Roman" w:hAnsi="Times New Roman"/>
          <w:sz w:val="18"/>
          <w:szCs w:val="18"/>
          <w:color w:val="auto"/>
        </w:rPr>
      </w:pPr>
    </w:p>
    <w:p>
      <w:pPr>
        <w:ind w:left="444" w:right="80" w:firstLine="419"/>
        <w:spacing w:after="0" w:line="282" w:lineRule="auto"/>
        <w:tabs>
          <w:tab w:leader="none" w:pos="1132" w:val="left"/>
        </w:tabs>
        <w:numPr>
          <w:ilvl w:val="0"/>
          <w:numId w:val="3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General Administrative Agent or the Term Facility Agent, to Goldman Sachs Bank USA, 6031 Connection Drive, Irving, Texas 75039, Attention: Goldman Sachs Senior Bank Debt (Fax No. 212-428-9270, Email: gs-sbdagency-borrowernotices@ny.email.gs.com);</w:t>
      </w:r>
    </w:p>
    <w:p>
      <w:pPr>
        <w:spacing w:after="0" w:line="53" w:lineRule="exact"/>
        <w:rPr>
          <w:rFonts w:ascii="Times New Roman" w:cs="Times New Roman" w:eastAsia="Times New Roman" w:hAnsi="Times New Roman"/>
          <w:sz w:val="18"/>
          <w:szCs w:val="18"/>
          <w:color w:val="auto"/>
        </w:rPr>
      </w:pPr>
    </w:p>
    <w:p>
      <w:pPr>
        <w:ind w:left="444" w:right="100" w:firstLine="419"/>
        <w:spacing w:after="0" w:line="282" w:lineRule="auto"/>
        <w:tabs>
          <w:tab w:leader="none" w:pos="1182" w:val="left"/>
        </w:tabs>
        <w:numPr>
          <w:ilvl w:val="0"/>
          <w:numId w:val="3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the Revolving Facility Agent, to Bank of America, N.A., Agency Management, 2380 Performance Drive, Building C, Richardson, TX 75082, Mail Code: TX2-984-03-26, Attention: Gavin Shak (Fax No. 214-530-3108, Email: gavin.shak@baml.com); and</w:t>
      </w:r>
    </w:p>
    <w:p>
      <w:pPr>
        <w:spacing w:after="0" w:line="53" w:lineRule="exact"/>
        <w:rPr>
          <w:rFonts w:ascii="Times New Roman" w:cs="Times New Roman" w:eastAsia="Times New Roman" w:hAnsi="Times New Roman"/>
          <w:sz w:val="18"/>
          <w:szCs w:val="18"/>
          <w:color w:val="auto"/>
        </w:rPr>
      </w:pPr>
    </w:p>
    <w:p>
      <w:pPr>
        <w:ind w:left="1164" w:hanging="301"/>
        <w:spacing w:after="0"/>
        <w:tabs>
          <w:tab w:leader="none" w:pos="1164" w:val="left"/>
        </w:tabs>
        <w:numPr>
          <w:ilvl w:val="0"/>
          <w:numId w:val="3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to any Lender, to it at its address (or fax number) set forth in its Administrative Questionnaire.</w:t>
      </w:r>
    </w:p>
    <w:p>
      <w:pPr>
        <w:spacing w:after="0" w:line="225" w:lineRule="exact"/>
        <w:rPr>
          <w:sz w:val="20"/>
          <w:szCs w:val="20"/>
          <w:color w:val="auto"/>
        </w:rPr>
      </w:pPr>
    </w:p>
    <w:p>
      <w:pPr>
        <w:ind w:left="4" w:right="360" w:firstLine="991"/>
        <w:spacing w:after="0" w:line="261" w:lineRule="auto"/>
        <w:rPr>
          <w:sz w:val="20"/>
          <w:szCs w:val="20"/>
          <w:color w:val="auto"/>
        </w:rPr>
      </w:pPr>
      <w:r>
        <w:rPr>
          <w:rFonts w:ascii="Times New Roman" w:cs="Times New Roman" w:eastAsia="Times New Roman" w:hAnsi="Times New Roman"/>
          <w:sz w:val="18"/>
          <w:szCs w:val="18"/>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180" w:lineRule="exact"/>
        <w:rPr>
          <w:sz w:val="20"/>
          <w:szCs w:val="20"/>
          <w:color w:val="auto"/>
        </w:rPr>
      </w:pPr>
    </w:p>
    <w:p>
      <w:pPr>
        <w:ind w:left="4" w:firstLine="987"/>
        <w:spacing w:after="0" w:line="252" w:lineRule="auto"/>
        <w:tabs>
          <w:tab w:leader="none" w:pos="1250" w:val="left"/>
        </w:tabs>
        <w:numPr>
          <w:ilvl w:val="1"/>
          <w:numId w:val="3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Notices and other communications to the Lenders hereunder may be delivered or furnished by electronic communications (including email and Internet and intranet websites) pursuant to procedures approved by the Applicable Facility Agent or the General Administrative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foregoing shall not apply to notices under Article II to any Lender if such Lender has notified the Applicable Facility Agent and the General Administrative Agent that it is incapable of receiving notices under such Article by electronic communication. Any notices or other communications to any Agent or the Company may be delivered or furnished by electronic communications pursuant to procedures approved in advance by the recipient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approval of such procedures may be limited or rescinded by such Person by notice to each other such Person. Unless the General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w:t>
      </w:r>
    </w:p>
    <w:p>
      <w:pPr>
        <w:spacing w:after="0" w:line="5" w:lineRule="exact"/>
        <w:rPr>
          <w:rFonts w:ascii="Times New Roman" w:cs="Times New Roman" w:eastAsia="Times New Roman" w:hAnsi="Times New Roman"/>
          <w:sz w:val="18"/>
          <w:szCs w:val="18"/>
          <w:color w:val="auto"/>
        </w:rPr>
      </w:pPr>
    </w:p>
    <w:p>
      <w:pPr>
        <w:ind w:left="4" w:right="20" w:hanging="4"/>
        <w:spacing w:after="0" w:line="255" w:lineRule="auto"/>
        <w:tabs>
          <w:tab w:leader="none" w:pos="269" w:val="left"/>
        </w:tabs>
        <w:numPr>
          <w:ilvl w:val="0"/>
          <w:numId w:val="3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18"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1004"/>
          </w:cols>
          <w:pgMar w:left="436" w:top="270" w:right="459" w:bottom="1440" w:gutter="0" w:footer="0" w:header="0"/>
        </w:sectPr>
      </w:pPr>
    </w:p>
    <w:bookmarkStart w:id="388" w:name="page389"/>
    <w:bookmarkEnd w:id="388"/>
    <w:p>
      <w:pPr>
        <w:ind w:firstLine="987"/>
        <w:spacing w:after="0" w:line="282" w:lineRule="auto"/>
        <w:tabs>
          <w:tab w:leader="none" w:pos="1236" w:val="left"/>
        </w:tabs>
        <w:numPr>
          <w:ilvl w:val="0"/>
          <w:numId w:val="3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party hereto may change its address, fax number or email address for notices and other communications hereunder by notice to the other parties hereto.</w:t>
      </w:r>
    </w:p>
    <w:p>
      <w:pPr>
        <w:spacing w:after="0" w:line="161" w:lineRule="exact"/>
        <w:rPr>
          <w:rFonts w:ascii="Times New Roman" w:cs="Times New Roman" w:eastAsia="Times New Roman" w:hAnsi="Times New Roman"/>
          <w:sz w:val="18"/>
          <w:szCs w:val="18"/>
          <w:color w:val="auto"/>
        </w:rPr>
      </w:pPr>
    </w:p>
    <w:p>
      <w:pPr>
        <w:ind w:firstLine="987"/>
        <w:spacing w:after="0" w:line="254" w:lineRule="auto"/>
        <w:tabs>
          <w:tab w:leader="none" w:pos="1246" w:val="left"/>
        </w:tabs>
        <w:numPr>
          <w:ilvl w:val="0"/>
          <w:numId w:val="3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Agent may, but shall not be obligated to, make any Communication by posting such Communication on Debt Domain, IntraLinks, SyndTrak or a similar electronic transmission system (the “</w:t>
      </w:r>
      <w:r>
        <w:rPr>
          <w:rFonts w:ascii="Times New Roman" w:cs="Times New Roman" w:eastAsia="Times New Roman" w:hAnsi="Times New Roman"/>
          <w:sz w:val="18"/>
          <w:szCs w:val="18"/>
          <w:u w:val="single" w:color="auto"/>
          <w:color w:val="auto"/>
        </w:rPr>
        <w:t>Platform</w:t>
      </w:r>
      <w:r>
        <w:rPr>
          <w:rFonts w:ascii="Times New Roman" w:cs="Times New Roman" w:eastAsia="Times New Roman" w:hAnsi="Times New Roman"/>
          <w:sz w:val="18"/>
          <w:szCs w:val="18"/>
          <w:color w:val="auto"/>
        </w:rPr>
        <w:t>”). The Platform is provided “as is” and “as available”. None of the Agents or any of their Related Parties warrants, or shall be deemed to warrant, the adequacy of the Platform, and the Agents expressly disclaim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Agents or any of their Related Parties in connection with the Communications or the Platform. In no event shall any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any Agent’s transmission of Communications through the Platform.</w:t>
      </w:r>
    </w:p>
    <w:p>
      <w:pPr>
        <w:spacing w:after="0" w:line="188" w:lineRule="exact"/>
        <w:rPr>
          <w:sz w:val="20"/>
          <w:szCs w:val="20"/>
          <w:color w:val="auto"/>
        </w:rPr>
      </w:pPr>
    </w:p>
    <w:p>
      <w:pPr>
        <w:ind w:right="2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9.02. </w:t>
      </w:r>
      <w:r>
        <w:rPr>
          <w:rFonts w:ascii="Times New Roman" w:cs="Times New Roman" w:eastAsia="Times New Roman" w:hAnsi="Times New Roman"/>
          <w:sz w:val="18"/>
          <w:szCs w:val="18"/>
          <w:u w:val="single" w:color="auto"/>
          <w:color w:val="auto"/>
        </w:rPr>
        <w:t>Waivers; Amendments</w:t>
      </w:r>
      <w:r>
        <w:rPr>
          <w:rFonts w:ascii="Times New Roman" w:cs="Times New Roman" w:eastAsia="Times New Roman" w:hAnsi="Times New Roman"/>
          <w:sz w:val="18"/>
          <w:szCs w:val="18"/>
          <w:color w:val="auto"/>
        </w:rPr>
        <w:t>. (a) No failure or delay by any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Agents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any Agent or any Lender may have had notice or knowledge of such Default at the time.</w:t>
      </w:r>
    </w:p>
    <w:p>
      <w:pPr>
        <w:spacing w:after="0" w:line="188" w:lineRule="exact"/>
        <w:rPr>
          <w:sz w:val="20"/>
          <w:szCs w:val="20"/>
          <w:color w:val="auto"/>
        </w:rPr>
      </w:pPr>
    </w:p>
    <w:p>
      <w:pPr>
        <w:ind w:right="140" w:firstLine="987"/>
        <w:spacing w:after="0" w:line="258" w:lineRule="auto"/>
        <w:tabs>
          <w:tab w:leader="none" w:pos="1246" w:val="left"/>
        </w:tabs>
        <w:numPr>
          <w:ilvl w:val="0"/>
          <w:numId w:val="3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Except as provided in paragraph (c) of this Section, none of this Agreement, any other Loan Document or any provision hereof or thereof may be waived, amended or modified except, in the case of this Agreement, pursuant to an agreement or agreements in writing entered into by the Company, each Agent and the Required Lenders and, in the case of any other Loan Document, pursuant to an agreement or agreements in writing entered into by the General Administrative Agent (and, if any other Agent is a party thereto, such other Agent) and the Company, in each case with the consent of the Required Lenders;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agreement shall (i) (A) waive any condition set forth in</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0980"/>
          </w:cols>
          <w:pgMar w:left="440" w:top="270" w:right="479" w:bottom="1440" w:gutter="0" w:footer="0" w:header="0"/>
        </w:sectPr>
      </w:pPr>
    </w:p>
    <w:bookmarkStart w:id="389" w:name="page390"/>
    <w:bookmarkEnd w:id="389"/>
    <w:p>
      <w:pPr>
        <w:spacing w:after="0" w:line="267"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4.02 without the written consent of the Majority in Interest of the Term Lenders or (B) waive any condition set forth in Section 4.03 without the written consent of the Majority in Interest of the Revolving Lenders (it being understood and agreed, in each case, that any amendment or waiver of, or any consent with respect to, any provision of this Agreement (other than any waiver expressly relating to Section 4.02 or 4.03, as the case may be) or any other Loan Document, including any amendment of any affirmative or negative covenant set forth herein or in any other Loan Document or any waiver of a Default or an Event of Default, shall not be deemed to be a waiver of a condition set forth in Section 4.02 or 4.03), (ii) increase the Commitment of any Lender without the written consent of such Lender, (iii) reduce the principal amount of any Loan or reduce the rate of interest thereon or reduce any fees payable hereunder, without the written consent of each Lender directly and adversely affected thereby (other than any waiver of any default interest applicable pursuant to Section 2.10(c)), (iv) postpone the scheduled maturity date of any Loan, or any date for the payment of any interest or fees payable hereunder, or reduce the amount of, waive or excuse any such payment, or postpone the scheduled date of expiration of any Commitment, without the written consent of each Lender directly and adversely affected thereby, (v) change Section 2.15(b) or 2.15(c) in a manner that would alter the pro rata sharing of payments required thereby without the written consent of each Lender, (vi) change any of the provisions of this paragraph or the percentage set forth in the definition of the term “Required Lenders” or any other provision of any Loan Document specifying the number or percentage of Lenders (or Lenders of any Class) required to waive, amend or modify any rights thereunder or make any determination or grant any consent thereunder, without the written consent of each Lender (or each Lender of such Class, as the case may be),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or (vi) change any provisions of this Agreement in a manner that by its terms adversely affects the rights in respect of payments due to Lenders holding Loans of any Class differently than those holding Loans of any other Class, without the written consent of Lenders representing a Majority in Interest of each differently affected Class; </w:t>
      </w:r>
      <w:r>
        <w:rPr>
          <w:rFonts w:ascii="Times New Roman" w:cs="Times New Roman" w:eastAsia="Times New Roman" w:hAnsi="Times New Roman"/>
          <w:sz w:val="17"/>
          <w:szCs w:val="17"/>
          <w:u w:val="single" w:color="auto"/>
          <w:color w:val="auto"/>
        </w:rPr>
        <w:t>provided further</w:t>
      </w:r>
      <w:r>
        <w:rPr>
          <w:rFonts w:ascii="Times New Roman" w:cs="Times New Roman" w:eastAsia="Times New Roman" w:hAnsi="Times New Roman"/>
          <w:sz w:val="17"/>
          <w:szCs w:val="17"/>
          <w:color w:val="auto"/>
        </w:rPr>
        <w:t xml:space="preserve"> that no such agreement shall amend, modify, extend or otherwise affect the rights or obligations of any Agent without the written consent of such Agent.</w:t>
      </w:r>
    </w:p>
    <w:p>
      <w:pPr>
        <w:spacing w:after="0" w:line="200" w:lineRule="exact"/>
        <w:rPr>
          <w:sz w:val="20"/>
          <w:szCs w:val="20"/>
          <w:color w:val="auto"/>
        </w:rPr>
      </w:pPr>
    </w:p>
    <w:p>
      <w:pPr>
        <w:spacing w:after="0" w:line="20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(c) Notwithstanding anything to the contrary in paragraph (b) of this Section:</w:t>
      </w:r>
    </w:p>
    <w:p>
      <w:pPr>
        <w:spacing w:after="0" w:line="225" w:lineRule="exact"/>
        <w:rPr>
          <w:sz w:val="20"/>
          <w:szCs w:val="20"/>
          <w:color w:val="auto"/>
        </w:rPr>
      </w:pPr>
    </w:p>
    <w:p>
      <w:pPr>
        <w:ind w:right="100" w:firstLine="987"/>
        <w:spacing w:after="0" w:line="261" w:lineRule="auto"/>
        <w:tabs>
          <w:tab w:leader="none" w:pos="1206" w:val="left"/>
        </w:tabs>
        <w:numPr>
          <w:ilvl w:val="0"/>
          <w:numId w:val="3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provision of this Agreement or any other Loan Document may be amended by an agreement in writing entered into by the Company and each of the Agents to cure any ambiguity, omission, defect or inconsistency so long as, in each case, the Lenders shall have received at least five Business Days’ prior written notice thereof and the Agents shall not have received, within five Business Days of the date of such notice to the Lenders, a written notice from the Required Lenders stating that the Required Lenders object to such amendment;</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1000"/>
          </w:cols>
          <w:pgMar w:left="440" w:top="270" w:right="459" w:bottom="1440" w:gutter="0" w:footer="0" w:header="0"/>
        </w:sectPr>
      </w:pPr>
    </w:p>
    <w:bookmarkStart w:id="390" w:name="page391"/>
    <w:bookmarkEnd w:id="390"/>
    <w:p>
      <w:pPr>
        <w:ind w:left="-40" w:right="100" w:firstLine="987"/>
        <w:spacing w:after="0" w:line="261" w:lineRule="auto"/>
        <w:tabs>
          <w:tab w:leader="none" w:pos="121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179" w:lineRule="exact"/>
        <w:rPr>
          <w:rFonts w:ascii="Times New Roman" w:cs="Times New Roman" w:eastAsia="Times New Roman" w:hAnsi="Times New Roman"/>
          <w:sz w:val="18"/>
          <w:szCs w:val="18"/>
          <w:color w:val="auto"/>
        </w:rPr>
      </w:pPr>
    </w:p>
    <w:p>
      <w:pPr>
        <w:ind w:left="-40" w:right="40" w:firstLine="987"/>
        <w:spacing w:after="0" w:line="258" w:lineRule="auto"/>
        <w:tabs>
          <w:tab w:leader="none" w:pos="126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w:t>
      </w:r>
    </w:p>
    <w:p>
      <w:pPr>
        <w:spacing w:after="0" w:line="183" w:lineRule="exact"/>
        <w:rPr>
          <w:rFonts w:ascii="Times New Roman" w:cs="Times New Roman" w:eastAsia="Times New Roman" w:hAnsi="Times New Roman"/>
          <w:sz w:val="18"/>
          <w:szCs w:val="18"/>
          <w:color w:val="auto"/>
        </w:rPr>
      </w:pPr>
    </w:p>
    <w:p>
      <w:pPr>
        <w:ind w:left="-40" w:right="220" w:firstLine="987"/>
        <w:spacing w:after="0" w:line="258" w:lineRule="auto"/>
        <w:tabs>
          <w:tab w:leader="none" w:pos="125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amendment, waiver or other modification of this Agreement or any other Loan Document that by its terms affects the rights or duties hereunder or thereunder of the Lenders of one or more Classes (but not the Lenders of any other Class) may be effected by an agreement or agreements in writing entered into by the Company, the General Administrative Agent, the Applicable Facility Agent(s) and the requisite number or percentage in interest of each affected Class of Lenders that would be required to consent thereto under this Section if such Class of Lenders were the only Class of Lenders hereunder at the time;</w:t>
      </w:r>
    </w:p>
    <w:p>
      <w:pPr>
        <w:spacing w:after="0" w:line="183" w:lineRule="exact"/>
        <w:rPr>
          <w:rFonts w:ascii="Times New Roman" w:cs="Times New Roman" w:eastAsia="Times New Roman" w:hAnsi="Times New Roman"/>
          <w:sz w:val="18"/>
          <w:szCs w:val="18"/>
          <w:color w:val="auto"/>
        </w:rPr>
      </w:pPr>
    </w:p>
    <w:p>
      <w:pPr>
        <w:ind w:left="1200" w:hanging="253"/>
        <w:spacing w:after="0"/>
        <w:tabs>
          <w:tab w:leader="none" w:pos="1200"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Agreement and the other Loan Documents may be amended in the manner provided in Sections 2.11(b), 2.18 and 9.19;</w:t>
      </w:r>
    </w:p>
    <w:p>
      <w:pPr>
        <w:spacing w:after="0" w:line="225" w:lineRule="exact"/>
        <w:rPr>
          <w:rFonts w:ascii="Times New Roman" w:cs="Times New Roman" w:eastAsia="Times New Roman" w:hAnsi="Times New Roman"/>
          <w:sz w:val="18"/>
          <w:szCs w:val="18"/>
          <w:color w:val="auto"/>
        </w:rPr>
      </w:pPr>
    </w:p>
    <w:p>
      <w:pPr>
        <w:ind w:left="-40" w:right="260" w:firstLine="987"/>
        <w:spacing w:after="0" w:line="266" w:lineRule="auto"/>
        <w:tabs>
          <w:tab w:leader="none" w:pos="125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the incurrence of any Cavium Acquisition Indebtedness, this Agreement and the other Loan Documents may be amended by an agreement in writing entered into by the Company and each of the Agents to add any restrictive covenant or event of default in the manner provided in Section 1.07;</w:t>
      </w:r>
    </w:p>
    <w:p>
      <w:pPr>
        <w:spacing w:after="0" w:line="175" w:lineRule="exact"/>
        <w:rPr>
          <w:rFonts w:ascii="Times New Roman" w:cs="Times New Roman" w:eastAsia="Times New Roman" w:hAnsi="Times New Roman"/>
          <w:sz w:val="18"/>
          <w:szCs w:val="18"/>
          <w:color w:val="auto"/>
        </w:rPr>
      </w:pPr>
    </w:p>
    <w:p>
      <w:pPr>
        <w:ind w:left="-40" w:right="80" w:firstLine="987"/>
        <w:spacing w:after="0" w:line="258" w:lineRule="auto"/>
        <w:tabs>
          <w:tab w:leader="none" w:pos="130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Agents and the Company may, without the consent of any Lender or any other Person, amend or otherwise modify the provisions of this Agreement or any other Loan Document relating solely to the allocation or reallocation, as between themselves, of the rights and obligations hereunder of the Agents (including, if the Term Commitments have expired or terminated and no Term Loans shall be outstanding, but the Revolving Commitments shall be in effect, any such amendments or other modifications that would vest the Revolving Facility Agent with any or all of the rights set forth in this Agreement or any other Loan Document of any other Agent); and</w:t>
      </w:r>
    </w:p>
    <w:p>
      <w:pPr>
        <w:spacing w:after="0" w:line="183" w:lineRule="exact"/>
        <w:rPr>
          <w:rFonts w:ascii="Times New Roman" w:cs="Times New Roman" w:eastAsia="Times New Roman" w:hAnsi="Times New Roman"/>
          <w:sz w:val="18"/>
          <w:szCs w:val="18"/>
          <w:color w:val="auto"/>
        </w:rPr>
      </w:pPr>
    </w:p>
    <w:p>
      <w:pPr>
        <w:ind w:left="-40" w:right="320" w:firstLine="987"/>
        <w:spacing w:after="0" w:line="282" w:lineRule="auto"/>
        <w:tabs>
          <w:tab w:leader="none" w:pos="1356" w:val="left"/>
        </w:tabs>
        <w:numPr>
          <w:ilvl w:val="0"/>
          <w:numId w:val="3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amendment to this Agreement contemplated by the last sentence of the definition of the term “Applicable Rate” may be made pursuant to an agreement or agreements in writing entered into by the Company, the Agents and the Required Lenders.</w:t>
      </w:r>
    </w:p>
    <w:p>
      <w:pPr>
        <w:spacing w:after="0" w:line="162" w:lineRule="exact"/>
        <w:rPr>
          <w:sz w:val="20"/>
          <w:szCs w:val="20"/>
          <w:color w:val="auto"/>
        </w:rPr>
      </w:pPr>
    </w:p>
    <w:p>
      <w:pPr>
        <w:jc w:val="both"/>
        <w:ind w:left="-40" w:firstLine="987"/>
        <w:spacing w:after="0" w:line="266" w:lineRule="auto"/>
        <w:tabs>
          <w:tab w:leader="none" w:pos="1206" w:val="left"/>
        </w:tabs>
        <w:numPr>
          <w:ilvl w:val="0"/>
          <w:numId w:val="3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Applicable Facility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88</w:t>
      </w:r>
    </w:p>
    <w:p>
      <w:pPr>
        <w:sectPr>
          <w:pgSz w:w="11900" w:h="16838" w:orient="portrait"/>
          <w:cols w:equalWidth="0" w:num="1">
            <w:col w:w="10940"/>
          </w:cols>
          <w:pgMar w:left="480" w:top="270" w:right="479" w:bottom="1440" w:gutter="0" w:footer="0" w:header="0"/>
        </w:sectPr>
      </w:pPr>
    </w:p>
    <w:bookmarkStart w:id="391" w:name="page392"/>
    <w:bookmarkEnd w:id="391"/>
    <w:p>
      <w:pPr>
        <w:ind w:right="20" w:firstLine="991"/>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9.03. </w:t>
      </w:r>
      <w:r>
        <w:rPr>
          <w:rFonts w:ascii="Times New Roman" w:cs="Times New Roman" w:eastAsia="Times New Roman" w:hAnsi="Times New Roman"/>
          <w:sz w:val="18"/>
          <w:szCs w:val="18"/>
          <w:u w:val="single" w:color="auto"/>
          <w:color w:val="auto"/>
        </w:rPr>
        <w:t>Expenses; Indemnity; Damage Waiver</w:t>
      </w:r>
      <w:r>
        <w:rPr>
          <w:rFonts w:ascii="Times New Roman" w:cs="Times New Roman" w:eastAsia="Times New Roman" w:hAnsi="Times New Roman"/>
          <w:sz w:val="18"/>
          <w:szCs w:val="18"/>
          <w:color w:val="auto"/>
        </w:rPr>
        <w:t>. (a) The Company shall pay (i) all reasonable and documented out-of-pocket expenses incurred by the Agents, the Arrangers and their Affiliates, including the reasonable and documented fees, charges and disbursements of a single U.S. counsel, a single local counsel in Bermuda and, if reasonably necessary, a single local counsel in each other relevant jurisdiction (which may be a single local counsel acting in multiple jurisdictions), in each case, for the Agents, the Arrangers and their Affiliates taken as a whole, in connection with the structuring, arrangement and syndication of the credit facilities provided for herein, including the preparation, execution and delivery of the Commitment Letter and the Fee Letters, as well as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 by any Agent, any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a single local counsel in Bermuda and, if reasonably necessary, a single local counsel in each other relevant jurisdiction (which may be a single local counsel acting in multiple jurisdictions), in each case, for the Agents, the Arrangers and the Lenders, taken as a whole and, in the case of an actual or perceived conflict of interest, where the party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such affected Person).</w:t>
      </w:r>
    </w:p>
    <w:p>
      <w:pPr>
        <w:spacing w:after="0" w:line="195" w:lineRule="exact"/>
        <w:rPr>
          <w:sz w:val="20"/>
          <w:szCs w:val="20"/>
          <w:color w:val="auto"/>
        </w:rPr>
      </w:pPr>
    </w:p>
    <w:p>
      <w:pPr>
        <w:ind w:firstLine="987"/>
        <w:spacing w:after="0" w:line="254" w:lineRule="auto"/>
        <w:tabs>
          <w:tab w:leader="none" w:pos="1246" w:val="left"/>
        </w:tabs>
        <w:numPr>
          <w:ilvl w:val="0"/>
          <w:numId w:val="3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indemnify the Agents (and any sub-agent thereof), the Arrangers, the Syndication Agents, the Documentation Agents, each Lender and each Related Party of any of the foregoing (each such Person being called an “</w:t>
      </w:r>
      <w:r>
        <w:rPr>
          <w:rFonts w:ascii="Times New Roman" w:cs="Times New Roman" w:eastAsia="Times New Roman" w:hAnsi="Times New Roman"/>
          <w:sz w:val="18"/>
          <w:szCs w:val="18"/>
          <w:u w:val="single" w:color="auto"/>
          <w:color w:val="auto"/>
        </w:rPr>
        <w:t>Indemnitee</w:t>
      </w:r>
      <w:r>
        <w:rPr>
          <w:rFonts w:ascii="Times New Roman" w:cs="Times New Roman" w:eastAsia="Times New Roman" w:hAnsi="Times New Roman"/>
          <w:sz w:val="18"/>
          <w:szCs w:val="18"/>
          <w:color w:val="auto"/>
        </w:rPr>
        <w:t>”) against, and hold each Indemnitee harmless from, any and all losses, claims, damages, penalties, liabilities and related expenses, including the fees, charges and disbursements of any counsel for any Indemnitee (but limited to a single U.S. counsel,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1000"/>
          </w:cols>
          <w:pgMar w:left="440" w:top="270" w:right="459" w:bottom="1440" w:gutter="0" w:footer="0" w:header="0"/>
        </w:sectPr>
      </w:pPr>
    </w:p>
    <w:bookmarkStart w:id="392" w:name="page393"/>
    <w:bookmarkEnd w:id="392"/>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arrangement and syndication of the credit facilities provided for herein, the preparation, execution, delivery and administration of the Commitment Letter, the Fee Letters, this Agreement, the other Loan Documents or any other agreement or instrument contemplated hereby or thereby, the performance by the parties to the Commitment Letter, the Fee Letters,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Letters, this Agreement or any other Loan Document, any Affiliate of any of the foregoing or any third party (and regardless of whether any Indemnitee is a party thereto);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any Agent, any Arranger, any Syndication Agent, any Documentation Agent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losses, claims, damages, penalties,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w:t>
      </w:r>
    </w:p>
    <w:p>
      <w:pPr>
        <w:spacing w:after="0" w:line="189" w:lineRule="exact"/>
        <w:rPr>
          <w:sz w:val="20"/>
          <w:szCs w:val="20"/>
          <w:color w:val="auto"/>
        </w:rPr>
      </w:pPr>
    </w:p>
    <w:p>
      <w:pPr>
        <w:ind w:firstLine="987"/>
        <w:spacing w:after="0" w:line="254" w:lineRule="auto"/>
        <w:tabs>
          <w:tab w:leader="none" w:pos="1236" w:val="left"/>
        </w:tabs>
        <w:numPr>
          <w:ilvl w:val="0"/>
          <w:numId w:val="3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the extent that the Company fails indefeasibly to pay any amount required under paragraph (a) or (b) of this Section to any Agent (or any sub-agent thereof) or any Related Party of any of the foregoing (and without limiting its obligation to do so), each Lender severally agrees to pay to such Agent (or any such sub-agent) or such Related Party, as the case may be, such Lender’s pro rata share (determined as of the time that the applicable unreimbursed expense or indemnity payment is sought) of such unpaid amount;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unreimbursed expense or indemnified loss, claim, damage, liability or related expense, as the case may be, was incurred by or asserted against such Agent (or such sub-agent) in its capacity as such, or against any Related Party of any of the foregoing acting for such Agent (or any such sub-agent). For purposes of this Section, a Lender’s “pro rata share” shall be determined based upon its share of the sum of the aggregate amount of the Revolving Loans, unused Revolving Commitments and Term Loans (or, prior to the funding of the Term Loans on the Term Funding Date, Term Commitments) at the time outstanding or in effect (or most recently outstanding or in effect, if none of the foregoing shall be outstanding or in effect at such time).</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1000"/>
          </w:cols>
          <w:pgMar w:left="440" w:top="270" w:right="459" w:bottom="1440" w:gutter="0" w:footer="0" w:header="0"/>
        </w:sectPr>
      </w:pPr>
    </w:p>
    <w:bookmarkStart w:id="393" w:name="page394"/>
    <w:bookmarkEnd w:id="393"/>
    <w:p>
      <w:pPr>
        <w:ind w:firstLine="987"/>
        <w:spacing w:after="0" w:line="256" w:lineRule="auto"/>
        <w:tabs>
          <w:tab w:leader="none" w:pos="1246" w:val="left"/>
        </w:tabs>
        <w:numPr>
          <w:ilvl w:val="0"/>
          <w:numId w:val="3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fullest extent permitted by applicable law, the Company shall not assert, or permit any of its Affiliates or Related Parties to assert, and the Company hereby waives, any claim against any Indemnitee (i) for any damages arising from the use by others of information or other materials obtained through telecommunications, electronic or other information transmission systems (including the Internet),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187" w:lineRule="exact"/>
        <w:rPr>
          <w:rFonts w:ascii="Times New Roman" w:cs="Times New Roman" w:eastAsia="Times New Roman" w:hAnsi="Times New Roman"/>
          <w:sz w:val="18"/>
          <w:szCs w:val="18"/>
          <w:color w:val="auto"/>
        </w:rPr>
      </w:pPr>
    </w:p>
    <w:p>
      <w:pPr>
        <w:ind w:right="140" w:firstLine="987"/>
        <w:spacing w:after="0" w:line="256" w:lineRule="auto"/>
        <w:tabs>
          <w:tab w:leader="none" w:pos="1236" w:val="left"/>
        </w:tabs>
        <w:numPr>
          <w:ilvl w:val="0"/>
          <w:numId w:val="3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the fullest extent permitted by applicable law, the Agents, the Arrangers, the Lenders, the Syndication Agents, and the Documentation Agents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nothing in this paragraph (e) shall limit the Company’s indemnity and reimbursement obligations set forth in this Section or separately agreed.</w:t>
      </w:r>
    </w:p>
    <w:p>
      <w:pPr>
        <w:spacing w:after="0" w:line="187" w:lineRule="exact"/>
        <w:rPr>
          <w:rFonts w:ascii="Times New Roman" w:cs="Times New Roman" w:eastAsia="Times New Roman" w:hAnsi="Times New Roman"/>
          <w:sz w:val="18"/>
          <w:szCs w:val="18"/>
          <w:color w:val="auto"/>
        </w:rPr>
      </w:pPr>
    </w:p>
    <w:p>
      <w:pPr>
        <w:ind w:left="1220" w:hanging="233"/>
        <w:spacing w:after="0"/>
        <w:tabs>
          <w:tab w:leader="none" w:pos="1220" w:val="left"/>
        </w:tabs>
        <w:numPr>
          <w:ilvl w:val="0"/>
          <w:numId w:val="3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amounts due under this Section shall be payable promptly after written demand therefor.</w:t>
      </w:r>
    </w:p>
    <w:p>
      <w:pPr>
        <w:spacing w:after="0" w:line="225" w:lineRule="exact"/>
        <w:rPr>
          <w:sz w:val="20"/>
          <w:szCs w:val="20"/>
          <w:color w:val="auto"/>
        </w:rPr>
      </w:pPr>
    </w:p>
    <w:p>
      <w:pPr>
        <w:ind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9.04. </w:t>
      </w:r>
      <w:r>
        <w:rPr>
          <w:rFonts w:ascii="Times New Roman" w:cs="Times New Roman" w:eastAsia="Times New Roman" w:hAnsi="Times New Roman"/>
          <w:sz w:val="17"/>
          <w:szCs w:val="17"/>
          <w:u w:val="single" w:color="auto"/>
          <w:color w:val="auto"/>
        </w:rPr>
        <w:t>Successors and Assigns</w:t>
      </w:r>
      <w:r>
        <w:rPr>
          <w:rFonts w:ascii="Times New Roman" w:cs="Times New Roman" w:eastAsia="Times New Roman" w:hAnsi="Times New Roman"/>
          <w:sz w:val="17"/>
          <w:szCs w:val="17"/>
          <w:color w:val="auto"/>
        </w:rPr>
        <w:t>. (a) The provisions of this Agreement shall be binding upon and inure to the benefit of the parties hereto and their respective successors and assigns permitted hereby, except that (i) other than as expressly provided in Section 6.04(a)(ii)(B), the Company may not assign or otherwise transfer any of its rights or obligations hereunder without the prior written consent of each Agent and each Lender (and any attempted assignment or transfer by the Company without such consent shall be null and void) and (ii) 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any Agent, Participants (to the extent provided in paragraph (c) of this Section), the Arrangers, the Syndication Agents, the Documentation Agents and, to the extent expressly contemplated hereby, the Related Parties of the foregoing) any legal or equitable right, remedy or claim under or by reason of this Agreement.</w:t>
      </w:r>
    </w:p>
    <w:p>
      <w:pPr>
        <w:spacing w:after="0" w:line="172" w:lineRule="exact"/>
        <w:rPr>
          <w:sz w:val="20"/>
          <w:szCs w:val="20"/>
          <w:color w:val="auto"/>
        </w:rPr>
      </w:pPr>
    </w:p>
    <w:p>
      <w:pPr>
        <w:ind w:right="120" w:firstLine="987"/>
        <w:spacing w:after="0" w:line="266" w:lineRule="auto"/>
        <w:tabs>
          <w:tab w:leader="none" w:pos="1246" w:val="left"/>
        </w:tabs>
        <w:numPr>
          <w:ilvl w:val="0"/>
          <w:numId w:val="3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1000"/>
          </w:cols>
          <w:pgMar w:left="440" w:top="270" w:right="459" w:bottom="1440" w:gutter="0" w:footer="0" w:header="0"/>
        </w:sectPr>
      </w:pPr>
    </w:p>
    <w:bookmarkStart w:id="394" w:name="page395"/>
    <w:bookmarkEnd w:id="394"/>
    <w:p>
      <w:pPr>
        <w:ind w:left="693" w:hanging="292"/>
        <w:spacing w:after="0"/>
        <w:tabs>
          <w:tab w:leader="none" w:pos="693" w:val="left"/>
        </w:tabs>
        <w:numPr>
          <w:ilvl w:val="1"/>
          <w:numId w:val="3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Company;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Company shall be required (1) in the case of Term Commitments and Term Loans,</w:t>
      </w:r>
    </w:p>
    <w:p>
      <w:pPr>
        <w:spacing w:after="0" w:line="27" w:lineRule="exact"/>
        <w:rPr>
          <w:rFonts w:ascii="Times New Roman" w:cs="Times New Roman" w:eastAsia="Times New Roman" w:hAnsi="Times New Roman"/>
          <w:sz w:val="18"/>
          <w:szCs w:val="18"/>
          <w:color w:val="auto"/>
        </w:rPr>
      </w:pPr>
    </w:p>
    <w:p>
      <w:pPr>
        <w:ind w:left="-7" w:firstLine="7"/>
        <w:spacing w:after="0" w:line="265" w:lineRule="auto"/>
        <w:tabs>
          <w:tab w:leader="none" w:pos="247" w:val="left"/>
        </w:tabs>
        <w:numPr>
          <w:ilvl w:val="0"/>
          <w:numId w:val="36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for an assignment to a Specified Permitted Lender, (y) after the Term Funding Date, for an assignment to a Lender, an Affiliate of a Lender or an Approved Fund or (z) after the Term Funding Date, if an Event of Default under clause (a), (b), (h) or (i) of Section 7.01 shall have occurred and be continuing, (2) in the case of Revolving Commitments and Revolving Loans, (x) for an assignment to a Revolving Lender, an Affiliate of a Revolving Lender or an Approved Fund of a Revolving Lender or (y) if an Event of Default under clause (a), (b),</w:t>
      </w:r>
    </w:p>
    <w:p>
      <w:pPr>
        <w:jc w:val="both"/>
        <w:ind w:left="-7" w:right="120" w:firstLine="7"/>
        <w:spacing w:after="0" w:line="253" w:lineRule="auto"/>
        <w:tabs>
          <w:tab w:leader="none" w:pos="247" w:val="left"/>
        </w:tabs>
        <w:numPr>
          <w:ilvl w:val="0"/>
          <w:numId w:val="3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or (i) of Section 7.01 shall have occurred and be continuing and (3) for any assignment between Goldman Sachs Bank USA and Goldman Sachs Lending Partners LLC; </w:t>
      </w:r>
      <w:r>
        <w:rPr>
          <w:rFonts w:ascii="Times New Roman" w:cs="Times New Roman" w:eastAsia="Times New Roman" w:hAnsi="Times New Roman"/>
          <w:sz w:val="18"/>
          <w:szCs w:val="18"/>
          <w:u w:val="single" w:color="auto"/>
          <w:color w:val="auto"/>
        </w:rPr>
        <w:t>provided further</w:t>
      </w:r>
      <w:r>
        <w:rPr>
          <w:rFonts w:ascii="Times New Roman" w:cs="Times New Roman" w:eastAsia="Times New Roman" w:hAnsi="Times New Roman"/>
          <w:sz w:val="18"/>
          <w:szCs w:val="18"/>
          <w:color w:val="auto"/>
        </w:rPr>
        <w:t>, in each case, that the Company shall be deemed to have consented to any assignment unless it shall object thereto by written notice to the Applicable Facility Agent within 10 Business Days after having received notice thereof; and</w:t>
      </w:r>
    </w:p>
    <w:p>
      <w:pPr>
        <w:spacing w:after="0" w:line="80" w:lineRule="exact"/>
        <w:rPr>
          <w:rFonts w:ascii="Times New Roman" w:cs="Times New Roman" w:eastAsia="Times New Roman" w:hAnsi="Times New Roman"/>
          <w:sz w:val="18"/>
          <w:szCs w:val="18"/>
          <w:color w:val="auto"/>
        </w:rPr>
      </w:pPr>
    </w:p>
    <w:p>
      <w:pPr>
        <w:ind w:left="-7" w:right="80" w:firstLine="408"/>
        <w:spacing w:after="0" w:line="282" w:lineRule="auto"/>
        <w:tabs>
          <w:tab w:leader="none" w:pos="678" w:val="left"/>
        </w:tabs>
        <w:numPr>
          <w:ilvl w:val="1"/>
          <w:numId w:val="3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Applicable Facility Agent;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consent of the Applicable Facility Agent shall be required for an assignment to a Lender, an Affiliate of a Lender or an Approved Fund.</w:t>
      </w:r>
    </w:p>
    <w:p>
      <w:pPr>
        <w:spacing w:after="0" w:line="54" w:lineRule="exact"/>
        <w:rPr>
          <w:sz w:val="20"/>
          <w:szCs w:val="20"/>
          <w:color w:val="auto"/>
        </w:rPr>
      </w:pPr>
    </w:p>
    <w:p>
      <w:pPr>
        <w:ind w:left="273" w:hanging="273"/>
        <w:spacing w:after="0"/>
        <w:tabs>
          <w:tab w:leader="none" w:pos="273" w:val="left"/>
        </w:tabs>
        <w:numPr>
          <w:ilvl w:val="0"/>
          <w:numId w:val="3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Assignments shall be subject to the following additional conditions:</w:t>
      </w:r>
    </w:p>
    <w:p>
      <w:pPr>
        <w:spacing w:after="0" w:line="117" w:lineRule="exact"/>
        <w:rPr>
          <w:rFonts w:ascii="Times New Roman" w:cs="Times New Roman" w:eastAsia="Times New Roman" w:hAnsi="Times New Roman"/>
          <w:sz w:val="18"/>
          <w:szCs w:val="18"/>
          <w:color w:val="auto"/>
        </w:rPr>
      </w:pPr>
    </w:p>
    <w:p>
      <w:pPr>
        <w:ind w:left="-7" w:right="20" w:firstLine="408"/>
        <w:spacing w:after="0" w:line="269" w:lineRule="auto"/>
        <w:tabs>
          <w:tab w:leader="none" w:pos="688" w:val="left"/>
        </w:tabs>
        <w:numPr>
          <w:ilvl w:val="1"/>
          <w:numId w:val="36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except in the case of an assignment to a Lender, an Affiliate of a Lender or an Approved Fund or an assignment of the entire remaining amount of the assigning Lender’s Commitment or Loans of any Class, the amount of the Commitment or Loans of the assigning Lender subject to each such assignment (determined as of the date the Assignment and Assumption with respect to such assignment is delivered to the Applicable Facility Agent) shall not be less than $5,000,000 unless each of the Company and the Applicable Facility Agent otherwise consents;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(1) no such consent of the Company shall be required if an Event of Default under clause (a), (b),</w:t>
      </w:r>
    </w:p>
    <w:p>
      <w:pPr>
        <w:spacing w:after="0" w:line="2" w:lineRule="exact"/>
        <w:rPr>
          <w:rFonts w:ascii="Times New Roman" w:cs="Times New Roman" w:eastAsia="Times New Roman" w:hAnsi="Times New Roman"/>
          <w:sz w:val="17"/>
          <w:szCs w:val="17"/>
          <w:color w:val="auto"/>
        </w:rPr>
      </w:pPr>
    </w:p>
    <w:p>
      <w:pPr>
        <w:ind w:left="-7" w:right="20" w:firstLine="7"/>
        <w:spacing w:after="0" w:line="255" w:lineRule="auto"/>
        <w:tabs>
          <w:tab w:leader="none" w:pos="247" w:val="left"/>
        </w:tabs>
        <w:numPr>
          <w:ilvl w:val="0"/>
          <w:numId w:val="3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or (i) of Section 7.01 shall have occurred and be continuing and (2) the Company shall be deemed to have consented to any assignment unless it shall object thereto by written notice to the Applicable Facility Agent within 10 Business Days after having received notice thereof;</w:t>
      </w:r>
    </w:p>
    <w:p>
      <w:pPr>
        <w:spacing w:after="0" w:line="77" w:lineRule="exact"/>
        <w:rPr>
          <w:rFonts w:ascii="Times New Roman" w:cs="Times New Roman" w:eastAsia="Times New Roman" w:hAnsi="Times New Roman"/>
          <w:sz w:val="18"/>
          <w:szCs w:val="18"/>
          <w:color w:val="auto"/>
        </w:rPr>
      </w:pPr>
    </w:p>
    <w:p>
      <w:pPr>
        <w:ind w:left="-7" w:right="80" w:firstLine="408"/>
        <w:spacing w:after="0" w:line="266" w:lineRule="auto"/>
        <w:tabs>
          <w:tab w:leader="none" w:pos="678" w:val="left"/>
        </w:tabs>
        <w:numPr>
          <w:ilvl w:val="1"/>
          <w:numId w:val="3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each partial assignment shall be made as an assignment of a proportionate part of all the assigning Lender’s rights and obligations under this Agreement;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this clause (B) shall not be construed to prohibit the assignment of a proportionate part of all the assigning Lender’s rights and obligations in respect of one Class of Commitments or Loans;</w:t>
      </w:r>
    </w:p>
    <w:p>
      <w:pPr>
        <w:spacing w:after="0" w:line="108" w:lineRule="exact"/>
        <w:rPr>
          <w:sz w:val="20"/>
          <w:szCs w:val="20"/>
          <w:color w:val="auto"/>
        </w:rPr>
      </w:pPr>
    </w:p>
    <w:p>
      <w:pPr>
        <w:ind w:left="4433"/>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0013"/>
          </w:cols>
          <w:pgMar w:left="1427" w:top="270" w:right="459" w:bottom="1440" w:gutter="0" w:footer="0" w:header="0"/>
        </w:sectPr>
      </w:pPr>
    </w:p>
    <w:bookmarkStart w:id="395" w:name="page396"/>
    <w:bookmarkEnd w:id="395"/>
    <w:p>
      <w:pPr>
        <w:ind w:left="980" w:right="180" w:firstLine="408"/>
        <w:spacing w:after="0" w:line="261" w:lineRule="auto"/>
        <w:tabs>
          <w:tab w:leader="none" w:pos="1666" w:val="left"/>
        </w:tabs>
        <w:numPr>
          <w:ilvl w:val="1"/>
          <w:numId w:val="3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parties to each assignment shall execute and deliver to the Applicable Facility Agent an Assignment and Assumption (or an agreement incorporating by reference a form of Assignment and Assumption posted on the Platform), together with a processing and recordation fee of $3,500,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71"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1"/>
          <w:numId w:val="3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assignee, if it shall not already be a Lender of the applicable Class, shall deliver to the Applicable Facility Agent an</w:t>
      </w:r>
    </w:p>
    <w:p>
      <w:pPr>
        <w:spacing w:after="0" w:line="27" w:lineRule="exact"/>
        <w:rPr>
          <w:rFonts w:ascii="Times New Roman" w:cs="Times New Roman" w:eastAsia="Times New Roman" w:hAnsi="Times New Roman"/>
          <w:sz w:val="18"/>
          <w:szCs w:val="18"/>
          <w:color w:val="auto"/>
        </w:rPr>
      </w:pPr>
    </w:p>
    <w:p>
      <w:pPr>
        <w:ind w:left="980" w:right="2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185" w:lineRule="exact"/>
        <w:rPr>
          <w:rFonts w:ascii="Times New Roman" w:cs="Times New Roman" w:eastAsia="Times New Roman" w:hAnsi="Times New Roman"/>
          <w:sz w:val="18"/>
          <w:szCs w:val="18"/>
          <w:color w:val="auto"/>
        </w:rPr>
      </w:pPr>
    </w:p>
    <w:p>
      <w:pPr>
        <w:ind w:right="100" w:firstLine="987"/>
        <w:spacing w:after="0" w:line="253" w:lineRule="auto"/>
        <w:tabs>
          <w:tab w:leader="none" w:pos="1306" w:val="left"/>
        </w:tabs>
        <w:numPr>
          <w:ilvl w:val="0"/>
          <w:numId w:val="3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 to the benefits of Sections 2.12, 2.13, 2.14, 9.03 and 9.17);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194" w:lineRule="exact"/>
        <w:rPr>
          <w:rFonts w:ascii="Times New Roman" w:cs="Times New Roman" w:eastAsia="Times New Roman" w:hAnsi="Times New Roman"/>
          <w:sz w:val="18"/>
          <w:szCs w:val="18"/>
          <w:color w:val="auto"/>
        </w:rPr>
      </w:pPr>
    </w:p>
    <w:p>
      <w:pPr>
        <w:ind w:firstLine="987"/>
        <w:spacing w:after="0" w:line="254" w:lineRule="auto"/>
        <w:tabs>
          <w:tab w:leader="none" w:pos="1296" w:val="left"/>
        </w:tabs>
        <w:numPr>
          <w:ilvl w:val="0"/>
          <w:numId w:val="3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Applicable Facility Agent, acting solely for this purpose as a non-fiduciary agent of the Company, shall maintain at one of its offices a copy of each Assignment and Assumption with respect to the Term Facility or the Revolving Facility, as the case may be, delivered to it and records of the names and addresses of the Lenders of the applicable Class, and the Commitments of, and principal amount (and stated interest) of the Loans owing to, each Lender of the applicable Class pursuant to the terms hereof from time to time (the “</w:t>
      </w:r>
      <w:r>
        <w:rPr>
          <w:rFonts w:ascii="Times New Roman" w:cs="Times New Roman" w:eastAsia="Times New Roman" w:hAnsi="Times New Roman"/>
          <w:sz w:val="18"/>
          <w:szCs w:val="18"/>
          <w:u w:val="single" w:color="auto"/>
          <w:color w:val="auto"/>
        </w:rPr>
        <w:t>Register</w:t>
      </w:r>
      <w:r>
        <w:rPr>
          <w:rFonts w:ascii="Times New Roman" w:cs="Times New Roman" w:eastAsia="Times New Roman" w:hAnsi="Times New Roman"/>
          <w:sz w:val="18"/>
          <w:szCs w:val="18"/>
          <w:color w:val="auto"/>
        </w:rPr>
        <w:t>”). The entries in the Register shall be conclusive absent manifest error, and the Company, the Agents and the Lenders may treat each Person whose name is recorded in the Register pursuant to the terms hereof as a Lender hereunder for all purposes of this Agreement, notwithstanding notice to the contrary. The Register shall be available for inspection by the Company, any other Agent and, as to entries pertaining to it, any Lender, at any reasonable time and from time to time upon reasonable prior notice.</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1000"/>
          </w:cols>
          <w:pgMar w:left="440" w:top="270" w:right="459" w:bottom="1440" w:gutter="0" w:footer="0" w:header="0"/>
        </w:sectPr>
      </w:pPr>
    </w:p>
    <w:bookmarkStart w:id="396" w:name="page397"/>
    <w:bookmarkEnd w:id="396"/>
    <w:p>
      <w:pPr>
        <w:ind w:firstLine="987"/>
        <w:spacing w:after="0" w:line="252" w:lineRule="auto"/>
        <w:tabs>
          <w:tab w:leader="none" w:pos="1246" w:val="left"/>
        </w:tabs>
        <w:numPr>
          <w:ilvl w:val="0"/>
          <w:numId w:val="3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Upon receipt by the Applicable Facility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of the applicable Class hereunder) and the processing and recordation fee referred to in this Section, the Applicable Facility Agent shall accept such Assignment and Assumption and record the information contained therein in the Register;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Applicable Facility Agent shall not be required to accept such Assignment and Assumption or so record the information contained therein if the Applicable Facility Agent reasonably believes that such Assignment and Assumption lacks any written consent required by this Section or is otherwise not in proper form, it being acknowledged that the Applicable Facility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Applicable Facility Agent (such determination to be made in the sole discretion of the Applicable Facility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Applicable Facility Agent that all written consents required by this Section with respect thereto (other than the consent of the Applicable Facility Agent) have been obtained and that such Assignment and Assumption is otherwise duly completed and in proper form, and each assignee, by its execution and delivery of an Assignment and Assumption, shall be deemed to have represented to the assigning Lender and the Applicable Facility Agent that such assignee is an Eligible Assignee.</w:t>
      </w:r>
    </w:p>
    <w:p>
      <w:pPr>
        <w:spacing w:after="0" w:line="193"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(c) (i) Any Lender may, without the consent of the Company or any Agent, sell participations to one or more Eligible Assignees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u w:val="single" w:color="auto"/>
          <w:color w:val="auto"/>
        </w:rPr>
        <w:t>Participants</w:t>
      </w:r>
      <w:r>
        <w:rPr>
          <w:rFonts w:ascii="Times New Roman" w:cs="Times New Roman" w:eastAsia="Times New Roman" w:hAnsi="Times New Roman"/>
          <w:sz w:val="18"/>
          <w:szCs w:val="18"/>
          <w:color w:val="auto"/>
        </w:rPr>
        <w:t>”) in all or a portion of such Lender’s rights and/or obligations under this Agreement (including all or a portion of its Commitments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Loans of any Class);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such Lender’s obligations under this Agreement shall remain unchanged, (B) such Lender shall remain solely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responsible to the other parties hereto for the performance of such obligations and (C) the Company, the Agents and the other Lenders shall continue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deal solely and directly with such Lender in connection with such Lender’s rights and/or obligations under this Agreement. Any agreement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instrument pursuant to which a Lender sells such a participation shall provide that such Lender shall retain the sole right to enforce this Agreement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to approve any amendment, modification or waiver of any provision of this Agreement or any other Loan Document;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agreement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instrument may provide that such Lender will not, without the consent of the Participant, agree to any amendment, modification or waiver described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first proviso to Section 9.02(b) that affects such Participant or requires the approval of all the Lenders. The Company agrees that each Participant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shall be entitled to the benefits of Sections 2.12, 2.13 and 2.14 (subject to the requirements and limitations therein, including the requirements under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2.14(f) (it being understood that the documentation required under Section 2.14(f) shall be</w:t>
      </w:r>
    </w:p>
    <w:p>
      <w:pPr>
        <w:spacing w:after="0" w:line="13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94</w:t>
      </w:r>
    </w:p>
    <w:p>
      <w:pPr>
        <w:sectPr>
          <w:pgSz w:w="11900" w:h="16838" w:orient="portrait"/>
          <w:cols w:equalWidth="0" w:num="1">
            <w:col w:w="10960"/>
          </w:cols>
          <w:pgMar w:left="440" w:top="270" w:right="499" w:bottom="1440" w:gutter="0" w:footer="0" w:header="0"/>
        </w:sectPr>
      </w:pPr>
    </w:p>
    <w:bookmarkStart w:id="397" w:name="page398"/>
    <w:bookmarkEnd w:id="397"/>
    <w:p>
      <w:pPr>
        <w:ind w:left="4" w:right="100"/>
        <w:spacing w:after="0" w:line="276"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delivered to the participating Lender)) to the same extent as if it were a Lender and had acquired its interest by assignment pursuant to paragraph (b) of this Section; </w:t>
      </w:r>
      <w:r>
        <w:rPr>
          <w:rFonts w:ascii="Times New Roman" w:cs="Times New Roman" w:eastAsia="Times New Roman" w:hAnsi="Times New Roman"/>
          <w:sz w:val="17"/>
          <w:szCs w:val="17"/>
          <w:u w:val="single" w:color="auto"/>
          <w:color w:val="auto"/>
        </w:rPr>
        <w:t>provided</w:t>
      </w:r>
      <w:r>
        <w:rPr>
          <w:rFonts w:ascii="Times New Roman" w:cs="Times New Roman" w:eastAsia="Times New Roman" w:hAnsi="Times New Roman"/>
          <w:sz w:val="17"/>
          <w:szCs w:val="17"/>
          <w:color w:val="auto"/>
        </w:rPr>
        <w:t xml:space="preserve"> that such Participant (x) agrees to be subject to the provisions of Sections 2.15 and 2.16 as if it were an assignee under paragraph</w:t>
      </w:r>
    </w:p>
    <w:p>
      <w:pPr>
        <w:spacing w:after="0" w:line="1" w:lineRule="exact"/>
        <w:rPr>
          <w:sz w:val="20"/>
          <w:szCs w:val="20"/>
          <w:color w:val="auto"/>
        </w:rPr>
      </w:pPr>
    </w:p>
    <w:p>
      <w:pPr>
        <w:ind w:left="4" w:right="140" w:hanging="4"/>
        <w:spacing w:after="0" w:line="252" w:lineRule="auto"/>
        <w:tabs>
          <w:tab w:leader="none" w:pos="259" w:val="left"/>
        </w:tabs>
        <w:numPr>
          <w:ilvl w:val="0"/>
          <w:numId w:val="3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of this Section and (y) 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Participant agrees to be subject to Section 2.15(c) as though it were a Lender.</w:t>
      </w:r>
    </w:p>
    <w:p>
      <w:pPr>
        <w:spacing w:after="0" w:line="81" w:lineRule="exact"/>
        <w:rPr>
          <w:rFonts w:ascii="Times New Roman" w:cs="Times New Roman" w:eastAsia="Times New Roman" w:hAnsi="Times New Roman"/>
          <w:sz w:val="18"/>
          <w:szCs w:val="18"/>
          <w:color w:val="auto"/>
        </w:rPr>
      </w:pPr>
    </w:p>
    <w:p>
      <w:pPr>
        <w:ind w:left="444" w:right="20" w:firstLine="419"/>
        <w:spacing w:after="0" w:line="253" w:lineRule="auto"/>
        <w:tabs>
          <w:tab w:leader="none" w:pos="1132" w:val="left"/>
        </w:tabs>
        <w:numPr>
          <w:ilvl w:val="1"/>
          <w:numId w:val="3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Times New Roman" w:cs="Times New Roman" w:eastAsia="Times New Roman" w:hAnsi="Times New Roman"/>
          <w:sz w:val="18"/>
          <w:szCs w:val="18"/>
          <w:u w:val="single" w:color="auto"/>
          <w:color w:val="auto"/>
        </w:rPr>
        <w:t>Participant Register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Lender 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 except to the extent that such disclosure is necessary to establish that any such Commitment, Loan or other obligation is in registered form under</w:t>
      </w:r>
    </w:p>
    <w:p>
      <w:pPr>
        <w:spacing w:after="0" w:line="5" w:lineRule="exact"/>
        <w:rPr>
          <w:rFonts w:ascii="Times New Roman" w:cs="Times New Roman" w:eastAsia="Times New Roman" w:hAnsi="Times New Roman"/>
          <w:sz w:val="18"/>
          <w:szCs w:val="18"/>
          <w:color w:val="auto"/>
        </w:rPr>
      </w:pPr>
    </w:p>
    <w:p>
      <w:pPr>
        <w:ind w:left="444" w:right="18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no Agent (in its capacity as an Agent) shall have any responsibility for maintaining a Participant Register.</w:t>
      </w:r>
    </w:p>
    <w:p>
      <w:pPr>
        <w:spacing w:after="0" w:line="188" w:lineRule="exact"/>
        <w:rPr>
          <w:rFonts w:ascii="Times New Roman" w:cs="Times New Roman" w:eastAsia="Times New Roman" w:hAnsi="Times New Roman"/>
          <w:sz w:val="18"/>
          <w:szCs w:val="18"/>
          <w:color w:val="auto"/>
        </w:rPr>
      </w:pPr>
    </w:p>
    <w:p>
      <w:pPr>
        <w:ind w:left="4" w:right="20" w:firstLine="987"/>
        <w:spacing w:after="0" w:line="261" w:lineRule="auto"/>
        <w:tabs>
          <w:tab w:leader="none" w:pos="1250" w:val="left"/>
        </w:tabs>
        <w:numPr>
          <w:ilvl w:val="2"/>
          <w:numId w:val="3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 such pledge or grant of a security interest shall release a Lender from any of its obligations hereunder or substitute any such pledgee or assignee for such Lender as a party hereto.</w:t>
      </w:r>
    </w:p>
    <w:p>
      <w:pPr>
        <w:spacing w:after="0" w:line="180" w:lineRule="exact"/>
        <w:rPr>
          <w:sz w:val="20"/>
          <w:szCs w:val="20"/>
          <w:color w:val="auto"/>
        </w:rPr>
      </w:pPr>
    </w:p>
    <w:p>
      <w:pPr>
        <w:jc w:val="both"/>
        <w:ind w:left="4"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9.05. </w:t>
      </w:r>
      <w:r>
        <w:rPr>
          <w:rFonts w:ascii="Times New Roman" w:cs="Times New Roman" w:eastAsia="Times New Roman" w:hAnsi="Times New Roman"/>
          <w:sz w:val="18"/>
          <w:szCs w:val="18"/>
          <w:u w:val="single" w:color="auto"/>
          <w:color w:val="auto"/>
        </w:rPr>
        <w:t>Survival</w:t>
      </w:r>
      <w:r>
        <w:rPr>
          <w:rFonts w:ascii="Times New Roman" w:cs="Times New Roman" w:eastAsia="Times New Roman" w:hAnsi="Times New Roman"/>
          <w:sz w:val="18"/>
          <w:szCs w:val="18"/>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Agents, the Arrangers, the Syndication Agents, the</w:t>
      </w:r>
    </w:p>
    <w:p>
      <w:pPr>
        <w:spacing w:after="0" w:line="116"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1004"/>
          </w:cols>
          <w:pgMar w:left="436" w:top="270" w:right="459" w:bottom="1440" w:gutter="0" w:footer="0" w:header="0"/>
        </w:sectPr>
      </w:pPr>
    </w:p>
    <w:bookmarkStart w:id="398" w:name="page399"/>
    <w:bookmarkEnd w:id="398"/>
    <w:p>
      <w:pPr>
        <w:ind w:right="1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w:t>
      </w:r>
    </w:p>
    <w:p>
      <w:pPr>
        <w:spacing w:after="0" w:line="3" w:lineRule="exact"/>
        <w:rPr>
          <w:sz w:val="20"/>
          <w:szCs w:val="20"/>
          <w:color w:val="auto"/>
        </w:rPr>
      </w:pPr>
    </w:p>
    <w:p>
      <w:pPr>
        <w:jc w:val="both"/>
        <w:ind w:right="40"/>
        <w:spacing w:after="0" w:line="290" w:lineRule="auto"/>
        <w:rPr>
          <w:sz w:val="20"/>
          <w:szCs w:val="20"/>
          <w:color w:val="auto"/>
        </w:rPr>
      </w:pPr>
      <w:r>
        <w:rPr>
          <w:rFonts w:ascii="Times New Roman" w:cs="Times New Roman" w:eastAsia="Times New Roman" w:hAnsi="Times New Roman"/>
          <w:sz w:val="17"/>
          <w:szCs w:val="17"/>
          <w:color w:val="auto"/>
        </w:rPr>
        <w:t>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49" w:lineRule="exact"/>
        <w:rPr>
          <w:sz w:val="20"/>
          <w:szCs w:val="20"/>
          <w:color w:val="auto"/>
        </w:rPr>
      </w:pPr>
    </w:p>
    <w:p>
      <w:pPr>
        <w:ind w:firstLine="991"/>
        <w:spacing w:after="0" w:line="252" w:lineRule="auto"/>
        <w:rPr>
          <w:sz w:val="20"/>
          <w:szCs w:val="20"/>
          <w:color w:val="auto"/>
        </w:rPr>
      </w:pPr>
      <w:r>
        <w:rPr>
          <w:rFonts w:ascii="Times New Roman" w:cs="Times New Roman" w:eastAsia="Times New Roman" w:hAnsi="Times New Roman"/>
          <w:sz w:val="18"/>
          <w:szCs w:val="18"/>
          <w:color w:val="auto"/>
        </w:rPr>
        <w:t xml:space="preserve">SECTION 9.06. </w:t>
      </w:r>
      <w:r>
        <w:rPr>
          <w:rFonts w:ascii="Times New Roman" w:cs="Times New Roman" w:eastAsia="Times New Roman" w:hAnsi="Times New Roman"/>
          <w:sz w:val="18"/>
          <w:szCs w:val="18"/>
          <w:u w:val="single" w:color="auto"/>
          <w:color w:val="auto"/>
        </w:rPr>
        <w:t>Counterparts; Integration; Effectiveness; Electronic Execution</w:t>
      </w:r>
      <w:r>
        <w:rPr>
          <w:rFonts w:ascii="Times New Roman" w:cs="Times New Roman" w:eastAsia="Times New Roman" w:hAnsi="Times New Roman"/>
          <w:sz w:val="18"/>
          <w:szCs w:val="18"/>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Term Facility under the Commitment Letter and any commitment advices with respect to the Term Facility or the Revolving Facility submitted by any Lender (but do not supersede (a) except as may be set forth in the Bridge Facility Agreement, the commitments under the Commitment Letter with respect to, and as defined in, the Bridge Facility or any other provision of the Commitment Letter or any Fee Letter with respect to the Bridge Facility and (b) any other provisions of the Commitment Letter or the Fee Letters that do not by the terms of such documents terminate upon the effectiveness of this Agreement, all of which provisions shall remain in full force and effect). Except as provided in Section 4.01, this Agreement shall become effective when it shall have been executed by the General Administrative Agent and the General Administrative Agent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Agreement by facsimile or other electronic imaging shall be effective as delivery of a manually executed counterpart of this Agreement.</w:t>
      </w:r>
    </w:p>
    <w:p>
      <w:pPr>
        <w:spacing w:after="0" w:line="89" w:lineRule="exact"/>
        <w:rPr>
          <w:sz w:val="20"/>
          <w:szCs w:val="20"/>
          <w:color w:val="auto"/>
        </w:rPr>
      </w:pPr>
    </w:p>
    <w:p>
      <w:pPr>
        <w:ind w:left="440" w:right="20" w:firstLine="419"/>
        <w:spacing w:after="0" w:line="254" w:lineRule="auto"/>
        <w:tabs>
          <w:tab w:leader="none" w:pos="1108" w:val="left"/>
        </w:tabs>
        <w:numPr>
          <w:ilvl w:val="0"/>
          <w:numId w:val="3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words “execution”, “execute”, “signed”, “signature”, and words of like import in or related to any document to be signed in connection with this Agreement (including any Assignment and Assumptions, amendments and other notices, waivers and consents) shall be deemed to include electronic signatures, the electronic matching of assignment terms and contract formations on the Platform, or the keeping of records in electronic form, each of which shall be of the same legal effect, validity or enforceability as a manually executed signature or the use of a paper-based recordkeeping system, as the case may be, to the extent and as provided for in any applicable law, including the Federal Electronic Signatures in Global and National Commerce Act, the New York State Electronic Signatures and Records Act, or any other similar state laws based on the Uniform Electronic Transactions Act;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notwithstanding anything contained herein to the contrary, none of the Agents are under any obligation to agree to accept electronic signatures in any form or in any format unless expressly agreed to by such Agent pursuant to procedures approved by it.</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000"/>
          </w:cols>
          <w:pgMar w:left="440" w:top="270" w:right="459" w:bottom="1440" w:gutter="0" w:footer="0" w:header="0"/>
        </w:sectPr>
      </w:pPr>
    </w:p>
    <w:bookmarkStart w:id="399" w:name="page400"/>
    <w:bookmarkEnd w:id="399"/>
    <w:p>
      <w:pPr>
        <w:ind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9.07.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80" w:lineRule="exact"/>
        <w:rPr>
          <w:sz w:val="20"/>
          <w:szCs w:val="20"/>
          <w:color w:val="auto"/>
        </w:rPr>
      </w:pPr>
    </w:p>
    <w:p>
      <w:pPr>
        <w:ind w:firstLine="991"/>
        <w:spacing w:after="0" w:line="253" w:lineRule="auto"/>
        <w:rPr>
          <w:sz w:val="20"/>
          <w:szCs w:val="20"/>
          <w:color w:val="auto"/>
        </w:rPr>
      </w:pPr>
      <w:r>
        <w:rPr>
          <w:rFonts w:ascii="Times New Roman" w:cs="Times New Roman" w:eastAsia="Times New Roman" w:hAnsi="Times New Roman"/>
          <w:sz w:val="18"/>
          <w:szCs w:val="18"/>
          <w:color w:val="auto"/>
        </w:rPr>
        <w:t xml:space="preserve">SECTION 9.08. </w:t>
      </w:r>
      <w:r>
        <w:rPr>
          <w:rFonts w:ascii="Times New Roman" w:cs="Times New Roman" w:eastAsia="Times New Roman" w:hAnsi="Times New Roman"/>
          <w:sz w:val="18"/>
          <w:szCs w:val="18"/>
          <w:u w:val="single" w:color="auto"/>
          <w:color w:val="auto"/>
        </w:rPr>
        <w:t>Right of Setoff</w:t>
      </w:r>
      <w:r>
        <w:rPr>
          <w:rFonts w:ascii="Times New Roman" w:cs="Times New Roman" w:eastAsia="Times New Roman" w:hAnsi="Times New Roman"/>
          <w:sz w:val="18"/>
          <w:szCs w:val="18"/>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The rights of each Lender and each Affiliate of any Lender under this Section are in addition to other rights and remedies (including other rights of setoff) that such Lender or Affiliate may have. Each Lender agrees to notify the Company and each of the Agents promptly after any such setoff and application;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failure to give notice shall not affect the validity of such setoff and application.</w:t>
      </w:r>
    </w:p>
    <w:p>
      <w:pPr>
        <w:spacing w:after="0" w:line="194" w:lineRule="exact"/>
        <w:rPr>
          <w:sz w:val="20"/>
          <w:szCs w:val="20"/>
          <w:color w:val="auto"/>
        </w:rPr>
      </w:pPr>
    </w:p>
    <w:p>
      <w:pPr>
        <w:ind w:right="2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9.09. </w:t>
      </w:r>
      <w:r>
        <w:rPr>
          <w:rFonts w:ascii="Times New Roman" w:cs="Times New Roman" w:eastAsia="Times New Roman" w:hAnsi="Times New Roman"/>
          <w:sz w:val="18"/>
          <w:szCs w:val="18"/>
          <w:u w:val="single" w:color="auto"/>
          <w:color w:val="auto"/>
        </w:rPr>
        <w:t>Governing Law; Jurisdiction; Consent to Service of Process</w:t>
      </w:r>
      <w:r>
        <w:rPr>
          <w:rFonts w:ascii="Times New Roman" w:cs="Times New Roman" w:eastAsia="Times New Roman" w:hAnsi="Times New Roman"/>
          <w:sz w:val="18"/>
          <w:szCs w:val="18"/>
          <w:color w:val="auto"/>
        </w:rPr>
        <w:t xml:space="preserve">. (a) This Agreement shall be governed by, and construed in accordance with, the law of the State of New York;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 the interpretation of the definition of the term “Material Adverse Effect on the Acquired Companies” and whether or not a Material Adverse Effect on the Acquired Companies has occurred, (ii) the determination of the accuracy of any Cavium Business Representations and whether as a result of any failure of such representations and warranties to be true and correct the Company or any of its Affiliates (A) have the right to not consummate the Cavium Acquisition or to terminate their respective obligations or (B) otherwise do not have an obligation to close, in each case, under the Cavium Acquisition Agreement and (iii) the determination of whether the Cavium Acquisition has been consummated pursuant to and on the terms set forth in the Cavium Acquisition Agreement, in each case, shall be governed by, and construed in accordance with, the laws of the State of Delaware, regardless of the laws that might otherwise govern under applicable principles of conflicts of laws thereof.</w:t>
      </w:r>
    </w:p>
    <w:p>
      <w:pPr>
        <w:spacing w:after="0" w:line="12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97</w:t>
      </w:r>
    </w:p>
    <w:p>
      <w:pPr>
        <w:sectPr>
          <w:pgSz w:w="11900" w:h="16838" w:orient="portrait"/>
          <w:cols w:equalWidth="0" w:num="1">
            <w:col w:w="10940"/>
          </w:cols>
          <w:pgMar w:left="440" w:top="270" w:right="519" w:bottom="1440" w:gutter="0" w:footer="0" w:header="0"/>
        </w:sectPr>
      </w:pPr>
    </w:p>
    <w:bookmarkStart w:id="400" w:name="page401"/>
    <w:bookmarkEnd w:id="400"/>
    <w:p>
      <w:pPr>
        <w:ind w:right="60" w:firstLine="987"/>
        <w:spacing w:after="0" w:line="271" w:lineRule="auto"/>
        <w:tabs>
          <w:tab w:leader="none" w:pos="1246" w:val="left"/>
        </w:tabs>
        <w:numPr>
          <w:ilvl w:val="0"/>
          <w:numId w:val="3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Each party hereto hereby irrevocably and unconditionally submits, for itself and its property, to the jurisdiction of the United States District Court of the Southern District of New York and of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any Agent or any Lender may otherwise have to bring any suit, action or proceeding relating to this Agreement or any other Loan Document against the Company or any of its properties in the courts of any jurisdiction.</w:t>
      </w:r>
    </w:p>
    <w:p>
      <w:pPr>
        <w:spacing w:after="0" w:line="173" w:lineRule="exact"/>
        <w:rPr>
          <w:rFonts w:ascii="Times New Roman" w:cs="Times New Roman" w:eastAsia="Times New Roman" w:hAnsi="Times New Roman"/>
          <w:sz w:val="17"/>
          <w:szCs w:val="17"/>
          <w:color w:val="auto"/>
        </w:rPr>
      </w:pPr>
    </w:p>
    <w:p>
      <w:pPr>
        <w:ind w:right="60" w:firstLine="987"/>
        <w:spacing w:after="0" w:line="261" w:lineRule="auto"/>
        <w:tabs>
          <w:tab w:leader="none" w:pos="1236" w:val="left"/>
        </w:tabs>
        <w:numPr>
          <w:ilvl w:val="0"/>
          <w:numId w:val="3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79" w:lineRule="exact"/>
        <w:rPr>
          <w:rFonts w:ascii="Times New Roman" w:cs="Times New Roman" w:eastAsia="Times New Roman" w:hAnsi="Times New Roman"/>
          <w:sz w:val="18"/>
          <w:szCs w:val="18"/>
          <w:color w:val="auto"/>
        </w:rPr>
      </w:pPr>
    </w:p>
    <w:p>
      <w:pPr>
        <w:jc w:val="both"/>
        <w:ind w:firstLine="987"/>
        <w:spacing w:after="0" w:line="312" w:lineRule="auto"/>
        <w:tabs>
          <w:tab w:leader="none" w:pos="1246" w:val="left"/>
        </w:tabs>
        <w:numPr>
          <w:ilvl w:val="0"/>
          <w:numId w:val="37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Each party to this Agreement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39" w:lineRule="exact"/>
        <w:rPr>
          <w:rFonts w:ascii="Times New Roman" w:cs="Times New Roman" w:eastAsia="Times New Roman" w:hAnsi="Times New Roman"/>
          <w:sz w:val="17"/>
          <w:szCs w:val="17"/>
          <w:color w:val="auto"/>
        </w:rPr>
      </w:pPr>
    </w:p>
    <w:p>
      <w:pPr>
        <w:ind w:right="240" w:firstLine="987"/>
        <w:spacing w:after="0" w:line="261" w:lineRule="auto"/>
        <w:tabs>
          <w:tab w:leader="none" w:pos="1236" w:val="left"/>
        </w:tabs>
        <w:numPr>
          <w:ilvl w:val="0"/>
          <w:numId w:val="3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0" w:lineRule="exact"/>
        <w:rPr>
          <w:sz w:val="20"/>
          <w:szCs w:val="20"/>
          <w:color w:val="auto"/>
        </w:rPr>
      </w:pPr>
    </w:p>
    <w:p>
      <w:pPr>
        <w:ind w:right="40" w:firstLine="991"/>
        <w:spacing w:after="0" w:line="272" w:lineRule="auto"/>
        <w:rPr>
          <w:sz w:val="20"/>
          <w:szCs w:val="20"/>
          <w:color w:val="auto"/>
        </w:rPr>
      </w:pPr>
      <w:r>
        <w:rPr>
          <w:rFonts w:ascii="Times New Roman" w:cs="Times New Roman" w:eastAsia="Times New Roman" w:hAnsi="Times New Roman"/>
          <w:sz w:val="17"/>
          <w:szCs w:val="17"/>
          <w:color w:val="auto"/>
        </w:rPr>
        <w:t xml:space="preserve">SECTION 9.10. </w:t>
      </w:r>
      <w:r>
        <w:rPr>
          <w:rFonts w:ascii="Times New Roman" w:cs="Times New Roman" w:eastAsia="Times New Roman" w:hAnsi="Times New Roman"/>
          <w:sz w:val="17"/>
          <w:szCs w:val="17"/>
          <w:u w:val="single" w:color="auto"/>
          <w:color w:val="auto"/>
        </w:rPr>
        <w:t>WAIVER OF JURY TRIAL</w:t>
      </w:r>
      <w:r>
        <w:rPr>
          <w:rFonts w:ascii="Times New Roman" w:cs="Times New Roman" w:eastAsia="Times New Roman" w:hAnsi="Times New Roman"/>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04"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98</w:t>
      </w:r>
    </w:p>
    <w:p>
      <w:pPr>
        <w:sectPr>
          <w:pgSz w:w="11900" w:h="16838" w:orient="portrait"/>
          <w:cols w:equalWidth="0" w:num="1">
            <w:col w:w="10920"/>
          </w:cols>
          <w:pgMar w:left="440" w:top="270" w:right="539" w:bottom="1440" w:gutter="0" w:footer="0" w:header="0"/>
        </w:sectPr>
      </w:pPr>
    </w:p>
    <w:bookmarkStart w:id="401" w:name="page402"/>
    <w:bookmarkEnd w:id="401"/>
    <w:p>
      <w:pPr>
        <w:ind w:right="180"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9.11. </w:t>
      </w:r>
      <w:r>
        <w:rPr>
          <w:rFonts w:ascii="Times New Roman" w:cs="Times New Roman" w:eastAsia="Times New Roman" w:hAnsi="Times New Roman"/>
          <w:sz w:val="18"/>
          <w:szCs w:val="18"/>
          <w:u w:val="single" w:color="auto"/>
          <w:color w:val="auto"/>
        </w:rPr>
        <w:t>Headings</w:t>
      </w:r>
      <w:r>
        <w:rPr>
          <w:rFonts w:ascii="Times New Roman" w:cs="Times New Roman" w:eastAsia="Times New Roman" w:hAnsi="Times New Roman"/>
          <w:sz w:val="18"/>
          <w:szCs w:val="18"/>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62" w:lineRule="exact"/>
        <w:rPr>
          <w:sz w:val="20"/>
          <w:szCs w:val="20"/>
          <w:color w:val="auto"/>
        </w:rPr>
      </w:pPr>
    </w:p>
    <w:p>
      <w:pPr>
        <w:ind w:firstLine="991"/>
        <w:spacing w:after="0" w:line="251" w:lineRule="auto"/>
        <w:rPr>
          <w:sz w:val="20"/>
          <w:szCs w:val="20"/>
          <w:color w:val="auto"/>
        </w:rPr>
      </w:pPr>
      <w:r>
        <w:rPr>
          <w:rFonts w:ascii="Times New Roman" w:cs="Times New Roman" w:eastAsia="Times New Roman" w:hAnsi="Times New Roman"/>
          <w:sz w:val="18"/>
          <w:szCs w:val="18"/>
          <w:color w:val="auto"/>
        </w:rPr>
        <w:t xml:space="preserve">SECTION 9.12. </w:t>
      </w:r>
      <w:r>
        <w:rPr>
          <w:rFonts w:ascii="Times New Roman" w:cs="Times New Roman" w:eastAsia="Times New Roman" w:hAnsi="Times New Roman"/>
          <w:sz w:val="18"/>
          <w:szCs w:val="18"/>
          <w:u w:val="single" w:color="auto"/>
          <w:color w:val="auto"/>
        </w:rPr>
        <w:t>Confidentiality</w:t>
      </w:r>
      <w:r>
        <w:rPr>
          <w:rFonts w:ascii="Times New Roman" w:cs="Times New Roman" w:eastAsia="Times New Roman" w:hAnsi="Times New Roman"/>
          <w:sz w:val="18"/>
          <w:szCs w:val="18"/>
          <w:color w:val="auto"/>
        </w:rPr>
        <w:t xml:space="preserve">. Each of the Agents and the Lenders agrees to maintain the confidentiality of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 the Company promptly thereof prior to such disclosure to the extent practicable and not prohibited by applicable law (except with respect to any audit or examination conducted by bank accountants or any Governmental Authority exercising examination or regulatory authority)), (c) 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Agents and the Lenders in connection with the administration and management of this Agreement or any other Loan Document,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such information is limited to the information about this Agreement and the other Loan Documents, (j) to the extent such Information (i) becomes publicly available other than as a result of a breach of this Section or (ii) becomes available to any Agent, any Lender or any Affiliate of any of the</w:t>
      </w:r>
    </w:p>
    <w:p>
      <w:pPr>
        <w:spacing w:after="0" w:line="13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99</w:t>
      </w:r>
    </w:p>
    <w:p>
      <w:pPr>
        <w:sectPr>
          <w:pgSz w:w="11900" w:h="16838" w:orient="portrait"/>
          <w:cols w:equalWidth="0" w:num="1">
            <w:col w:w="11000"/>
          </w:cols>
          <w:pgMar w:left="440" w:top="270" w:right="459" w:bottom="1440" w:gutter="0" w:footer="0" w:header="0"/>
        </w:sectPr>
      </w:pPr>
    </w:p>
    <w:bookmarkStart w:id="402" w:name="page403"/>
    <w:bookmarkEnd w:id="402"/>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foregoing on a nonconfidential basis from a source other than the Company or any Subsidiary that is not known by such Agent, Lender or Affiliate to be prohibited from disclosing such Information to such Person by a legal, contractual, or fiduciary obligation owed to the Company or any of its Subsidiaries, or (k) to any credit insurance provider relating to the Company and its Obligations. For purposes of this Section, “</w:t>
      </w:r>
      <w:r>
        <w:rPr>
          <w:rFonts w:ascii="Times New Roman" w:cs="Times New Roman" w:eastAsia="Times New Roman" w:hAnsi="Times New Roman"/>
          <w:sz w:val="18"/>
          <w:szCs w:val="18"/>
          <w:u w:val="single" w:color="auto"/>
          <w:color w:val="auto"/>
        </w:rPr>
        <w:t>Information</w:t>
      </w:r>
      <w:r>
        <w:rPr>
          <w:rFonts w:ascii="Times New Roman" w:cs="Times New Roman" w:eastAsia="Times New Roman" w:hAnsi="Times New Roman"/>
          <w:sz w:val="18"/>
          <w:szCs w:val="18"/>
          <w:color w:val="auto"/>
        </w:rPr>
        <w:t xml:space="preserve">” means all information received from the Company or any Subsidiary relating to the Company or any Subsidiary or its businesses, other than any such information that is available to any Agent, any Lender or any Affiliate of any of the foregoing on a nonconfidential basis prior to disclosure by the Company or any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in the case of information received from the Company or any Subsidiary after the date hereof, such information is clearly identified at the time of delivery as confidential. Any Person required to maintain the confidentiality of Information as provided in this Section shall be considered to have complied with its obligation to do so if such Person has exercised the same degree of care to maintain the confidentiality of such Information as such Person would accord to its own confidential information. It is agreed that, notwithstanding the restrictions of any prior confidentiality agreement binding on any Agent or any Arranger, such Persons may disclose Information as provided in this Section.</w:t>
      </w:r>
    </w:p>
    <w:p>
      <w:pPr>
        <w:spacing w:after="0" w:line="194" w:lineRule="exact"/>
        <w:rPr>
          <w:sz w:val="20"/>
          <w:szCs w:val="20"/>
          <w:color w:val="auto"/>
        </w:rPr>
      </w:pPr>
    </w:p>
    <w:p>
      <w:pPr>
        <w:ind w:right="60" w:firstLine="991"/>
        <w:spacing w:after="0" w:line="254" w:lineRule="auto"/>
        <w:rPr>
          <w:sz w:val="20"/>
          <w:szCs w:val="20"/>
          <w:color w:val="auto"/>
        </w:rPr>
      </w:pPr>
      <w:r>
        <w:rPr>
          <w:rFonts w:ascii="Times New Roman" w:cs="Times New Roman" w:eastAsia="Times New Roman" w:hAnsi="Times New Roman"/>
          <w:sz w:val="18"/>
          <w:szCs w:val="18"/>
          <w:color w:val="auto"/>
        </w:rPr>
        <w:t xml:space="preserve">SECTION 9.13. </w:t>
      </w:r>
      <w:r>
        <w:rPr>
          <w:rFonts w:ascii="Times New Roman" w:cs="Times New Roman" w:eastAsia="Times New Roman" w:hAnsi="Times New Roman"/>
          <w:sz w:val="18"/>
          <w:szCs w:val="18"/>
          <w:u w:val="single" w:color="auto"/>
          <w:color w:val="auto"/>
        </w:rPr>
        <w:t>Interest Rate Limitation</w:t>
      </w:r>
      <w:r>
        <w:rPr>
          <w:rFonts w:ascii="Times New Roman" w:cs="Times New Roman" w:eastAsia="Times New Roman" w:hAnsi="Times New Roman"/>
          <w:sz w:val="18"/>
          <w:szCs w:val="18"/>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Times New Roman" w:cs="Times New Roman" w:eastAsia="Times New Roman" w:hAnsi="Times New Roman"/>
          <w:sz w:val="18"/>
          <w:szCs w:val="18"/>
          <w:u w:val="single" w:color="auto"/>
          <w:color w:val="auto"/>
        </w:rPr>
        <w:t>Charges</w:t>
      </w:r>
      <w:r>
        <w:rPr>
          <w:rFonts w:ascii="Times New Roman" w:cs="Times New Roman" w:eastAsia="Times New Roman" w:hAnsi="Times New Roman"/>
          <w:sz w:val="18"/>
          <w:szCs w:val="18"/>
          <w:color w:val="auto"/>
        </w:rPr>
        <w:t>”), shall exceed the maximum lawful rate (the “</w:t>
      </w:r>
      <w:r>
        <w:rPr>
          <w:rFonts w:ascii="Times New Roman" w:cs="Times New Roman" w:eastAsia="Times New Roman" w:hAnsi="Times New Roman"/>
          <w:sz w:val="18"/>
          <w:szCs w:val="18"/>
          <w:u w:val="single" w:color="auto"/>
          <w:color w:val="auto"/>
        </w:rPr>
        <w:t>Maximum Rate</w:t>
      </w:r>
      <w:r>
        <w:rPr>
          <w:rFonts w:ascii="Times New Roman" w:cs="Times New Roman" w:eastAsia="Times New Roman" w:hAnsi="Times New Roman"/>
          <w:sz w:val="18"/>
          <w:szCs w:val="18"/>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92" w:lineRule="exact"/>
        <w:rPr>
          <w:sz w:val="20"/>
          <w:szCs w:val="20"/>
          <w:color w:val="auto"/>
        </w:rPr>
      </w:pPr>
    </w:p>
    <w:p>
      <w:pPr>
        <w:ind w:firstLine="991"/>
        <w:spacing w:after="0" w:line="261" w:lineRule="auto"/>
        <w:rPr>
          <w:sz w:val="20"/>
          <w:szCs w:val="20"/>
          <w:color w:val="auto"/>
        </w:rPr>
      </w:pPr>
      <w:r>
        <w:rPr>
          <w:rFonts w:ascii="Times New Roman" w:cs="Times New Roman" w:eastAsia="Times New Roman" w:hAnsi="Times New Roman"/>
          <w:sz w:val="18"/>
          <w:szCs w:val="18"/>
          <w:color w:val="auto"/>
        </w:rPr>
        <w:t xml:space="preserve">SECTION 9.14. </w:t>
      </w:r>
      <w:r>
        <w:rPr>
          <w:rFonts w:ascii="Times New Roman" w:cs="Times New Roman" w:eastAsia="Times New Roman" w:hAnsi="Times New Roman"/>
          <w:sz w:val="18"/>
          <w:szCs w:val="18"/>
          <w:u w:val="single" w:color="auto"/>
          <w:color w:val="auto"/>
        </w:rPr>
        <w:t>USA PATRIOT Act Notice</w:t>
      </w:r>
      <w:r>
        <w:rPr>
          <w:rFonts w:ascii="Times New Roman" w:cs="Times New Roman" w:eastAsia="Times New Roman" w:hAnsi="Times New Roman"/>
          <w:sz w:val="18"/>
          <w:szCs w:val="18"/>
          <w:color w:val="auto"/>
        </w:rPr>
        <w:t>. Each Lender and each Agent (for itself and not on behalf of any Lender) hereby notifies the Company that pursuant to the requirements of the USA PATRIOT Act it is required to obtain, verify and record information that identifies the Company, which information includes the name and address of the Company and other information that will allow such Lender or such Agent, as applicable, to identify the Company in accordance with the USA PATRIOT Act.</w:t>
      </w:r>
    </w:p>
    <w:p>
      <w:pPr>
        <w:spacing w:after="0" w:line="180"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9.15. </w:t>
      </w:r>
      <w:r>
        <w:rPr>
          <w:rFonts w:ascii="Times New Roman" w:cs="Times New Roman" w:eastAsia="Times New Roman" w:hAnsi="Times New Roman"/>
          <w:sz w:val="18"/>
          <w:szCs w:val="18"/>
          <w:u w:val="single" w:color="auto"/>
          <w:color w:val="auto"/>
        </w:rPr>
        <w:t>No Fiduciary Relationship</w:t>
      </w:r>
      <w:r>
        <w:rPr>
          <w:rFonts w:ascii="Times New Roman" w:cs="Times New Roman" w:eastAsia="Times New Roman" w:hAnsi="Times New Roman"/>
          <w:sz w:val="18"/>
          <w:szCs w:val="18"/>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Agents, the Lenders and their Affiliates, on the other hand, will have a business relationship that does not create, by implication or otherwise, any fiduciary duty on the part of the Agents, the Lenders or their Affiliates, and no such duty will be deemed to have arisen in connection with any such</w:t>
      </w:r>
    </w:p>
    <w:p>
      <w:pPr>
        <w:spacing w:after="0" w:line="11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100</w:t>
      </w:r>
    </w:p>
    <w:p>
      <w:pPr>
        <w:sectPr>
          <w:pgSz w:w="11900" w:h="16838" w:orient="portrait"/>
          <w:cols w:equalWidth="0" w:num="1">
            <w:col w:w="10980"/>
          </w:cols>
          <w:pgMar w:left="440" w:top="270" w:right="479" w:bottom="1440" w:gutter="0" w:footer="0" w:header="0"/>
        </w:sectPr>
      </w:pPr>
    </w:p>
    <w:bookmarkStart w:id="403" w:name="page404"/>
    <w:bookmarkEnd w:id="403"/>
    <w:p>
      <w:pPr>
        <w:ind w:right="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5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transactions or communications. The Agents, the Arrangers, the Lenders and their Affiliates may be engaged, for their own accounts or the accounts of customers, in a broad range of transactions that involve interests that differ from those of the Company and its Affiliates, and none of the Agents,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Agents, the Arrangers, the Lenders or their Affiliates with respect to any breach or alleged breach of agency or fiduciary duty in connection with any aspect of any transaction contemplated hereby.</w:t>
      </w:r>
    </w:p>
    <w:p>
      <w:pPr>
        <w:spacing w:after="0" w:line="187" w:lineRule="exact"/>
        <w:rPr>
          <w:sz w:val="20"/>
          <w:szCs w:val="20"/>
          <w:color w:val="auto"/>
        </w:rPr>
      </w:pPr>
    </w:p>
    <w:p>
      <w:pPr>
        <w:ind w:right="60" w:firstLine="991"/>
        <w:spacing w:after="0" w:line="256" w:lineRule="auto"/>
        <w:rPr>
          <w:sz w:val="20"/>
          <w:szCs w:val="20"/>
          <w:color w:val="auto"/>
        </w:rPr>
      </w:pPr>
      <w:r>
        <w:rPr>
          <w:rFonts w:ascii="Times New Roman" w:cs="Times New Roman" w:eastAsia="Times New Roman" w:hAnsi="Times New Roman"/>
          <w:sz w:val="18"/>
          <w:szCs w:val="18"/>
          <w:color w:val="auto"/>
        </w:rPr>
        <w:t xml:space="preserve">SECTION 9.16. </w:t>
      </w:r>
      <w:r>
        <w:rPr>
          <w:rFonts w:ascii="Times New Roman" w:cs="Times New Roman" w:eastAsia="Times New Roman" w:hAnsi="Times New Roman"/>
          <w:sz w:val="18"/>
          <w:szCs w:val="18"/>
          <w:u w:val="single" w:color="auto"/>
          <w:color w:val="auto"/>
        </w:rPr>
        <w:t>Non-Public Information</w:t>
      </w:r>
      <w:r>
        <w:rPr>
          <w:rFonts w:ascii="Times New Roman" w:cs="Times New Roman" w:eastAsia="Times New Roman" w:hAnsi="Times New Roman"/>
          <w:sz w:val="18"/>
          <w:szCs w:val="18"/>
          <w:color w:val="auto"/>
        </w:rPr>
        <w:t>. (a) Each Lender acknowledges that all information, including requests for waivers and amendments, furnished by the Company or any Agent pursuant to or in connection with, or in the course of administering, this Agreement will be syndicate-level information, which may contain MNPI. Each Lender represents to the Company and each Agent that (i) it has developed compliance procedures regarding the use of MNPI and that it will handle 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187" w:lineRule="exact"/>
        <w:rPr>
          <w:sz w:val="20"/>
          <w:szCs w:val="20"/>
          <w:color w:val="auto"/>
        </w:rPr>
      </w:pPr>
    </w:p>
    <w:p>
      <w:pPr>
        <w:ind w:firstLine="987"/>
        <w:spacing w:after="0" w:line="273" w:lineRule="auto"/>
        <w:tabs>
          <w:tab w:leader="none" w:pos="1246" w:val="left"/>
        </w:tabs>
        <w:numPr>
          <w:ilvl w:val="0"/>
          <w:numId w:val="37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and each Lender acknowledges that, if information furnished by or on behalf of the Company pursuant to or in connection with this Agreement is being distributed by any Agent through the Platform, (i) such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such Agent reserves the right to post such information solely on that portion of the Platform designated for Private Side Lender Representatives. The Company agrees to clearly designate all information provided to any Agent by or on behalf of the Company that is suitable to be made available to Public Side Lender Representatives, and each Agent shall be entitled to rely on any such designation by the Company without liability or responsibility for the independent verification thereof.</w:t>
      </w:r>
    </w:p>
    <w:p>
      <w:pPr>
        <w:spacing w:after="0" w:line="171" w:lineRule="exact"/>
        <w:rPr>
          <w:rFonts w:ascii="Times New Roman" w:cs="Times New Roman" w:eastAsia="Times New Roman" w:hAnsi="Times New Roman"/>
          <w:sz w:val="17"/>
          <w:szCs w:val="17"/>
          <w:color w:val="auto"/>
        </w:rPr>
      </w:pPr>
    </w:p>
    <w:p>
      <w:pPr>
        <w:jc w:val="both"/>
        <w:ind w:right="60" w:firstLine="987"/>
        <w:spacing w:after="0" w:line="261" w:lineRule="auto"/>
        <w:tabs>
          <w:tab w:leader="none" w:pos="1236" w:val="left"/>
        </w:tabs>
        <w:numPr>
          <w:ilvl w:val="0"/>
          <w:numId w:val="3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does not file this Agreement with the SEC, then the Company hereby authorizes each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179" w:lineRule="exact"/>
        <w:rPr>
          <w:rFonts w:ascii="Times New Roman" w:cs="Times New Roman" w:eastAsia="Times New Roman" w:hAnsi="Times New Roman"/>
          <w:sz w:val="18"/>
          <w:szCs w:val="18"/>
          <w:color w:val="auto"/>
        </w:rPr>
      </w:pPr>
    </w:p>
    <w:p>
      <w:pPr>
        <w:ind w:right="20" w:firstLine="987"/>
        <w:spacing w:after="0" w:line="266" w:lineRule="auto"/>
        <w:tabs>
          <w:tab w:leader="none" w:pos="1246" w:val="left"/>
        </w:tabs>
        <w:numPr>
          <w:ilvl w:val="0"/>
          <w:numId w:val="3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101</w:t>
      </w:r>
    </w:p>
    <w:p>
      <w:pPr>
        <w:sectPr>
          <w:pgSz w:w="11900" w:h="16838" w:orient="portrait"/>
          <w:cols w:equalWidth="0" w:num="1">
            <w:col w:w="11000"/>
          </w:cols>
          <w:pgMar w:left="440" w:top="270" w:right="459" w:bottom="1440" w:gutter="0" w:footer="0" w:header="0"/>
        </w:sectPr>
      </w:pPr>
    </w:p>
    <w:bookmarkStart w:id="404" w:name="page405"/>
    <w:bookmarkEnd w:id="404"/>
    <w:p>
      <w:pPr>
        <w:ind w:firstLine="991"/>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5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SECTION 9.17.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180" w:lineRule="exact"/>
        <w:rPr>
          <w:sz w:val="20"/>
          <w:szCs w:val="20"/>
          <w:color w:val="auto"/>
        </w:rPr>
      </w:pPr>
    </w:p>
    <w:p>
      <w:pPr>
        <w:ind w:right="60" w:firstLine="987"/>
        <w:spacing w:after="0" w:line="255" w:lineRule="auto"/>
        <w:tabs>
          <w:tab w:leader="none" w:pos="1246" w:val="left"/>
        </w:tabs>
        <w:numPr>
          <w:ilvl w:val="0"/>
          <w:numId w:val="3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obligations of each party hereto in respect of any sum due to any other party hereto or any holder of the obligations owing hereunder (the “</w:t>
      </w:r>
      <w:r>
        <w:rPr>
          <w:rFonts w:ascii="Times New Roman" w:cs="Times New Roman" w:eastAsia="Times New Roman" w:hAnsi="Times New Roman"/>
          <w:sz w:val="18"/>
          <w:szCs w:val="18"/>
          <w:u w:val="single" w:color="auto"/>
          <w:color w:val="auto"/>
        </w:rPr>
        <w:t>Applicable Creditor</w:t>
      </w:r>
      <w:r>
        <w:rPr>
          <w:rFonts w:ascii="Times New Roman" w:cs="Times New Roman" w:eastAsia="Times New Roman" w:hAnsi="Times New Roman"/>
          <w:sz w:val="18"/>
          <w:szCs w:val="18"/>
          <w:color w:val="auto"/>
        </w:rPr>
        <w:t>”) shall, notwithstanding any judgment in a currency (the “</w:t>
      </w:r>
      <w:r>
        <w:rPr>
          <w:rFonts w:ascii="Times New Roman" w:cs="Times New Roman" w:eastAsia="Times New Roman" w:hAnsi="Times New Roman"/>
          <w:sz w:val="18"/>
          <w:szCs w:val="18"/>
          <w:u w:val="single" w:color="auto"/>
          <w:color w:val="auto"/>
        </w:rPr>
        <w:t>Judgment Currency</w:t>
      </w:r>
      <w:r>
        <w:rPr>
          <w:rFonts w:ascii="Times New Roman" w:cs="Times New Roman" w:eastAsia="Times New Roman" w:hAnsi="Times New Roman"/>
          <w:sz w:val="18"/>
          <w:szCs w:val="18"/>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89" w:lineRule="exact"/>
        <w:rPr>
          <w:sz w:val="20"/>
          <w:szCs w:val="20"/>
          <w:color w:val="auto"/>
        </w:rPr>
      </w:pPr>
    </w:p>
    <w:p>
      <w:pPr>
        <w:ind w:right="4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9.18. </w:t>
      </w:r>
      <w:r>
        <w:rPr>
          <w:rFonts w:ascii="Times New Roman" w:cs="Times New Roman" w:eastAsia="Times New Roman" w:hAnsi="Times New Roman"/>
          <w:sz w:val="18"/>
          <w:szCs w:val="18"/>
          <w:u w:val="single" w:color="auto"/>
          <w:color w:val="auto"/>
        </w:rPr>
        <w:t>Acknowledgement and Consent to Bail-In of EEA Financial Institutions</w:t>
      </w:r>
      <w:r>
        <w:rPr>
          <w:rFonts w:ascii="Times New Roman" w:cs="Times New Roman" w:eastAsia="Times New Roman" w:hAnsi="Times New Roman"/>
          <w:sz w:val="18"/>
          <w:szCs w:val="18"/>
          <w:color w:val="auto"/>
        </w:rPr>
        <w:t xml:space="preserve">. Notwithstanding anything to the contrary in any Loan Document or in any other agreement, arrangement or understanding among </w:t>
      </w:r>
      <w:r>
        <w:rPr>
          <w:rFonts w:ascii="Times New Roman" w:cs="Times New Roman" w:eastAsia="Times New Roman" w:hAnsi="Times New Roman"/>
          <w:sz w:val="18"/>
          <w:szCs w:val="18"/>
          <w:color w:val="FF4338"/>
          <w:strike w:val="1"/>
        </w:rPr>
        <w:t>the</w:t>
      </w:r>
      <w:r>
        <w:rPr>
          <w:rFonts w:ascii="Times New Roman" w:cs="Times New Roman" w:eastAsia="Times New Roman" w:hAnsi="Times New Roman"/>
          <w:sz w:val="18"/>
          <w:szCs w:val="18"/>
          <w:u w:val="single" w:color="auto"/>
          <w:color w:val="0000FF"/>
        </w:rPr>
        <w:t>any such</w:t>
      </w:r>
      <w:r>
        <w:rPr>
          <w:rFonts w:ascii="Times New Roman" w:cs="Times New Roman" w:eastAsia="Times New Roman" w:hAnsi="Times New Roman"/>
          <w:sz w:val="18"/>
          <w:szCs w:val="18"/>
          <w:color w:val="auto"/>
        </w:rPr>
        <w:t xml:space="preserve"> parties </w:t>
      </w:r>
      <w:r>
        <w:rPr>
          <w:rFonts w:ascii="Times New Roman" w:cs="Times New Roman" w:eastAsia="Times New Roman" w:hAnsi="Times New Roman"/>
          <w:sz w:val="18"/>
          <w:szCs w:val="18"/>
          <w:color w:val="FF4338"/>
          <w:strike w:val="1"/>
        </w:rPr>
        <w:t>hereto</w:t>
      </w:r>
      <w:r>
        <w:rPr>
          <w:rFonts w:ascii="Times New Roman" w:cs="Times New Roman" w:eastAsia="Times New Roman" w:hAnsi="Times New Roman"/>
          <w:sz w:val="18"/>
          <w:szCs w:val="18"/>
          <w:color w:val="auto"/>
        </w:rPr>
        <w:t xml:space="preserve">, each party hereto acknowledges that any liability of any </w:t>
      </w:r>
      <w:r>
        <w:rPr>
          <w:rFonts w:ascii="Times New Roman" w:cs="Times New Roman" w:eastAsia="Times New Roman" w:hAnsi="Times New Roman"/>
          <w:sz w:val="18"/>
          <w:szCs w:val="18"/>
          <w:color w:val="FF4338"/>
          <w:strike w:val="1"/>
        </w:rPr>
        <w:t>Lender that is an 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Financial Institution arising under any Loan Document</w:t>
      </w:r>
      <w:r>
        <w:rPr>
          <w:rFonts w:ascii="Times New Roman" w:cs="Times New Roman" w:eastAsia="Times New Roman" w:hAnsi="Times New Roman"/>
          <w:sz w:val="18"/>
          <w:szCs w:val="18"/>
          <w:color w:val="FF4338"/>
          <w:strike w:val="1"/>
        </w:rPr>
        <w: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008000"/>
          <w:strike w:val="1"/>
        </w:rPr>
        <w:t>to the extent such</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color w:val="FF4338"/>
          <w:strike w:val="1"/>
        </w:rPr>
        <w:t>liability is unsecured,</w:t>
      </w:r>
      <w:r>
        <w:rPr>
          <w:rFonts w:ascii="Times New Roman" w:cs="Times New Roman" w:eastAsia="Times New Roman" w:hAnsi="Times New Roman"/>
          <w:sz w:val="18"/>
          <w:szCs w:val="18"/>
          <w:color w:val="auto"/>
        </w:rPr>
        <w:t xml:space="preserve"> may be subject to the Write-Down and Conversion Powers of </w:t>
      </w:r>
      <w:r>
        <w:rPr>
          <w:rFonts w:ascii="Times New Roman" w:cs="Times New Roman" w:eastAsia="Times New Roman" w:hAnsi="Times New Roman"/>
          <w:sz w:val="18"/>
          <w:szCs w:val="18"/>
          <w:color w:val="FF4338"/>
          <w:strike w:val="1"/>
        </w:rPr>
        <w:t>an EEA</w:t>
      </w:r>
      <w:r>
        <w:rPr>
          <w:rFonts w:ascii="Times New Roman" w:cs="Times New Roman" w:eastAsia="Times New Roman" w:hAnsi="Times New Roman"/>
          <w:sz w:val="18"/>
          <w:szCs w:val="18"/>
          <w:u w:val="single" w:color="auto"/>
          <w:color w:val="0000FF"/>
        </w:rPr>
        <w:t>the applicable</w:t>
      </w:r>
      <w:r>
        <w:rPr>
          <w:rFonts w:ascii="Times New Roman" w:cs="Times New Roman" w:eastAsia="Times New Roman" w:hAnsi="Times New Roman"/>
          <w:sz w:val="18"/>
          <w:szCs w:val="18"/>
          <w:color w:val="auto"/>
        </w:rPr>
        <w:t xml:space="preserve"> Resolution Authority and agrees and consents to, and acknowledges and agrees to be bound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3872230</wp:posOffset>
            </wp:positionH>
            <wp:positionV relativeFrom="paragraph">
              <wp:posOffset>-411480</wp:posOffset>
            </wp:positionV>
            <wp:extent cx="403225" cy="8255"/>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589">
                      <a:extLst>
                        <a:ext uri="{28A0092B-C50C-407E-A947-70E740481C1C}"/>
                      </a:extLst>
                    </a:blip>
                    <a:srcRect/>
                    <a:stretch>
                      <a:fillRect/>
                    </a:stretch>
                  </pic:blipFill>
                  <pic:spPr bwMode="auto">
                    <a:xfrm>
                      <a:off x="0" y="0"/>
                      <a:ext cx="403225" cy="8255"/>
                    </a:xfrm>
                    <a:prstGeom prst="rect">
                      <a:avLst/>
                    </a:prstGeom>
                    <a:noFill/>
                  </pic:spPr>
                </pic:pic>
              </a:graphicData>
            </a:graphic>
          </wp:anchor>
        </w:drawing>
        <w:drawing>
          <wp:anchor simplePos="0" relativeHeight="251657728" behindDoc="1" locked="0" layoutInCell="0" allowOverlap="1">
            <wp:simplePos x="0" y="0"/>
            <wp:positionH relativeFrom="column">
              <wp:posOffset>1711960</wp:posOffset>
            </wp:positionH>
            <wp:positionV relativeFrom="paragraph">
              <wp:posOffset>-274320</wp:posOffset>
            </wp:positionV>
            <wp:extent cx="402590" cy="8255"/>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590">
                      <a:extLst>
                        <a:ext uri="{28A0092B-C50C-407E-A947-70E740481C1C}"/>
                      </a:extLst>
                    </a:blip>
                    <a:srcRect/>
                    <a:stretch>
                      <a:fillRect/>
                    </a:stretch>
                  </pic:blipFill>
                  <pic:spPr bwMode="auto">
                    <a:xfrm>
                      <a:off x="0" y="0"/>
                      <a:ext cx="402590" cy="8255"/>
                    </a:xfrm>
                    <a:prstGeom prst="rect">
                      <a:avLst/>
                    </a:prstGeom>
                    <a:noFill/>
                  </pic:spPr>
                </pic:pic>
              </a:graphicData>
            </a:graphic>
          </wp:anchor>
        </w:drawing>
        <w:drawing>
          <wp:anchor simplePos="0" relativeHeight="251657728" behindDoc="1" locked="0" layoutInCell="0" allowOverlap="1">
            <wp:simplePos x="0" y="0"/>
            <wp:positionH relativeFrom="column">
              <wp:posOffset>2834640</wp:posOffset>
            </wp:positionH>
            <wp:positionV relativeFrom="paragraph">
              <wp:posOffset>-137160</wp:posOffset>
            </wp:positionV>
            <wp:extent cx="634365" cy="8255"/>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591">
                      <a:extLst>
                        <a:ext uri="{28A0092B-C50C-407E-A947-70E740481C1C}"/>
                      </a:extLst>
                    </a:blip>
                    <a:srcRect/>
                    <a:stretch>
                      <a:fillRect/>
                    </a:stretch>
                  </pic:blipFill>
                  <pic:spPr bwMode="auto">
                    <a:xfrm>
                      <a:off x="0" y="0"/>
                      <a:ext cx="634365" cy="8255"/>
                    </a:xfrm>
                    <a:prstGeom prst="rect">
                      <a:avLst/>
                    </a:prstGeom>
                    <a:noFill/>
                  </pic:spPr>
                </pic:pic>
              </a:graphicData>
            </a:graphic>
          </wp:anchor>
        </w:drawing>
      </w:r>
    </w:p>
    <w:p>
      <w:pPr>
        <w:spacing w:after="0" w:line="163" w:lineRule="exact"/>
        <w:rPr>
          <w:sz w:val="20"/>
          <w:szCs w:val="20"/>
          <w:color w:val="auto"/>
        </w:rPr>
      </w:pPr>
    </w:p>
    <w:p>
      <w:pPr>
        <w:ind w:right="500" w:firstLine="987"/>
        <w:spacing w:after="0" w:line="282" w:lineRule="auto"/>
        <w:tabs>
          <w:tab w:leader="none" w:pos="1236" w:val="left"/>
        </w:tabs>
        <w:numPr>
          <w:ilvl w:val="1"/>
          <w:numId w:val="3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application of any Write-Down and Conversion Powers by </w:t>
      </w:r>
      <w:r>
        <w:rPr>
          <w:rFonts w:ascii="Times New Roman" w:cs="Times New Roman" w:eastAsia="Times New Roman" w:hAnsi="Times New Roman"/>
          <w:sz w:val="18"/>
          <w:szCs w:val="18"/>
          <w:color w:val="FF4338"/>
          <w:strike w:val="1"/>
        </w:rPr>
        <w:t>an EEA</w:t>
      </w:r>
      <w:r>
        <w:rPr>
          <w:rFonts w:ascii="Times New Roman" w:cs="Times New Roman" w:eastAsia="Times New Roman" w:hAnsi="Times New Roman"/>
          <w:sz w:val="18"/>
          <w:szCs w:val="18"/>
          <w:u w:val="single" w:color="auto"/>
          <w:color w:val="0000FF"/>
        </w:rPr>
        <w:t>the applicable</w:t>
      </w:r>
      <w:r>
        <w:rPr>
          <w:rFonts w:ascii="Times New Roman" w:cs="Times New Roman" w:eastAsia="Times New Roman" w:hAnsi="Times New Roman"/>
          <w:sz w:val="18"/>
          <w:szCs w:val="18"/>
          <w:color w:val="auto"/>
        </w:rPr>
        <w:t xml:space="preserve"> Resolution Authority to any such liabilities arising hereunder which may be payable to it by any </w:t>
      </w:r>
      <w:r>
        <w:rPr>
          <w:rFonts w:ascii="Times New Roman" w:cs="Times New Roman" w:eastAsia="Times New Roman" w:hAnsi="Times New Roman"/>
          <w:sz w:val="18"/>
          <w:szCs w:val="18"/>
          <w:color w:val="FF4338"/>
          <w:strike w:val="1"/>
        </w:rPr>
        <w:t>Lender</w:t>
      </w:r>
      <w:r>
        <w:rPr>
          <w:rFonts w:ascii="Times New Roman" w:cs="Times New Roman" w:eastAsia="Times New Roman" w:hAnsi="Times New Roman"/>
          <w:sz w:val="18"/>
          <w:szCs w:val="18"/>
          <w:color w:val="auto"/>
        </w:rPr>
        <w:t xml:space="preserve"> party hereto that is an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Financial Institution; and</w:t>
      </w:r>
    </w:p>
    <w:p>
      <w:pPr>
        <w:spacing w:after="0" w:line="53"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1"/>
          <w:numId w:val="3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effects of any </w:t>
      </w:r>
      <w:r>
        <w:rPr>
          <w:rFonts w:ascii="Times New Roman" w:cs="Times New Roman" w:eastAsia="Times New Roman" w:hAnsi="Times New Roman"/>
          <w:sz w:val="18"/>
          <w:szCs w:val="18"/>
          <w:color w:val="FF4338"/>
          <w:strike w:val="1"/>
        </w:rPr>
        <w:t>Bail-in</w:t>
      </w:r>
      <w:r>
        <w:rPr>
          <w:rFonts w:ascii="Times New Roman" w:cs="Times New Roman" w:eastAsia="Times New Roman" w:hAnsi="Times New Roman"/>
          <w:sz w:val="18"/>
          <w:szCs w:val="18"/>
          <w:u w:val="single" w:color="auto"/>
          <w:color w:val="0000FF"/>
        </w:rPr>
        <w:t>Bail-In</w:t>
      </w:r>
      <w:r>
        <w:rPr>
          <w:rFonts w:ascii="Times New Roman" w:cs="Times New Roman" w:eastAsia="Times New Roman" w:hAnsi="Times New Roman"/>
          <w:sz w:val="18"/>
          <w:szCs w:val="18"/>
          <w:color w:val="auto"/>
        </w:rPr>
        <w:t xml:space="preserve"> Action on any such liability, including, if applicable:</w:t>
      </w:r>
    </w:p>
    <w:p>
      <w:pPr>
        <w:spacing w:after="0" w:line="117" w:lineRule="exact"/>
        <w:rPr>
          <w:rFonts w:ascii="Times New Roman" w:cs="Times New Roman" w:eastAsia="Times New Roman" w:hAnsi="Times New Roman"/>
          <w:sz w:val="18"/>
          <w:szCs w:val="18"/>
          <w:color w:val="auto"/>
        </w:rPr>
      </w:pPr>
    </w:p>
    <w:p>
      <w:pPr>
        <w:ind w:left="1180" w:hanging="215"/>
        <w:spacing w:after="0"/>
        <w:tabs>
          <w:tab w:leader="none" w:pos="1180" w:val="left"/>
        </w:tabs>
        <w:numPr>
          <w:ilvl w:val="0"/>
          <w:numId w:val="3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reduction in full or in part or cancellation of any such liability;</w:t>
      </w:r>
    </w:p>
    <w:p>
      <w:pPr>
        <w:spacing w:after="0" w:line="117" w:lineRule="exact"/>
        <w:rPr>
          <w:rFonts w:ascii="Times New Roman" w:cs="Times New Roman" w:eastAsia="Times New Roman" w:hAnsi="Times New Roman"/>
          <w:sz w:val="18"/>
          <w:szCs w:val="18"/>
          <w:color w:val="auto"/>
        </w:rPr>
      </w:pPr>
    </w:p>
    <w:p>
      <w:pPr>
        <w:ind w:left="440" w:right="200" w:firstLine="525"/>
        <w:spacing w:after="0" w:line="261" w:lineRule="auto"/>
        <w:tabs>
          <w:tab w:leader="none" w:pos="1233" w:val="left"/>
        </w:tabs>
        <w:numPr>
          <w:ilvl w:val="0"/>
          <w:numId w:val="3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 conversion of all, or a portion of, such liability into shares or other instruments of ownership in such </w:t>
      </w:r>
      <w:r>
        <w:rPr>
          <w:rFonts w:ascii="Times New Roman" w:cs="Times New Roman" w:eastAsia="Times New Roman" w:hAnsi="Times New Roman"/>
          <w:sz w:val="18"/>
          <w:szCs w:val="18"/>
          <w:color w:val="FF4338"/>
          <w:strike w:val="1"/>
        </w:rPr>
        <w:t>EEA</w:t>
      </w:r>
      <w:r>
        <w:rPr>
          <w:rFonts w:ascii="Times New Roman" w:cs="Times New Roman" w:eastAsia="Times New Roman" w:hAnsi="Times New Roman"/>
          <w:sz w:val="18"/>
          <w:szCs w:val="18"/>
          <w:u w:val="single" w:color="auto"/>
          <w:color w:val="0000FF"/>
        </w:rPr>
        <w:t>Affected</w:t>
      </w:r>
      <w:r>
        <w:rPr>
          <w:rFonts w:ascii="Times New Roman" w:cs="Times New Roman" w:eastAsia="Times New Roman" w:hAnsi="Times New Roman"/>
          <w:sz w:val="18"/>
          <w:szCs w:val="18"/>
          <w:color w:val="auto"/>
        </w:rPr>
        <w:t xml:space="preserve"> Financial Institution, its parent </w:t>
      </w:r>
      <w:r>
        <w:rPr>
          <w:rFonts w:ascii="Times New Roman" w:cs="Times New Roman" w:eastAsia="Times New Roman" w:hAnsi="Times New Roman"/>
          <w:sz w:val="18"/>
          <w:szCs w:val="18"/>
          <w:color w:val="FF4338"/>
          <w:strike w:val="1"/>
        </w:rPr>
        <w:t>undertaking</w:t>
      </w:r>
      <w:r>
        <w:rPr>
          <w:rFonts w:ascii="Times New Roman" w:cs="Times New Roman" w:eastAsia="Times New Roman" w:hAnsi="Times New Roman"/>
          <w:sz w:val="18"/>
          <w:szCs w:val="18"/>
          <w:u w:val="single" w:color="auto"/>
          <w:color w:val="0000FF"/>
        </w:rPr>
        <w:t>entity</w:t>
      </w:r>
      <w:r>
        <w:rPr>
          <w:rFonts w:ascii="Times New Roman" w:cs="Times New Roman" w:eastAsia="Times New Roman" w:hAnsi="Times New Roman"/>
          <w:sz w:val="18"/>
          <w:szCs w:val="18"/>
          <w:color w:val="auto"/>
        </w:rPr>
        <w:t>,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4017645</wp:posOffset>
            </wp:positionH>
            <wp:positionV relativeFrom="paragraph">
              <wp:posOffset>-1168400</wp:posOffset>
            </wp:positionV>
            <wp:extent cx="643255" cy="8255"/>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592">
                      <a:extLst>
                        <a:ext uri="{28A0092B-C50C-407E-A947-70E740481C1C}"/>
                      </a:extLst>
                    </a:blip>
                    <a:srcRect/>
                    <a:stretch>
                      <a:fillRect/>
                    </a:stretch>
                  </pic:blipFill>
                  <pic:spPr bwMode="auto">
                    <a:xfrm>
                      <a:off x="0" y="0"/>
                      <a:ext cx="643255" cy="8255"/>
                    </a:xfrm>
                    <a:prstGeom prst="rect">
                      <a:avLst/>
                    </a:prstGeom>
                    <a:noFill/>
                  </pic:spPr>
                </pic:pic>
              </a:graphicData>
            </a:graphic>
          </wp:anchor>
        </w:drawing>
        <w:drawing>
          <wp:anchor simplePos="0" relativeHeight="251657728" behindDoc="1" locked="0" layoutInCell="0" allowOverlap="1">
            <wp:simplePos x="0" y="0"/>
            <wp:positionH relativeFrom="column">
              <wp:posOffset>4017645</wp:posOffset>
            </wp:positionH>
            <wp:positionV relativeFrom="paragraph">
              <wp:posOffset>-1031240</wp:posOffset>
            </wp:positionV>
            <wp:extent cx="394335" cy="8255"/>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593">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1925955</wp:posOffset>
            </wp:positionH>
            <wp:positionV relativeFrom="paragraph">
              <wp:posOffset>-825500</wp:posOffset>
            </wp:positionV>
            <wp:extent cx="316865" cy="8255"/>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594">
                      <a:extLst>
                        <a:ext uri="{28A0092B-C50C-407E-A947-70E740481C1C}"/>
                      </a:extLst>
                    </a:blip>
                    <a:srcRect/>
                    <a:stretch>
                      <a:fillRect/>
                    </a:stretch>
                  </pic:blipFill>
                  <pic:spPr bwMode="auto">
                    <a:xfrm>
                      <a:off x="0" y="0"/>
                      <a:ext cx="316865" cy="8255"/>
                    </a:xfrm>
                    <a:prstGeom prst="rect">
                      <a:avLst/>
                    </a:prstGeom>
                    <a:noFill/>
                  </pic:spPr>
                </pic:pic>
              </a:graphicData>
            </a:graphic>
          </wp:anchor>
        </w:drawing>
        <w:drawing>
          <wp:anchor simplePos="0" relativeHeight="251657728" behindDoc="1" locked="0" layoutInCell="0" allowOverlap="1">
            <wp:simplePos x="0" y="0"/>
            <wp:positionH relativeFrom="column">
              <wp:posOffset>5697855</wp:posOffset>
            </wp:positionH>
            <wp:positionV relativeFrom="paragraph">
              <wp:posOffset>-414020</wp:posOffset>
            </wp:positionV>
            <wp:extent cx="394335" cy="8255"/>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595">
                      <a:extLst>
                        <a:ext uri="{28A0092B-C50C-407E-A947-70E740481C1C}"/>
                      </a:extLst>
                    </a:blip>
                    <a:srcRect/>
                    <a:stretch>
                      <a:fillRect/>
                    </a:stretch>
                  </pic:blipFill>
                  <pic:spPr bwMode="auto">
                    <a:xfrm>
                      <a:off x="0" y="0"/>
                      <a:ext cx="394335" cy="8255"/>
                    </a:xfrm>
                    <a:prstGeom prst="rect">
                      <a:avLst/>
                    </a:prstGeom>
                    <a:noFill/>
                  </pic:spPr>
                </pic:pic>
              </a:graphicData>
            </a:graphic>
          </wp:anchor>
        </w:drawing>
        <w:drawing>
          <wp:anchor simplePos="0" relativeHeight="251657728" behindDoc="1" locked="0" layoutInCell="0" allowOverlap="1">
            <wp:simplePos x="0" y="0"/>
            <wp:positionH relativeFrom="column">
              <wp:posOffset>1797685</wp:posOffset>
            </wp:positionH>
            <wp:positionV relativeFrom="paragraph">
              <wp:posOffset>-276860</wp:posOffset>
            </wp:positionV>
            <wp:extent cx="265430" cy="8255"/>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596">
                      <a:extLst>
                        <a:ext uri="{28A0092B-C50C-407E-A947-70E740481C1C}"/>
                      </a:extLst>
                    </a:blip>
                    <a:srcRect/>
                    <a:stretch>
                      <a:fillRect/>
                    </a:stretch>
                  </pic:blipFill>
                  <pic:spPr bwMode="auto">
                    <a:xfrm>
                      <a:off x="0" y="0"/>
                      <a:ext cx="265430" cy="8255"/>
                    </a:xfrm>
                    <a:prstGeom prst="rect">
                      <a:avLst/>
                    </a:prstGeom>
                    <a:noFill/>
                  </pic:spPr>
                </pic:pic>
              </a:graphicData>
            </a:graphic>
          </wp:anchor>
        </w:drawing>
      </w:r>
    </w:p>
    <w:p>
      <w:pPr>
        <w:spacing w:after="0" w:line="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102</w:t>
      </w:r>
    </w:p>
    <w:p>
      <w:pPr>
        <w:sectPr>
          <w:pgSz w:w="11900" w:h="16838" w:orient="portrait"/>
          <w:cols w:equalWidth="0" w:num="1">
            <w:col w:w="10980"/>
          </w:cols>
          <w:pgMar w:left="440" w:top="270" w:right="479" w:bottom="1440" w:gutter="0" w:footer="0" w:header="0"/>
        </w:sectPr>
      </w:pPr>
    </w:p>
    <w:bookmarkStart w:id="405" w:name="page406"/>
    <w:bookmarkEnd w:id="405"/>
    <w:p>
      <w:pPr>
        <w:ind w:left="440" w:right="280" w:firstLine="419"/>
        <w:spacing w:after="0" w:line="282" w:lineRule="auto"/>
        <w:tabs>
          <w:tab w:leader="none" w:pos="1178" w:val="left"/>
        </w:tabs>
        <w:numPr>
          <w:ilvl w:val="0"/>
          <w:numId w:val="3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5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the variation of the terms of such liability in connection with the exercise of the Write-Down and Conversion Powers of </w:t>
      </w:r>
      <w:r>
        <w:rPr>
          <w:rFonts w:ascii="Times New Roman" w:cs="Times New Roman" w:eastAsia="Times New Roman" w:hAnsi="Times New Roman"/>
          <w:sz w:val="18"/>
          <w:szCs w:val="18"/>
          <w:color w:val="FF4338"/>
          <w:strike w:val="1"/>
        </w:rPr>
        <w:t>any EEA</w:t>
      </w:r>
      <w:r>
        <w:rPr>
          <w:rFonts w:ascii="Times New Roman" w:cs="Times New Roman" w:eastAsia="Times New Roman" w:hAnsi="Times New Roman"/>
          <w:sz w:val="18"/>
          <w:szCs w:val="18"/>
          <w:u w:val="single" w:color="auto"/>
          <w:color w:val="0000FF"/>
        </w:rPr>
        <w:t>the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FF"/>
        </w:rPr>
        <w:t>applicable</w:t>
      </w:r>
      <w:r>
        <w:rPr>
          <w:rFonts w:ascii="Times New Roman" w:cs="Times New Roman" w:eastAsia="Times New Roman" w:hAnsi="Times New Roman"/>
          <w:sz w:val="18"/>
          <w:szCs w:val="18"/>
          <w:color w:val="0000FF"/>
        </w:rPr>
        <w:t xml:space="preserve"> </w:t>
      </w:r>
      <w:r>
        <w:rPr>
          <w:rFonts w:ascii="Times New Roman" w:cs="Times New Roman" w:eastAsia="Times New Roman" w:hAnsi="Times New Roman"/>
          <w:sz w:val="18"/>
          <w:szCs w:val="18"/>
          <w:color w:val="000000"/>
        </w:rPr>
        <w:t>Resolution Authority.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6666865</wp:posOffset>
            </wp:positionH>
            <wp:positionV relativeFrom="paragraph">
              <wp:posOffset>-151130</wp:posOffset>
            </wp:positionV>
            <wp:extent cx="137160" cy="8255"/>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98">
                      <a:extLst>
                        <a:ext uri="{28A0092B-C50C-407E-A947-70E740481C1C}"/>
                      </a:extLst>
                    </a:blip>
                    <a:srcRect/>
                    <a:stretch>
                      <a:fillRect/>
                    </a:stretch>
                  </pic:blipFill>
                  <pic:spPr bwMode="auto">
                    <a:xfrm>
                      <a:off x="0" y="0"/>
                      <a:ext cx="137160" cy="8255"/>
                    </a:xfrm>
                    <a:prstGeom prst="rect">
                      <a:avLst/>
                    </a:prstGeom>
                    <a:noFill/>
                  </pic:spPr>
                </pic:pic>
              </a:graphicData>
            </a:graphic>
          </wp:anchor>
        </w:drawing>
        <w:drawing>
          <wp:anchor simplePos="0" relativeHeight="251657728" behindDoc="1" locked="0" layoutInCell="0" allowOverlap="1">
            <wp:simplePos x="0" y="0"/>
            <wp:positionH relativeFrom="column">
              <wp:posOffset>280035</wp:posOffset>
            </wp:positionH>
            <wp:positionV relativeFrom="paragraph">
              <wp:posOffset>-13970</wp:posOffset>
            </wp:positionV>
            <wp:extent cx="462915" cy="889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599">
                      <a:extLst>
                        <a:ext uri="{28A0092B-C50C-407E-A947-70E740481C1C}"/>
                      </a:extLst>
                    </a:blip>
                    <a:srcRect/>
                    <a:stretch>
                      <a:fillRect/>
                    </a:stretch>
                  </pic:blipFill>
                  <pic:spPr bwMode="auto">
                    <a:xfrm>
                      <a:off x="0" y="0"/>
                      <a:ext cx="462915" cy="8890"/>
                    </a:xfrm>
                    <a:prstGeom prst="rect">
                      <a:avLst/>
                    </a:prstGeom>
                    <a:noFill/>
                  </pic:spPr>
                </pic:pic>
              </a:graphicData>
            </a:graphic>
          </wp:anchor>
        </w:drawing>
      </w:r>
    </w:p>
    <w:p>
      <w:pPr>
        <w:spacing w:after="0" w:line="142"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 xml:space="preserve">SECTION 9.19. </w:t>
      </w:r>
      <w:r>
        <w:rPr>
          <w:rFonts w:ascii="Times New Roman" w:cs="Times New Roman" w:eastAsia="Times New Roman" w:hAnsi="Times New Roman"/>
          <w:sz w:val="18"/>
          <w:szCs w:val="18"/>
          <w:u w:val="single" w:color="auto"/>
          <w:color w:val="auto"/>
        </w:rPr>
        <w:t>Permitted Reorganization</w:t>
      </w:r>
      <w:r>
        <w:rPr>
          <w:rFonts w:ascii="Times New Roman" w:cs="Times New Roman" w:eastAsia="Times New Roman" w:hAnsi="Times New Roman"/>
          <w:sz w:val="18"/>
          <w:szCs w:val="18"/>
          <w:color w:val="auto"/>
        </w:rPr>
        <w:t>. Notwithstanding any other provision of this Agreement, the Company may become a wholly-owned subsidiary of a corporation organized under the laws of the State of Delaware (the “</w:t>
      </w:r>
      <w:r>
        <w:rPr>
          <w:rFonts w:ascii="Times New Roman" w:cs="Times New Roman" w:eastAsia="Times New Roman" w:hAnsi="Times New Roman"/>
          <w:sz w:val="18"/>
          <w:szCs w:val="18"/>
          <w:u w:val="single" w:color="auto"/>
          <w:color w:val="auto"/>
        </w:rPr>
        <w:t>New Holding Company</w:t>
      </w:r>
      <w:r>
        <w:rPr>
          <w:rFonts w:ascii="Times New Roman" w:cs="Times New Roman" w:eastAsia="Times New Roman" w:hAnsi="Times New Roman"/>
          <w:sz w:val="18"/>
          <w:szCs w:val="18"/>
          <w:color w:val="auto"/>
        </w:rPr>
        <w:t>”) by means of a merger of the Company with and into a newly organized wholly owned subsidiary of the New Holding Company (the “</w:t>
      </w:r>
      <w:r>
        <w:rPr>
          <w:rFonts w:ascii="Times New Roman" w:cs="Times New Roman" w:eastAsia="Times New Roman" w:hAnsi="Times New Roman"/>
          <w:sz w:val="18"/>
          <w:szCs w:val="18"/>
          <w:u w:val="single" w:color="auto"/>
          <w:color w:val="auto"/>
        </w:rPr>
        <w:t>Permitted Reorganization Merger Subsidiary</w:t>
      </w:r>
      <w:r>
        <w:rPr>
          <w:rFonts w:ascii="Times New Roman" w:cs="Times New Roman" w:eastAsia="Times New Roman" w:hAnsi="Times New Roman"/>
          <w:sz w:val="18"/>
          <w:szCs w:val="18"/>
          <w:color w:val="auto"/>
        </w:rPr>
        <w:t xml:space="preserve">”), which shall be organized under the laws of the State of Delaware, or another transaction or series of transactions that result in the Company becoming a wholly owned subsidiary of the New Holding Company,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w:t>
      </w:r>
    </w:p>
    <w:p>
      <w:pPr>
        <w:spacing w:after="0" w:line="75" w:lineRule="exact"/>
        <w:rPr>
          <w:sz w:val="20"/>
          <w:szCs w:val="20"/>
          <w:color w:val="auto"/>
        </w:rPr>
      </w:pPr>
    </w:p>
    <w:p>
      <w:pPr>
        <w:ind w:left="440" w:firstLine="419"/>
        <w:spacing w:after="0" w:line="277" w:lineRule="auto"/>
        <w:tabs>
          <w:tab w:leader="none" w:pos="1108" w:val="left"/>
        </w:tabs>
        <w:numPr>
          <w:ilvl w:val="0"/>
          <w:numId w:val="37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 each of the New Holding Company and the Permitted Reorganization Merger Subsidiary shall be newly organized solely for the purpose of engaging in the Permitted Reorganization and, prior to the consummation of the Permitted Reorganization, shall not have been engaged in any business activities or conducted any operations other than in connection with or as contemplated by the Permitted Reorganization and shall not own any material assets and (ii) prior to the consummation of the Permitted Reorganization, neither the Company nor any of its Subsidiaries shall sell, dispose or otherwise transfer any of their assets to the New Holding Company or the Permitted Reorganization Merger Subsidiary;</w:t>
      </w:r>
    </w:p>
    <w:p>
      <w:pPr>
        <w:spacing w:after="0" w:line="59" w:lineRule="exact"/>
        <w:rPr>
          <w:rFonts w:ascii="Times New Roman" w:cs="Times New Roman" w:eastAsia="Times New Roman" w:hAnsi="Times New Roman"/>
          <w:sz w:val="17"/>
          <w:szCs w:val="17"/>
          <w:color w:val="auto"/>
        </w:rPr>
      </w:pPr>
    </w:p>
    <w:p>
      <w:pPr>
        <w:ind w:left="440" w:firstLine="419"/>
        <w:spacing w:after="0" w:line="267" w:lineRule="auto"/>
        <w:tabs>
          <w:tab w:leader="none" w:pos="1118" w:val="left"/>
        </w:tabs>
        <w:numPr>
          <w:ilvl w:val="0"/>
          <w:numId w:val="37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prior to the consummation of the Permitted Reorganization, the Company, the New Holding Company and the Agents shall enter into an agreement in writing pursuant to which this Agreement shall be amended as may be necessary or appropriate, in the opinion of the Company and the Agents, to reflect (i) the Company becoming a wholly owned subsidiary of the New Holding Company, (ii) the New Holding Company providing the Parent Company Guarantee and the Parent Company Guarantee constituting a Loan Document, (iii) subject to clause (iv) below, the New Holding Company becoming bound hereby and by the other Loan Documents as if it were the original “Company”, including for purposes of the representations and warranties set forth in Article III hereof, the covenants set forth in Articles V and VI hereof and the Events of Default set forth in Article VII hereof, and (iv) notwithstanding anything to the contrary in clause (iii) above, the Company remaining the primary obligor in respect of the Loans and all the other Obligations, including any such amendments to provide that (A) references to the Company will be modified to be references to the New Holding Company (including such references in clause (a) of the definition of Change of Control and clause (a) of the definition of Material Adverse Effect) or to each of the Company and the New Holding Company (including such references in clause (b) of the definition of Change of Control, clause (b) of the definition of Material Adverse Effect, the definition of Indemnified Taxes and Sections 3.02,</w:t>
      </w:r>
    </w:p>
    <w:p>
      <w:pPr>
        <w:spacing w:after="0" w:line="2" w:lineRule="exact"/>
        <w:rPr>
          <w:rFonts w:ascii="Times New Roman" w:cs="Times New Roman" w:eastAsia="Times New Roman" w:hAnsi="Times New Roman"/>
          <w:sz w:val="17"/>
          <w:szCs w:val="17"/>
          <w:color w:val="auto"/>
        </w:rPr>
      </w:pPr>
    </w:p>
    <w:p>
      <w:pPr>
        <w:ind w:left="440" w:right="20"/>
        <w:spacing w:after="0" w:line="255"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3.03(c), 3.08, 3.15, 3.19 and 4.03(a)), as the context of the original reference requires, except that all references to the Company in Article II shall, except for any technical modifications deemed necessary or appropriate, in the opinion of the Company and the Agents (including technical modifications to Sections 2.14 and 2.15(c)), remain as</w:t>
      </w:r>
    </w:p>
    <w:p>
      <w:pPr>
        <w:spacing w:after="0" w:line="1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103</w:t>
      </w:r>
    </w:p>
    <w:p>
      <w:pPr>
        <w:sectPr>
          <w:pgSz w:w="11900" w:h="16838" w:orient="portrait"/>
          <w:cols w:equalWidth="0" w:num="1">
            <w:col w:w="11000"/>
          </w:cols>
          <w:pgMar w:left="440" w:top="270" w:right="459" w:bottom="1440" w:gutter="0" w:footer="0" w:header="0"/>
        </w:sectPr>
      </w:pPr>
    </w:p>
    <w:bookmarkStart w:id="406" w:name="page407"/>
    <w:bookmarkEnd w:id="406"/>
    <w:p>
      <w:pPr>
        <w:ind w:left="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references solely to the Company, (B) consolidated financial statements required to be delivered pursuant to Section 5.01 shall be the applicable consolidated financial statements of the New Holding Company and (C) all calculations of financial ratios or financial metrics that are determined on a consolidated basis for the Company and its Subsidiaries shall be determined on a consolidated basis for the New Holding Company and its subsidiaries, it being agreed that the Company shall in any event constitute a Material Subsidiary); </w:t>
      </w:r>
      <w:r>
        <w:rPr>
          <w:rFonts w:ascii="Times New Roman" w:cs="Times New Roman" w:eastAsia="Times New Roman" w:hAnsi="Times New Roman"/>
          <w:sz w:val="18"/>
          <w:szCs w:val="18"/>
          <w:u w:val="single" w:color="auto"/>
          <w:color w:val="auto"/>
        </w:rPr>
        <w:t>provided</w:t>
      </w:r>
      <w:r>
        <w:rPr>
          <w:rFonts w:ascii="Times New Roman" w:cs="Times New Roman" w:eastAsia="Times New Roman" w:hAnsi="Times New Roman"/>
          <w:sz w:val="18"/>
          <w:szCs w:val="18"/>
          <w:color w:val="auto"/>
        </w:rPr>
        <w:t xml:space="preserve"> that a copy of such agreement shall have been provided by the Agents to the Lenders and the Agents shall not have received, within 10 Business Days of the date a copy of such agreement is provided to the Lenders, a written notice from the Required Lenders stating that the Required Lenders object to such amendments (it being understood that in the absence of such written notice from the Required Lenders, such amendments shall become effective at the end of such period, without any further action or consent of any other party to this Agreement);</w:t>
      </w:r>
    </w:p>
    <w:p>
      <w:pPr>
        <w:spacing w:after="0" w:line="84" w:lineRule="exact"/>
        <w:rPr>
          <w:sz w:val="20"/>
          <w:szCs w:val="20"/>
          <w:color w:val="auto"/>
        </w:rPr>
      </w:pPr>
    </w:p>
    <w:p>
      <w:pPr>
        <w:ind w:left="440" w:right="20" w:firstLine="419"/>
        <w:spacing w:after="0" w:line="258" w:lineRule="auto"/>
        <w:tabs>
          <w:tab w:leader="none" w:pos="1108" w:val="left"/>
        </w:tabs>
        <w:numPr>
          <w:ilvl w:val="0"/>
          <w:numId w:val="3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or substantially concurrently with the consummation of the Permitted Reorganization, (i) the New Holding Company shall execute and deliver to the Agents a guarantee, in form and substance reasonably satisfactory to the Agents, pursuant to which the New Holding Company shall unconditionally and irrevocably guarantee all the Obligations of the Company (the “</w:t>
      </w:r>
      <w:r>
        <w:rPr>
          <w:rFonts w:ascii="Times New Roman" w:cs="Times New Roman" w:eastAsia="Times New Roman" w:hAnsi="Times New Roman"/>
          <w:sz w:val="18"/>
          <w:szCs w:val="18"/>
          <w:u w:val="single" w:color="auto"/>
          <w:color w:val="auto"/>
        </w:rPr>
        <w:t>Parent Company Guarantee</w:t>
      </w:r>
      <w:r>
        <w:rPr>
          <w:rFonts w:ascii="Times New Roman" w:cs="Times New Roman" w:eastAsia="Times New Roman" w:hAnsi="Times New Roman"/>
          <w:sz w:val="18"/>
          <w:szCs w:val="18"/>
          <w:color w:val="auto"/>
        </w:rPr>
        <w:t>”), and (ii) the New Holding Company shall deliver to the Agents such documents, certificates and opinions as any of the Agents may reasonably request relating to the New Holding Company or the Parent Company Guarantee, all in form and substance reasonably satisfactory to the Agents;</w:t>
      </w:r>
    </w:p>
    <w:p>
      <w:pPr>
        <w:spacing w:after="0" w:line="75" w:lineRule="exact"/>
        <w:rPr>
          <w:rFonts w:ascii="Times New Roman" w:cs="Times New Roman" w:eastAsia="Times New Roman" w:hAnsi="Times New Roman"/>
          <w:sz w:val="18"/>
          <w:szCs w:val="18"/>
          <w:color w:val="auto"/>
        </w:rPr>
      </w:pPr>
    </w:p>
    <w:p>
      <w:pPr>
        <w:ind w:left="440" w:right="40" w:firstLine="419"/>
        <w:spacing w:after="0" w:line="266" w:lineRule="auto"/>
        <w:tabs>
          <w:tab w:leader="none" w:pos="1118" w:val="left"/>
        </w:tabs>
        <w:numPr>
          <w:ilvl w:val="0"/>
          <w:numId w:val="3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the Company is to merge with and into the Permitted Reorganization Merger Subsidiary, the requirements of Section 6.04(a) with respect to such merger shall have been, or substantially concurrently with the consummation of the Permitted Reorganization shall be, satisfied; and</w:t>
      </w:r>
    </w:p>
    <w:p>
      <w:pPr>
        <w:spacing w:after="0" w:line="67" w:lineRule="exact"/>
        <w:rPr>
          <w:rFonts w:ascii="Times New Roman" w:cs="Times New Roman" w:eastAsia="Times New Roman" w:hAnsi="Times New Roman"/>
          <w:sz w:val="18"/>
          <w:szCs w:val="18"/>
          <w:color w:val="auto"/>
        </w:rPr>
      </w:pPr>
    </w:p>
    <w:p>
      <w:pPr>
        <w:ind w:left="440" w:right="20" w:firstLine="419"/>
        <w:spacing w:after="0" w:line="258" w:lineRule="auto"/>
        <w:tabs>
          <w:tab w:leader="none" w:pos="1108" w:val="left"/>
        </w:tabs>
        <w:numPr>
          <w:ilvl w:val="0"/>
          <w:numId w:val="3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Lenders shall have received, at least five Business Days prior to the date of the consummation of the Permitted Reorganization, (i) all documentation and other information regarding the New Holding Company required by bank regulatory authorities under applicable “know your customer” and anti-money laundering rules and regulations, including, without limitation, the USA PATRIOT Act, that has been reasonably requested by any Agent or any Lender and (ii) to the extent the New Holding Company qualifies as a “legal entity customer” under the Beneficial Ownership Regulation, a Beneficial Ownership Certification in relation to the New Holding Company.</w:t>
      </w:r>
    </w:p>
    <w:p>
      <w:pPr>
        <w:spacing w:after="0" w:line="183" w:lineRule="exact"/>
        <w:rPr>
          <w:sz w:val="20"/>
          <w:szCs w:val="20"/>
          <w:color w:val="auto"/>
        </w:rPr>
      </w:pPr>
    </w:p>
    <w:p>
      <w:pPr>
        <w:ind w:right="220" w:firstLine="991"/>
        <w:spacing w:after="0" w:line="266" w:lineRule="auto"/>
        <w:rPr>
          <w:sz w:val="20"/>
          <w:szCs w:val="20"/>
          <w:color w:val="auto"/>
        </w:rPr>
      </w:pPr>
      <w:r>
        <w:rPr>
          <w:rFonts w:ascii="Times New Roman" w:cs="Times New Roman" w:eastAsia="Times New Roman" w:hAnsi="Times New Roman"/>
          <w:sz w:val="18"/>
          <w:szCs w:val="18"/>
          <w:u w:val="single" w:color="auto"/>
          <w:color w:val="0000FF"/>
        </w:rPr>
        <w:t>SECTION 9.20. Permitted Inphi Acquisition Reorganization. Notwithstanding any other provision of this Agreement, concurrently with the consummation of the Inphi Acquisition on the Inphi Acquisition Closing Date, the Company shall become a wholly-owned subsidiary of Maui Topco by means of a merger of Marvell Acquisition Company Ltd., a Bermuda exempted company and wholly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wp:posOffset>
            </wp:positionH>
            <wp:positionV relativeFrom="paragraph">
              <wp:posOffset>-278765</wp:posOffset>
            </wp:positionV>
            <wp:extent cx="6223635" cy="8255"/>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01">
                      <a:extLst>
                        <a:ext uri="{28A0092B-C50C-407E-A947-70E740481C1C}"/>
                      </a:extLst>
                    </a:blip>
                    <a:srcRect/>
                    <a:stretch>
                      <a:fillRect/>
                    </a:stretch>
                  </pic:blipFill>
                  <pic:spPr bwMode="auto">
                    <a:xfrm>
                      <a:off x="0" y="0"/>
                      <a:ext cx="62236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-141605</wp:posOffset>
            </wp:positionV>
            <wp:extent cx="6694805" cy="8255"/>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02">
                      <a:extLst>
                        <a:ext uri="{28A0092B-C50C-407E-A947-70E740481C1C}"/>
                      </a:extLst>
                    </a:blip>
                    <a:srcRect/>
                    <a:stretch>
                      <a:fillRect/>
                    </a:stretch>
                  </pic:blipFill>
                  <pic:spPr bwMode="auto">
                    <a:xfrm>
                      <a:off x="0" y="0"/>
                      <a:ext cx="669480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-4445</wp:posOffset>
            </wp:positionV>
            <wp:extent cx="5408930" cy="8255"/>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03">
                      <a:extLst>
                        <a:ext uri="{28A0092B-C50C-407E-A947-70E740481C1C}"/>
                      </a:extLst>
                    </a:blip>
                    <a:srcRect/>
                    <a:stretch>
                      <a:fillRect/>
                    </a:stretch>
                  </pic:blipFill>
                  <pic:spPr bwMode="auto">
                    <a:xfrm>
                      <a:off x="0" y="0"/>
                      <a:ext cx="5408930" cy="8255"/>
                    </a:xfrm>
                    <a:prstGeom prst="rect">
                      <a:avLst/>
                    </a:prstGeom>
                    <a:noFill/>
                  </pic:spPr>
                </pic:pic>
              </a:graphicData>
            </a:graphic>
          </wp:anchor>
        </w:drawing>
      </w:r>
    </w:p>
    <w:p>
      <w:pPr>
        <w:spacing w:after="0" w:line="8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104</w:t>
      </w:r>
    </w:p>
    <w:p>
      <w:pPr>
        <w:sectPr>
          <w:pgSz w:w="11900" w:h="16838" w:orient="portrait"/>
          <w:cols w:equalWidth="0" w:num="1">
            <w:col w:w="11000"/>
          </w:cols>
          <w:pgMar w:left="440" w:top="270" w:right="459" w:bottom="1440" w:gutter="0" w:footer="0" w:header="0"/>
        </w:sectPr>
      </w:pPr>
    </w:p>
    <w:bookmarkStart w:id="407" w:name="page408"/>
    <w:bookmarkEnd w:id="407"/>
    <w:p>
      <w:pPr>
        <w:spacing w:after="0" w:line="256" w:lineRule="auto"/>
        <w:rPr>
          <w:sz w:val="20"/>
          <w:szCs w:val="20"/>
          <w:color w:val="auto"/>
        </w:rPr>
      </w:pPr>
      <w:r>
        <w:rPr>
          <w:rFonts w:ascii="Times New Roman" w:cs="Times New Roman" w:eastAsia="Times New Roman" w:hAnsi="Times New Roman"/>
          <w:sz w:val="18"/>
          <w:szCs w:val="18"/>
          <w:u w:val="single" w:color="auto"/>
          <w:color w:val="0000FF"/>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subsidiary of Maui Topco (the “Inphi Acquisition Permitted Reorganization Merger Subsidiary”) with and into the Company, with the Company surviving as a Wholly-Owned Subsidiary of Maui Topco as contemplated by the Inphi Acquisition Agreement. Upon consummation of the Inphi Acquisition and the Inphi Acquisition Permitted Reorganization on the Inphi Acquisition Closing Date, the Company shall, and shall cause Maui Topco to, take (or cause to be taken) all actions required by Section 9.19 so that the Inphi Acquisition Permitted Reorganization is implemented as a Permitted Reorganization in accordance with Section 9.19, with each reference therein to the “New Holding Company” being deemed to be a reference to Maui Topco.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-683260</wp:posOffset>
            </wp:positionV>
            <wp:extent cx="6591935" cy="8255"/>
            <wp:wrapNone/>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05">
                      <a:extLst>
                        <a:ext uri="{28A0092B-C50C-407E-A947-70E740481C1C}"/>
                      </a:extLst>
                    </a:blip>
                    <a:srcRect/>
                    <a:stretch>
                      <a:fillRect/>
                    </a:stretch>
                  </pic:blipFill>
                  <pic:spPr bwMode="auto">
                    <a:xfrm>
                      <a:off x="0" y="0"/>
                      <a:ext cx="65919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-546100</wp:posOffset>
            </wp:positionV>
            <wp:extent cx="6617970" cy="8890"/>
            <wp:wrapNone/>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606">
                      <a:extLst>
                        <a:ext uri="{28A0092B-C50C-407E-A947-70E740481C1C}"/>
                      </a:extLst>
                    </a:blip>
                    <a:srcRect/>
                    <a:stretch>
                      <a:fillRect/>
                    </a:stretch>
                  </pic:blipFill>
                  <pic:spPr bwMode="auto">
                    <a:xfrm>
                      <a:off x="0" y="0"/>
                      <a:ext cx="661797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-408940</wp:posOffset>
            </wp:positionV>
            <wp:extent cx="6934835" cy="8255"/>
            <wp:wrapNone/>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607">
                      <a:extLst>
                        <a:ext uri="{28A0092B-C50C-407E-A947-70E740481C1C}"/>
                      </a:extLst>
                    </a:blip>
                    <a:srcRect/>
                    <a:stretch>
                      <a:fillRect/>
                    </a:stretch>
                  </pic:blipFill>
                  <pic:spPr bwMode="auto">
                    <a:xfrm>
                      <a:off x="0" y="0"/>
                      <a:ext cx="69348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-271780</wp:posOffset>
            </wp:positionV>
            <wp:extent cx="6926580" cy="8255"/>
            <wp:wrapNone/>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608">
                      <a:extLst>
                        <a:ext uri="{28A0092B-C50C-407E-A947-70E740481C1C}"/>
                      </a:extLst>
                    </a:blip>
                    <a:srcRect/>
                    <a:stretch>
                      <a:fillRect/>
                    </a:stretch>
                  </pic:blipFill>
                  <pic:spPr bwMode="auto">
                    <a:xfrm>
                      <a:off x="0" y="0"/>
                      <a:ext cx="692658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-134620</wp:posOffset>
            </wp:positionV>
            <wp:extent cx="6831965" cy="8255"/>
            <wp:wrapNone/>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609">
                      <a:extLst>
                        <a:ext uri="{28A0092B-C50C-407E-A947-70E740481C1C}"/>
                      </a:extLst>
                    </a:blip>
                    <a:srcRect/>
                    <a:stretch>
                      <a:fillRect/>
                    </a:stretch>
                  </pic:blipFill>
                  <pic:spPr bwMode="auto">
                    <a:xfrm>
                      <a:off x="0" y="0"/>
                      <a:ext cx="683196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1905</wp:posOffset>
            </wp:positionV>
            <wp:extent cx="308610" cy="8255"/>
            <wp:wrapNone/>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610">
                      <a:extLst>
                        <a:ext uri="{28A0092B-C50C-407E-A947-70E740481C1C}"/>
                      </a:extLst>
                    </a:blip>
                    <a:srcRect/>
                    <a:stretch>
                      <a:fillRect/>
                    </a:stretch>
                  </pic:blipFill>
                  <pic:spPr bwMode="auto">
                    <a:xfrm>
                      <a:off x="0" y="0"/>
                      <a:ext cx="308610" cy="8255"/>
                    </a:xfrm>
                    <a:prstGeom prst="rect">
                      <a:avLst/>
                    </a:prstGeom>
                    <a:noFill/>
                  </pic:spPr>
                </pic:pic>
              </a:graphicData>
            </a:graphic>
          </wp:anchor>
        </w:drawing>
      </w:r>
    </w:p>
    <w:p>
      <w:pPr>
        <w:spacing w:after="0" w:line="167"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[Signature pages follow]</w:t>
      </w:r>
    </w:p>
    <w:p>
      <w:pPr>
        <w:spacing w:after="0" w:line="158"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105</w:t>
      </w:r>
    </w:p>
    <w:p>
      <w:pPr>
        <w:sectPr>
          <w:pgSz w:w="11900" w:h="16838" w:orient="portrait"/>
          <w:cols w:equalWidth="0" w:num="1">
            <w:col w:w="10920"/>
          </w:cols>
          <w:pgMar w:left="440" w:top="270" w:right="539" w:bottom="1440" w:gutter="0" w:footer="0" w:header="0"/>
        </w:sectPr>
      </w:pPr>
    </w:p>
    <w:bookmarkStart w:id="408" w:name="page409"/>
    <w:bookmarkEnd w:id="408"/>
    <w:p>
      <w:pPr>
        <w:ind w:firstLine="991"/>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6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8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4678045</wp:posOffset>
            </wp:positionH>
            <wp:positionV relativeFrom="paragraph">
              <wp:posOffset>17145</wp:posOffset>
            </wp:positionV>
            <wp:extent cx="2314575" cy="8890"/>
            <wp:wrapNone/>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612">
                      <a:extLst>
                        <a:ext uri="{28A0092B-C50C-407E-A947-70E740481C1C}"/>
                      </a:extLst>
                    </a:blip>
                    <a:srcRect/>
                    <a:stretch>
                      <a:fillRect/>
                    </a:stretch>
                  </pic:blipFill>
                  <pic:spPr bwMode="auto">
                    <a:xfrm>
                      <a:off x="0" y="0"/>
                      <a:ext cx="2314575" cy="8890"/>
                    </a:xfrm>
                    <a:prstGeom prst="rect">
                      <a:avLst/>
                    </a:prstGeom>
                    <a:noFill/>
                  </pic:spPr>
                </pic:pic>
              </a:graphicData>
            </a:graphic>
          </wp:anchor>
        </w:drawing>
      </w:r>
    </w:p>
    <w:p>
      <w:pPr>
        <w:spacing w:after="0" w:line="16" w:lineRule="exact"/>
        <w:rPr>
          <w:sz w:val="20"/>
          <w:szCs w:val="20"/>
          <w:color w:val="auto"/>
        </w:rPr>
      </w:pPr>
    </w:p>
    <w:p>
      <w:pPr>
        <w:ind w:left="736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736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106</w:t>
      </w:r>
    </w:p>
    <w:p>
      <w:pPr>
        <w:sectPr>
          <w:pgSz w:w="11900" w:h="16838" w:orient="portrait"/>
          <w:cols w:equalWidth="0" w:num="1">
            <w:col w:w="10900"/>
          </w:cols>
          <w:pgMar w:left="440" w:top="270" w:right="559" w:bottom="1440" w:gutter="0" w:footer="0" w:header="0"/>
        </w:sectPr>
      </w:pPr>
    </w:p>
    <w:bookmarkStart w:id="409" w:name="page410"/>
    <w:bookmarkEnd w:id="409"/>
    <w:p>
      <w:pPr>
        <w:ind w:left="562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6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GOLDMAN SACHS BANK USA, individually and as the</w:t>
      </w:r>
    </w:p>
    <w:p>
      <w:pPr>
        <w:spacing w:after="0" w:line="2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7"/>
          <w:szCs w:val="17"/>
          <w:color w:val="auto"/>
        </w:rPr>
        <w:t>General Administrative Agent and the Term Facility Agent</w:t>
      </w:r>
    </w:p>
    <w:p>
      <w:pPr>
        <w:spacing w:after="0" w:line="218"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17145</wp:posOffset>
            </wp:positionV>
            <wp:extent cx="2314575" cy="8255"/>
            <wp:wrapNone/>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614">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ind w:left="4360"/>
        <w:spacing w:after="0"/>
        <w:rPr>
          <w:sz w:val="20"/>
          <w:szCs w:val="20"/>
          <w:color w:val="auto"/>
        </w:rPr>
      </w:pPr>
      <w:r>
        <w:rPr>
          <w:rFonts w:ascii="Times New Roman" w:cs="Times New Roman" w:eastAsia="Times New Roman" w:hAnsi="Times New Roman"/>
          <w:sz w:val="18"/>
          <w:szCs w:val="18"/>
          <w:color w:val="auto"/>
        </w:rPr>
        <w:t>107</w:t>
      </w:r>
    </w:p>
    <w:p>
      <w:pPr>
        <w:sectPr>
          <w:pgSz w:w="11900" w:h="16838" w:orient="portrait"/>
          <w:cols w:equalWidth="0" w:num="1">
            <w:col w:w="9860"/>
          </w:cols>
          <w:pgMar w:left="1440" w:top="270" w:right="599" w:bottom="1440" w:gutter="0" w:footer="0" w:header="0"/>
        </w:sectPr>
      </w:pPr>
    </w:p>
    <w:bookmarkStart w:id="410" w:name="page411"/>
    <w:bookmarkEnd w:id="410"/>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6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BANK OF AMERICA, N.A., individually and as the</w:t>
      </w:r>
    </w:p>
    <w:p>
      <w:pPr>
        <w:spacing w:after="0" w:line="3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Revolving Facility Agent</w:t>
      </w:r>
    </w:p>
    <w:p>
      <w:pPr>
        <w:spacing w:after="0" w:line="207"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17145</wp:posOffset>
            </wp:positionV>
            <wp:extent cx="2314575" cy="8255"/>
            <wp:wrapNone/>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616">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jc w:val="center"/>
        <w:ind w:right="440"/>
        <w:spacing w:after="0"/>
        <w:rPr>
          <w:sz w:val="20"/>
          <w:szCs w:val="20"/>
          <w:color w:val="auto"/>
        </w:rPr>
      </w:pPr>
      <w:r>
        <w:rPr>
          <w:rFonts w:ascii="Times New Roman" w:cs="Times New Roman" w:eastAsia="Times New Roman" w:hAnsi="Times New Roman"/>
          <w:sz w:val="18"/>
          <w:szCs w:val="18"/>
          <w:color w:val="auto"/>
        </w:rPr>
        <w:t>108</w:t>
      </w:r>
    </w:p>
    <w:p>
      <w:pPr>
        <w:sectPr>
          <w:pgSz w:w="11900" w:h="16838" w:orient="portrait"/>
          <w:cols w:equalWidth="0" w:num="1">
            <w:col w:w="9440"/>
          </w:cols>
          <w:pgMar w:left="1440" w:top="270" w:right="1019" w:bottom="1440" w:gutter="0" w:footer="0" w:header="0"/>
        </w:sectPr>
      </w:pPr>
    </w:p>
    <w:bookmarkStart w:id="411" w:name="page412"/>
    <w:bookmarkEnd w:id="411"/>
    <w:p>
      <w:pPr>
        <w:jc w:val="right"/>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6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 PAGE TO</w:t>
      </w:r>
    </w:p>
    <w:p>
      <w:pPr>
        <w:spacing w:after="0" w:line="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Name of Institution:</w:t>
      </w:r>
    </w:p>
    <w:p>
      <w:pPr>
        <w:spacing w:after="0" w:line="225"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17145</wp:posOffset>
            </wp:positionV>
            <wp:extent cx="2314575" cy="8255"/>
            <wp:wrapNone/>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618">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Title:</w:t>
      </w:r>
    </w:p>
    <w:p>
      <w:pPr>
        <w:spacing w:after="0" w:line="20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For any Lender requiring a second signature block:</w:t>
      </w:r>
    </w:p>
    <w:p>
      <w:pPr>
        <w:spacing w:after="0" w:line="225"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4043045</wp:posOffset>
            </wp:positionH>
            <wp:positionV relativeFrom="paragraph">
              <wp:posOffset>17145</wp:posOffset>
            </wp:positionV>
            <wp:extent cx="2314575" cy="8255"/>
            <wp:wrapNone/>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619">
                      <a:extLst>
                        <a:ext uri="{28A0092B-C50C-407E-A947-70E740481C1C}"/>
                      </a:extLst>
                    </a:blip>
                    <a:srcRect/>
                    <a:stretch>
                      <a:fillRect/>
                    </a:stretch>
                  </pic:blipFill>
                  <pic:spPr bwMode="auto">
                    <a:xfrm>
                      <a:off x="0" y="0"/>
                      <a:ext cx="2314575" cy="8255"/>
                    </a:xfrm>
                    <a:prstGeom prst="rect">
                      <a:avLst/>
                    </a:prstGeom>
                    <a:noFill/>
                  </pic:spPr>
                </pic:pic>
              </a:graphicData>
            </a:graphic>
          </wp:anchor>
        </w:drawing>
      </w:r>
    </w:p>
    <w:p>
      <w:pPr>
        <w:spacing w:after="0" w:line="16"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18"/>
          <w:szCs w:val="18"/>
          <w:color w:val="auto"/>
        </w:rPr>
        <w:t>Title:</w:t>
      </w:r>
    </w:p>
    <w:sectPr>
      <w:pgSz w:w="11900" w:h="16838" w:orient="portrait"/>
      <w:cols w:equalWidth="0" w:num="1">
        <w:col w:w="10020"/>
      </w:cols>
      <w:pgMar w:left="1440" w:top="27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AF49B"/>
    <w:multiLevelType w:val="hybridMultilevel"/>
    <w:lvl w:ilvl="0">
      <w:lvlJc w:val="left"/>
      <w:lvlText w:val="☒"/>
      <w:numFmt w:val="bullet"/>
      <w:start w:val="1"/>
    </w:lvl>
  </w:abstractNum>
  <w:abstractNum w:abstractNumId="1">
    <w:nsid w:val="397C46BC"/>
    <w:multiLevelType w:val="hybridMultilevel"/>
    <w:lvl w:ilvl="0">
      <w:lvlJc w:val="left"/>
      <w:lvlText w:val="☐"/>
      <w:numFmt w:val="bullet"/>
      <w:start w:val="1"/>
    </w:lvl>
  </w:abstractNum>
  <w:abstractNum w:abstractNumId="2">
    <w:nsid w:val="7E448DE9"/>
    <w:multiLevelType w:val="hybridMultilevel"/>
    <w:lvl w:ilvl="0">
      <w:lvlJc w:val="left"/>
      <w:lvlText w:val="*"/>
      <w:numFmt w:val="bullet"/>
      <w:start w:val="1"/>
    </w:lvl>
  </w:abstractNum>
  <w:abstractNum w:abstractNumId="3">
    <w:nsid w:val="5A9CC3E5"/>
    <w:multiLevelType w:val="hybridMultilevel"/>
    <w:lvl w:ilvl="0">
      <w:lvlJc w:val="left"/>
      <w:lvlText w:val="(%1)"/>
      <w:numFmt w:val="decimal"/>
      <w:start w:val="1"/>
    </w:lvl>
  </w:abstractNum>
  <w:abstractNum w:abstractNumId="4">
    <w:nsid w:val="1AFE3625"/>
    <w:multiLevelType w:val="hybridMultilevel"/>
    <w:lvl w:ilvl="0">
      <w:lvlJc w:val="left"/>
      <w:lvlText w:val="(%1)"/>
      <w:numFmt w:val="decimal"/>
      <w:start w:val="1"/>
    </w:lvl>
  </w:abstractNum>
  <w:abstractNum w:abstractNumId="5">
    <w:nsid w:val="3CA88ECF"/>
    <w:multiLevelType w:val="hybridMultilevel"/>
    <w:lvl w:ilvl="0">
      <w:lvlJc w:val="left"/>
      <w:lvlText w:val="(%1)"/>
      <w:numFmt w:val="lowerLetter"/>
      <w:start w:val="1"/>
    </w:lvl>
  </w:abstractNum>
  <w:abstractNum w:abstractNumId="6">
    <w:nsid w:val="6EBE4208"/>
    <w:multiLevelType w:val="hybridMultilevel"/>
    <w:lvl w:ilvl="0">
      <w:lvlJc w:val="left"/>
      <w:lvlText w:val="(%1)"/>
      <w:numFmt w:val="decimal"/>
      <w:start w:val="2"/>
    </w:lvl>
  </w:abstractNum>
  <w:abstractNum w:abstractNumId="7">
    <w:nsid w:val="C058DF5"/>
    <w:multiLevelType w:val="hybridMultilevel"/>
    <w:lvl w:ilvl="0">
      <w:lvlJc w:val="left"/>
      <w:lvlText w:val="(%1)"/>
      <w:numFmt w:val="decimal"/>
      <w:start w:val="1"/>
    </w:lvl>
  </w:abstractNum>
  <w:abstractNum w:abstractNumId="8">
    <w:nsid w:val="CBE5BE9"/>
    <w:multiLevelType w:val="hybridMultilevel"/>
    <w:lvl w:ilvl="0">
      <w:lvlJc w:val="left"/>
      <w:lvlText w:val="(%1)"/>
      <w:numFmt w:val="decimal"/>
      <w:start w:val="1"/>
    </w:lvl>
  </w:abstractNum>
  <w:abstractNum w:abstractNumId="9">
    <w:nsid w:val="3102BBE2"/>
    <w:multiLevelType w:val="hybridMultilevel"/>
    <w:lvl w:ilvl="0">
      <w:lvlJc w:val="left"/>
      <w:lvlText w:val="(%1)"/>
      <w:numFmt w:val="decimal"/>
      <w:start w:val="2"/>
    </w:lvl>
  </w:abstractNum>
  <w:abstractNum w:abstractNumId="10">
    <w:nsid w:val="26A02C5E"/>
    <w:multiLevelType w:val="hybridMultilevel"/>
    <w:lvl w:ilvl="0">
      <w:lvlJc w:val="left"/>
      <w:lvlText w:val="%1"/>
      <w:numFmt w:val="lowerRoman"/>
      <w:start w:val="1"/>
    </w:lvl>
    <w:lvl w:ilvl="1">
      <w:lvlJc w:val="left"/>
      <w:lvlText w:val="(%2)"/>
      <w:numFmt w:val="lowerLetter"/>
      <w:start w:val="1"/>
    </w:lvl>
  </w:abstractNum>
  <w:abstractNum w:abstractNumId="11">
    <w:nsid w:val="541C8153"/>
    <w:multiLevelType w:val="hybridMultilevel"/>
    <w:lvl w:ilvl="0">
      <w:lvlJc w:val="left"/>
      <w:lvlText w:val="(%1)"/>
      <w:numFmt w:val="lowerRoman"/>
      <w:start w:val="1"/>
    </w:lvl>
    <w:lvl w:ilvl="1">
      <w:lvlJc w:val="left"/>
      <w:lvlText w:val="%2"/>
      <w:numFmt w:val="lowerLetter"/>
      <w:start w:val="1"/>
    </w:lvl>
  </w:abstractNum>
  <w:abstractNum w:abstractNumId="12">
    <w:nsid w:val="67906F60"/>
    <w:multiLevelType w:val="hybridMultilevel"/>
    <w:lvl w:ilvl="0">
      <w:lvlJc w:val="left"/>
      <w:lvlText w:val="(%1)"/>
      <w:numFmt w:val="lowerRoman"/>
      <w:start w:val="9"/>
    </w:lvl>
  </w:abstractNum>
  <w:abstractNum w:abstractNumId="13">
    <w:nsid w:val="10DB9DAA"/>
    <w:multiLevelType w:val="hybridMultilevel"/>
    <w:lvl w:ilvl="0">
      <w:lvlJc w:val="left"/>
      <w:lvlText w:val="%1"/>
      <w:numFmt w:val="lowerRoman"/>
      <w:start w:val="1"/>
    </w:lvl>
    <w:lvl w:ilvl="1">
      <w:lvlJc w:val="left"/>
      <w:lvlText w:val="(%2)"/>
      <w:numFmt w:val="lowerLetter"/>
      <w:start w:val="2"/>
    </w:lvl>
  </w:abstractNum>
  <w:abstractNum w:abstractNumId="14">
    <w:nsid w:val="697D2D2"/>
    <w:multiLevelType w:val="hybridMultilevel"/>
    <w:lvl w:ilvl="0">
      <w:lvlJc w:val="left"/>
      <w:lvlText w:val="(%1)"/>
      <w:numFmt w:val="lowerRoman"/>
      <w:start w:val="1"/>
    </w:lvl>
    <w:lvl w:ilvl="1">
      <w:lvlJc w:val="left"/>
      <w:lvlText w:val="%2"/>
      <w:numFmt w:val="lowerLetter"/>
      <w:start w:val="1"/>
    </w:lvl>
  </w:abstractNum>
  <w:abstractNum w:abstractNumId="15">
    <w:nsid w:val="6D68AB2"/>
    <w:multiLevelType w:val="hybridMultilevel"/>
    <w:lvl w:ilvl="0">
      <w:lvlJc w:val="left"/>
      <w:lvlText w:val="(%1)"/>
      <w:numFmt w:val="decimal"/>
      <w:start w:val="1"/>
    </w:lvl>
  </w:abstractNum>
  <w:abstractNum w:abstractNumId="16">
    <w:nsid w:val="3A966CD0"/>
    <w:multiLevelType w:val="hybridMultilevel"/>
    <w:lvl w:ilvl="0">
      <w:lvlJc w:val="left"/>
      <w:lvlText w:val="(%1)"/>
      <w:numFmt w:val="lowerLetter"/>
      <w:start w:val="6"/>
    </w:lvl>
  </w:abstractNum>
  <w:abstractNum w:abstractNumId="17">
    <w:nsid w:val="63F37E85"/>
    <w:multiLevelType w:val="hybridMultilevel"/>
    <w:lvl w:ilvl="0">
      <w:lvlJc w:val="left"/>
      <w:lvlText w:val="(%1)"/>
      <w:numFmt w:val="lowerLetter"/>
      <w:start w:val="2"/>
    </w:lvl>
  </w:abstractNum>
  <w:abstractNum w:abstractNumId="18">
    <w:nsid w:val="5895F5FA"/>
    <w:multiLevelType w:val="hybridMultilevel"/>
    <w:lvl w:ilvl="0">
      <w:lvlJc w:val="left"/>
      <w:lvlText w:val="(%1)"/>
      <w:numFmt w:val="lowerLetter"/>
      <w:start w:val="1"/>
    </w:lvl>
  </w:abstractNum>
  <w:abstractNum w:abstractNumId="19">
    <w:nsid w:val="38A5D054"/>
    <w:multiLevelType w:val="hybridMultilevel"/>
    <w:lvl w:ilvl="0">
      <w:lvlJc w:val="left"/>
      <w:lvlText w:val="(%1)"/>
      <w:numFmt w:val="lowerLetter"/>
      <w:start w:val="5"/>
    </w:lvl>
  </w:abstractNum>
  <w:abstractNum w:abstractNumId="20">
    <w:nsid w:val="F3F09D8"/>
    <w:multiLevelType w:val="hybridMultilevel"/>
    <w:lvl w:ilvl="0">
      <w:lvlJc w:val="left"/>
      <w:lvlText w:val="(%1)"/>
      <w:numFmt w:val="lowerLetter"/>
      <w:start w:val="13"/>
    </w:lvl>
  </w:abstractNum>
  <w:abstractNum w:abstractNumId="21">
    <w:nsid w:val="4B793735"/>
    <w:multiLevelType w:val="hybridMultilevel"/>
    <w:lvl w:ilvl="0">
      <w:lvlJc w:val="left"/>
      <w:lvlText w:val="(%1)"/>
      <w:numFmt w:val="decimal"/>
      <w:start w:val="519"/>
    </w:lvl>
  </w:abstractNum>
  <w:abstractNum w:abstractNumId="22">
    <w:nsid w:val="4A10B4E8"/>
    <w:multiLevelType w:val="hybridMultilevel"/>
    <w:lvl w:ilvl="0">
      <w:lvlJc w:val="left"/>
      <w:lvlText w:val="(%1)"/>
      <w:numFmt w:val="lowerLetter"/>
      <w:start w:val="2"/>
    </w:lvl>
  </w:abstractNum>
  <w:abstractNum w:abstractNumId="23">
    <w:nsid w:val="43D3BCD4"/>
    <w:multiLevelType w:val="hybridMultilevel"/>
    <w:lvl w:ilvl="0">
      <w:lvlJc w:val="left"/>
      <w:lvlText w:val="(%1)"/>
      <w:numFmt w:val="lowerLetter"/>
      <w:start w:val="1"/>
    </w:lvl>
  </w:abstractNum>
  <w:abstractNum w:abstractNumId="24">
    <w:nsid w:val="4C2A7166"/>
    <w:multiLevelType w:val="hybridMultilevel"/>
    <w:lvl w:ilvl="0">
      <w:lvlJc w:val="left"/>
      <w:lvlText w:val="(%1)"/>
      <w:numFmt w:val="lowerLetter"/>
      <w:start w:val="4"/>
    </w:lvl>
  </w:abstractNum>
  <w:abstractNum w:abstractNumId="25">
    <w:nsid w:val="2E534A82"/>
    <w:multiLevelType w:val="hybridMultilevel"/>
    <w:lvl w:ilvl="0">
      <w:lvlJc w:val="left"/>
      <w:lvlText w:val="(%1)"/>
      <w:numFmt w:val="lowerRoman"/>
      <w:start w:val="2"/>
    </w:lvl>
  </w:abstractNum>
  <w:abstractNum w:abstractNumId="26">
    <w:nsid w:val="26F2D364"/>
    <w:multiLevelType w:val="hybridMultilevel"/>
    <w:lvl w:ilvl="0">
      <w:lvlJc w:val="left"/>
      <w:lvlText w:val="(%1)"/>
      <w:numFmt w:val="lowerLetter"/>
      <w:start w:val="2"/>
    </w:lvl>
  </w:abstractNum>
  <w:abstractNum w:abstractNumId="27">
    <w:nsid w:val="71C1AF98"/>
    <w:multiLevelType w:val="hybridMultilevel"/>
    <w:lvl w:ilvl="0">
      <w:lvlJc w:val="left"/>
      <w:lvlText w:val="(%1)"/>
      <w:numFmt w:val="lowerLetter"/>
      <w:start w:val="2"/>
    </w:lvl>
  </w:abstractNum>
  <w:abstractNum w:abstractNumId="28">
    <w:nsid w:val="3D00B9D9"/>
    <w:multiLevelType w:val="hybridMultilevel"/>
    <w:lvl w:ilvl="0">
      <w:lvlJc w:val="left"/>
      <w:lvlText w:val="(%1)"/>
      <w:numFmt w:val="lowerLetter"/>
      <w:start w:val="2"/>
    </w:lvl>
  </w:abstractNum>
  <w:abstractNum w:abstractNumId="29">
    <w:nsid w:val="15BCABA8"/>
    <w:multiLevelType w:val="hybridMultilevel"/>
    <w:lvl w:ilvl="0">
      <w:lvlJc w:val="left"/>
      <w:lvlText w:val="(%1)"/>
      <w:numFmt w:val="lowerLetter"/>
      <w:start w:val="4"/>
    </w:lvl>
  </w:abstractNum>
  <w:abstractNum w:abstractNumId="30">
    <w:nsid w:val="4E0B9A87"/>
    <w:multiLevelType w:val="hybridMultilevel"/>
    <w:lvl w:ilvl="0">
      <w:lvlJc w:val="left"/>
      <w:lvlText w:val="(%1)"/>
      <w:numFmt w:val="lowerRoman"/>
      <w:start w:val="1"/>
    </w:lvl>
  </w:abstractNum>
  <w:abstractNum w:abstractNumId="31">
    <w:nsid w:val="434BAE75"/>
    <w:multiLevelType w:val="hybridMultilevel"/>
    <w:lvl w:ilvl="0">
      <w:lvlJc w:val="left"/>
      <w:lvlText w:val="(%1)"/>
      <w:numFmt w:val="lowerLetter"/>
      <w:start w:val="2"/>
    </w:lvl>
  </w:abstractNum>
  <w:abstractNum w:abstractNumId="32">
    <w:nsid w:val="4F38F265"/>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2"/>
    </w:lvl>
  </w:abstractNum>
  <w:abstractNum w:abstractNumId="33">
    <w:nsid w:val="4C502870"/>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34">
    <w:nsid w:val="1DE8725A"/>
    <w:multiLevelType w:val="hybridMultilevel"/>
    <w:lvl w:ilvl="0">
      <w:lvlJc w:val="left"/>
      <w:lvlText w:val="(%1)"/>
      <w:numFmt w:val="lowerRoman"/>
      <w:start w:val="3"/>
    </w:lvl>
    <w:lvl w:ilvl="1">
      <w:lvlJc w:val="left"/>
      <w:lvlText w:val="(%2)"/>
      <w:numFmt w:val="lowerRoman"/>
      <w:start w:val="2"/>
    </w:lvl>
    <w:lvl w:ilvl="2">
      <w:lvlJc w:val="left"/>
      <w:lvlText w:val="%3"/>
      <w:numFmt w:val="lowerLetter"/>
      <w:start w:val="1"/>
    </w:lvl>
  </w:abstractNum>
  <w:abstractNum w:abstractNumId="35">
    <w:nsid w:val="6A37288A"/>
    <w:multiLevelType w:val="hybridMultilevel"/>
    <w:lvl w:ilvl="0">
      <w:lvlJc w:val="left"/>
      <w:lvlText w:val="(%1)"/>
      <w:numFmt w:val="lowerLetter"/>
      <w:start w:val="3"/>
    </w:lvl>
  </w:abstractNum>
  <w:abstractNum w:abstractNumId="36">
    <w:nsid w:val="8F8B73F"/>
    <w:multiLevelType w:val="hybridMultilevel"/>
    <w:lvl w:ilvl="0">
      <w:lvlJc w:val="left"/>
      <w:lvlText w:val="(%1)"/>
      <w:numFmt w:val="lowerRoman"/>
      <w:start w:val="2"/>
    </w:lvl>
  </w:abstractNum>
  <w:abstractNum w:abstractNumId="37">
    <w:nsid w:val="CA6B462"/>
    <w:multiLevelType w:val="hybridMultilevel"/>
    <w:lvl w:ilvl="0">
      <w:lvlJc w:val="left"/>
      <w:lvlText w:val="(%1)"/>
      <w:numFmt w:val="upperLetter"/>
      <w:start w:val="2"/>
    </w:lvl>
    <w:lvl w:ilvl="1">
      <w:lvlJc w:val="left"/>
      <w:lvlText w:val="(%2)"/>
      <w:numFmt w:val="lowerLetter"/>
      <w:start w:val="2"/>
    </w:lvl>
  </w:abstractNum>
  <w:abstractNum w:abstractNumId="38">
    <w:nsid w:val="763CB680"/>
    <w:multiLevelType w:val="hybridMultilevel"/>
    <w:lvl w:ilvl="0">
      <w:lvlJc w:val="left"/>
      <w:lvlText w:val="(%1)"/>
      <w:numFmt w:val="lowerRoman"/>
      <w:start w:val="2"/>
    </w:lvl>
  </w:abstractNum>
  <w:abstractNum w:abstractNumId="39">
    <w:nsid w:val="15B71329"/>
    <w:multiLevelType w:val="hybridMultilevel"/>
    <w:lvl w:ilvl="0">
      <w:lvlJc w:val="left"/>
      <w:lvlText w:val="(%1)"/>
      <w:numFmt w:val="lowerLetter"/>
      <w:start w:val="2"/>
    </w:lvl>
  </w:abstractNum>
  <w:abstractNum w:abstractNumId="40">
    <w:nsid w:val="3DA97044"/>
    <w:multiLevelType w:val="hybridMultilevel"/>
    <w:lvl w:ilvl="0">
      <w:lvlJc w:val="left"/>
      <w:lvlText w:val="(%1)"/>
      <w:numFmt w:val="lowerLetter"/>
      <w:start w:val="2"/>
    </w:lvl>
  </w:abstractNum>
  <w:abstractNum w:abstractNumId="41">
    <w:nsid w:val="1CDCE2DE"/>
    <w:multiLevelType w:val="hybridMultilevel"/>
    <w:lvl w:ilvl="0">
      <w:lvlJc w:val="left"/>
      <w:lvlText w:val="(%1)"/>
      <w:numFmt w:val="lowerLetter"/>
      <w:start w:val="2"/>
    </w:lvl>
  </w:abstractNum>
  <w:abstractNum w:abstractNumId="42">
    <w:nsid w:val="69D3947C"/>
    <w:multiLevelType w:val="hybridMultilevel"/>
    <w:lvl w:ilvl="0">
      <w:lvlJc w:val="left"/>
      <w:lvlText w:val="(%1)"/>
      <w:numFmt w:val="lowerLetter"/>
      <w:start w:val="2"/>
    </w:lvl>
  </w:abstractNum>
  <w:abstractNum w:abstractNumId="43">
    <w:nsid w:val="2539DFA5"/>
    <w:multiLevelType w:val="hybridMultilevel"/>
    <w:lvl w:ilvl="0">
      <w:lvlJc w:val="left"/>
      <w:lvlText w:val="(%1)"/>
      <w:numFmt w:val="lowerLetter"/>
      <w:start w:val="4"/>
    </w:lvl>
  </w:abstractNum>
  <w:abstractNum w:abstractNumId="44">
    <w:nsid w:val="2DB88089"/>
    <w:multiLevelType w:val="hybridMultilevel"/>
    <w:lvl w:ilvl="0">
      <w:lvlJc w:val="left"/>
      <w:lvlText w:val="(%1)"/>
      <w:numFmt w:val="lowerRoman"/>
      <w:start w:val="1"/>
    </w:lvl>
  </w:abstractNum>
  <w:abstractNum w:abstractNumId="45">
    <w:nsid w:val="706B674E"/>
    <w:multiLevelType w:val="hybridMultilevel"/>
    <w:lvl w:ilvl="0">
      <w:lvlJc w:val="left"/>
      <w:lvlText w:val="(%1)"/>
      <w:numFmt w:val="lowerLetter"/>
      <w:start w:val="2"/>
    </w:lvl>
  </w:abstractNum>
  <w:abstractNum w:abstractNumId="46">
    <w:nsid w:val="2C106A57"/>
    <w:multiLevelType w:val="hybridMultilevel"/>
    <w:lvl w:ilvl="0">
      <w:lvlJc w:val="left"/>
      <w:lvlText w:val="(%1)"/>
      <w:numFmt w:val="lowerLetter"/>
      <w:start w:val="3"/>
    </w:lvl>
  </w:abstractNum>
  <w:abstractNum w:abstractNumId="47">
    <w:nsid w:val="684EED59"/>
    <w:multiLevelType w:val="hybridMultilevel"/>
    <w:lvl w:ilvl="0">
      <w:lvlJc w:val="left"/>
      <w:lvlText w:val="(%1)"/>
      <w:numFmt w:val="lowerLetter"/>
      <w:start w:val="6"/>
    </w:lvl>
  </w:abstractNum>
  <w:abstractNum w:abstractNumId="48">
    <w:nsid w:val="545EE5D3"/>
    <w:multiLevelType w:val="hybridMultilevel"/>
    <w:lvl w:ilvl="0">
      <w:lvlJc w:val="left"/>
      <w:lvlText w:val="(%1)"/>
      <w:numFmt w:val="lowerRoman"/>
      <w:start w:val="1"/>
    </w:lvl>
  </w:abstractNum>
  <w:abstractNum w:abstractNumId="49">
    <w:nsid w:val="4A66051"/>
    <w:multiLevelType w:val="hybridMultilevel"/>
    <w:lvl w:ilvl="0">
      <w:lvlJc w:val="left"/>
      <w:lvlText w:val="(%1)"/>
      <w:numFmt w:val="lowerRoman"/>
      <w:start w:val="3"/>
    </w:lvl>
  </w:abstractNum>
  <w:abstractNum w:abstractNumId="50">
    <w:nsid w:val="20F4BDAD"/>
    <w:multiLevelType w:val="hybridMultilevel"/>
    <w:lvl w:ilvl="0">
      <w:lvlJc w:val="left"/>
      <w:lvlText w:val="(%1)"/>
      <w:numFmt w:val="lowerLetter"/>
      <w:start w:val="2"/>
    </w:lvl>
  </w:abstractNum>
  <w:abstractNum w:abstractNumId="51">
    <w:nsid w:val="639DEFAC"/>
    <w:multiLevelType w:val="hybridMultilevel"/>
    <w:lvl w:ilvl="0">
      <w:lvlJc w:val="left"/>
      <w:lvlText w:val="(%1)"/>
      <w:numFmt w:val="lowerLetter"/>
      <w:start w:val="5"/>
    </w:lvl>
  </w:abstractNum>
  <w:abstractNum w:abstractNumId="52">
    <w:nsid w:val="501F9786"/>
    <w:multiLevelType w:val="hybridMultilevel"/>
    <w:lvl w:ilvl="0">
      <w:lvlJc w:val="left"/>
      <w:lvlText w:val="(%1)"/>
      <w:numFmt w:val="lowerRoman"/>
      <w:start w:val="2"/>
    </w:lvl>
  </w:abstractNum>
  <w:abstractNum w:abstractNumId="53">
    <w:nsid w:val="6B057295"/>
    <w:multiLevelType w:val="hybridMultilevel"/>
    <w:lvl w:ilvl="0">
      <w:lvlJc w:val="left"/>
      <w:lvlText w:val="(%1)"/>
      <w:numFmt w:val="lowerLetter"/>
      <w:start w:val="2"/>
    </w:lvl>
  </w:abstractNum>
  <w:abstractNum w:abstractNumId="54">
    <w:nsid w:val="2771AC80"/>
    <w:multiLevelType w:val="hybridMultilevel"/>
    <w:lvl w:ilvl="0">
      <w:lvlJc w:val="left"/>
      <w:lvlText w:val="(%1)"/>
      <w:numFmt w:val="lowerLetter"/>
      <w:start w:val="3"/>
    </w:lvl>
  </w:abstractNum>
  <w:abstractNum w:abstractNumId="55">
    <w:nsid w:val="1C4A08EC"/>
    <w:multiLevelType w:val="hybridMultilevel"/>
    <w:lvl w:ilvl="0">
      <w:lvlJc w:val="left"/>
      <w:lvlText w:val="(%1)"/>
      <w:numFmt w:val="lowerRoman"/>
      <w:start w:val="2"/>
    </w:lvl>
  </w:abstractNum>
  <w:abstractNum w:abstractNumId="56">
    <w:nsid w:val="1958BD17"/>
    <w:multiLevelType w:val="hybridMultilevel"/>
    <w:lvl w:ilvl="0">
      <w:lvlJc w:val="left"/>
      <w:lvlText w:val="(%1)"/>
      <w:numFmt w:val="lowerLetter"/>
      <w:start w:val="7"/>
    </w:lvl>
  </w:abstractNum>
  <w:abstractNum w:abstractNumId="57">
    <w:nsid w:val="4E647FE4"/>
    <w:multiLevelType w:val="hybridMultilevel"/>
    <w:lvl w:ilvl="0">
      <w:lvlJc w:val="left"/>
      <w:lvlText w:val="(%1)"/>
      <w:numFmt w:val="lowerLetter"/>
      <w:start w:val="2"/>
    </w:lvl>
  </w:abstractNum>
  <w:abstractNum w:abstractNumId="58">
    <w:nsid w:val="E0BB885"/>
    <w:multiLevelType w:val="hybridMultilevel"/>
    <w:lvl w:ilvl="0">
      <w:lvlJc w:val="left"/>
      <w:lvlText w:val="(%1)"/>
      <w:numFmt w:val="lowerLetter"/>
      <w:start w:val="4"/>
    </w:lvl>
  </w:abstractNum>
  <w:abstractNum w:abstractNumId="59">
    <w:nsid w:val="565976F1"/>
    <w:multiLevelType w:val="hybridMultilevel"/>
    <w:lvl w:ilvl="0">
      <w:lvlJc w:val="left"/>
      <w:lvlText w:val="(%1)"/>
      <w:numFmt w:val="lowerLetter"/>
      <w:start w:val="2"/>
    </w:lvl>
  </w:abstractNum>
  <w:abstractNum w:abstractNumId="60">
    <w:nsid w:val="64212B8C"/>
    <w:multiLevelType w:val="hybridMultilevel"/>
    <w:lvl w:ilvl="0">
      <w:lvlJc w:val="left"/>
      <w:lvlText w:val="(%1)"/>
      <w:numFmt w:val="lowerLetter"/>
      <w:start w:val="1"/>
    </w:lvl>
  </w:abstractNum>
  <w:abstractNum w:abstractNumId="61">
    <w:nsid w:val="5C17530C"/>
    <w:multiLevelType w:val="hybridMultilevel"/>
    <w:lvl w:ilvl="0">
      <w:lvlJc w:val="left"/>
      <w:lvlText w:val="(%1)"/>
      <w:numFmt w:val="lowerLetter"/>
      <w:start w:val="1"/>
    </w:lvl>
  </w:abstractNum>
  <w:abstractNum w:abstractNumId="62">
    <w:nsid w:val="19A52566"/>
    <w:multiLevelType w:val="hybridMultilevel"/>
    <w:lvl w:ilvl="0">
      <w:lvlJc w:val="left"/>
      <w:lvlText w:val="%1"/>
      <w:numFmt w:val="lowerLetter"/>
      <w:start w:val="1"/>
    </w:lvl>
    <w:lvl w:ilvl="1">
      <w:lvlJc w:val="left"/>
      <w:lvlText w:val="(%2)"/>
      <w:numFmt w:val="lowerLetter"/>
      <w:start w:val="3"/>
    </w:lvl>
  </w:abstractNum>
  <w:abstractNum w:abstractNumId="63">
    <w:nsid w:val="335A1DF1"/>
    <w:multiLevelType w:val="hybridMultilevel"/>
    <w:lvl w:ilvl="0">
      <w:lvlJc w:val="left"/>
      <w:lvlText w:val="(%1)"/>
      <w:numFmt w:val="lowerLetter"/>
      <w:start w:val="61"/>
    </w:lvl>
    <w:lvl w:ilvl="1">
      <w:lvlJc w:val="left"/>
      <w:lvlText w:val="(%2)"/>
      <w:numFmt w:val="lowerLetter"/>
      <w:start w:val="4"/>
    </w:lvl>
  </w:abstractNum>
  <w:abstractNum w:abstractNumId="64">
    <w:nsid w:val="28677B7C"/>
    <w:multiLevelType w:val="hybridMultilevel"/>
    <w:lvl w:ilvl="0">
      <w:lvlJc w:val="left"/>
      <w:lvlText w:val="(%1)"/>
      <w:numFmt w:val="lowerLetter"/>
      <w:start w:val="2"/>
    </w:lvl>
  </w:abstractNum>
  <w:abstractNum w:abstractNumId="65">
    <w:nsid w:val="378D97C0"/>
    <w:multiLevelType w:val="hybridMultilevel"/>
    <w:lvl w:ilvl="0">
      <w:lvlJc w:val="left"/>
      <w:lvlText w:val="(%1)"/>
      <w:numFmt w:val="lowerLetter"/>
      <w:start w:val="2"/>
    </w:lvl>
  </w:abstractNum>
  <w:abstractNum w:abstractNumId="66">
    <w:nsid w:val="1D91467C"/>
    <w:multiLevelType w:val="hybridMultilevel"/>
    <w:lvl w:ilvl="0">
      <w:lvlJc w:val="left"/>
      <w:lvlText w:val="(%1)"/>
      <w:numFmt w:val="lowerLetter"/>
      <w:start w:val="35"/>
    </w:lvl>
    <w:lvl w:ilvl="1">
      <w:lvlJc w:val="left"/>
      <w:lvlText w:val="(%2)"/>
      <w:numFmt w:val="lowerLetter"/>
      <w:start w:val="2"/>
    </w:lvl>
  </w:abstractNum>
  <w:abstractNum w:abstractNumId="67">
    <w:nsid w:val="316032BB"/>
    <w:multiLevelType w:val="hybridMultilevel"/>
    <w:lvl w:ilvl="0">
      <w:lvlJc w:val="left"/>
      <w:lvlText w:val="(%1)"/>
      <w:numFmt w:val="lowerLetter"/>
      <w:start w:val="3"/>
    </w:lvl>
  </w:abstractNum>
  <w:abstractNum w:abstractNumId="68">
    <w:nsid w:val="44344C22"/>
    <w:multiLevelType w:val="hybridMultilevel"/>
    <w:lvl w:ilvl="0">
      <w:lvlJc w:val="left"/>
      <w:lvlText w:val="(%1)"/>
      <w:numFmt w:val="lowerLetter"/>
      <w:start w:val="2"/>
    </w:lvl>
  </w:abstractNum>
  <w:abstractNum w:abstractNumId="69">
    <w:nsid w:val="13CDFCFC"/>
    <w:multiLevelType w:val="hybridMultilevel"/>
    <w:lvl w:ilvl="0">
      <w:lvlJc w:val="left"/>
      <w:lvlText w:val="(%1)"/>
      <w:numFmt w:val="lowerLetter"/>
      <w:start w:val="2"/>
    </w:lvl>
  </w:abstractNum>
  <w:abstractNum w:abstractNumId="70">
    <w:nsid w:val="471745E4"/>
    <w:multiLevelType w:val="hybridMultilevel"/>
    <w:lvl w:ilvl="0">
      <w:lvlJc w:val="left"/>
      <w:lvlText w:val="(%1)"/>
      <w:numFmt w:val="lowerLetter"/>
      <w:start w:val="1"/>
    </w:lvl>
  </w:abstractNum>
  <w:abstractNum w:abstractNumId="71">
    <w:nsid w:val="1DDBC66"/>
    <w:multiLevelType w:val="hybridMultilevel"/>
    <w:lvl w:ilvl="0">
      <w:lvlJc w:val="left"/>
      <w:lvlText w:val="(%1)"/>
      <w:numFmt w:val="lowerLetter"/>
      <w:start w:val="2"/>
    </w:lvl>
  </w:abstractNum>
  <w:abstractNum w:abstractNumId="72">
    <w:nsid w:val="30AADFDA"/>
    <w:multiLevelType w:val="hybridMultilevel"/>
    <w:lvl w:ilvl="0">
      <w:lvlJc w:val="left"/>
      <w:lvlText w:val="(%1)"/>
      <w:numFmt w:val="lowerLetter"/>
      <w:start w:val="1"/>
    </w:lvl>
  </w:abstractNum>
  <w:abstractNum w:abstractNumId="73">
    <w:nsid w:val="30EADA61"/>
    <w:multiLevelType w:val="hybridMultilevel"/>
    <w:lvl w:ilvl="0">
      <w:lvlJc w:val="left"/>
      <w:lvlText w:val="(%1)"/>
      <w:numFmt w:val="lowerLetter"/>
      <w:start w:val="35"/>
    </w:lvl>
    <w:lvl w:ilvl="1">
      <w:lvlJc w:val="left"/>
      <w:lvlText w:val="(%2)"/>
      <w:numFmt w:val="lowerLetter"/>
      <w:start w:val="2"/>
    </w:lvl>
  </w:abstractNum>
  <w:abstractNum w:abstractNumId="74">
    <w:nsid w:val="27179C0B"/>
    <w:multiLevelType w:val="hybridMultilevel"/>
    <w:lvl w:ilvl="0">
      <w:lvlJc w:val="left"/>
      <w:lvlText w:val="(%1)"/>
      <w:numFmt w:val="lowerLetter"/>
      <w:start w:val="6"/>
    </w:lvl>
  </w:abstractNum>
  <w:abstractNum w:abstractNumId="75">
    <w:nsid w:val="5E636063"/>
    <w:multiLevelType w:val="hybridMultilevel"/>
    <w:lvl w:ilvl="0">
      <w:lvlJc w:val="left"/>
      <w:lvlText w:val="(%1)"/>
      <w:numFmt w:val="lowerRoman"/>
      <w:start w:val="1"/>
    </w:lvl>
  </w:abstractNum>
  <w:abstractNum w:abstractNumId="76">
    <w:nsid w:val="215641AF"/>
    <w:multiLevelType w:val="hybridMultilevel"/>
    <w:lvl w:ilvl="0">
      <w:lvlJc w:val="left"/>
      <w:lvlText w:val="(%1)"/>
      <w:numFmt w:val="lowerLetter"/>
      <w:start w:val="1"/>
    </w:lvl>
  </w:abstractNum>
  <w:abstractNum w:abstractNumId="77">
    <w:nsid w:val="53280662"/>
    <w:multiLevelType w:val="hybridMultilevel"/>
    <w:lvl w:ilvl="0">
      <w:lvlJc w:val="left"/>
      <w:lvlText w:val="(%1)"/>
      <w:numFmt w:val="lowerLetter"/>
      <w:start w:val="3"/>
    </w:lvl>
  </w:abstractNum>
  <w:abstractNum w:abstractNumId="78">
    <w:nsid w:val="46B24DBC"/>
    <w:multiLevelType w:val="hybridMultilevel"/>
    <w:lvl w:ilvl="0">
      <w:lvlJc w:val="left"/>
      <w:lvlText w:val="(%1)"/>
      <w:numFmt w:val="lowerLetter"/>
      <w:start w:val="1"/>
    </w:lvl>
  </w:abstractNum>
  <w:abstractNum w:abstractNumId="79">
    <w:nsid w:val="75B52783"/>
    <w:multiLevelType w:val="hybridMultilevel"/>
    <w:lvl w:ilvl="0">
      <w:lvlJc w:val="left"/>
      <w:lvlText w:val="(%1)"/>
      <w:numFmt w:val="lowerLetter"/>
      <w:start w:val="2"/>
    </w:lvl>
  </w:abstractNum>
  <w:abstractNum w:abstractNumId="80">
    <w:nsid w:val="57CE66B4"/>
    <w:multiLevelType w:val="hybridMultilevel"/>
    <w:lvl w:ilvl="0">
      <w:lvlJc w:val="left"/>
      <w:lvlText w:val="%1"/>
      <w:numFmt w:val="lowerLetter"/>
      <w:start w:val="1"/>
    </w:lvl>
    <w:lvl w:ilvl="1">
      <w:lvlJc w:val="left"/>
      <w:lvlText w:val="(%2)"/>
      <w:numFmt w:val="lowerLetter"/>
      <w:start w:val="2"/>
    </w:lvl>
  </w:abstractNum>
  <w:abstractNum w:abstractNumId="81">
    <w:nsid w:val="67A70B69"/>
    <w:multiLevelType w:val="hybridMultilevel"/>
    <w:lvl w:ilvl="0">
      <w:lvlJc w:val="left"/>
      <w:lvlText w:val="(%1)"/>
      <w:numFmt w:val="lowerLetter"/>
      <w:start w:val="61"/>
    </w:lvl>
    <w:lvl w:ilvl="1">
      <w:lvlJc w:val="left"/>
      <w:lvlText w:val="%2"/>
      <w:numFmt w:val="lowerLetter"/>
      <w:start w:val="1"/>
    </w:lvl>
  </w:abstractNum>
  <w:abstractNum w:abstractNumId="82">
    <w:nsid w:val="5953172F"/>
    <w:multiLevelType w:val="hybridMultilevel"/>
    <w:lvl w:ilvl="0">
      <w:lvlJc w:val="left"/>
      <w:lvlText w:val="(%1)"/>
      <w:numFmt w:val="lowerLetter"/>
      <w:start w:val="2"/>
    </w:lvl>
  </w:abstractNum>
  <w:abstractNum w:abstractNumId="83">
    <w:nsid w:val="27EDFE3A"/>
    <w:multiLevelType w:val="hybridMultilevel"/>
    <w:lvl w:ilvl="0">
      <w:lvlJc w:val="left"/>
      <w:lvlText w:val="(%1)"/>
      <w:numFmt w:val="lowerLetter"/>
      <w:start w:val="1"/>
    </w:lvl>
  </w:abstractNum>
  <w:abstractNum w:abstractNumId="84">
    <w:nsid w:val="52AC7DFF"/>
    <w:multiLevelType w:val="hybridMultilevel"/>
    <w:lvl w:ilvl="0">
      <w:lvlJc w:val="left"/>
      <w:lvlText w:val="%1"/>
      <w:numFmt w:val="lowerLetter"/>
      <w:start w:val="1"/>
    </w:lvl>
    <w:lvl w:ilvl="1">
      <w:lvlJc w:val="left"/>
      <w:lvlText w:val="(%2)"/>
      <w:numFmt w:val="lowerLetter"/>
      <w:start w:val="2"/>
    </w:lvl>
  </w:abstractNum>
  <w:abstractNum w:abstractNumId="85">
    <w:nsid w:val="C4C3AF"/>
    <w:multiLevelType w:val="hybridMultilevel"/>
    <w:lvl w:ilvl="0">
      <w:lvlJc w:val="left"/>
      <w:lvlText w:val="(%1)"/>
      <w:numFmt w:val="lowerLetter"/>
      <w:start w:val="35"/>
    </w:lvl>
    <w:lvl w:ilvl="1">
      <w:lvlJc w:val="left"/>
      <w:lvlText w:val="%2"/>
      <w:numFmt w:val="lowerLetter"/>
      <w:start w:val="1"/>
    </w:lvl>
  </w:abstractNum>
  <w:abstractNum w:abstractNumId="86">
    <w:nsid w:val="44380727"/>
    <w:multiLevelType w:val="hybridMultilevel"/>
    <w:lvl w:ilvl="0">
      <w:lvlJc w:val="left"/>
      <w:lvlText w:val="(%1)"/>
      <w:numFmt w:val="lowerLetter"/>
      <w:start w:val="7"/>
    </w:lvl>
  </w:abstractNum>
  <w:abstractNum w:abstractNumId="87">
    <w:nsid w:val="6C053B16"/>
    <w:multiLevelType w:val="hybridMultilevel"/>
    <w:lvl w:ilvl="0">
      <w:lvlJc w:val="left"/>
      <w:lvlText w:val="%1"/>
      <w:numFmt w:val="lowerLetter"/>
      <w:start w:val="1"/>
    </w:lvl>
    <w:lvl w:ilvl="1">
      <w:lvlJc w:val="left"/>
      <w:lvlText w:val="(%2)"/>
      <w:numFmt w:val="lowerLetter"/>
      <w:start w:val="1"/>
    </w:lvl>
  </w:abstractNum>
  <w:abstractNum w:abstractNumId="88">
    <w:nsid w:val="4F294393"/>
    <w:multiLevelType w:val="hybridMultilevel"/>
    <w:lvl w:ilvl="0">
      <w:lvlJc w:val="left"/>
      <w:lvlText w:val="(%1)"/>
      <w:numFmt w:val="lowerLetter"/>
      <w:start w:val="2"/>
    </w:lvl>
    <w:lvl w:ilvl="1">
      <w:lvlJc w:val="left"/>
      <w:lvlText w:val="%2"/>
      <w:numFmt w:val="lowerLetter"/>
      <w:start w:val="1"/>
    </w:lvl>
  </w:abstractNum>
  <w:abstractNum w:abstractNumId="89">
    <w:nsid w:val="5243BFAC"/>
    <w:multiLevelType w:val="hybridMultilevel"/>
    <w:lvl w:ilvl="0">
      <w:lvlJc w:val="left"/>
      <w:lvlText w:val="(%1)"/>
      <w:numFmt w:val="lowerLetter"/>
      <w:start w:val="61"/>
    </w:lvl>
    <w:lvl w:ilvl="1">
      <w:lvlJc w:val="left"/>
      <w:lvlText w:val="(%2)"/>
      <w:numFmt w:val="lowerLetter"/>
      <w:start w:val="5"/>
    </w:lvl>
  </w:abstractNum>
  <w:abstractNum w:abstractNumId="90">
    <w:nsid w:val="425EB207"/>
    <w:multiLevelType w:val="hybridMultilevel"/>
    <w:lvl w:ilvl="0">
      <w:lvlJc w:val="left"/>
      <w:lvlText w:val="(%1)"/>
      <w:numFmt w:val="lowerLetter"/>
      <w:start w:val="1"/>
    </w:lvl>
  </w:abstractNum>
  <w:abstractNum w:abstractNumId="91">
    <w:nsid w:val="334A6F1F"/>
    <w:multiLevelType w:val="hybridMultilevel"/>
    <w:lvl w:ilvl="0">
      <w:lvlJc w:val="left"/>
      <w:lvlText w:val="(%1)"/>
      <w:numFmt w:val="upperLetter"/>
      <w:start w:val="1"/>
    </w:lvl>
    <w:lvl w:ilvl="1">
      <w:lvlJc w:val="left"/>
      <w:lvlText w:val="(%2)"/>
      <w:numFmt w:val="lowerLetter"/>
      <w:start w:val="2"/>
    </w:lvl>
  </w:abstractNum>
  <w:abstractNum w:abstractNumId="92">
    <w:nsid w:val="2E5B12B8"/>
    <w:multiLevelType w:val="hybridMultilevel"/>
    <w:lvl w:ilvl="0">
      <w:lvlJc w:val="left"/>
      <w:lvlText w:val="(%1)"/>
      <w:numFmt w:val="lowerLetter"/>
      <w:start w:val="3"/>
    </w:lvl>
  </w:abstractNum>
  <w:abstractNum w:abstractNumId="93">
    <w:nsid w:val="5C03D76D"/>
    <w:multiLevelType w:val="hybridMultilevel"/>
    <w:lvl w:ilvl="0">
      <w:lvlJc w:val="left"/>
      <w:lvlText w:val="(%1)"/>
      <w:numFmt w:val="lowerLetter"/>
      <w:start w:val="1"/>
    </w:lvl>
  </w:abstractNum>
  <w:abstractNum w:abstractNumId="94">
    <w:nsid w:val="66A48D11"/>
    <w:multiLevelType w:val="hybridMultilevel"/>
    <w:lvl w:ilvl="0">
      <w:lvlJc w:val="left"/>
      <w:lvlText w:val="%1"/>
      <w:numFmt w:val="lowerLetter"/>
      <w:start w:val="1"/>
    </w:lvl>
    <w:lvl w:ilvl="1">
      <w:lvlJc w:val="left"/>
      <w:lvlText w:val="(%2)"/>
      <w:numFmt w:val="lowerLetter"/>
      <w:start w:val="5"/>
    </w:lvl>
  </w:abstractNum>
  <w:abstractNum w:abstractNumId="95">
    <w:nsid w:val="56C28E34"/>
    <w:multiLevelType w:val="hybridMultilevel"/>
    <w:lvl w:ilvl="0">
      <w:lvlJc w:val="left"/>
      <w:lvlText w:val="(%1)"/>
      <w:numFmt w:val="lowerLetter"/>
      <w:start w:val="35"/>
    </w:lvl>
    <w:lvl w:ilvl="1">
      <w:lvlJc w:val="left"/>
      <w:lvlText w:val="(%2)"/>
      <w:numFmt w:val="lowerLetter"/>
      <w:start w:val="9"/>
    </w:lvl>
  </w:abstractNum>
  <w:abstractNum w:abstractNumId="96">
    <w:nsid w:val="13916F2D"/>
    <w:multiLevelType w:val="hybridMultilevel"/>
    <w:lvl w:ilvl="0">
      <w:lvlJc w:val="left"/>
      <w:lvlText w:val="(%1)"/>
      <w:numFmt w:val="lowerLetter"/>
      <w:start w:val="10"/>
    </w:lvl>
  </w:abstractNum>
  <w:abstractNum w:abstractNumId="97">
    <w:nsid w:val="435D38D"/>
    <w:multiLevelType w:val="hybridMultilevel"/>
    <w:lvl w:ilvl="0">
      <w:lvlJc w:val="left"/>
      <w:lvlText w:val="(%1)"/>
      <w:numFmt w:val="lowerLetter"/>
      <w:start w:val="26"/>
    </w:lvl>
  </w:abstractNum>
  <w:abstractNum w:abstractNumId="98">
    <w:nsid w:val="822C0EF"/>
    <w:multiLevelType w:val="hybridMultilevel"/>
    <w:lvl w:ilvl="0">
      <w:lvlJc w:val="left"/>
      <w:lvlText w:val="(%1)"/>
      <w:numFmt w:val="lowerLetter"/>
      <w:start w:val="1"/>
    </w:lvl>
  </w:abstractNum>
  <w:abstractNum w:abstractNumId="99">
    <w:nsid w:val="57C5BB4F"/>
    <w:multiLevelType w:val="hybridMultilevel"/>
    <w:lvl w:ilvl="0">
      <w:lvlJc w:val="left"/>
      <w:lvlText w:val="(%1)"/>
      <w:numFmt w:val="upperLetter"/>
      <w:start w:val="3"/>
    </w:lvl>
  </w:abstractNum>
  <w:abstractNum w:abstractNumId="100">
    <w:nsid w:val="1803D089"/>
    <w:multiLevelType w:val="hybridMultilevel"/>
    <w:lvl w:ilvl="0">
      <w:lvlJc w:val="left"/>
      <w:lvlText w:val="(%1)"/>
      <w:numFmt w:val="lowerRoman"/>
      <w:start w:val="1"/>
    </w:lvl>
  </w:abstractNum>
  <w:abstractNum w:abstractNumId="101">
    <w:nsid w:val="4F3A06D4"/>
    <w:multiLevelType w:val="hybridMultilevel"/>
    <w:lvl w:ilvl="0">
      <w:lvlJc w:val="left"/>
      <w:lvlText w:val="(%1)"/>
      <w:numFmt w:val="lowerLetter"/>
      <w:start w:val="2"/>
    </w:lvl>
  </w:abstractNum>
  <w:abstractNum w:abstractNumId="102">
    <w:nsid w:val="59A377B6"/>
    <w:multiLevelType w:val="hybridMultilevel"/>
    <w:lvl w:ilvl="0">
      <w:lvlJc w:val="left"/>
      <w:lvlText w:val="(%1)"/>
      <w:numFmt w:val="lowerLetter"/>
      <w:start w:val="3"/>
    </w:lvl>
  </w:abstractNum>
  <w:abstractNum w:abstractNumId="103">
    <w:nsid w:val="48AEB063"/>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2"/>
    </w:lvl>
  </w:abstractNum>
  <w:abstractNum w:abstractNumId="104">
    <w:nsid w:val="24E135"/>
    <w:multiLevelType w:val="hybridMultilevel"/>
    <w:lvl w:ilvl="0">
      <w:lvlJc w:val="left"/>
      <w:lvlText w:val="(%1)"/>
      <w:numFmt w:val="lowerRoman"/>
      <w:start w:val="7"/>
    </w:lvl>
    <w:lvl w:ilvl="1">
      <w:lvlJc w:val="left"/>
      <w:lvlText w:val="(%2)"/>
      <w:numFmt w:val="lowerLetter"/>
      <w:start w:val="8"/>
    </w:lvl>
    <w:lvl w:ilvl="2">
      <w:lvlJc w:val="left"/>
      <w:lvlText w:val="(%3)"/>
      <w:numFmt w:val="lowerLetter"/>
      <w:start w:val="3"/>
    </w:lvl>
  </w:abstractNum>
  <w:abstractNum w:abstractNumId="105">
    <w:nsid w:val="BB13C1"/>
    <w:multiLevelType w:val="hybridMultilevel"/>
    <w:lvl w:ilvl="0">
      <w:lvlJc w:val="left"/>
      <w:lvlText w:val="(%1)"/>
      <w:numFmt w:val="lowerRoman"/>
      <w:start w:val="2"/>
    </w:lvl>
  </w:abstractNum>
  <w:abstractNum w:abstractNumId="106">
    <w:nsid w:val="271210C7"/>
    <w:multiLevelType w:val="hybridMultilevel"/>
    <w:lvl w:ilvl="0">
      <w:lvlJc w:val="left"/>
      <w:lvlText w:val="(%1)"/>
      <w:numFmt w:val="lowerLetter"/>
      <w:start w:val="4"/>
    </w:lvl>
  </w:abstractNum>
  <w:abstractNum w:abstractNumId="107">
    <w:nsid w:val="217B22E4"/>
    <w:multiLevelType w:val="hybridMultilevel"/>
    <w:lvl w:ilvl="0">
      <w:lvlJc w:val="left"/>
      <w:lvlText w:val="(%1)"/>
      <w:numFmt w:val="lowerLetter"/>
      <w:start w:val="5"/>
    </w:lvl>
  </w:abstractNum>
  <w:abstractNum w:abstractNumId="108">
    <w:nsid w:val="53E31A24"/>
    <w:multiLevelType w:val="hybridMultilevel"/>
    <w:lvl w:ilvl="0">
      <w:lvlJc w:val="left"/>
      <w:lvlText w:val="(%1)"/>
      <w:numFmt w:val="lowerRoman"/>
      <w:start w:val="2"/>
    </w:lvl>
  </w:abstractNum>
  <w:abstractNum w:abstractNumId="109">
    <w:nsid w:val="6DC45E83"/>
    <w:multiLevelType w:val="hybridMultilevel"/>
    <w:lvl w:ilvl="0">
      <w:lvlJc w:val="left"/>
      <w:lvlText w:val="%1"/>
      <w:numFmt w:val="upperLetter"/>
      <w:start w:val="1"/>
    </w:lvl>
    <w:lvl w:ilvl="1">
      <w:lvlJc w:val="left"/>
      <w:lvlText w:val="(%2)"/>
      <w:numFmt w:val="lowerLetter"/>
      <w:start w:val="2"/>
    </w:lvl>
  </w:abstractNum>
  <w:abstractNum w:abstractNumId="110">
    <w:nsid w:val="17304A67"/>
    <w:multiLevelType w:val="hybridMultilevel"/>
    <w:lvl w:ilvl="0">
      <w:lvlJc w:val="left"/>
      <w:lvlText w:val="(%1)"/>
      <w:numFmt w:val="upperLetter"/>
      <w:start w:val="1"/>
    </w:lvl>
    <w:lvl w:ilvl="1">
      <w:lvlJc w:val="left"/>
      <w:lvlText w:val="%2"/>
      <w:numFmt w:val="lowerLetter"/>
      <w:start w:val="1"/>
    </w:lvl>
  </w:abstractNum>
  <w:abstractNum w:abstractNumId="111">
    <w:nsid w:val="2BB180D8"/>
    <w:multiLevelType w:val="hybridMultilevel"/>
    <w:lvl w:ilvl="0">
      <w:lvlJc w:val="left"/>
      <w:lvlText w:val="(%1)"/>
      <w:numFmt w:val="lowerLetter"/>
      <w:start w:val="3"/>
    </w:lvl>
  </w:abstractNum>
  <w:abstractNum w:abstractNumId="112">
    <w:nsid w:val="556B69ED"/>
    <w:multiLevelType w:val="hybridMultilevel"/>
    <w:lvl w:ilvl="0">
      <w:lvlJc w:val="left"/>
      <w:lvlText w:val="(%1)"/>
      <w:numFmt w:val="lowerLetter"/>
      <w:start w:val="35"/>
    </w:lvl>
    <w:lvl w:ilvl="1">
      <w:lvlJc w:val="left"/>
      <w:lvlText w:val="%2"/>
      <w:numFmt w:val="lowerLetter"/>
      <w:start w:val="1"/>
    </w:lvl>
    <w:lvl w:ilvl="2">
      <w:lvlJc w:val="left"/>
      <w:lvlText w:val="(%3)"/>
      <w:numFmt w:val="lowerLetter"/>
      <w:start w:val="2"/>
    </w:lvl>
    <w:lvl w:ilvl="3">
      <w:lvlJc w:val="left"/>
      <w:lvlText w:val="(%4)"/>
      <w:numFmt w:val="upperLetter"/>
      <w:start w:val="1"/>
    </w:lvl>
  </w:abstractNum>
  <w:abstractNum w:abstractNumId="113">
    <w:nsid w:val="70836196"/>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5"/>
    </w:lvl>
    <w:lvl w:ilvl="3">
      <w:lvlJc w:val="left"/>
      <w:lvlText w:val="(%4)"/>
      <w:numFmt w:val="upperLetter"/>
      <w:start w:val="2"/>
    </w:lvl>
  </w:abstractNum>
  <w:abstractNum w:abstractNumId="114">
    <w:nsid w:val="539F7F12"/>
    <w:multiLevelType w:val="hybridMultilevel"/>
    <w:lvl w:ilvl="0">
      <w:lvlJc w:val="left"/>
      <w:lvlText w:val="%1"/>
      <w:numFmt w:val="lowerLetter"/>
      <w:start w:val="1"/>
    </w:lvl>
    <w:lvl w:ilvl="1">
      <w:lvlJc w:val="left"/>
      <w:lvlText w:val="(%2)"/>
      <w:numFmt w:val="lowerLetter"/>
      <w:start w:val="35"/>
    </w:lvl>
    <w:lvl w:ilvl="2">
      <w:lvlJc w:val="left"/>
      <w:lvlText w:val="%3"/>
      <w:numFmt w:val="lowerLetter"/>
      <w:start w:val="1"/>
    </w:lvl>
    <w:lvl w:ilvl="3">
      <w:lvlJc w:val="left"/>
      <w:lvlText w:val="(%4)"/>
      <w:numFmt w:val="upperLetter"/>
      <w:start w:val="1"/>
    </w:lvl>
  </w:abstractNum>
  <w:abstractNum w:abstractNumId="115">
    <w:nsid w:val="2817E7EC"/>
    <w:multiLevelType w:val="hybridMultilevel"/>
    <w:lvl w:ilvl="0">
      <w:lvlJc w:val="left"/>
      <w:lvlText w:val="%1"/>
      <w:numFmt w:val="lowerRoman"/>
      <w:start w:val="1"/>
    </w:lvl>
    <w:lvl w:ilvl="1">
      <w:lvlJc w:val="left"/>
      <w:lvlText w:val="(%2)"/>
      <w:numFmt w:val="upperLetter"/>
      <w:start w:val="2"/>
    </w:lvl>
  </w:abstractNum>
  <w:abstractNum w:abstractNumId="116">
    <w:nsid w:val="71482545"/>
    <w:multiLevelType w:val="hybridMultilevel"/>
    <w:lvl w:ilvl="0">
      <w:lvlJc w:val="left"/>
      <w:lvlText w:val="(%1)"/>
      <w:numFmt w:val="lowerRoman"/>
      <w:start w:val="3"/>
    </w:lvl>
    <w:lvl w:ilvl="1">
      <w:lvlJc w:val="left"/>
      <w:lvlText w:val="%2"/>
      <w:numFmt w:val="upperLetter"/>
      <w:start w:val="1"/>
    </w:lvl>
  </w:abstractNum>
  <w:abstractNum w:abstractNumId="117">
    <w:nsid w:val="17D78639"/>
    <w:multiLevelType w:val="hybridMultilevel"/>
    <w:lvl w:ilvl="0">
      <w:lvlJc w:val="left"/>
      <w:lvlText w:val="(%1)"/>
      <w:numFmt w:val="lowerRoman"/>
      <w:start w:val="4"/>
    </w:lvl>
  </w:abstractNum>
  <w:abstractNum w:abstractNumId="118">
    <w:nsid w:val="141D2302"/>
    <w:multiLevelType w:val="hybridMultilevel"/>
    <w:lvl w:ilvl="0">
      <w:lvlJc w:val="left"/>
      <w:lvlText w:val="(%1)"/>
      <w:numFmt w:val="lowerLetter"/>
      <w:start w:val="3"/>
    </w:lvl>
    <w:lvl w:ilvl="1">
      <w:lvlJc w:val="left"/>
      <w:lvlText w:val="%2"/>
      <w:numFmt w:val="lowerLetter"/>
      <w:start w:val="1"/>
    </w:lvl>
  </w:abstractNum>
  <w:abstractNum w:abstractNumId="119">
    <w:nsid w:val="407168D8"/>
    <w:multiLevelType w:val="hybridMultilevel"/>
    <w:lvl w:ilvl="0">
      <w:lvlJc w:val="left"/>
      <w:lvlText w:val="(%1)"/>
      <w:numFmt w:val="lowerLetter"/>
      <w:start w:val="35"/>
    </w:lvl>
    <w:lvl w:ilvl="1">
      <w:lvlJc w:val="left"/>
      <w:lvlText w:val="%2"/>
      <w:numFmt w:val="lowerLetter"/>
      <w:start w:val="1"/>
    </w:lvl>
  </w:abstractNum>
  <w:abstractNum w:abstractNumId="120">
    <w:nsid w:val="6A1B45E5"/>
    <w:multiLevelType w:val="hybridMultilevel"/>
    <w:lvl w:ilvl="0">
      <w:lvlJc w:val="left"/>
      <w:lvlText w:val="(%1)"/>
      <w:numFmt w:val="lowerLetter"/>
      <w:start w:val="4"/>
    </w:lvl>
  </w:abstractNum>
  <w:abstractNum w:abstractNumId="121">
    <w:nsid w:val="567BD50A"/>
    <w:multiLevelType w:val="hybridMultilevel"/>
    <w:lvl w:ilvl="0">
      <w:lvlJc w:val="left"/>
      <w:lvlText w:val="(%1)"/>
      <w:numFmt w:val="lowerLetter"/>
      <w:start w:val="2"/>
    </w:lvl>
  </w:abstractNum>
  <w:abstractNum w:abstractNumId="122">
    <w:nsid w:val="73BBD7F8"/>
    <w:multiLevelType w:val="hybridMultilevel"/>
    <w:lvl w:ilvl="0">
      <w:lvlJc w:val="left"/>
      <w:lvlText w:val="(%1)"/>
      <w:numFmt w:val="lowerLetter"/>
      <w:start w:val="35"/>
    </w:lvl>
    <w:lvl w:ilvl="1">
      <w:lvlJc w:val="left"/>
      <w:lvlText w:val="(%2)"/>
      <w:numFmt w:val="lowerLetter"/>
      <w:start w:val="2"/>
    </w:lvl>
  </w:abstractNum>
  <w:abstractNum w:abstractNumId="123">
    <w:nsid w:val="1876589D"/>
    <w:multiLevelType w:val="hybridMultilevel"/>
    <w:lvl w:ilvl="0">
      <w:lvlJc w:val="left"/>
      <w:lvlText w:val="(%1)"/>
      <w:numFmt w:val="lowerLetter"/>
      <w:start w:val="4"/>
    </w:lvl>
  </w:abstractNum>
  <w:abstractNum w:abstractNumId="124">
    <w:nsid w:val="327FAC77"/>
    <w:multiLevelType w:val="hybridMultilevel"/>
    <w:lvl w:ilvl="0">
      <w:lvlJc w:val="left"/>
      <w:lvlText w:val="(%1)"/>
      <w:numFmt w:val="lowerLetter"/>
      <w:start w:val="3"/>
    </w:lvl>
  </w:abstractNum>
  <w:abstractNum w:abstractNumId="125">
    <w:nsid w:val="5A606509"/>
    <w:multiLevelType w:val="hybridMultilevel"/>
    <w:lvl w:ilvl="0">
      <w:lvlJc w:val="left"/>
      <w:lvlText w:val="(%1)"/>
      <w:numFmt w:val="lowerLetter"/>
      <w:start w:val="7"/>
    </w:lvl>
  </w:abstractNum>
  <w:abstractNum w:abstractNumId="126">
    <w:nsid w:val="6F38E6D1"/>
    <w:multiLevelType w:val="hybridMultilevel"/>
    <w:lvl w:ilvl="0">
      <w:lvlJc w:val="left"/>
      <w:lvlText w:val="(%1)"/>
      <w:numFmt w:val="lowerLetter"/>
      <w:start w:val="35"/>
    </w:lvl>
  </w:abstractNum>
  <w:abstractNum w:abstractNumId="127">
    <w:nsid w:val="46111BA5"/>
    <w:multiLevelType w:val="hybridMultilevel"/>
    <w:lvl w:ilvl="0">
      <w:lvlJc w:val="left"/>
      <w:lvlText w:val="(%1)"/>
      <w:numFmt w:val="lowerLetter"/>
      <w:start w:val="9"/>
    </w:lvl>
    <w:lvl w:ilvl="1">
      <w:lvlJc w:val="left"/>
      <w:lvlText w:val="(%2)"/>
      <w:numFmt w:val="lowerLetter"/>
      <w:start w:val="2"/>
    </w:lvl>
  </w:abstractNum>
  <w:abstractNum w:abstractNumId="128">
    <w:nsid w:val="5E963896"/>
    <w:multiLevelType w:val="hybridMultilevel"/>
    <w:lvl w:ilvl="0">
      <w:lvlJc w:val="left"/>
      <w:lvlText w:val="(%1)"/>
      <w:numFmt w:val="lowerLetter"/>
      <w:start w:val="2"/>
    </w:lvl>
  </w:abstractNum>
  <w:abstractNum w:abstractNumId="129">
    <w:nsid w:val="775BA7C1"/>
    <w:multiLevelType w:val="hybridMultilevel"/>
    <w:lvl w:ilvl="0">
      <w:lvlJc w:val="left"/>
      <w:lvlText w:val="(%1)"/>
      <w:numFmt w:val="lowerLetter"/>
      <w:start w:val="1"/>
    </w:lvl>
  </w:abstractNum>
  <w:abstractNum w:abstractNumId="130">
    <w:nsid w:val="1DD6D6F4"/>
    <w:multiLevelType w:val="hybridMultilevel"/>
    <w:lvl w:ilvl="0">
      <w:lvlJc w:val="left"/>
      <w:lvlText w:val="(%1)"/>
      <w:numFmt w:val="lowerRoman"/>
      <w:start w:val="1"/>
    </w:lvl>
  </w:abstractNum>
  <w:abstractNum w:abstractNumId="131">
    <w:nsid w:val="769A091F"/>
    <w:multiLevelType w:val="hybridMultilevel"/>
    <w:lvl w:ilvl="0">
      <w:lvlJc w:val="left"/>
      <w:lvlText w:val="%1"/>
      <w:numFmt w:val="lowerLetter"/>
      <w:start w:val="1"/>
    </w:lvl>
    <w:lvl w:ilvl="1">
      <w:lvlJc w:val="left"/>
      <w:lvlText w:val="(%2)"/>
      <w:numFmt w:val="lowerLetter"/>
      <w:start w:val="1"/>
    </w:lvl>
  </w:abstractNum>
  <w:abstractNum w:abstractNumId="132">
    <w:nsid w:val="4695AE95"/>
    <w:multiLevelType w:val="hybridMultilevel"/>
    <w:lvl w:ilvl="0">
      <w:lvlJc w:val="left"/>
      <w:lvlText w:val="(%1)"/>
      <w:numFmt w:val="lowerLetter"/>
      <w:start w:val="2"/>
    </w:lvl>
    <w:lvl w:ilvl="1">
      <w:lvlJc w:val="left"/>
      <w:lvlText w:val="%2"/>
      <w:numFmt w:val="lowerLetter"/>
      <w:start w:val="1"/>
    </w:lvl>
  </w:abstractNum>
  <w:abstractNum w:abstractNumId="133">
    <w:nsid w:val="777A4EAA"/>
    <w:multiLevelType w:val="hybridMultilevel"/>
    <w:lvl w:ilvl="0">
      <w:lvlJc w:val="left"/>
      <w:lvlText w:val="(%1)"/>
      <w:numFmt w:val="lowerLetter"/>
      <w:start w:val="4"/>
    </w:lvl>
  </w:abstractNum>
  <w:abstractNum w:abstractNumId="134">
    <w:nsid w:val="3F48B982"/>
    <w:multiLevelType w:val="hybridMultilevel"/>
    <w:lvl w:ilvl="0">
      <w:lvlJc w:val="left"/>
      <w:lvlText w:val="%1"/>
      <w:numFmt w:val="lowerRoman"/>
      <w:start w:val="1"/>
    </w:lvl>
    <w:lvl w:ilvl="1">
      <w:lvlJc w:val="left"/>
      <w:lvlText w:val="(%2)"/>
      <w:numFmt w:val="lowerLetter"/>
      <w:start w:val="1"/>
    </w:lvl>
  </w:abstractNum>
  <w:abstractNum w:abstractNumId="135">
    <w:nsid w:val="46BA8FCA"/>
    <w:multiLevelType w:val="hybridMultilevel"/>
    <w:lvl w:ilvl="0">
      <w:lvlJc w:val="left"/>
      <w:lvlText w:val="(%1)"/>
      <w:numFmt w:val="lowerRoman"/>
      <w:start w:val="1"/>
    </w:lvl>
    <w:lvl w:ilvl="1">
      <w:lvlJc w:val="left"/>
      <w:lvlText w:val="%2"/>
      <w:numFmt w:val="lowerLetter"/>
      <w:start w:val="1"/>
    </w:lvl>
  </w:abstractNum>
  <w:abstractNum w:abstractNumId="136">
    <w:nsid w:val="7835626C"/>
    <w:multiLevelType w:val="hybridMultilevel"/>
    <w:lvl w:ilvl="0">
      <w:lvlJc w:val="left"/>
      <w:lvlText w:val="%1"/>
      <w:numFmt w:val="lowerRoman"/>
      <w:start w:val="1"/>
    </w:lvl>
    <w:lvl w:ilvl="1">
      <w:lvlJc w:val="left"/>
      <w:lvlText w:val="(%2)"/>
      <w:numFmt w:val="lowerLetter"/>
      <w:start w:val="2"/>
    </w:lvl>
  </w:abstractNum>
  <w:abstractNum w:abstractNumId="137">
    <w:nsid w:val="665ACA49"/>
    <w:multiLevelType w:val="hybridMultilevel"/>
    <w:lvl w:ilvl="0">
      <w:lvlJc w:val="left"/>
      <w:lvlText w:val="(%1)"/>
      <w:numFmt w:val="lowerRoman"/>
      <w:start w:val="1"/>
    </w:lvl>
    <w:lvl w:ilvl="1">
      <w:lvlJc w:val="left"/>
      <w:lvlText w:val="%2"/>
      <w:numFmt w:val="lowerLetter"/>
      <w:start w:val="1"/>
    </w:lvl>
  </w:abstractNum>
  <w:abstractNum w:abstractNumId="138">
    <w:nsid w:val="6835B2AE"/>
    <w:multiLevelType w:val="hybridMultilevel"/>
    <w:lvl w:ilvl="0">
      <w:lvlJc w:val="left"/>
      <w:lvlText w:val="(%1)"/>
      <w:numFmt w:val="lowerLetter"/>
      <w:start w:val="3"/>
    </w:lvl>
  </w:abstractNum>
  <w:abstractNum w:abstractNumId="139">
    <w:nsid w:val="4C187C90"/>
    <w:multiLevelType w:val="hybridMultilevel"/>
    <w:lvl w:ilvl="0">
      <w:lvlJc w:val="left"/>
      <w:lvlText w:val="(%1)"/>
      <w:numFmt w:val="lowerLetter"/>
      <w:start w:val="6"/>
    </w:lvl>
  </w:abstractNum>
  <w:abstractNum w:abstractNumId="140">
    <w:nsid w:val="541F28CD"/>
    <w:multiLevelType w:val="hybridMultilevel"/>
    <w:lvl w:ilvl="0">
      <w:lvlJc w:val="left"/>
      <w:lvlText w:val="(%1)"/>
      <w:numFmt w:val="lowerLetter"/>
      <w:start w:val="1"/>
    </w:lvl>
  </w:abstractNum>
  <w:abstractNum w:abstractNumId="141">
    <w:nsid w:val="7F65FD16"/>
    <w:multiLevelType w:val="hybridMultilevel"/>
    <w:lvl w:ilvl="0">
      <w:lvlJc w:val="left"/>
      <w:lvlText w:val="(%1)"/>
      <w:numFmt w:val="lowerLetter"/>
      <w:start w:val="8"/>
    </w:lvl>
  </w:abstractNum>
  <w:abstractNum w:abstractNumId="142">
    <w:nsid w:val="77C9FD68"/>
    <w:multiLevelType w:val="hybridMultilevel"/>
    <w:lvl w:ilvl="0">
      <w:lvlJc w:val="left"/>
      <w:lvlText w:val="(%1)"/>
      <w:numFmt w:val="upperLetter"/>
      <w:start w:val="1"/>
    </w:lvl>
  </w:abstractNum>
  <w:abstractNum w:abstractNumId="143">
    <w:nsid w:val="298A92BA"/>
    <w:multiLevelType w:val="hybridMultilevel"/>
    <w:lvl w:ilvl="0">
      <w:lvlJc w:val="left"/>
      <w:lvlText w:val="(%1)"/>
      <w:numFmt w:val="upperLetter"/>
      <w:start w:val="2"/>
    </w:lvl>
  </w:abstractNum>
  <w:abstractNum w:abstractNumId="144">
    <w:nsid w:val="6FE95EAC"/>
    <w:multiLevelType w:val="hybridMultilevel"/>
    <w:lvl w:ilvl="0">
      <w:lvlJc w:val="left"/>
      <w:lvlText w:val="(%1)"/>
      <w:numFmt w:val="lowerLetter"/>
      <w:start w:val="2"/>
    </w:lvl>
  </w:abstractNum>
  <w:abstractNum w:abstractNumId="145">
    <w:nsid w:val="4B697C7A"/>
    <w:multiLevelType w:val="hybridMultilevel"/>
    <w:lvl w:ilvl="0">
      <w:lvlJc w:val="left"/>
      <w:lvlText w:val="(%1)"/>
      <w:numFmt w:val="lowerLetter"/>
      <w:start w:val="1"/>
    </w:lvl>
  </w:abstractNum>
  <w:abstractNum w:abstractNumId="146">
    <w:nsid w:val="51A27AA6"/>
    <w:multiLevelType w:val="hybridMultilevel"/>
    <w:lvl w:ilvl="0">
      <w:lvlJc w:val="left"/>
      <w:lvlText w:val="(%1)"/>
      <w:numFmt w:val="lowerLetter"/>
      <w:start w:val="1"/>
    </w:lvl>
  </w:abstractNum>
  <w:abstractNum w:abstractNumId="147">
    <w:nsid w:val="613183F2"/>
    <w:multiLevelType w:val="hybridMultilevel"/>
    <w:lvl w:ilvl="0">
      <w:lvlJc w:val="left"/>
      <w:lvlText w:val="(%1)"/>
      <w:numFmt w:val="lowerLetter"/>
      <w:start w:val="3"/>
    </w:lvl>
  </w:abstractNum>
  <w:abstractNum w:abstractNumId="148">
    <w:nsid w:val="634102B4"/>
    <w:multiLevelType w:val="hybridMultilevel"/>
    <w:lvl w:ilvl="0">
      <w:lvlJc w:val="left"/>
      <w:lvlText w:val="(%1)"/>
      <w:numFmt w:val="lowerLetter"/>
      <w:start w:val="35"/>
    </w:lvl>
    <w:lvl w:ilvl="1">
      <w:lvlJc w:val="left"/>
      <w:lvlText w:val="%2"/>
      <w:numFmt w:val="lowerLetter"/>
      <w:start w:val="1"/>
    </w:lvl>
  </w:abstractNum>
  <w:abstractNum w:abstractNumId="149">
    <w:nsid w:val="65BF9DA8"/>
    <w:multiLevelType w:val="hybridMultilevel"/>
    <w:lvl w:ilvl="0">
      <w:lvlJc w:val="left"/>
      <w:lvlText w:val="(%1)"/>
      <w:numFmt w:val="lowerLetter"/>
      <w:start w:val="24"/>
    </w:lvl>
    <w:lvl w:ilvl="1">
      <w:lvlJc w:val="left"/>
      <w:lvlText w:val="(%2)"/>
      <w:numFmt w:val="lowerLetter"/>
      <w:start w:val="2"/>
    </w:lvl>
  </w:abstractNum>
  <w:abstractNum w:abstractNumId="150">
    <w:nsid w:val="21A2ECCA"/>
    <w:multiLevelType w:val="hybridMultilevel"/>
    <w:lvl w:ilvl="0">
      <w:lvlJc w:val="left"/>
      <w:lvlText w:val="(%1)"/>
      <w:numFmt w:val="lowerLetter"/>
      <w:start w:val="2"/>
    </w:lvl>
  </w:abstractNum>
  <w:abstractNum w:abstractNumId="151">
    <w:nsid w:val="4D5C4899"/>
    <w:multiLevelType w:val="hybridMultilevel"/>
    <w:lvl w:ilvl="0">
      <w:lvlJc w:val="left"/>
      <w:lvlText w:val="(%1)"/>
      <w:numFmt w:val="lowerLetter"/>
      <w:start w:val="4"/>
    </w:lvl>
  </w:abstractNum>
  <w:abstractNum w:abstractNumId="152">
    <w:nsid w:val="3C3B72B2"/>
    <w:multiLevelType w:val="hybridMultilevel"/>
    <w:lvl w:ilvl="0">
      <w:lvlJc w:val="left"/>
      <w:lvlText w:val="(%1)"/>
      <w:numFmt w:val="lowerRoman"/>
      <w:start w:val="1"/>
    </w:lvl>
  </w:abstractNum>
  <w:abstractNum w:abstractNumId="153">
    <w:nsid w:val="155EC4C2"/>
    <w:multiLevelType w:val="hybridMultilevel"/>
    <w:lvl w:ilvl="0">
      <w:lvlJc w:val="left"/>
      <w:lvlText w:val="(%1)"/>
      <w:numFmt w:val="lowerLetter"/>
      <w:start w:val="2"/>
    </w:lvl>
  </w:abstractNum>
  <w:abstractNum w:abstractNumId="154">
    <w:nsid w:val="65D2A137"/>
    <w:multiLevelType w:val="hybridMultilevel"/>
    <w:lvl w:ilvl="0">
      <w:lvlJc w:val="left"/>
      <w:lvlText w:val="(%1)"/>
      <w:numFmt w:val="lowerLetter"/>
      <w:start w:val="2"/>
    </w:lvl>
  </w:abstractNum>
  <w:abstractNum w:abstractNumId="155">
    <w:nsid w:val="6EBB1F2A"/>
    <w:multiLevelType w:val="hybridMultilevel"/>
    <w:lvl w:ilvl="0">
      <w:lvlJc w:val="left"/>
      <w:lvlText w:val="%1"/>
      <w:numFmt w:val="lowerRoman"/>
      <w:start w:val="1"/>
    </w:lvl>
    <w:lvl w:ilvl="1">
      <w:lvlJc w:val="left"/>
      <w:lvlText w:val="(%2)"/>
      <w:numFmt w:val="lowerRoman"/>
      <w:start w:val="1"/>
    </w:lvl>
  </w:abstractNum>
  <w:abstractNum w:abstractNumId="156">
    <w:nsid w:val="6FBF29CB"/>
    <w:multiLevelType w:val="hybridMultilevel"/>
    <w:lvl w:ilvl="0">
      <w:lvlJc w:val="left"/>
      <w:lvlText w:val="(%1)"/>
      <w:numFmt w:val="lowerRoman"/>
      <w:start w:val="3"/>
    </w:lvl>
    <w:lvl w:ilvl="1">
      <w:lvlJc w:val="left"/>
      <w:lvlText w:val="(%2)"/>
      <w:numFmt w:val="lowerRoman"/>
      <w:start w:val="2"/>
    </w:lvl>
  </w:abstractNum>
  <w:abstractNum w:abstractNumId="157">
    <w:nsid w:val="550B8808"/>
    <w:multiLevelType w:val="hybridMultilevel"/>
    <w:lvl w:ilvl="0">
      <w:lvlJc w:val="left"/>
      <w:lvlText w:val="(%1)"/>
      <w:numFmt w:val="lowerLetter"/>
      <w:start w:val="3"/>
    </w:lvl>
  </w:abstractNum>
  <w:abstractNum w:abstractNumId="158">
    <w:nsid w:val="34CC3ACF"/>
    <w:multiLevelType w:val="hybridMultilevel"/>
    <w:lvl w:ilvl="0">
      <w:lvlJc w:val="left"/>
      <w:lvlText w:val="%1"/>
      <w:numFmt w:val="lowerLetter"/>
      <w:start w:val="1"/>
    </w:lvl>
    <w:lvl w:ilvl="1">
      <w:lvlJc w:val="left"/>
      <w:lvlText w:val="(%2)"/>
      <w:numFmt w:val="lowerLetter"/>
      <w:start w:val="2"/>
    </w:lvl>
  </w:abstractNum>
  <w:abstractNum w:abstractNumId="159">
    <w:nsid w:val="4E556261"/>
    <w:multiLevelType w:val="hybridMultilevel"/>
    <w:lvl w:ilvl="0">
      <w:lvlJc w:val="left"/>
      <w:lvlText w:val="(%1)"/>
      <w:numFmt w:val="lowerLetter"/>
      <w:start w:val="9"/>
    </w:lvl>
    <w:lvl w:ilvl="1">
      <w:lvlJc w:val="left"/>
      <w:lvlText w:val="%2"/>
      <w:numFmt w:val="lowerLetter"/>
      <w:start w:val="1"/>
    </w:lvl>
  </w:abstractNum>
  <w:abstractNum w:abstractNumId="160">
    <w:nsid w:val="4C672FC9"/>
    <w:multiLevelType w:val="hybridMultilevel"/>
    <w:lvl w:ilvl="0">
      <w:lvlJc w:val="left"/>
      <w:lvlText w:val="(%1)"/>
      <w:numFmt w:val="lowerLetter"/>
      <w:start w:val="3"/>
    </w:lvl>
  </w:abstractNum>
  <w:abstractNum w:abstractNumId="161">
    <w:nsid w:val="52A311C3"/>
    <w:multiLevelType w:val="hybridMultilevel"/>
    <w:lvl w:ilvl="0">
      <w:lvlJc w:val="left"/>
      <w:lvlText w:val="(%1)"/>
      <w:numFmt w:val="lowerLetter"/>
      <w:start w:val="2"/>
    </w:lvl>
  </w:abstractNum>
  <w:abstractNum w:abstractNumId="162">
    <w:nsid w:val="44EF6B80"/>
    <w:multiLevelType w:val="hybridMultilevel"/>
    <w:lvl w:ilvl="0">
      <w:lvlJc w:val="left"/>
      <w:lvlText w:val="%1"/>
      <w:numFmt w:val="lowerLetter"/>
      <w:start w:val="1"/>
    </w:lvl>
    <w:lvl w:ilvl="1">
      <w:lvlJc w:val="left"/>
      <w:lvlText w:val="(%2)"/>
      <w:numFmt w:val="lowerLetter"/>
      <w:start w:val="2"/>
    </w:lvl>
  </w:abstractNum>
  <w:abstractNum w:abstractNumId="163">
    <w:nsid w:val="12FCDE5E"/>
    <w:multiLevelType w:val="hybridMultilevel"/>
    <w:lvl w:ilvl="0">
      <w:lvlJc w:val="left"/>
      <w:lvlText w:val="(%1)"/>
      <w:numFmt w:val="lowerLetter"/>
      <w:start w:val="9"/>
    </w:lvl>
    <w:lvl w:ilvl="1">
      <w:lvlJc w:val="left"/>
      <w:lvlText w:val="%2"/>
      <w:numFmt w:val="lowerLetter"/>
      <w:start w:val="1"/>
    </w:lvl>
  </w:abstractNum>
  <w:abstractNum w:abstractNumId="164">
    <w:nsid w:val="4A1D606E"/>
    <w:multiLevelType w:val="hybridMultilevel"/>
    <w:lvl w:ilvl="0">
      <w:lvlJc w:val="left"/>
      <w:lvlText w:val="(%1)"/>
      <w:numFmt w:val="lowerLetter"/>
      <w:start w:val="2"/>
    </w:lvl>
  </w:abstractNum>
  <w:abstractNum w:abstractNumId="165">
    <w:nsid w:val="4382503"/>
    <w:multiLevelType w:val="hybridMultilevel"/>
    <w:lvl w:ilvl="0">
      <w:lvlJc w:val="left"/>
      <w:lvlText w:val="(%1)"/>
      <w:numFmt w:val="lowerLetter"/>
      <w:start w:val="2"/>
    </w:lvl>
  </w:abstractNum>
  <w:abstractNum w:abstractNumId="166">
    <w:nsid w:val="59B76E28"/>
    <w:multiLevelType w:val="hybridMultilevel"/>
    <w:lvl w:ilvl="0">
      <w:lvlJc w:val="left"/>
      <w:lvlText w:val="(%1)"/>
      <w:numFmt w:val="lowerLetter"/>
      <w:start w:val="3"/>
    </w:lvl>
  </w:abstractNum>
  <w:abstractNum w:abstractNumId="167">
    <w:nsid w:val="4252C2DA"/>
    <w:multiLevelType w:val="hybridMultilevel"/>
    <w:lvl w:ilvl="0">
      <w:lvlJc w:val="left"/>
      <w:lvlText w:val="(%1)"/>
      <w:numFmt w:val="lowerLetter"/>
      <w:start w:val="1"/>
    </w:lvl>
  </w:abstractNum>
  <w:abstractNum w:abstractNumId="168">
    <w:nsid w:val="6A92EF4C"/>
    <w:multiLevelType w:val="hybridMultilevel"/>
    <w:lvl w:ilvl="0">
      <w:lvlJc w:val="left"/>
      <w:lvlText w:val="%1"/>
      <w:numFmt w:val="lowerRoman"/>
      <w:start w:val="1"/>
    </w:lvl>
    <w:lvl w:ilvl="1">
      <w:lvlJc w:val="left"/>
      <w:lvlText w:val="(%2)"/>
      <w:numFmt w:val="lowerLetter"/>
      <w:start w:val="2"/>
    </w:lvl>
  </w:abstractNum>
  <w:abstractNum w:abstractNumId="169">
    <w:nsid w:val="41ED20D7"/>
    <w:multiLevelType w:val="hybridMultilevel"/>
    <w:lvl w:ilvl="0">
      <w:lvlJc w:val="left"/>
      <w:lvlText w:val="(%1)"/>
      <w:numFmt w:val="lowerRoman"/>
      <w:start w:val="1"/>
    </w:lvl>
    <w:lvl w:ilvl="1">
      <w:lvlJc w:val="left"/>
      <w:lvlText w:val="%2"/>
      <w:numFmt w:val="lowerLetter"/>
      <w:start w:val="1"/>
    </w:lvl>
  </w:abstractNum>
  <w:abstractNum w:abstractNumId="170">
    <w:nsid w:val="E6B3F6A"/>
    <w:multiLevelType w:val="hybridMultilevel"/>
    <w:lvl w:ilvl="0">
      <w:lvlJc w:val="left"/>
      <w:lvlText w:val="(%1)"/>
      <w:numFmt w:val="lowerRoman"/>
      <w:start w:val="3"/>
    </w:lvl>
  </w:abstractNum>
  <w:abstractNum w:abstractNumId="171">
    <w:nsid w:val="3EB21819"/>
    <w:multiLevelType w:val="hybridMultilevel"/>
    <w:lvl w:ilvl="0">
      <w:lvlJc w:val="left"/>
      <w:lvlText w:val="(%1)"/>
      <w:numFmt w:val="lowerLetter"/>
      <w:start w:val="35"/>
    </w:lvl>
    <w:lvl w:ilvl="1">
      <w:lvlJc w:val="left"/>
      <w:lvlText w:val="(%2)"/>
      <w:numFmt w:val="lowerLetter"/>
      <w:start w:val="24"/>
    </w:lvl>
  </w:abstractNum>
  <w:abstractNum w:abstractNumId="172">
    <w:nsid w:val="41531DED"/>
    <w:multiLevelType w:val="hybridMultilevel"/>
    <w:lvl w:ilvl="0">
      <w:lvlJc w:val="left"/>
      <w:lvlText w:val="(%1)"/>
      <w:numFmt w:val="lowerLetter"/>
      <w:start w:val="4"/>
    </w:lvl>
  </w:abstractNum>
  <w:abstractNum w:abstractNumId="173">
    <w:nsid w:val="6353CD2"/>
    <w:multiLevelType w:val="hybridMultilevel"/>
    <w:lvl w:ilvl="0">
      <w:lvlJc w:val="left"/>
      <w:lvlText w:val="%1"/>
      <w:numFmt w:val="lowerLetter"/>
      <w:start w:val="1"/>
    </w:lvl>
    <w:lvl w:ilvl="1">
      <w:lvlJc w:val="left"/>
      <w:lvlText w:val="(%2)"/>
      <w:numFmt w:val="lowerLetter"/>
      <w:start w:val="5"/>
    </w:lvl>
  </w:abstractNum>
  <w:abstractNum w:abstractNumId="174">
    <w:nsid w:val="683CAAD3"/>
    <w:multiLevelType w:val="hybridMultilevel"/>
    <w:lvl w:ilvl="0">
      <w:lvlJc w:val="left"/>
      <w:lvlText w:val="(%1)"/>
      <w:numFmt w:val="lowerLetter"/>
      <w:start w:val="24"/>
    </w:lvl>
    <w:lvl w:ilvl="1">
      <w:lvlJc w:val="left"/>
      <w:lvlText w:val="%2"/>
      <w:numFmt w:val="lowerLetter"/>
      <w:start w:val="1"/>
    </w:lvl>
  </w:abstractNum>
  <w:abstractNum w:abstractNumId="175">
    <w:nsid w:val="313C7C99"/>
    <w:multiLevelType w:val="hybridMultilevel"/>
    <w:lvl w:ilvl="0">
      <w:lvlJc w:val="left"/>
      <w:lvlText w:val="(%1)"/>
      <w:numFmt w:val="lowerRoman"/>
      <w:start w:val="1"/>
    </w:lvl>
  </w:abstractNum>
  <w:abstractNum w:abstractNumId="176">
    <w:nsid w:val="519EB94C"/>
    <w:multiLevelType w:val="hybridMultilevel"/>
    <w:lvl w:ilvl="0">
      <w:lvlJc w:val="left"/>
      <w:lvlText w:val="(%1)"/>
      <w:numFmt w:val="lowerLetter"/>
      <w:start w:val="2"/>
    </w:lvl>
  </w:abstractNum>
  <w:abstractNum w:abstractNumId="177">
    <w:nsid w:val="39DF2579"/>
    <w:multiLevelType w:val="hybridMultilevel"/>
    <w:lvl w:ilvl="0">
      <w:lvlJc w:val="left"/>
      <w:lvlText w:val="(%1)"/>
      <w:numFmt w:val="lowerLetter"/>
      <w:start w:val="5"/>
    </w:lvl>
  </w:abstractNum>
  <w:abstractNum w:abstractNumId="178">
    <w:nsid w:val="126E008B"/>
    <w:multiLevelType w:val="hybridMultilevel"/>
    <w:lvl w:ilvl="0">
      <w:lvlJc w:val="left"/>
      <w:lvlText w:val="(%1)"/>
      <w:numFmt w:val="lowerLetter"/>
      <w:start w:val="2"/>
    </w:lvl>
  </w:abstractNum>
  <w:abstractNum w:abstractNumId="179">
    <w:nsid w:val="34DFBC00"/>
    <w:multiLevelType w:val="hybridMultilevel"/>
    <w:lvl w:ilvl="0">
      <w:lvlJc w:val="left"/>
      <w:lvlText w:val="(%1)"/>
      <w:numFmt w:val="lowerLetter"/>
      <w:start w:val="4"/>
    </w:lvl>
  </w:abstractNum>
  <w:abstractNum w:abstractNumId="180">
    <w:nsid w:val="1F9EC322"/>
    <w:multiLevelType w:val="hybridMultilevel"/>
    <w:lvl w:ilvl="0">
      <w:lvlJc w:val="left"/>
      <w:lvlText w:val="(%1)"/>
      <w:numFmt w:val="lowerRoman"/>
      <w:start w:val="2"/>
    </w:lvl>
  </w:abstractNum>
  <w:abstractNum w:abstractNumId="181">
    <w:nsid w:val="3410ED56"/>
    <w:multiLevelType w:val="hybridMultilevel"/>
    <w:lvl w:ilvl="0">
      <w:lvlJc w:val="left"/>
      <w:lvlText w:val="(%1)"/>
      <w:numFmt w:val="lowerLetter"/>
      <w:start w:val="7"/>
    </w:lvl>
  </w:abstractNum>
  <w:abstractNum w:abstractNumId="182">
    <w:nsid w:val="23C049A"/>
    <w:multiLevelType w:val="hybridMultilevel"/>
    <w:lvl w:ilvl="0">
      <w:lvlJc w:val="left"/>
      <w:lvlText w:val="(%1)"/>
      <w:numFmt w:val="lowerLetter"/>
      <w:start w:val="2"/>
    </w:lvl>
  </w:abstractNum>
  <w:abstractNum w:abstractNumId="183">
    <w:nsid w:val="5BDA35D4"/>
    <w:multiLevelType w:val="hybridMultilevel"/>
    <w:lvl w:ilvl="0">
      <w:lvlJc w:val="left"/>
      <w:lvlText w:val="(%1)"/>
      <w:numFmt w:val="lowerLetter"/>
      <w:start w:val="4"/>
    </w:lvl>
  </w:abstractNum>
  <w:abstractNum w:abstractNumId="184">
    <w:nsid w:val="496FB218"/>
    <w:multiLevelType w:val="hybridMultilevel"/>
    <w:lvl w:ilvl="0">
      <w:lvlJc w:val="left"/>
      <w:lvlText w:val="(%1)"/>
      <w:numFmt w:val="lowerLetter"/>
      <w:start w:val="2"/>
    </w:lvl>
  </w:abstractNum>
  <w:abstractNum w:abstractNumId="185">
    <w:nsid w:val="680EA5D1"/>
    <w:multiLevelType w:val="hybridMultilevel"/>
    <w:lvl w:ilvl="0">
      <w:lvlJc w:val="left"/>
      <w:lvlText w:val="(%1)"/>
      <w:numFmt w:val="lowerLetter"/>
      <w:start w:val="1"/>
    </w:lvl>
  </w:abstractNum>
  <w:abstractNum w:abstractNumId="186">
    <w:nsid w:val="4A9554FE"/>
    <w:multiLevelType w:val="hybridMultilevel"/>
    <w:lvl w:ilvl="0">
      <w:lvlJc w:val="left"/>
      <w:lvlText w:val="(%1)"/>
      <w:numFmt w:val="lowerLetter"/>
      <w:start w:val="3"/>
    </w:lvl>
  </w:abstractNum>
  <w:abstractNum w:abstractNumId="187">
    <w:nsid w:val="392EDBE4"/>
    <w:multiLevelType w:val="hybridMultilevel"/>
    <w:lvl w:ilvl="0">
      <w:lvlJc w:val="left"/>
      <w:lvlText w:val="(%1)"/>
      <w:numFmt w:val="lowerLetter"/>
      <w:start w:val="1"/>
    </w:lvl>
  </w:abstractNum>
  <w:abstractNum w:abstractNumId="188">
    <w:nsid w:val="3D1A2DD9"/>
    <w:multiLevelType w:val="hybridMultilevel"/>
    <w:lvl w:ilvl="0">
      <w:lvlJc w:val="left"/>
      <w:lvlText w:val="%1"/>
      <w:numFmt w:val="lowerLetter"/>
      <w:start w:val="1"/>
    </w:lvl>
    <w:lvl w:ilvl="1">
      <w:lvlJc w:val="left"/>
      <w:lvlText w:val="(%2)"/>
      <w:numFmt w:val="lowerLetter"/>
      <w:start w:val="3"/>
    </w:lvl>
  </w:abstractNum>
  <w:abstractNum w:abstractNumId="189">
    <w:nsid w:val="7F618FCD"/>
    <w:multiLevelType w:val="hybridMultilevel"/>
    <w:lvl w:ilvl="0">
      <w:lvlJc w:val="left"/>
      <w:lvlText w:val="(%1)"/>
      <w:numFmt w:val="lowerLetter"/>
      <w:start w:val="22"/>
    </w:lvl>
    <w:lvl w:ilvl="1">
      <w:lvlJc w:val="left"/>
      <w:lvlText w:val="(%2)"/>
      <w:numFmt w:val="lowerLetter"/>
      <w:start w:val="4"/>
    </w:lvl>
  </w:abstractNum>
  <w:abstractNum w:abstractNumId="190">
    <w:nsid w:val="7843E45"/>
    <w:multiLevelType w:val="hybridMultilevel"/>
    <w:lvl w:ilvl="0">
      <w:lvlJc w:val="left"/>
      <w:lvlText w:val="(%1)"/>
      <w:numFmt w:val="lowerLetter"/>
      <w:start w:val="2"/>
    </w:lvl>
  </w:abstractNum>
  <w:abstractNum w:abstractNumId="191">
    <w:nsid w:val="9815DA3"/>
    <w:multiLevelType w:val="hybridMultilevel"/>
    <w:lvl w:ilvl="0">
      <w:lvlJc w:val="left"/>
      <w:lvlText w:val="(%1)"/>
      <w:numFmt w:val="lowerLetter"/>
      <w:start w:val="5"/>
    </w:lvl>
  </w:abstractNum>
  <w:abstractNum w:abstractNumId="192">
    <w:nsid w:val="5204A191"/>
    <w:multiLevelType w:val="hybridMultilevel"/>
    <w:lvl w:ilvl="0">
      <w:lvlJc w:val="left"/>
      <w:lvlText w:val="(%1)"/>
      <w:numFmt w:val="lowerLetter"/>
      <w:start w:val="2"/>
    </w:lvl>
  </w:abstractNum>
  <w:abstractNum w:abstractNumId="193">
    <w:nsid w:val="4C73A9C6"/>
    <w:multiLevelType w:val="hybridMultilevel"/>
    <w:lvl w:ilvl="0">
      <w:lvlJc w:val="left"/>
      <w:lvlText w:val="(%1)"/>
      <w:numFmt w:val="lowerLetter"/>
      <w:start w:val="2"/>
    </w:lvl>
  </w:abstractNum>
  <w:abstractNum w:abstractNumId="194">
    <w:nsid w:val="1C7E3C01"/>
    <w:multiLevelType w:val="hybridMultilevel"/>
    <w:lvl w:ilvl="0">
      <w:lvlJc w:val="left"/>
      <w:lvlText w:val="(%1)"/>
      <w:numFmt w:val="lowerLetter"/>
      <w:start w:val="2"/>
    </w:lvl>
  </w:abstractNum>
  <w:abstractNum w:abstractNumId="195">
    <w:nsid w:val="1C2201FF"/>
    <w:multiLevelType w:val="hybridMultilevel"/>
    <w:lvl w:ilvl="0">
      <w:lvlJc w:val="left"/>
      <w:lvlText w:val="(%1)"/>
      <w:numFmt w:val="lowerLetter"/>
      <w:start w:val="2"/>
    </w:lvl>
  </w:abstractNum>
  <w:abstractNum w:abstractNumId="196">
    <w:nsid w:val="50ABCEC9"/>
    <w:multiLevelType w:val="hybridMultilevel"/>
    <w:lvl w:ilvl="0">
      <w:lvlJc w:val="left"/>
      <w:lvlText w:val="(%1)"/>
      <w:numFmt w:val="lowerLetter"/>
      <w:start w:val="2"/>
    </w:lvl>
  </w:abstractNum>
  <w:abstractNum w:abstractNumId="197">
    <w:nsid w:val="7635AA2A"/>
    <w:multiLevelType w:val="hybridMultilevel"/>
    <w:lvl w:ilvl="0">
      <w:lvlJc w:val="left"/>
      <w:lvlText w:val="(%1)"/>
      <w:numFmt w:val="lowerLetter"/>
      <w:start w:val="1"/>
    </w:lvl>
  </w:abstractNum>
  <w:abstractNum w:abstractNumId="198">
    <w:nsid w:val="5E74C4D9"/>
    <w:multiLevelType w:val="hybridMultilevel"/>
    <w:lvl w:ilvl="0">
      <w:lvlJc w:val="left"/>
      <w:lvlText w:val="(%1)"/>
      <w:numFmt w:val="lowerLetter"/>
      <w:start w:val="2"/>
    </w:lvl>
  </w:abstractNum>
  <w:abstractNum w:abstractNumId="199">
    <w:nsid w:val="3B3EBE15"/>
    <w:multiLevelType w:val="hybridMultilevel"/>
    <w:lvl w:ilvl="0">
      <w:lvlJc w:val="left"/>
      <w:lvlText w:val="(%1)"/>
      <w:numFmt w:val="lowerLetter"/>
      <w:start w:val="7"/>
    </w:lvl>
  </w:abstractNum>
  <w:abstractNum w:abstractNumId="200">
    <w:nsid w:val="3822CB01"/>
    <w:multiLevelType w:val="hybridMultilevel"/>
    <w:lvl w:ilvl="0">
      <w:lvlJc w:val="left"/>
      <w:lvlText w:val="%1"/>
      <w:numFmt w:val="lowerLetter"/>
      <w:start w:val="1"/>
    </w:lvl>
    <w:lvl w:ilvl="1">
      <w:lvlJc w:val="left"/>
      <w:lvlText w:val="(%2)"/>
      <w:numFmt w:val="lowerLetter"/>
      <w:start w:val="1"/>
    </w:lvl>
  </w:abstractNum>
  <w:abstractNum w:abstractNumId="201">
    <w:nsid w:val="6CE00443"/>
    <w:multiLevelType w:val="hybridMultilevel"/>
    <w:lvl w:ilvl="0">
      <w:lvlJc w:val="left"/>
      <w:lvlText w:val="(%1)"/>
      <w:numFmt w:val="lowerLetter"/>
      <w:start w:val="9"/>
    </w:lvl>
    <w:lvl w:ilvl="1">
      <w:lvlJc w:val="left"/>
      <w:lvlText w:val="(%2)"/>
      <w:numFmt w:val="lowerLetter"/>
      <w:start w:val="2"/>
    </w:lvl>
  </w:abstractNum>
  <w:abstractNum w:abstractNumId="202">
    <w:nsid w:val="79F0D62F"/>
    <w:multiLevelType w:val="hybridMultilevel"/>
    <w:lvl w:ilvl="0">
      <w:lvlJc w:val="left"/>
      <w:lvlText w:val="(%1)"/>
      <w:numFmt w:val="lowerLetter"/>
      <w:start w:val="1"/>
    </w:lvl>
  </w:abstractNum>
  <w:abstractNum w:abstractNumId="203">
    <w:nsid w:val="7975E8EE"/>
    <w:multiLevelType w:val="hybridMultilevel"/>
    <w:lvl w:ilvl="0">
      <w:lvlJc w:val="left"/>
      <w:lvlText w:val="(%1)"/>
      <w:numFmt w:val="lowerLetter"/>
      <w:start w:val="4"/>
    </w:lvl>
  </w:abstractNum>
  <w:abstractNum w:abstractNumId="204">
    <w:nsid w:val="73154115"/>
    <w:multiLevelType w:val="hybridMultilevel"/>
    <w:lvl w:ilvl="0">
      <w:lvlJc w:val="left"/>
      <w:lvlText w:val="(%1)"/>
      <w:numFmt w:val="lowerLetter"/>
      <w:start w:val="1"/>
    </w:lvl>
  </w:abstractNum>
  <w:abstractNum w:abstractNumId="205">
    <w:nsid w:val="622D8102"/>
    <w:multiLevelType w:val="hybridMultilevel"/>
    <w:lvl w:ilvl="0">
      <w:lvlJc w:val="left"/>
      <w:lvlText w:val="(%1)"/>
      <w:numFmt w:val="lowerLetter"/>
      <w:start w:val="3"/>
    </w:lvl>
  </w:abstractNum>
  <w:abstractNum w:abstractNumId="206">
    <w:nsid w:val="2AB26587"/>
    <w:multiLevelType w:val="hybridMultilevel"/>
    <w:lvl w:ilvl="0">
      <w:lvlJc w:val="left"/>
      <w:lvlText w:val="%1"/>
      <w:numFmt w:val="lowerLetter"/>
      <w:start w:val="1"/>
    </w:lvl>
    <w:lvl w:ilvl="1">
      <w:lvlJc w:val="left"/>
      <w:lvlText w:val="(%2)"/>
      <w:numFmt w:val="lowerLetter"/>
      <w:start w:val="2"/>
    </w:lvl>
  </w:abstractNum>
  <w:abstractNum w:abstractNumId="207">
    <w:nsid w:val="44B3FA61"/>
    <w:multiLevelType w:val="hybridMultilevel"/>
    <w:lvl w:ilvl="0">
      <w:lvlJc w:val="left"/>
      <w:lvlText w:val="(%1)"/>
      <w:numFmt w:val="lowerLetter"/>
      <w:start w:val="61"/>
    </w:lvl>
    <w:lvl w:ilvl="1">
      <w:lvlJc w:val="left"/>
      <w:lvlText w:val="%2"/>
      <w:numFmt w:val="lowerLetter"/>
      <w:start w:val="1"/>
    </w:lvl>
  </w:abstractNum>
  <w:abstractNum w:abstractNumId="208">
    <w:nsid w:val="1C0CA67C"/>
    <w:multiLevelType w:val="hybridMultilevel"/>
    <w:lvl w:ilvl="0">
      <w:lvlJc w:val="left"/>
      <w:lvlText w:val="(%1)"/>
      <w:numFmt w:val="lowerLetter"/>
      <w:start w:val="24"/>
    </w:lvl>
    <w:lvl w:ilvl="1">
      <w:lvlJc w:val="left"/>
      <w:lvlText w:val="(%2)"/>
      <w:numFmt w:val="lowerLetter"/>
      <w:start w:val="2"/>
    </w:lvl>
  </w:abstractNum>
  <w:abstractNum w:abstractNumId="209">
    <w:nsid w:val="3D206613"/>
    <w:multiLevelType w:val="hybridMultilevel"/>
    <w:lvl w:ilvl="0">
      <w:lvlJc w:val="left"/>
      <w:lvlText w:val="(%1)"/>
      <w:numFmt w:val="lowerLetter"/>
      <w:start w:val="3"/>
    </w:lvl>
  </w:abstractNum>
  <w:abstractNum w:abstractNumId="210">
    <w:nsid w:val="7993B662"/>
    <w:multiLevelType w:val="hybridMultilevel"/>
    <w:lvl w:ilvl="0">
      <w:lvlJc w:val="left"/>
      <w:lvlText w:val="(%1)"/>
      <w:numFmt w:val="lowerLetter"/>
      <w:start w:val="1"/>
    </w:lvl>
  </w:abstractNum>
  <w:abstractNum w:abstractNumId="211">
    <w:nsid w:val="3BAB699E"/>
    <w:multiLevelType w:val="hybridMultilevel"/>
    <w:lvl w:ilvl="0">
      <w:lvlJc w:val="left"/>
      <w:lvlText w:val="%1"/>
      <w:numFmt w:val="lowerLetter"/>
      <w:start w:val="1"/>
    </w:lvl>
    <w:lvl w:ilvl="1">
      <w:lvlJc w:val="left"/>
      <w:lvlText w:val="(%2)"/>
      <w:numFmt w:val="lowerLetter"/>
      <w:start w:val="2"/>
    </w:lvl>
  </w:abstractNum>
  <w:abstractNum w:abstractNumId="212">
    <w:nsid w:val="71315369"/>
    <w:multiLevelType w:val="hybridMultilevel"/>
    <w:lvl w:ilvl="0">
      <w:lvlJc w:val="left"/>
      <w:lvlText w:val="(%1)"/>
      <w:numFmt w:val="lowerLetter"/>
      <w:start w:val="35"/>
    </w:lvl>
    <w:lvl w:ilvl="1">
      <w:lvlJc w:val="left"/>
      <w:lvlText w:val="%2"/>
      <w:numFmt w:val="lowerLetter"/>
      <w:start w:val="1"/>
    </w:lvl>
  </w:abstractNum>
  <w:abstractNum w:abstractNumId="213">
    <w:nsid w:val="7BCFBAFC"/>
    <w:multiLevelType w:val="hybridMultilevel"/>
    <w:lvl w:ilvl="0">
      <w:lvlJc w:val="left"/>
      <w:lvlText w:val="(%1)"/>
      <w:numFmt w:val="lowerLetter"/>
      <w:start w:val="7"/>
    </w:lvl>
  </w:abstractNum>
  <w:abstractNum w:abstractNumId="214">
    <w:nsid w:val="17859F72"/>
    <w:multiLevelType w:val="hybridMultilevel"/>
    <w:lvl w:ilvl="0">
      <w:lvlJc w:val="left"/>
      <w:lvlText w:val="(%1)"/>
      <w:numFmt w:val="lowerLetter"/>
      <w:start w:val="1"/>
    </w:lvl>
  </w:abstractNum>
  <w:abstractNum w:abstractNumId="215">
    <w:nsid w:val="3AA10581"/>
    <w:multiLevelType w:val="hybridMultilevel"/>
    <w:lvl w:ilvl="0">
      <w:lvlJc w:val="left"/>
      <w:lvlText w:val="(%1)"/>
      <w:numFmt w:val="lowerLetter"/>
      <w:start w:val="5"/>
    </w:lvl>
  </w:abstractNum>
  <w:abstractNum w:abstractNumId="216">
    <w:nsid w:val="63DE60CD"/>
    <w:multiLevelType w:val="hybridMultilevel"/>
    <w:lvl w:ilvl="0">
      <w:lvlJc w:val="left"/>
      <w:lvlText w:val="(%1)"/>
      <w:numFmt w:val="lowerLetter"/>
      <w:start w:val="1"/>
    </w:lvl>
  </w:abstractNum>
  <w:abstractNum w:abstractNumId="217">
    <w:nsid w:val="621AF471"/>
    <w:multiLevelType w:val="hybridMultilevel"/>
    <w:lvl w:ilvl="0">
      <w:lvlJc w:val="left"/>
      <w:lvlText w:val="(%1)"/>
      <w:numFmt w:val="lowerLetter"/>
      <w:start w:val="2"/>
    </w:lvl>
  </w:abstractNum>
  <w:abstractNum w:abstractNumId="218">
    <w:nsid w:val="73CFE165"/>
    <w:multiLevelType w:val="hybridMultilevel"/>
    <w:lvl w:ilvl="0">
      <w:lvlJc w:val="left"/>
      <w:lvlText w:val="(%1)"/>
      <w:numFmt w:val="lowerLetter"/>
      <w:start w:val="1"/>
    </w:lvl>
  </w:abstractNum>
  <w:abstractNum w:abstractNumId="219">
    <w:nsid w:val="20F88EA6"/>
    <w:multiLevelType w:val="hybridMultilevel"/>
    <w:lvl w:ilvl="0">
      <w:lvlJc w:val="left"/>
      <w:lvlText w:val="%1"/>
      <w:numFmt w:val="lowerLetter"/>
      <w:start w:val="1"/>
    </w:lvl>
    <w:lvl w:ilvl="1">
      <w:lvlJc w:val="left"/>
      <w:lvlText w:val="(%2)"/>
      <w:numFmt w:val="lowerLetter"/>
      <w:start w:val="5"/>
    </w:lvl>
  </w:abstractNum>
  <w:abstractNum w:abstractNumId="220">
    <w:nsid w:val="617C843E"/>
    <w:multiLevelType w:val="hybridMultilevel"/>
    <w:lvl w:ilvl="0">
      <w:lvlJc w:val="left"/>
      <w:lvlText w:val="(%1)"/>
      <w:numFmt w:val="lowerLetter"/>
      <w:start w:val="35"/>
    </w:lvl>
    <w:lvl w:ilvl="1">
      <w:lvlJc w:val="left"/>
      <w:lvlText w:val="(%2)"/>
      <w:numFmt w:val="lowerLetter"/>
      <w:start w:val="9"/>
    </w:lvl>
  </w:abstractNum>
  <w:abstractNum w:abstractNumId="221">
    <w:nsid w:val="7B541FAB"/>
    <w:multiLevelType w:val="hybridMultilevel"/>
    <w:lvl w:ilvl="0">
      <w:lvlJc w:val="left"/>
      <w:lvlText w:val="(%1)"/>
      <w:numFmt w:val="lowerLetter"/>
      <w:start w:val="10"/>
    </w:lvl>
  </w:abstractNum>
  <w:abstractNum w:abstractNumId="222">
    <w:nsid w:val="2A79EC49"/>
    <w:multiLevelType w:val="hybridMultilevel"/>
    <w:lvl w:ilvl="0">
      <w:lvlJc w:val="left"/>
      <w:lvlText w:val="(%1)"/>
      <w:numFmt w:val="lowerLetter"/>
      <w:start w:val="2"/>
    </w:lvl>
  </w:abstractNum>
  <w:abstractNum w:abstractNumId="223">
    <w:nsid w:val="338125CF"/>
    <w:multiLevelType w:val="hybridMultilevel"/>
    <w:lvl w:ilvl="0">
      <w:lvlJc w:val="left"/>
      <w:lvlText w:val="(%1)"/>
      <w:numFmt w:val="lowerLetter"/>
      <w:start w:val="1"/>
    </w:lvl>
  </w:abstractNum>
  <w:abstractNum w:abstractNumId="224">
    <w:nsid w:val="47C7C971"/>
    <w:multiLevelType w:val="hybridMultilevel"/>
    <w:lvl w:ilvl="0">
      <w:lvlJc w:val="left"/>
      <w:lvlText w:val="(%1)"/>
      <w:numFmt w:val="lowerRoman"/>
      <w:start w:val="1"/>
    </w:lvl>
  </w:abstractNum>
  <w:abstractNum w:abstractNumId="225">
    <w:nsid w:val="46F8284B"/>
    <w:multiLevelType w:val="hybridMultilevel"/>
    <w:lvl w:ilvl="0">
      <w:lvlJc w:val="left"/>
      <w:lvlText w:val="(%1)"/>
      <w:numFmt w:val="lowerLetter"/>
      <w:start w:val="2"/>
    </w:lvl>
  </w:abstractNum>
  <w:abstractNum w:abstractNumId="226">
    <w:nsid w:val="4FA327CE"/>
    <w:multiLevelType w:val="hybridMultilevel"/>
    <w:lvl w:ilvl="0">
      <w:lvlJc w:val="left"/>
      <w:lvlText w:val="(%1)"/>
      <w:numFmt w:val="lowerLetter"/>
      <w:start w:val="3"/>
    </w:lvl>
  </w:abstractNum>
  <w:abstractNum w:abstractNumId="227">
    <w:nsid w:val="1873983A"/>
    <w:multiLevelType w:val="hybridMultilevel"/>
    <w:lvl w:ilvl="0">
      <w:lvlJc w:val="left"/>
      <w:lvlText w:val="(%1)"/>
      <w:numFmt w:val="lowerLetter"/>
      <w:start w:val="2"/>
    </w:lvl>
  </w:abstractNum>
  <w:abstractNum w:abstractNumId="228">
    <w:nsid w:val="3D2DD275"/>
    <w:multiLevelType w:val="hybridMultilevel"/>
    <w:lvl w:ilvl="0">
      <w:lvlJc w:val="left"/>
      <w:lvlText w:val="(%1)"/>
      <w:numFmt w:val="lowerRoman"/>
      <w:start w:val="1"/>
    </w:lvl>
  </w:abstractNum>
  <w:abstractNum w:abstractNumId="229">
    <w:nsid w:val="2E17ECA7"/>
    <w:multiLevelType w:val="hybridMultilevel"/>
    <w:lvl w:ilvl="0">
      <w:lvlJc w:val="left"/>
      <w:lvlText w:val="(%1)"/>
      <w:numFmt w:val="lowerRoman"/>
      <w:start w:val="4"/>
    </w:lvl>
  </w:abstractNum>
  <w:abstractNum w:abstractNumId="230">
    <w:nsid w:val="53B2564F"/>
    <w:multiLevelType w:val="hybridMultilevel"/>
    <w:lvl w:ilvl="0">
      <w:lvlJc w:val="left"/>
      <w:lvlText w:val="(%1)"/>
      <w:numFmt w:val="lowerLetter"/>
      <w:start w:val="4"/>
    </w:lvl>
  </w:abstractNum>
  <w:abstractNum w:abstractNumId="231">
    <w:nsid w:val="75509D76"/>
    <w:multiLevelType w:val="hybridMultilevel"/>
    <w:lvl w:ilvl="0">
      <w:lvlJc w:val="left"/>
      <w:lvlText w:val="(%1)"/>
      <w:numFmt w:val="lowerLetter"/>
      <w:start w:val="2"/>
    </w:lvl>
  </w:abstractNum>
  <w:abstractNum w:abstractNumId="232">
    <w:nsid w:val="1AF7F0EA"/>
    <w:multiLevelType w:val="hybridMultilevel"/>
    <w:lvl w:ilvl="0">
      <w:lvlJc w:val="left"/>
      <w:lvlText w:val="(%1)"/>
      <w:numFmt w:val="lowerLetter"/>
      <w:start w:val="3"/>
    </w:lvl>
  </w:abstractNum>
  <w:abstractNum w:abstractNumId="233">
    <w:nsid w:val="4DA32C7E"/>
    <w:multiLevelType w:val="hybridMultilevel"/>
    <w:lvl w:ilvl="0">
      <w:lvlJc w:val="left"/>
      <w:lvlText w:val="(%1)"/>
      <w:numFmt w:val="lowerLetter"/>
      <w:start w:val="5"/>
    </w:lvl>
  </w:abstractNum>
  <w:abstractNum w:abstractNumId="234">
    <w:nsid w:val="6EC68664"/>
    <w:multiLevelType w:val="hybridMultilevel"/>
    <w:lvl w:ilvl="0">
      <w:lvlJc w:val="left"/>
      <w:lvlText w:val="(%1)"/>
      <w:numFmt w:val="lowerLetter"/>
      <w:start w:val="35"/>
    </w:lvl>
    <w:lvl w:ilvl="1">
      <w:lvlJc w:val="left"/>
      <w:lvlText w:val="(%2)"/>
      <w:numFmt w:val="lowerLetter"/>
      <w:start w:val="2"/>
    </w:lvl>
  </w:abstractNum>
  <w:abstractNum w:abstractNumId="235">
    <w:nsid w:val="E0D31FF"/>
    <w:multiLevelType w:val="hybridMultilevel"/>
    <w:lvl w:ilvl="0">
      <w:lvlJc w:val="left"/>
      <w:lvlText w:val="%1"/>
      <w:numFmt w:val="lowerRoman"/>
      <w:start w:val="1"/>
    </w:lvl>
    <w:lvl w:ilvl="1">
      <w:lvlJc w:val="left"/>
      <w:lvlText w:val="(%2)"/>
      <w:numFmt w:val="upperLetter"/>
      <w:start w:val="1"/>
    </w:lvl>
  </w:abstractNum>
  <w:abstractNum w:abstractNumId="236">
    <w:nsid w:val="2FD0AD81"/>
    <w:multiLevelType w:val="hybridMultilevel"/>
    <w:lvl w:ilvl="0">
      <w:lvlJc w:val="left"/>
      <w:lvlText w:val="(%1)"/>
      <w:numFmt w:val="lowerRoman"/>
      <w:start w:val="2"/>
    </w:lvl>
    <w:lvl w:ilvl="1">
      <w:lvlJc w:val="left"/>
      <w:lvlText w:val="(%2)"/>
      <w:numFmt w:val="upperLetter"/>
      <w:start w:val="1"/>
    </w:lvl>
  </w:abstractNum>
  <w:abstractNum w:abstractNumId="237">
    <w:nsid w:val="1978EBEB"/>
    <w:multiLevelType w:val="hybridMultilevel"/>
    <w:lvl w:ilvl="0">
      <w:lvlJc w:val="left"/>
      <w:lvlText w:val="(%1)"/>
      <w:numFmt w:val="lowerRoman"/>
      <w:start w:val="3"/>
    </w:lvl>
  </w:abstractNum>
  <w:abstractNum w:abstractNumId="238">
    <w:nsid w:val="52C12C61"/>
    <w:multiLevelType w:val="hybridMultilevel"/>
    <w:lvl w:ilvl="0">
      <w:lvlJc w:val="left"/>
      <w:lvlText w:val="%1"/>
      <w:numFmt w:val="lowerLetter"/>
      <w:start w:val="1"/>
    </w:lvl>
    <w:lvl w:ilvl="1">
      <w:lvlJc w:val="left"/>
      <w:lvlText w:val="(%2)"/>
      <w:numFmt w:val="lowerLetter"/>
      <w:start w:val="3"/>
    </w:lvl>
  </w:abstractNum>
  <w:abstractNum w:abstractNumId="239">
    <w:nsid w:val="4BDD53FD"/>
    <w:multiLevelType w:val="hybridMultilevel"/>
    <w:lvl w:ilvl="0">
      <w:lvlJc w:val="left"/>
      <w:lvlText w:val="(%1)"/>
      <w:numFmt w:val="lowerLetter"/>
      <w:start w:val="25"/>
    </w:lvl>
    <w:lvl w:ilvl="1">
      <w:lvlJc w:val="left"/>
      <w:lvlText w:val="%2"/>
      <w:numFmt w:val="lowerLetter"/>
      <w:start w:val="1"/>
    </w:lvl>
  </w:abstractNum>
  <w:abstractNum w:abstractNumId="240">
    <w:nsid w:val="569951FE"/>
    <w:multiLevelType w:val="hybridMultilevel"/>
    <w:lvl w:ilvl="0">
      <w:lvlJc w:val="left"/>
      <w:lvlText w:val="(%1)"/>
      <w:numFmt w:val="lowerLetter"/>
      <w:start w:val="35"/>
    </w:lvl>
    <w:lvl w:ilvl="1">
      <w:lvlJc w:val="left"/>
      <w:lvlText w:val="(%2)"/>
      <w:numFmt w:val="lowerLetter"/>
      <w:start w:val="4"/>
    </w:lvl>
  </w:abstractNum>
  <w:abstractNum w:abstractNumId="241">
    <w:nsid w:val="4C54E2C3"/>
    <w:multiLevelType w:val="hybridMultilevel"/>
    <w:lvl w:ilvl="0">
      <w:lvlJc w:val="left"/>
      <w:lvlText w:val="(%1)"/>
      <w:numFmt w:val="lowerLetter"/>
      <w:start w:val="2"/>
    </w:lvl>
  </w:abstractNum>
  <w:abstractNum w:abstractNumId="242">
    <w:nsid w:val="788BD9B"/>
    <w:multiLevelType w:val="hybridMultilevel"/>
    <w:lvl w:ilvl="0">
      <w:lvlJc w:val="left"/>
      <w:lvlText w:val="(%1)"/>
      <w:numFmt w:val="lowerLetter"/>
      <w:start w:val="2"/>
    </w:lvl>
  </w:abstractNum>
  <w:abstractNum w:abstractNumId="243">
    <w:nsid w:val="47CAA567"/>
    <w:multiLevelType w:val="hybridMultilevel"/>
    <w:lvl w:ilvl="0">
      <w:lvlJc w:val="left"/>
      <w:lvlText w:val="(%1)"/>
      <w:numFmt w:val="lowerLetter"/>
      <w:start w:val="3"/>
    </w:lvl>
  </w:abstractNum>
  <w:abstractNum w:abstractNumId="244">
    <w:nsid w:val="48249DBF"/>
    <w:multiLevelType w:val="hybridMultilevel"/>
    <w:lvl w:ilvl="0">
      <w:lvlJc w:val="left"/>
      <w:lvlText w:val="(%1)"/>
      <w:numFmt w:val="lowerLetter"/>
      <w:start w:val="6"/>
    </w:lvl>
  </w:abstractNum>
  <w:abstractNum w:abstractNumId="245">
    <w:nsid w:val="1F0E5D0D"/>
    <w:multiLevelType w:val="hybridMultilevel"/>
    <w:lvl w:ilvl="0">
      <w:lvlJc w:val="left"/>
      <w:lvlText w:val="(%1)"/>
      <w:numFmt w:val="lowerLetter"/>
      <w:start w:val="35"/>
    </w:lvl>
  </w:abstractNum>
  <w:abstractNum w:abstractNumId="246">
    <w:nsid w:val="26BAAE9"/>
    <w:multiLevelType w:val="hybridMultilevel"/>
    <w:lvl w:ilvl="0">
      <w:lvlJc w:val="left"/>
      <w:lvlText w:val="(%1)"/>
      <w:numFmt w:val="lowerLetter"/>
      <w:start w:val="9"/>
    </w:lvl>
    <w:lvl w:ilvl="1">
      <w:lvlJc w:val="left"/>
      <w:lvlText w:val="(%2)"/>
      <w:numFmt w:val="lowerLetter"/>
      <w:start w:val="2"/>
    </w:lvl>
  </w:abstractNum>
  <w:abstractNum w:abstractNumId="247">
    <w:nsid w:val="2C02FE8C"/>
    <w:multiLevelType w:val="hybridMultilevel"/>
    <w:lvl w:ilvl="0">
      <w:lvlJc w:val="left"/>
      <w:lvlText w:val="(%1)"/>
      <w:numFmt w:val="lowerLetter"/>
      <w:start w:val="3"/>
    </w:lvl>
  </w:abstractNum>
  <w:abstractNum w:abstractNumId="248">
    <w:nsid w:val="129517E"/>
    <w:multiLevelType w:val="hybridMultilevel"/>
    <w:lvl w:ilvl="0">
      <w:lvlJc w:val="left"/>
      <w:lvlText w:val="(%1)"/>
      <w:numFmt w:val="lowerLetter"/>
      <w:start w:val="2"/>
    </w:lvl>
  </w:abstractNum>
  <w:abstractNum w:abstractNumId="249">
    <w:nsid w:val="763B8C4E"/>
    <w:multiLevelType w:val="hybridMultilevel"/>
    <w:lvl w:ilvl="0">
      <w:lvlJc w:val="left"/>
      <w:lvlText w:val="(%1)"/>
      <w:numFmt w:val="lowerLetter"/>
      <w:start w:val="1"/>
    </w:lvl>
  </w:abstractNum>
  <w:abstractNum w:abstractNumId="250">
    <w:nsid w:val="4CFB8D32"/>
    <w:multiLevelType w:val="hybridMultilevel"/>
    <w:lvl w:ilvl="0">
      <w:lvlJc w:val="left"/>
      <w:lvlText w:val="(%1)"/>
      <w:numFmt w:val="lowerRoman"/>
      <w:start w:val="1"/>
    </w:lvl>
  </w:abstractNum>
  <w:abstractNum w:abstractNumId="251">
    <w:nsid w:val="62A5D5BD"/>
    <w:multiLevelType w:val="hybridMultilevel"/>
    <w:lvl w:ilvl="0">
      <w:lvlJc w:val="left"/>
      <w:lvlText w:val="(%1)"/>
      <w:numFmt w:val="lowerLetter"/>
      <w:start w:val="1"/>
    </w:lvl>
  </w:abstractNum>
  <w:abstractNum w:abstractNumId="252">
    <w:nsid w:val="718FABF9"/>
    <w:multiLevelType w:val="hybridMultilevel"/>
    <w:lvl w:ilvl="0">
      <w:lvlJc w:val="left"/>
      <w:lvlText w:val="(%1)"/>
      <w:numFmt w:val="lowerLetter"/>
      <w:start w:val="7"/>
    </w:lvl>
  </w:abstractNum>
  <w:abstractNum w:abstractNumId="253">
    <w:nsid w:val="7775797C"/>
    <w:multiLevelType w:val="hybridMultilevel"/>
    <w:lvl w:ilvl="0">
      <w:lvlJc w:val="left"/>
      <w:lvlText w:val="(%1)"/>
      <w:numFmt w:val="lowerLetter"/>
      <w:start w:val="1"/>
    </w:lvl>
  </w:abstractNum>
  <w:abstractNum w:abstractNumId="254">
    <w:nsid w:val="1626FB8C"/>
    <w:multiLevelType w:val="hybridMultilevel"/>
    <w:lvl w:ilvl="0">
      <w:lvlJc w:val="left"/>
      <w:lvlText w:val="(%1)"/>
      <w:numFmt w:val="lowerLetter"/>
      <w:start w:val="2"/>
    </w:lvl>
  </w:abstractNum>
  <w:abstractNum w:abstractNumId="255">
    <w:nsid w:val="3957756A"/>
    <w:multiLevelType w:val="hybridMultilevel"/>
    <w:lvl w:ilvl="0">
      <w:lvlJc w:val="left"/>
      <w:lvlText w:val="%1"/>
      <w:numFmt w:val="upperLetter"/>
      <w:start w:val="1"/>
    </w:lvl>
    <w:lvl w:ilvl="1">
      <w:lvlJc w:val="left"/>
      <w:lvlText w:val="(%2)"/>
      <w:numFmt w:val="lowerLetter"/>
      <w:start w:val="1"/>
    </w:lvl>
  </w:abstractNum>
  <w:abstractNum w:abstractNumId="256">
    <w:nsid w:val="3E6DA1C7"/>
    <w:multiLevelType w:val="hybridMultilevel"/>
    <w:lvl w:ilvl="0">
      <w:lvlJc w:val="left"/>
      <w:lvlText w:val="(%1)"/>
      <w:numFmt w:val="upperLetter"/>
      <w:start w:val="2"/>
    </w:lvl>
    <w:lvl w:ilvl="1">
      <w:lvlJc w:val="left"/>
      <w:lvlText w:val="%2"/>
      <w:numFmt w:val="lowerLetter"/>
      <w:start w:val="1"/>
    </w:lvl>
  </w:abstractNum>
  <w:abstractNum w:abstractNumId="257">
    <w:nsid w:val="65CA235B"/>
    <w:multiLevelType w:val="hybridMultilevel"/>
    <w:lvl w:ilvl="0">
      <w:lvlJc w:val="left"/>
      <w:lvlText w:val="(%1)"/>
      <w:numFmt w:val="lowerLetter"/>
      <w:start w:val="3"/>
    </w:lvl>
  </w:abstractNum>
  <w:abstractNum w:abstractNumId="258">
    <w:nsid w:val="51CB0DA4"/>
    <w:multiLevelType w:val="hybridMultilevel"/>
    <w:lvl w:ilvl="0">
      <w:lvlJc w:val="left"/>
      <w:lvlText w:val="%1"/>
      <w:numFmt w:val="lowerRoman"/>
      <w:start w:val="1"/>
    </w:lvl>
    <w:lvl w:ilvl="1">
      <w:lvlJc w:val="left"/>
      <w:lvlText w:val="(%2)"/>
      <w:numFmt w:val="lowerLetter"/>
      <w:start w:val="1"/>
    </w:lvl>
  </w:abstractNum>
  <w:abstractNum w:abstractNumId="259">
    <w:nsid w:val="7B9B743C"/>
    <w:multiLevelType w:val="hybridMultilevel"/>
    <w:lvl w:ilvl="0">
      <w:lvlJc w:val="left"/>
      <w:lvlText w:val="(%1)"/>
      <w:numFmt w:val="lowerRoman"/>
      <w:start w:val="1"/>
    </w:lvl>
    <w:lvl w:ilvl="1">
      <w:lvlJc w:val="left"/>
      <w:lvlText w:val="%2"/>
      <w:numFmt w:val="lowerLetter"/>
      <w:start w:val="1"/>
    </w:lvl>
  </w:abstractNum>
  <w:abstractNum w:abstractNumId="260">
    <w:nsid w:val="13E21002"/>
    <w:multiLevelType w:val="hybridMultilevel"/>
    <w:lvl w:ilvl="0">
      <w:lvlJc w:val="left"/>
      <w:lvlText w:val="(%1)"/>
      <w:numFmt w:val="lowerRoman"/>
      <w:start w:val="5"/>
    </w:lvl>
  </w:abstractNum>
  <w:abstractNum w:abstractNumId="261">
    <w:nsid w:val="257D63F4"/>
    <w:multiLevelType w:val="hybridMultilevel"/>
    <w:lvl w:ilvl="0">
      <w:lvlJc w:val="left"/>
      <w:lvlText w:val="%1"/>
      <w:numFmt w:val="lowerRoman"/>
      <w:start w:val="1"/>
    </w:lvl>
    <w:lvl w:ilvl="1">
      <w:lvlJc w:val="left"/>
      <w:lvlText w:val="(%2)"/>
      <w:numFmt w:val="lowerLetter"/>
      <w:start w:val="2"/>
    </w:lvl>
  </w:abstractNum>
  <w:abstractNum w:abstractNumId="262">
    <w:nsid w:val="70EC11B2"/>
    <w:multiLevelType w:val="hybridMultilevel"/>
    <w:lvl w:ilvl="0">
      <w:lvlJc w:val="left"/>
      <w:lvlText w:val="(%1)"/>
      <w:numFmt w:val="lowerRoman"/>
      <w:start w:val="1"/>
    </w:lvl>
    <w:lvl w:ilvl="1">
      <w:lvlJc w:val="left"/>
      <w:lvlText w:val="%2"/>
      <w:numFmt w:val="lowerLetter"/>
      <w:start w:val="1"/>
    </w:lvl>
  </w:abstractNum>
  <w:abstractNum w:abstractNumId="263">
    <w:nsid w:val="2EDA00ED"/>
    <w:multiLevelType w:val="hybridMultilevel"/>
    <w:lvl w:ilvl="0">
      <w:lvlJc w:val="left"/>
      <w:lvlText w:val="(%1)"/>
      <w:numFmt w:val="lowerLetter"/>
      <w:start w:val="1"/>
    </w:lvl>
  </w:abstractNum>
  <w:abstractNum w:abstractNumId="264">
    <w:nsid w:val="73209072"/>
    <w:multiLevelType w:val="hybridMultilevel"/>
    <w:lvl w:ilvl="0">
      <w:lvlJc w:val="left"/>
      <w:lvlText w:val="(%1)"/>
      <w:numFmt w:val="lowerLetter"/>
      <w:start w:val="5"/>
    </w:lvl>
  </w:abstractNum>
  <w:abstractNum w:abstractNumId="265">
    <w:nsid w:val="5FB29816"/>
    <w:multiLevelType w:val="hybridMultilevel"/>
    <w:lvl w:ilvl="0">
      <w:lvlJc w:val="left"/>
      <w:lvlText w:val="(%1)"/>
      <w:numFmt w:val="lowerRoman"/>
      <w:start w:val="1"/>
    </w:lvl>
  </w:abstractNum>
  <w:abstractNum w:abstractNumId="266">
    <w:nsid w:val="3CE732EC"/>
    <w:multiLevelType w:val="hybridMultilevel"/>
    <w:lvl w:ilvl="0">
      <w:lvlJc w:val="left"/>
      <w:lvlText w:val="(%1)"/>
      <w:numFmt w:val="lowerLetter"/>
      <w:start w:val="1"/>
    </w:lvl>
  </w:abstractNum>
  <w:abstractNum w:abstractNumId="267">
    <w:nsid w:val="22F13DF3"/>
    <w:multiLevelType w:val="hybridMultilevel"/>
    <w:lvl w:ilvl="0">
      <w:lvlJc w:val="left"/>
      <w:lvlText w:val="(%1)"/>
      <w:numFmt w:val="lowerLetter"/>
      <w:start w:val="4"/>
    </w:lvl>
  </w:abstractNum>
  <w:abstractNum w:abstractNumId="268">
    <w:nsid w:val="792B8401"/>
    <w:multiLevelType w:val="hybridMultilevel"/>
    <w:lvl w:ilvl="0">
      <w:lvlJc w:val="left"/>
      <w:lvlText w:val="(%1)"/>
      <w:numFmt w:val="lowerLetter"/>
      <w:start w:val="12"/>
    </w:lvl>
  </w:abstractNum>
  <w:abstractNum w:abstractNumId="269">
    <w:nsid w:val="FA85F4D"/>
    <w:multiLevelType w:val="hybridMultilevel"/>
    <w:lvl w:ilvl="0">
      <w:lvlJc w:val="left"/>
      <w:lvlText w:val="(%1)"/>
      <w:numFmt w:val="lowerLetter"/>
      <w:start w:val="2"/>
    </w:lvl>
  </w:abstractNum>
  <w:abstractNum w:abstractNumId="270">
    <w:nsid w:val="6ECE91F0"/>
    <w:multiLevelType w:val="hybridMultilevel"/>
    <w:lvl w:ilvl="0">
      <w:lvlJc w:val="left"/>
      <w:lvlText w:val="(%1)"/>
      <w:numFmt w:val="lowerLetter"/>
      <w:start w:val="1"/>
    </w:lvl>
  </w:abstractNum>
  <w:abstractNum w:abstractNumId="271">
    <w:nsid w:val="4FC4D600"/>
    <w:multiLevelType w:val="hybridMultilevel"/>
    <w:lvl w:ilvl="0">
      <w:lvlJc w:val="left"/>
      <w:lvlText w:val="(%1)"/>
      <w:numFmt w:val="lowerLetter"/>
      <w:start w:val="4"/>
    </w:lvl>
  </w:abstractNum>
  <w:abstractNum w:abstractNumId="272">
    <w:nsid w:val="5BFD4210"/>
    <w:multiLevelType w:val="hybridMultilevel"/>
    <w:lvl w:ilvl="0">
      <w:lvlJc w:val="left"/>
      <w:lvlText w:val="(%1)"/>
      <w:numFmt w:val="lowerLetter"/>
      <w:start w:val="2"/>
    </w:lvl>
  </w:abstractNum>
  <w:abstractNum w:abstractNumId="273">
    <w:nsid w:val="76574F8B"/>
    <w:multiLevelType w:val="hybridMultilevel"/>
    <w:lvl w:ilvl="0">
      <w:lvlJc w:val="left"/>
      <w:lvlText w:val="(%1)"/>
      <w:numFmt w:val="lowerLetter"/>
      <w:start w:val="2"/>
    </w:lvl>
  </w:abstractNum>
  <w:abstractNum w:abstractNumId="274">
    <w:nsid w:val="178F7B67"/>
    <w:multiLevelType w:val="hybridMultilevel"/>
    <w:lvl w:ilvl="0">
      <w:lvlJc w:val="left"/>
      <w:lvlText w:val="(%1)"/>
      <w:numFmt w:val="lowerRoman"/>
      <w:start w:val="1"/>
    </w:lvl>
  </w:abstractNum>
  <w:abstractNum w:abstractNumId="275">
    <w:nsid w:val="2421DFCF"/>
    <w:multiLevelType w:val="hybridMultilevel"/>
    <w:lvl w:ilvl="0">
      <w:lvlJc w:val="left"/>
      <w:lvlText w:val="%1"/>
      <w:numFmt w:val="lowerLetter"/>
      <w:start w:val="1"/>
    </w:lvl>
    <w:lvl w:ilvl="1">
      <w:lvlJc w:val="left"/>
      <w:lvlText w:val="(%2)"/>
      <w:numFmt w:val="lowerLetter"/>
      <w:start w:val="2"/>
    </w:lvl>
  </w:abstractNum>
  <w:abstractNum w:abstractNumId="276">
    <w:nsid w:val="1565AC99"/>
    <w:multiLevelType w:val="hybridMultilevel"/>
    <w:lvl w:ilvl="0">
      <w:lvlJc w:val="left"/>
      <w:lvlText w:val="(%1)"/>
      <w:numFmt w:val="lowerLetter"/>
      <w:start w:val="35"/>
    </w:lvl>
    <w:lvl w:ilvl="1">
      <w:lvlJc w:val="left"/>
      <w:lvlText w:val="%2"/>
      <w:numFmt w:val="lowerLetter"/>
      <w:start w:val="1"/>
    </w:lvl>
  </w:abstractNum>
  <w:abstractNum w:abstractNumId="277">
    <w:nsid w:val="19FB2650"/>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2"/>
    </w:lvl>
  </w:abstractNum>
  <w:abstractNum w:abstractNumId="278">
    <w:nsid w:val="5024DE5B"/>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279">
    <w:nsid w:val="168EFE17"/>
    <w:multiLevelType w:val="hybridMultilevel"/>
    <w:lvl w:ilvl="0">
      <w:lvlJc w:val="left"/>
      <w:lvlText w:val="(%1)"/>
      <w:numFmt w:val="lowerRoman"/>
      <w:start w:val="4"/>
    </w:lvl>
    <w:lvl w:ilvl="1">
      <w:lvlJc w:val="left"/>
      <w:lvlText w:val="%2"/>
      <w:numFmt w:val="lowerRoman"/>
      <w:start w:val="1"/>
    </w:lvl>
    <w:lvl w:ilvl="2">
      <w:lvlJc w:val="left"/>
      <w:lvlText w:val="%3"/>
      <w:numFmt w:val="lowerLetter"/>
      <w:start w:val="1"/>
    </w:lvl>
  </w:abstractNum>
  <w:abstractNum w:abstractNumId="280">
    <w:nsid w:val="1036B29F"/>
    <w:multiLevelType w:val="hybridMultilevel"/>
    <w:lvl w:ilvl="0">
      <w:lvlJc w:val="left"/>
      <w:lvlText w:val="(%1)"/>
      <w:numFmt w:val="lowerRoman"/>
      <w:start w:val="2"/>
    </w:lvl>
  </w:abstractNum>
  <w:abstractNum w:abstractNumId="281">
    <w:nsid w:val="1D206B8E"/>
    <w:multiLevelType w:val="hybridMultilevel"/>
    <w:lvl w:ilvl="0">
      <w:lvlJc w:val="left"/>
      <w:lvlText w:val="%1"/>
      <w:numFmt w:val="lowerLetter"/>
      <w:start w:val="1"/>
    </w:lvl>
    <w:lvl w:ilvl="1">
      <w:lvlJc w:val="left"/>
      <w:lvlText w:val="(%2)"/>
      <w:numFmt w:val="lowerLetter"/>
      <w:start w:val="3"/>
    </w:lvl>
  </w:abstractNum>
  <w:abstractNum w:abstractNumId="282">
    <w:nsid w:val="7934D3D4"/>
    <w:multiLevelType w:val="hybridMultilevel"/>
    <w:lvl w:ilvl="0">
      <w:lvlJc w:val="left"/>
      <w:lvlText w:val="(%1)"/>
      <w:numFmt w:val="lowerLetter"/>
      <w:start w:val="9"/>
    </w:lvl>
    <w:lvl w:ilvl="1">
      <w:lvlJc w:val="left"/>
      <w:lvlText w:val="%2"/>
      <w:numFmt w:val="lowerLetter"/>
      <w:start w:val="1"/>
    </w:lvl>
  </w:abstractNum>
  <w:abstractNum w:abstractNumId="283">
    <w:nsid w:val="1C65E98"/>
    <w:multiLevelType w:val="hybridMultilevel"/>
    <w:lvl w:ilvl="0">
      <w:lvlJc w:val="left"/>
      <w:lvlText w:val="%1"/>
      <w:numFmt w:val="lowerRoman"/>
      <w:start w:val="1"/>
    </w:lvl>
    <w:lvl w:ilvl="1">
      <w:lvlJc w:val="left"/>
      <w:lvlText w:val="(%2)"/>
      <w:numFmt w:val="lowerLetter"/>
      <w:start w:val="2"/>
    </w:lvl>
  </w:abstractNum>
  <w:abstractNum w:abstractNumId="284">
    <w:nsid w:val="1495E50A"/>
    <w:multiLevelType w:val="hybridMultilevel"/>
    <w:lvl w:ilvl="0">
      <w:lvlJc w:val="left"/>
      <w:lvlText w:val="(%1)"/>
      <w:numFmt w:val="lowerRoman"/>
      <w:start w:val="1"/>
    </w:lvl>
    <w:lvl w:ilvl="1">
      <w:lvlJc w:val="left"/>
      <w:lvlText w:val="%2"/>
      <w:numFmt w:val="lowerLetter"/>
      <w:start w:val="1"/>
    </w:lvl>
  </w:abstractNum>
  <w:abstractNum w:abstractNumId="285">
    <w:nsid w:val="F5BCF61"/>
    <w:multiLevelType w:val="hybridMultilevel"/>
    <w:lvl w:ilvl="0">
      <w:lvlJc w:val="left"/>
      <w:lvlText w:val="(%1)"/>
      <w:numFmt w:val="lowerLetter"/>
      <w:start w:val="3"/>
    </w:lvl>
  </w:abstractNum>
  <w:abstractNum w:abstractNumId="286">
    <w:nsid w:val="3B1DD403"/>
    <w:multiLevelType w:val="hybridMultilevel"/>
    <w:lvl w:ilvl="0">
      <w:lvlJc w:val="left"/>
      <w:lvlText w:val="(%1)"/>
      <w:numFmt w:val="lowerLetter"/>
      <w:start w:val="2"/>
    </w:lvl>
  </w:abstractNum>
  <w:abstractNum w:abstractNumId="287">
    <w:nsid w:val="530386D1"/>
    <w:multiLevelType w:val="hybridMultilevel"/>
    <w:lvl w:ilvl="0">
      <w:lvlJc w:val="left"/>
      <w:lvlText w:val="(%1)"/>
      <w:numFmt w:val="lowerLetter"/>
      <w:start w:val="2"/>
    </w:lvl>
  </w:abstractNum>
  <w:abstractNum w:abstractNumId="288">
    <w:nsid w:val="7525F2BC"/>
    <w:multiLevelType w:val="hybridMultilevel"/>
    <w:lvl w:ilvl="0">
      <w:lvlJc w:val="left"/>
      <w:lvlText w:val="%1"/>
      <w:numFmt w:val="upperLetter"/>
      <w:start w:val="1"/>
    </w:lvl>
    <w:lvl w:ilvl="1">
      <w:lvlJc w:val="left"/>
      <w:lvlText w:val="(%2)"/>
      <w:numFmt w:val="lowerLetter"/>
      <w:start w:val="2"/>
    </w:lvl>
  </w:abstractNum>
  <w:abstractNum w:abstractNumId="289">
    <w:nsid w:val="CE8E1A7"/>
    <w:multiLevelType w:val="hybridMultilevel"/>
    <w:lvl w:ilvl="0">
      <w:lvlJc w:val="left"/>
      <w:lvlText w:val="(%1)"/>
      <w:numFmt w:val="upperLetter"/>
      <w:start w:val="2"/>
    </w:lvl>
    <w:lvl w:ilvl="1">
      <w:lvlJc w:val="left"/>
      <w:lvlText w:val="%2"/>
      <w:numFmt w:val="lowerLetter"/>
      <w:start w:val="1"/>
    </w:lvl>
  </w:abstractNum>
  <w:abstractNum w:abstractNumId="290">
    <w:nsid w:val="4E9EFB0D"/>
    <w:multiLevelType w:val="hybridMultilevel"/>
    <w:lvl w:ilvl="0">
      <w:lvlJc w:val="left"/>
      <w:lvlText w:val="(%1)"/>
      <w:numFmt w:val="lowerLetter"/>
      <w:start w:val="3"/>
    </w:lvl>
  </w:abstractNum>
  <w:abstractNum w:abstractNumId="291">
    <w:nsid w:val="90802BE"/>
    <w:multiLevelType w:val="hybridMultilevel"/>
    <w:lvl w:ilvl="0">
      <w:lvlJc w:val="left"/>
      <w:lvlText w:val="(%1)"/>
      <w:numFmt w:val="lowerLetter"/>
      <w:start w:val="2"/>
    </w:lvl>
  </w:abstractNum>
  <w:abstractNum w:abstractNumId="292">
    <w:nsid w:val="3266459B"/>
    <w:multiLevelType w:val="hybridMultilevel"/>
    <w:lvl w:ilvl="0">
      <w:lvlJc w:val="left"/>
      <w:lvlText w:val="(%1)"/>
      <w:numFmt w:val="lowerLetter"/>
      <w:start w:val="5"/>
    </w:lvl>
  </w:abstractNum>
  <w:abstractNum w:abstractNumId="293">
    <w:nsid w:val="3F8B0CBF"/>
    <w:multiLevelType w:val="hybridMultilevel"/>
    <w:lvl w:ilvl="0">
      <w:lvlJc w:val="left"/>
      <w:lvlText w:val="(%1)"/>
      <w:numFmt w:val="lowerRoman"/>
      <w:start w:val="1"/>
    </w:lvl>
  </w:abstractNum>
  <w:abstractNum w:abstractNumId="294">
    <w:nsid w:val="37E203AB"/>
    <w:multiLevelType w:val="hybridMultilevel"/>
    <w:lvl w:ilvl="0">
      <w:lvlJc w:val="left"/>
      <w:lvlText w:val="(%1)"/>
      <w:numFmt w:val="lowerLetter"/>
      <w:start w:val="2"/>
    </w:lvl>
  </w:abstractNum>
  <w:abstractNum w:abstractNumId="295">
    <w:nsid w:val="2586D60E"/>
    <w:multiLevelType w:val="hybridMultilevel"/>
    <w:lvl w:ilvl="0">
      <w:lvlJc w:val="left"/>
      <w:lvlText w:val="(%1)"/>
      <w:numFmt w:val="lowerRoman"/>
      <w:start w:val="1"/>
    </w:lvl>
  </w:abstractNum>
  <w:abstractNum w:abstractNumId="296">
    <w:nsid w:val="1F3DA4D5"/>
    <w:multiLevelType w:val="hybridMultilevel"/>
    <w:lvl w:ilvl="0">
      <w:lvlJc w:val="left"/>
      <w:lvlText w:val="(%1)"/>
      <w:numFmt w:val="lowerLetter"/>
      <w:start w:val="2"/>
    </w:lvl>
  </w:abstractNum>
  <w:abstractNum w:abstractNumId="297">
    <w:nsid w:val="74C93698"/>
    <w:multiLevelType w:val="hybridMultilevel"/>
    <w:lvl w:ilvl="0">
      <w:lvlJc w:val="left"/>
      <w:lvlText w:val="(%1)"/>
      <w:numFmt w:val="lowerLetter"/>
      <w:start w:val="3"/>
    </w:lvl>
  </w:abstractNum>
  <w:abstractNum w:abstractNumId="298">
    <w:nsid w:val="48781401"/>
    <w:multiLevelType w:val="hybridMultilevel"/>
    <w:lvl w:ilvl="0">
      <w:lvlJc w:val="left"/>
      <w:lvlText w:val="(%1)"/>
      <w:numFmt w:val="lowerLetter"/>
      <w:start w:val="2"/>
    </w:lvl>
  </w:abstractNum>
  <w:abstractNum w:abstractNumId="299">
    <w:nsid w:val="186928D6"/>
    <w:multiLevelType w:val="hybridMultilevel"/>
    <w:lvl w:ilvl="0">
      <w:lvlJc w:val="left"/>
      <w:lvlText w:val="(%1)"/>
      <w:numFmt w:val="lowerLetter"/>
      <w:start w:val="6"/>
    </w:lvl>
  </w:abstractNum>
  <w:abstractNum w:abstractNumId="300">
    <w:nsid w:val="47195E5"/>
    <w:multiLevelType w:val="hybridMultilevel"/>
    <w:lvl w:ilvl="0">
      <w:lvlJc w:val="left"/>
      <w:lvlText w:val="(%1)"/>
      <w:numFmt w:val="lowerRoman"/>
      <w:start w:val="2"/>
    </w:lvl>
  </w:abstractNum>
  <w:abstractNum w:abstractNumId="301">
    <w:nsid w:val="3746A5F2"/>
    <w:multiLevelType w:val="hybridMultilevel"/>
    <w:lvl w:ilvl="0">
      <w:lvlJc w:val="left"/>
      <w:lvlText w:val="(%1)"/>
      <w:numFmt w:val="lowerLetter"/>
      <w:start w:val="7"/>
    </w:lvl>
  </w:abstractNum>
  <w:abstractNum w:abstractNumId="302">
    <w:nsid w:val="682DFED6"/>
    <w:multiLevelType w:val="hybridMultilevel"/>
    <w:lvl w:ilvl="0">
      <w:lvlJc w:val="left"/>
      <w:lvlText w:val="(%1)"/>
      <w:numFmt w:val="lowerLetter"/>
      <w:start w:val="2"/>
    </w:lvl>
  </w:abstractNum>
  <w:abstractNum w:abstractNumId="303">
    <w:nsid w:val="606ED7F6"/>
    <w:multiLevelType w:val="hybridMultilevel"/>
    <w:lvl w:ilvl="0">
      <w:lvlJc w:val="left"/>
      <w:lvlText w:val="(%1)"/>
      <w:numFmt w:val="lowerLetter"/>
      <w:start w:val="3"/>
    </w:lvl>
  </w:abstractNum>
  <w:abstractNum w:abstractNumId="304">
    <w:nsid w:val="2D9DF57D"/>
    <w:multiLevelType w:val="hybridMultilevel"/>
    <w:lvl w:ilvl="0">
      <w:lvlJc w:val="left"/>
      <w:lvlText w:val="%1"/>
      <w:numFmt w:val="upperLetter"/>
      <w:start w:val="1"/>
    </w:lvl>
    <w:lvl w:ilvl="1">
      <w:lvlJc w:val="left"/>
      <w:lvlText w:val="(%2)"/>
      <w:numFmt w:val="lowerLetter"/>
      <w:start w:val="2"/>
    </w:lvl>
  </w:abstractNum>
  <w:abstractNum w:abstractNumId="305">
    <w:nsid w:val="7FBD7A3E"/>
    <w:multiLevelType w:val="hybridMultilevel"/>
    <w:lvl w:ilvl="0">
      <w:lvlJc w:val="left"/>
      <w:lvlText w:val="(%1)"/>
      <w:numFmt w:val="upperLetter"/>
      <w:start w:val="1"/>
    </w:lvl>
    <w:lvl w:ilvl="1">
      <w:lvlJc w:val="left"/>
      <w:lvlText w:val="%2"/>
      <w:numFmt w:val="lowerLetter"/>
      <w:start w:val="1"/>
    </w:lvl>
  </w:abstractNum>
  <w:abstractNum w:abstractNumId="306">
    <w:nsid w:val="490B7C5"/>
    <w:multiLevelType w:val="hybridMultilevel"/>
    <w:lvl w:ilvl="0">
      <w:lvlJc w:val="left"/>
      <w:lvlText w:val="(%1)"/>
      <w:numFmt w:val="lowerLetter"/>
      <w:start w:val="1"/>
    </w:lvl>
  </w:abstractNum>
  <w:abstractNum w:abstractNumId="307">
    <w:nsid w:val="4303A216"/>
    <w:multiLevelType w:val="hybridMultilevel"/>
    <w:lvl w:ilvl="0">
      <w:lvlJc w:val="left"/>
      <w:lvlText w:val="%1"/>
      <w:numFmt w:val="lowerLetter"/>
      <w:start w:val="1"/>
    </w:lvl>
    <w:lvl w:ilvl="1">
      <w:lvlJc w:val="left"/>
      <w:lvlText w:val="(%2)"/>
      <w:numFmt w:val="lowerLetter"/>
      <w:start w:val="2"/>
    </w:lvl>
  </w:abstractNum>
  <w:abstractNum w:abstractNumId="308">
    <w:nsid w:val="19B8A08E"/>
    <w:multiLevelType w:val="hybridMultilevel"/>
    <w:lvl w:ilvl="0">
      <w:lvlJc w:val="left"/>
      <w:lvlText w:val="(%1)"/>
      <w:numFmt w:val="lowerLetter"/>
      <w:start w:val="61"/>
    </w:lvl>
    <w:lvl w:ilvl="1">
      <w:lvlJc w:val="left"/>
      <w:lvlText w:val="(%2)"/>
      <w:numFmt w:val="lowerLetter"/>
      <w:start w:val="3"/>
    </w:lvl>
  </w:abstractNum>
  <w:abstractNum w:abstractNumId="309">
    <w:nsid w:val="54B59621"/>
    <w:multiLevelType w:val="hybridMultilevel"/>
    <w:lvl w:ilvl="0">
      <w:lvlJc w:val="left"/>
      <w:lvlText w:val="(%1)"/>
      <w:numFmt w:val="lowerLetter"/>
      <w:start w:val="4"/>
    </w:lvl>
  </w:abstractNum>
  <w:abstractNum w:abstractNumId="310">
    <w:nsid w:val="5992A02E"/>
    <w:multiLevelType w:val="hybridMultilevel"/>
    <w:lvl w:ilvl="0">
      <w:lvlJc w:val="left"/>
      <w:lvlText w:val="(%1)"/>
      <w:numFmt w:val="lowerLetter"/>
      <w:start w:val="3"/>
    </w:lvl>
  </w:abstractNum>
  <w:abstractNum w:abstractNumId="311">
    <w:nsid w:val="29EF532D"/>
    <w:multiLevelType w:val="hybridMultilevel"/>
    <w:lvl w:ilvl="0">
      <w:lvlJc w:val="left"/>
      <w:lvlText w:val="(%1)"/>
      <w:numFmt w:val="lowerLetter"/>
      <w:start w:val="2"/>
    </w:lvl>
  </w:abstractNum>
  <w:abstractNum w:abstractNumId="312">
    <w:nsid w:val="71D601AF"/>
    <w:multiLevelType w:val="hybridMultilevel"/>
    <w:lvl w:ilvl="0">
      <w:lvlJc w:val="left"/>
      <w:lvlText w:val="(%1)"/>
      <w:numFmt w:val="lowerLetter"/>
      <w:start w:val="2"/>
    </w:lvl>
  </w:abstractNum>
  <w:abstractNum w:abstractNumId="313">
    <w:nsid w:val="52C77402"/>
    <w:multiLevelType w:val="hybridMultilevel"/>
    <w:lvl w:ilvl="0">
      <w:lvlJc w:val="left"/>
      <w:lvlText w:val="(%1)"/>
      <w:numFmt w:val="lowerLetter"/>
      <w:start w:val="35"/>
    </w:lvl>
    <w:lvl w:ilvl="1">
      <w:lvlJc w:val="left"/>
      <w:lvlText w:val="(%2)"/>
      <w:numFmt w:val="lowerLetter"/>
      <w:start w:val="2"/>
    </w:lvl>
  </w:abstractNum>
  <w:abstractNum w:abstractNumId="314">
    <w:nsid w:val="2BB5B1C6"/>
    <w:multiLevelType w:val="hybridMultilevel"/>
    <w:lvl w:ilvl="0">
      <w:lvlJc w:val="left"/>
      <w:lvlText w:val="(%1)"/>
      <w:numFmt w:val="lowerLetter"/>
      <w:start w:val="2"/>
    </w:lvl>
  </w:abstractNum>
  <w:abstractNum w:abstractNumId="315">
    <w:nsid w:val="66BE6B9"/>
    <w:multiLevelType w:val="hybridMultilevel"/>
    <w:lvl w:ilvl="0">
      <w:lvlJc w:val="left"/>
      <w:lvlText w:val="(%1)"/>
      <w:numFmt w:val="lowerLetter"/>
      <w:start w:val="2"/>
    </w:lvl>
  </w:abstractNum>
  <w:abstractNum w:abstractNumId="316">
    <w:nsid w:val="62234363"/>
    <w:multiLevelType w:val="hybridMultilevel"/>
    <w:lvl w:ilvl="0">
      <w:lvlJc w:val="left"/>
      <w:lvlText w:val="%1"/>
      <w:numFmt w:val="lowerLetter"/>
      <w:start w:val="1"/>
    </w:lvl>
    <w:lvl w:ilvl="1">
      <w:lvlJc w:val="left"/>
      <w:lvlText w:val="(%2)"/>
      <w:numFmt w:val="lowerLetter"/>
      <w:start w:val="1"/>
    </w:lvl>
  </w:abstractNum>
  <w:abstractNum w:abstractNumId="317">
    <w:nsid w:val="66D385C9"/>
    <w:multiLevelType w:val="hybridMultilevel"/>
    <w:lvl w:ilvl="0">
      <w:lvlJc w:val="left"/>
      <w:lvlText w:val="(%1)"/>
      <w:numFmt w:val="lowerLetter"/>
      <w:start w:val="35"/>
    </w:lvl>
    <w:lvl w:ilvl="1">
      <w:lvlJc w:val="left"/>
      <w:lvlText w:val="(%2)"/>
      <w:numFmt w:val="lowerLetter"/>
      <w:start w:val="4"/>
    </w:lvl>
  </w:abstractNum>
  <w:abstractNum w:abstractNumId="318">
    <w:nsid w:val="596F6D8A"/>
    <w:multiLevelType w:val="hybridMultilevel"/>
    <w:lvl w:ilvl="0">
      <w:lvlJc w:val="left"/>
      <w:lvlText w:val="(%1)"/>
      <w:numFmt w:val="lowerLetter"/>
      <w:start w:val="7"/>
    </w:lvl>
  </w:abstractNum>
  <w:abstractNum w:abstractNumId="319">
    <w:nsid w:val="5749361F"/>
    <w:multiLevelType w:val="hybridMultilevel"/>
    <w:lvl w:ilvl="0">
      <w:lvlJc w:val="left"/>
      <w:lvlText w:val="(%1)"/>
      <w:numFmt w:val="lowerLetter"/>
      <w:start w:val="1"/>
    </w:lvl>
  </w:abstractNum>
  <w:abstractNum w:abstractNumId="320">
    <w:nsid w:val="73BC6770"/>
    <w:multiLevelType w:val="hybridMultilevel"/>
    <w:lvl w:ilvl="0">
      <w:lvlJc w:val="left"/>
      <w:lvlText w:val="(%1)"/>
      <w:numFmt w:val="lowerLetter"/>
      <w:start w:val="4"/>
    </w:lvl>
  </w:abstractNum>
  <w:abstractNum w:abstractNumId="321">
    <w:nsid w:val="280E6897"/>
    <w:multiLevelType w:val="hybridMultilevel"/>
    <w:lvl w:ilvl="0">
      <w:lvlJc w:val="left"/>
      <w:lvlText w:val="(%1)"/>
      <w:numFmt w:val="lowerLetter"/>
      <w:start w:val="1"/>
    </w:lvl>
  </w:abstractNum>
  <w:abstractNum w:abstractNumId="322">
    <w:nsid w:val="605138DE"/>
    <w:multiLevelType w:val="hybridMultilevel"/>
    <w:lvl w:ilvl="0">
      <w:lvlJc w:val="left"/>
      <w:lvlText w:val="(%1)"/>
      <w:numFmt w:val="lowerLetter"/>
      <w:start w:val="1"/>
    </w:lvl>
  </w:abstractNum>
  <w:abstractNum w:abstractNumId="323">
    <w:nsid w:val="2622AD0C"/>
    <w:multiLevelType w:val="hybridMultilevel"/>
    <w:lvl w:ilvl="0">
      <w:lvlJc w:val="left"/>
      <w:lvlText w:val="(%1)"/>
      <w:numFmt w:val="lowerLetter"/>
      <w:start w:val="3"/>
    </w:lvl>
  </w:abstractNum>
  <w:abstractNum w:abstractNumId="324">
    <w:nsid w:val="67997556"/>
    <w:multiLevelType w:val="hybridMultilevel"/>
    <w:lvl w:ilvl="0">
      <w:lvlJc w:val="left"/>
      <w:lvlText w:val="(%1)"/>
      <w:numFmt w:val="lowerLetter"/>
      <w:start w:val="1"/>
    </w:lvl>
  </w:abstractNum>
  <w:abstractNum w:abstractNumId="325">
    <w:nsid w:val="18333C89"/>
    <w:multiLevelType w:val="hybridMultilevel"/>
    <w:lvl w:ilvl="0">
      <w:lvlJc w:val="left"/>
      <w:lvlText w:val="(%1)"/>
      <w:numFmt w:val="lowerLetter"/>
      <w:start w:val="3"/>
    </w:lvl>
  </w:abstractNum>
  <w:abstractNum w:abstractNumId="326">
    <w:nsid w:val="4BA9831A"/>
    <w:multiLevelType w:val="hybridMultilevel"/>
    <w:lvl w:ilvl="0">
      <w:lvlJc w:val="left"/>
      <w:lvlText w:val="(%1)"/>
      <w:numFmt w:val="lowerRoman"/>
      <w:start w:val="2"/>
    </w:lvl>
  </w:abstractNum>
  <w:abstractNum w:abstractNumId="327">
    <w:nsid w:val="6D71A2B"/>
    <w:multiLevelType w:val="hybridMultilevel"/>
    <w:lvl w:ilvl="0">
      <w:lvlJc w:val="left"/>
      <w:lvlText w:val="%1"/>
      <w:numFmt w:val="lowerLetter"/>
      <w:start w:val="1"/>
    </w:lvl>
    <w:lvl w:ilvl="1">
      <w:lvlJc w:val="left"/>
      <w:lvlText w:val="(%2)"/>
      <w:numFmt w:val="lowerLetter"/>
      <w:start w:val="2"/>
    </w:lvl>
  </w:abstractNum>
  <w:abstractNum w:abstractNumId="328">
    <w:nsid w:val="CFC7321"/>
    <w:multiLevelType w:val="hybridMultilevel"/>
    <w:lvl w:ilvl="0">
      <w:lvlJc w:val="left"/>
      <w:lvlText w:val="(%1)"/>
      <w:numFmt w:val="lowerLetter"/>
      <w:start w:val="61"/>
    </w:lvl>
    <w:lvl w:ilvl="1">
      <w:lvlJc w:val="left"/>
      <w:lvlText w:val="%2"/>
      <w:numFmt w:val="lowerLetter"/>
      <w:start w:val="1"/>
    </w:lvl>
  </w:abstractNum>
  <w:abstractNum w:abstractNumId="329">
    <w:nsid w:val="1421971B"/>
    <w:multiLevelType w:val="hybridMultilevel"/>
    <w:lvl w:ilvl="0">
      <w:lvlJc w:val="left"/>
      <w:lvlText w:val="(%1)"/>
      <w:numFmt w:val="lowerLetter"/>
      <w:start w:val="1"/>
    </w:lvl>
  </w:abstractNum>
  <w:abstractNum w:abstractNumId="330">
    <w:nsid w:val="1F404301"/>
    <w:multiLevelType w:val="hybridMultilevel"/>
    <w:lvl w:ilvl="0">
      <w:lvlJc w:val="left"/>
      <w:lvlText w:val="%1"/>
      <w:numFmt w:val="lowerLetter"/>
      <w:start w:val="1"/>
    </w:lvl>
    <w:lvl w:ilvl="1">
      <w:lvlJc w:val="left"/>
      <w:lvlText w:val="(%2)"/>
      <w:numFmt w:val="lowerLetter"/>
      <w:start w:val="5"/>
    </w:lvl>
  </w:abstractNum>
  <w:abstractNum w:abstractNumId="331">
    <w:nsid w:val="116E0907"/>
    <w:multiLevelType w:val="hybridMultilevel"/>
    <w:lvl w:ilvl="0">
      <w:lvlJc w:val="left"/>
      <w:lvlText w:val="(%1)"/>
      <w:numFmt w:val="lowerLetter"/>
      <w:start w:val="35"/>
    </w:lvl>
    <w:lvl w:ilvl="1">
      <w:lvlJc w:val="left"/>
      <w:lvlText w:val="(%2)"/>
      <w:numFmt w:val="lowerLetter"/>
      <w:start w:val="7"/>
    </w:lvl>
  </w:abstractNum>
  <w:abstractNum w:abstractNumId="332">
    <w:nsid w:val="4B683D0D"/>
    <w:multiLevelType w:val="hybridMultilevel"/>
    <w:lvl w:ilvl="0">
      <w:lvlJc w:val="left"/>
      <w:lvlText w:val="(%1)"/>
      <w:numFmt w:val="lowerLetter"/>
      <w:start w:val="12"/>
    </w:lvl>
  </w:abstractNum>
  <w:abstractNum w:abstractNumId="333">
    <w:nsid w:val="76E41D8"/>
    <w:multiLevelType w:val="hybridMultilevel"/>
    <w:lvl w:ilvl="0">
      <w:lvlJc w:val="left"/>
      <w:lvlText w:val="%1"/>
      <w:numFmt w:val="lowerLetter"/>
      <w:start w:val="1"/>
    </w:lvl>
    <w:lvl w:ilvl="1">
      <w:lvlJc w:val="left"/>
      <w:lvlText w:val="(%2)"/>
      <w:numFmt w:val="lowerLetter"/>
      <w:start w:val="1"/>
    </w:lvl>
  </w:abstractNum>
  <w:abstractNum w:abstractNumId="334">
    <w:nsid w:val="71DCE0FD"/>
    <w:multiLevelType w:val="hybridMultilevel"/>
    <w:lvl w:ilvl="0">
      <w:lvlJc w:val="left"/>
      <w:lvlText w:val="(%1)"/>
      <w:numFmt w:val="lowerLetter"/>
      <w:start w:val="9"/>
    </w:lvl>
    <w:lvl w:ilvl="1">
      <w:lvlJc w:val="left"/>
      <w:lvlText w:val="%2"/>
      <w:numFmt w:val="lowerLetter"/>
      <w:start w:val="1"/>
    </w:lvl>
  </w:abstractNum>
  <w:abstractNum w:abstractNumId="335">
    <w:nsid w:val="7906328B"/>
    <w:multiLevelType w:val="hybridMultilevel"/>
    <w:lvl w:ilvl="0">
      <w:lvlJc w:val="left"/>
      <w:lvlText w:val="(%1)"/>
      <w:numFmt w:val="lowerLetter"/>
      <w:start w:val="3"/>
    </w:lvl>
  </w:abstractNum>
  <w:abstractNum w:abstractNumId="336">
    <w:nsid w:val="72BBC16"/>
    <w:multiLevelType w:val="hybridMultilevel"/>
    <w:lvl w:ilvl="0">
      <w:lvlJc w:val="left"/>
      <w:lvlText w:val="(%1)"/>
      <w:numFmt w:val="lowerLetter"/>
      <w:start w:val="8"/>
    </w:lvl>
  </w:abstractNum>
  <w:abstractNum w:abstractNumId="337">
    <w:nsid w:val="766D98C2"/>
    <w:multiLevelType w:val="hybridMultilevel"/>
    <w:lvl w:ilvl="0">
      <w:lvlJc w:val="left"/>
      <w:lvlText w:val="(%1)"/>
      <w:numFmt w:val="lowerLetter"/>
      <w:start w:val="1"/>
    </w:lvl>
  </w:abstractNum>
  <w:abstractNum w:abstractNumId="338">
    <w:nsid w:val="3C09D4A1"/>
    <w:multiLevelType w:val="hybridMultilevel"/>
    <w:lvl w:ilvl="0">
      <w:lvlJc w:val="left"/>
      <w:lvlText w:val="(%1)"/>
      <w:numFmt w:val="lowerLetter"/>
      <w:start w:val="2"/>
    </w:lvl>
  </w:abstractNum>
  <w:abstractNum w:abstractNumId="339">
    <w:nsid w:val="20E45CA4"/>
    <w:multiLevelType w:val="hybridMultilevel"/>
    <w:lvl w:ilvl="0">
      <w:lvlJc w:val="left"/>
      <w:lvlText w:val="(%1)"/>
      <w:numFmt w:val="upperLetter"/>
      <w:start w:val="1"/>
    </w:lvl>
  </w:abstractNum>
  <w:abstractNum w:abstractNumId="340">
    <w:nsid w:val="4B232EE3"/>
    <w:multiLevelType w:val="hybridMultilevel"/>
    <w:lvl w:ilvl="0">
      <w:lvlJc w:val="left"/>
      <w:lvlText w:val="(%1)"/>
      <w:numFmt w:val="lowerLetter"/>
      <w:start w:val="2"/>
    </w:lvl>
  </w:abstractNum>
  <w:abstractNum w:abstractNumId="341">
    <w:nsid w:val="159C74CF"/>
    <w:multiLevelType w:val="hybridMultilevel"/>
    <w:lvl w:ilvl="0">
      <w:lvlJc w:val="left"/>
      <w:lvlText w:val="(%1)"/>
      <w:numFmt w:val="upperLetter"/>
      <w:start w:val="2"/>
    </w:lvl>
  </w:abstractNum>
  <w:abstractNum w:abstractNumId="342">
    <w:nsid w:val="4AD3AFD2"/>
    <w:multiLevelType w:val="hybridMultilevel"/>
    <w:lvl w:ilvl="0">
      <w:lvlJc w:val="left"/>
      <w:lvlText w:val="(%1)"/>
      <w:numFmt w:val="lowerLetter"/>
      <w:start w:val="1"/>
    </w:lvl>
  </w:abstractNum>
  <w:abstractNum w:abstractNumId="343">
    <w:nsid w:val="3CF93092"/>
    <w:multiLevelType w:val="hybridMultilevel"/>
    <w:lvl w:ilvl="0">
      <w:lvlJc w:val="left"/>
      <w:lvlText w:val="(%1)"/>
      <w:numFmt w:val="lowerLetter"/>
      <w:start w:val="3"/>
    </w:lvl>
  </w:abstractNum>
  <w:abstractNum w:abstractNumId="344">
    <w:nsid w:val="6863E8D2"/>
    <w:multiLevelType w:val="hybridMultilevel"/>
    <w:lvl w:ilvl="0">
      <w:lvlJc w:val="left"/>
      <w:lvlText w:val="%1"/>
      <w:numFmt w:val="lowerLetter"/>
      <w:start w:val="1"/>
    </w:lvl>
    <w:lvl w:ilvl="1">
      <w:lvlJc w:val="left"/>
      <w:lvlText w:val="(%2)"/>
      <w:numFmt w:val="lowerLetter"/>
      <w:start w:val="8"/>
    </w:lvl>
  </w:abstractNum>
  <w:abstractNum w:abstractNumId="345">
    <w:nsid w:val="76896198"/>
    <w:multiLevelType w:val="hybridMultilevel"/>
    <w:lvl w:ilvl="0">
      <w:lvlJc w:val="left"/>
      <w:lvlText w:val="(%1)"/>
      <w:numFmt w:val="lowerLetter"/>
      <w:start w:val="35"/>
    </w:lvl>
    <w:lvl w:ilvl="1">
      <w:lvlJc w:val="left"/>
      <w:lvlText w:val="(%2)"/>
      <w:numFmt w:val="lowerLetter"/>
      <w:start w:val="9"/>
    </w:lvl>
  </w:abstractNum>
  <w:abstractNum w:abstractNumId="346">
    <w:nsid w:val="4365174B"/>
    <w:multiLevelType w:val="hybridMultilevel"/>
    <w:lvl w:ilvl="0">
      <w:lvlJc w:val="left"/>
      <w:lvlText w:val="(%1)"/>
      <w:numFmt w:val="upperLetter"/>
      <w:start w:val="2"/>
    </w:lvl>
  </w:abstractNum>
  <w:abstractNum w:abstractNumId="347">
    <w:nsid w:val="4A872C35"/>
    <w:multiLevelType w:val="hybridMultilevel"/>
    <w:lvl w:ilvl="0">
      <w:lvlJc w:val="left"/>
      <w:lvlText w:val="(%1)"/>
      <w:numFmt w:val="decimal"/>
      <w:start w:val="2"/>
    </w:lvl>
  </w:abstractNum>
  <w:abstractNum w:abstractNumId="348">
    <w:nsid w:val="5D5CE761"/>
    <w:multiLevelType w:val="hybridMultilevel"/>
    <w:lvl w:ilvl="0">
      <w:lvlJc w:val="left"/>
      <w:lvlText w:val="(%1)"/>
      <w:numFmt w:val="lowerLetter"/>
      <w:start w:val="1"/>
    </w:lvl>
  </w:abstractNum>
  <w:abstractNum w:abstractNumId="349">
    <w:nsid w:val="1CD484D5"/>
    <w:multiLevelType w:val="hybridMultilevel"/>
    <w:lvl w:ilvl="0">
      <w:lvlJc w:val="left"/>
      <w:lvlText w:val="(%1)"/>
      <w:numFmt w:val="upperLetter"/>
      <w:start w:val="3"/>
    </w:lvl>
  </w:abstractNum>
  <w:abstractNum w:abstractNumId="350">
    <w:nsid w:val="21D06255"/>
    <w:multiLevelType w:val="hybridMultilevel"/>
    <w:lvl w:ilvl="0">
      <w:lvlJc w:val="left"/>
      <w:lvlText w:val="(%1)"/>
      <w:numFmt w:val="lowerRoman"/>
      <w:start w:val="1"/>
    </w:lvl>
  </w:abstractNum>
  <w:abstractNum w:abstractNumId="351">
    <w:nsid w:val="51194ED1"/>
    <w:multiLevelType w:val="hybridMultilevel"/>
    <w:lvl w:ilvl="0">
      <w:lvlJc w:val="left"/>
      <w:lvlText w:val="%1"/>
      <w:numFmt w:val="lowerLetter"/>
      <w:start w:val="1"/>
    </w:lvl>
    <w:lvl w:ilvl="1">
      <w:lvlJc w:val="left"/>
      <w:lvlText w:val="(%2)"/>
      <w:numFmt w:val="lowerLetter"/>
      <w:start w:val="2"/>
    </w:lvl>
  </w:abstractNum>
  <w:abstractNum w:abstractNumId="352">
    <w:nsid w:val="44E2ED6C"/>
    <w:multiLevelType w:val="hybridMultilevel"/>
    <w:lvl w:ilvl="0">
      <w:lvlJc w:val="left"/>
      <w:lvlText w:val="(%1)"/>
      <w:numFmt w:val="lowerLetter"/>
      <w:start w:val="35"/>
    </w:lvl>
    <w:lvl w:ilvl="1">
      <w:lvlJc w:val="left"/>
      <w:lvlText w:val="%2"/>
      <w:numFmt w:val="lowerLetter"/>
      <w:start w:val="1"/>
    </w:lvl>
  </w:abstractNum>
  <w:abstractNum w:abstractNumId="353">
    <w:nsid w:val="2219B33"/>
    <w:multiLevelType w:val="hybridMultilevel"/>
    <w:lvl w:ilvl="0">
      <w:lvlJc w:val="left"/>
      <w:lvlText w:val="(%1)"/>
      <w:numFmt w:val="lowerLetter"/>
      <w:start w:val="3"/>
    </w:lvl>
  </w:abstractNum>
  <w:abstractNum w:abstractNumId="354">
    <w:nsid w:val="773BFBDD"/>
    <w:multiLevelType w:val="hybridMultilevel"/>
    <w:lvl w:ilvl="0">
      <w:lvlJc w:val="left"/>
      <w:lvlText w:val="(%1)"/>
      <w:numFmt w:val="lowerLetter"/>
      <w:start w:val="2"/>
    </w:lvl>
  </w:abstractNum>
  <w:abstractNum w:abstractNumId="355">
    <w:nsid w:val="2C7C62C2"/>
    <w:multiLevelType w:val="hybridMultilevel"/>
    <w:lvl w:ilvl="0">
      <w:lvlJc w:val="left"/>
      <w:lvlText w:val="(%1)"/>
      <w:numFmt w:val="lowerRoman"/>
      <w:start w:val="1"/>
    </w:lvl>
  </w:abstractNum>
  <w:abstractNum w:abstractNumId="356">
    <w:nsid w:val="1A54D7BC"/>
    <w:multiLevelType w:val="hybridMultilevel"/>
    <w:lvl w:ilvl="0">
      <w:lvlJc w:val="left"/>
      <w:lvlText w:val="(%1)"/>
      <w:numFmt w:val="lowerRoman"/>
      <w:start w:val="2"/>
    </w:lvl>
  </w:abstractNum>
  <w:abstractNum w:abstractNumId="357">
    <w:nsid w:val="42E57EF7"/>
    <w:multiLevelType w:val="hybridMultilevel"/>
    <w:lvl w:ilvl="0">
      <w:lvlJc w:val="left"/>
      <w:lvlText w:val="(%1)"/>
      <w:numFmt w:val="lowerLetter"/>
      <w:start w:val="4"/>
    </w:lvl>
  </w:abstractNum>
  <w:abstractNum w:abstractNumId="358">
    <w:nsid w:val="33537CED"/>
    <w:multiLevelType w:val="hybridMultilevel"/>
    <w:lvl w:ilvl="0">
      <w:lvlJc w:val="left"/>
      <w:lvlText w:val="(%1)"/>
      <w:numFmt w:val="lowerLetter"/>
      <w:start w:val="2"/>
    </w:lvl>
  </w:abstractNum>
  <w:abstractNum w:abstractNumId="359">
    <w:nsid w:val="27514ADE"/>
    <w:multiLevelType w:val="hybridMultilevel"/>
    <w:lvl w:ilvl="0">
      <w:lvlJc w:val="left"/>
      <w:lvlText w:val="(%1)"/>
      <w:numFmt w:val="lowerLetter"/>
      <w:start w:val="3"/>
    </w:lvl>
  </w:abstractNum>
  <w:abstractNum w:abstractNumId="360">
    <w:nsid w:val="57071613"/>
    <w:multiLevelType w:val="hybridMultilevel"/>
    <w:lvl w:ilvl="0">
      <w:lvlJc w:val="left"/>
      <w:lvlText w:val="(%1)"/>
      <w:numFmt w:val="lowerLetter"/>
      <w:start w:val="4"/>
    </w:lvl>
  </w:abstractNum>
  <w:abstractNum w:abstractNumId="361">
    <w:nsid w:val="5293BFEF"/>
    <w:multiLevelType w:val="hybridMultilevel"/>
    <w:lvl w:ilvl="0">
      <w:lvlJc w:val="left"/>
      <w:lvlText w:val="(%1)"/>
      <w:numFmt w:val="lowerLetter"/>
      <w:start w:val="2"/>
    </w:lvl>
  </w:abstractNum>
  <w:abstractNum w:abstractNumId="362">
    <w:nsid w:val="38BF53E5"/>
    <w:multiLevelType w:val="hybridMultilevel"/>
    <w:lvl w:ilvl="0">
      <w:lvlJc w:val="left"/>
      <w:lvlText w:val="%1"/>
      <w:numFmt w:val="lowerLetter"/>
      <w:start w:val="1"/>
    </w:lvl>
    <w:lvl w:ilvl="1">
      <w:lvlJc w:val="left"/>
      <w:lvlText w:val="(%2)"/>
      <w:numFmt w:val="upperLetter"/>
      <w:start w:val="1"/>
    </w:lvl>
  </w:abstractNum>
  <w:abstractNum w:abstractNumId="363">
    <w:nsid w:val="226F5320"/>
    <w:multiLevelType w:val="hybridMultilevel"/>
    <w:lvl w:ilvl="0">
      <w:lvlJc w:val="left"/>
      <w:lvlText w:val="(%1)"/>
      <w:numFmt w:val="lowerLetter"/>
      <w:start w:val="24"/>
    </w:lvl>
    <w:lvl w:ilvl="1">
      <w:lvlJc w:val="left"/>
      <w:lvlText w:val="%2"/>
      <w:numFmt w:val="upperLetter"/>
      <w:start w:val="1"/>
    </w:lvl>
  </w:abstractNum>
  <w:abstractNum w:abstractNumId="364">
    <w:nsid w:val="5A0201C7"/>
    <w:multiLevelType w:val="hybridMultilevel"/>
    <w:lvl w:ilvl="0">
      <w:lvlJc w:val="left"/>
      <w:lvlText w:val="(%1)"/>
      <w:numFmt w:val="lowerLetter"/>
      <w:start w:val="8"/>
    </w:lvl>
    <w:lvl w:ilvl="1">
      <w:lvlJc w:val="left"/>
      <w:lvlText w:val="(%2)"/>
      <w:numFmt w:val="upperLetter"/>
      <w:start w:val="2"/>
    </w:lvl>
  </w:abstractNum>
  <w:abstractNum w:abstractNumId="365">
    <w:nsid w:val="2A9C34E2"/>
    <w:multiLevelType w:val="hybridMultilevel"/>
    <w:lvl w:ilvl="0">
      <w:lvlJc w:val="left"/>
      <w:lvlText w:val="(%1)"/>
      <w:numFmt w:val="lowerLetter"/>
      <w:start w:val="35"/>
    </w:lvl>
    <w:lvl w:ilvl="1">
      <w:lvlJc w:val="left"/>
      <w:lvlText w:val="(%2)"/>
      <w:numFmt w:val="upperLetter"/>
      <w:start w:val="1"/>
    </w:lvl>
  </w:abstractNum>
  <w:abstractNum w:abstractNumId="366">
    <w:nsid w:val="1B7585AB"/>
    <w:multiLevelType w:val="hybridMultilevel"/>
    <w:lvl w:ilvl="0">
      <w:lvlJc w:val="left"/>
      <w:lvlText w:val="(%1)"/>
      <w:numFmt w:val="lowerLetter"/>
      <w:start w:val="8"/>
    </w:lvl>
    <w:lvl w:ilvl="1">
      <w:lvlJc w:val="left"/>
      <w:lvlText w:val="(%2)"/>
      <w:numFmt w:val="upperLetter"/>
      <w:start w:val="2"/>
    </w:lvl>
  </w:abstractNum>
  <w:abstractNum w:abstractNumId="367">
    <w:nsid w:val="612DBDDD"/>
    <w:multiLevelType w:val="hybridMultilevel"/>
    <w:lvl w:ilvl="0">
      <w:lvlJc w:val="left"/>
      <w:lvlText w:val="%1"/>
      <w:numFmt w:val="lowerRoman"/>
      <w:start w:val="1"/>
    </w:lvl>
    <w:lvl w:ilvl="1">
      <w:lvlJc w:val="left"/>
      <w:lvlText w:val="(%2)"/>
      <w:numFmt w:val="upperLetter"/>
      <w:start w:val="3"/>
    </w:lvl>
  </w:abstractNum>
  <w:abstractNum w:abstractNumId="368">
    <w:nsid w:val="2109CDA4"/>
    <w:multiLevelType w:val="hybridMultilevel"/>
    <w:lvl w:ilvl="0">
      <w:lvlJc w:val="left"/>
      <w:lvlText w:val="(%1)"/>
      <w:numFmt w:val="lowerRoman"/>
      <w:start w:val="3"/>
    </w:lvl>
    <w:lvl w:ilvl="1">
      <w:lvlJc w:val="left"/>
      <w:lvlText w:val="%2"/>
      <w:numFmt w:val="upperLetter"/>
      <w:start w:val="1"/>
    </w:lvl>
  </w:abstractNum>
  <w:abstractNum w:abstractNumId="369">
    <w:nsid w:val="577F5A4D"/>
    <w:multiLevelType w:val="hybridMultilevel"/>
    <w:lvl w:ilvl="0">
      <w:lvlJc w:val="left"/>
      <w:lvlText w:val="(%1)"/>
      <w:numFmt w:val="lowerRoman"/>
      <w:start w:val="5"/>
    </w:lvl>
  </w:abstractNum>
  <w:abstractNum w:abstractNumId="370">
    <w:nsid w:val="2121A81"/>
    <w:multiLevelType w:val="hybridMultilevel"/>
    <w:lvl w:ilvl="0">
      <w:lvlJc w:val="left"/>
      <w:lvlText w:val="(%1)"/>
      <w:numFmt w:val="lowerLetter"/>
      <w:start w:val="2"/>
    </w:lvl>
    <w:lvl w:ilvl="1">
      <w:lvlJc w:val="left"/>
      <w:lvlText w:val="(%2)"/>
      <w:numFmt w:val="lowerLetter"/>
      <w:start w:val="35"/>
    </w:lvl>
    <w:lvl w:ilvl="2">
      <w:lvlJc w:val="left"/>
      <w:lvlText w:val="(%3)"/>
      <w:numFmt w:val="lowerLetter"/>
      <w:start w:val="4"/>
    </w:lvl>
  </w:abstractNum>
  <w:abstractNum w:abstractNumId="371">
    <w:nsid w:val="6C2CFC88"/>
    <w:multiLevelType w:val="hybridMultilevel"/>
    <w:lvl w:ilvl="0">
      <w:lvlJc w:val="left"/>
      <w:lvlText w:val="(%1)"/>
      <w:numFmt w:val="lowerLetter"/>
      <w:start w:val="1"/>
    </w:lvl>
  </w:abstractNum>
  <w:abstractNum w:abstractNumId="372">
    <w:nsid w:val="6D1BCF1C"/>
    <w:multiLevelType w:val="hybridMultilevel"/>
    <w:lvl w:ilvl="0">
      <w:lvlJc w:val="left"/>
      <w:lvlText w:val="(%1)"/>
      <w:numFmt w:val="lowerLetter"/>
      <w:start w:val="2"/>
    </w:lvl>
  </w:abstractNum>
  <w:abstractNum w:abstractNumId="373">
    <w:nsid w:val="4CE5CA53"/>
    <w:multiLevelType w:val="hybridMultilevel"/>
    <w:lvl w:ilvl="0">
      <w:lvlJc w:val="left"/>
      <w:lvlText w:val="(%1)"/>
      <w:numFmt w:val="lowerLetter"/>
      <w:start w:val="2"/>
    </w:lvl>
  </w:abstractNum>
  <w:abstractNum w:abstractNumId="374">
    <w:nsid w:val="29262D1A"/>
    <w:multiLevelType w:val="hybridMultilevel"/>
    <w:lvl w:ilvl="0">
      <w:lvlJc w:val="left"/>
      <w:lvlText w:val="(%1)"/>
      <w:numFmt w:val="lowerLetter"/>
      <w:start w:val="2"/>
    </w:lvl>
  </w:abstractNum>
  <w:abstractNum w:abstractNumId="375">
    <w:nsid w:val="557FB7EE"/>
    <w:multiLevelType w:val="hybridMultilevel"/>
    <w:lvl w:ilvl="0">
      <w:lvlJc w:val="left"/>
      <w:lvlText w:val="%1"/>
      <w:numFmt w:val="lowerRoman"/>
      <w:start w:val="1"/>
    </w:lvl>
    <w:lvl w:ilvl="1">
      <w:lvlJc w:val="left"/>
      <w:lvlText w:val="(%2)"/>
      <w:numFmt w:val="lowerLetter"/>
      <w:start w:val="1"/>
    </w:lvl>
  </w:abstractNum>
  <w:abstractNum w:abstractNumId="376">
    <w:nsid w:val="436F2BEB"/>
    <w:multiLevelType w:val="hybridMultilevel"/>
    <w:lvl w:ilvl="0">
      <w:lvlJc w:val="left"/>
      <w:lvlText w:val="(%1)"/>
      <w:numFmt w:val="lowerRoman"/>
      <w:start w:val="1"/>
    </w:lvl>
    <w:lvl w:ilvl="1">
      <w:lvlJc w:val="left"/>
      <w:lvlText w:val="%2"/>
      <w:numFmt w:val="lowerLetter"/>
      <w:start w:val="1"/>
    </w:lvl>
  </w:abstractNum>
  <w:abstractNum w:abstractNumId="377">
    <w:nsid w:val="6C8B4466"/>
    <w:multiLevelType w:val="hybridMultilevel"/>
    <w:lvl w:ilvl="0">
      <w:lvlJc w:val="left"/>
      <w:lvlText w:val="(%1)"/>
      <w:numFmt w:val="lowerRoman"/>
      <w:start w:val="3"/>
    </w:lvl>
  </w:abstractNum>
  <w:abstractNum w:abstractNumId="378">
    <w:nsid w:val="2006E424"/>
    <w:multiLevelType w:val="hybridMultilevel"/>
    <w:lvl w:ilvl="0">
      <w:lvlJc w:val="left"/>
      <w:lvlText w:val="(%1)"/>
      <w:numFmt w:val="lowerLetter"/>
      <w:start w:val="1"/>
    </w:lvl>
  </w:abstractNum>
  <w:abstractNum w:abstractNumId="379">
    <w:nsid w:val="20CC134C"/>
    <w:multiLevelType w:val="hybridMultilevel"/>
    <w:lvl w:ilvl="0">
      <w:lvlJc w:val="left"/>
      <w:lvlText w:val="(%1)"/>
      <w:numFmt w:val="lowerLetter"/>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pn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pn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png"/><Relationship Id="rId394" Type="http://schemas.openxmlformats.org/officeDocument/2006/relationships/image" Target="media/image387.png"/><Relationship Id="rId395" Type="http://schemas.openxmlformats.org/officeDocument/2006/relationships/image" Target="media/image388.png"/><Relationship Id="rId396" Type="http://schemas.openxmlformats.org/officeDocument/2006/relationships/image" Target="media/image389.png"/><Relationship Id="rId397" Type="http://schemas.openxmlformats.org/officeDocument/2006/relationships/image" Target="media/image390.png"/><Relationship Id="rId398" Type="http://schemas.openxmlformats.org/officeDocument/2006/relationships/image" Target="media/image391.png"/><Relationship Id="rId399" Type="http://schemas.openxmlformats.org/officeDocument/2006/relationships/image" Target="media/image392.png"/><Relationship Id="rId400" Type="http://schemas.openxmlformats.org/officeDocument/2006/relationships/image" Target="media/image393.png"/><Relationship Id="rId401" Type="http://schemas.openxmlformats.org/officeDocument/2006/relationships/image" Target="media/image394.png"/><Relationship Id="rId402" Type="http://schemas.openxmlformats.org/officeDocument/2006/relationships/image" Target="media/image395.png"/><Relationship Id="rId403" Type="http://schemas.openxmlformats.org/officeDocument/2006/relationships/image" Target="media/image396.png"/><Relationship Id="rId404" Type="http://schemas.openxmlformats.org/officeDocument/2006/relationships/image" Target="media/image397.png"/><Relationship Id="rId405" Type="http://schemas.openxmlformats.org/officeDocument/2006/relationships/image" Target="media/image398.png"/><Relationship Id="rId406" Type="http://schemas.openxmlformats.org/officeDocument/2006/relationships/image" Target="media/image399.png"/><Relationship Id="rId407" Type="http://schemas.openxmlformats.org/officeDocument/2006/relationships/image" Target="media/image400.png"/><Relationship Id="rId408" Type="http://schemas.openxmlformats.org/officeDocument/2006/relationships/image" Target="media/image401.png"/><Relationship Id="rId409" Type="http://schemas.openxmlformats.org/officeDocument/2006/relationships/image" Target="media/image402.png"/><Relationship Id="rId410" Type="http://schemas.openxmlformats.org/officeDocument/2006/relationships/image" Target="media/image403.png"/><Relationship Id="rId411" Type="http://schemas.openxmlformats.org/officeDocument/2006/relationships/image" Target="media/image404.png"/><Relationship Id="rId412" Type="http://schemas.openxmlformats.org/officeDocument/2006/relationships/image" Target="media/image405.png"/><Relationship Id="rId413" Type="http://schemas.openxmlformats.org/officeDocument/2006/relationships/image" Target="media/image406.png"/><Relationship Id="rId414" Type="http://schemas.openxmlformats.org/officeDocument/2006/relationships/image" Target="media/image407.png"/><Relationship Id="rId415" Type="http://schemas.openxmlformats.org/officeDocument/2006/relationships/image" Target="media/image408.png"/><Relationship Id="rId416" Type="http://schemas.openxmlformats.org/officeDocument/2006/relationships/image" Target="media/image409.png"/><Relationship Id="rId417" Type="http://schemas.openxmlformats.org/officeDocument/2006/relationships/image" Target="media/image410.png"/><Relationship Id="rId418" Type="http://schemas.openxmlformats.org/officeDocument/2006/relationships/image" Target="media/image411.png"/><Relationship Id="rId419" Type="http://schemas.openxmlformats.org/officeDocument/2006/relationships/image" Target="media/image412.png"/><Relationship Id="rId420" Type="http://schemas.openxmlformats.org/officeDocument/2006/relationships/image" Target="media/image413.png"/><Relationship Id="rId421" Type="http://schemas.openxmlformats.org/officeDocument/2006/relationships/image" Target="media/image414.png"/><Relationship Id="rId422" Type="http://schemas.openxmlformats.org/officeDocument/2006/relationships/image" Target="media/image415.png"/><Relationship Id="rId423" Type="http://schemas.openxmlformats.org/officeDocument/2006/relationships/image" Target="media/image416.png"/><Relationship Id="rId424" Type="http://schemas.openxmlformats.org/officeDocument/2006/relationships/image" Target="media/image417.png"/><Relationship Id="rId425" Type="http://schemas.openxmlformats.org/officeDocument/2006/relationships/image" Target="media/image418.png"/><Relationship Id="rId426" Type="http://schemas.openxmlformats.org/officeDocument/2006/relationships/image" Target="media/image419.png"/><Relationship Id="rId427" Type="http://schemas.openxmlformats.org/officeDocument/2006/relationships/image" Target="media/image420.png"/><Relationship Id="rId428" Type="http://schemas.openxmlformats.org/officeDocument/2006/relationships/image" Target="media/image421.png"/><Relationship Id="rId429" Type="http://schemas.openxmlformats.org/officeDocument/2006/relationships/image" Target="media/image422.png"/><Relationship Id="rId430" Type="http://schemas.openxmlformats.org/officeDocument/2006/relationships/image" Target="media/image423.png"/><Relationship Id="rId431" Type="http://schemas.openxmlformats.org/officeDocument/2006/relationships/image" Target="media/image424.png"/><Relationship Id="rId432" Type="http://schemas.openxmlformats.org/officeDocument/2006/relationships/image" Target="media/image425.png"/><Relationship Id="rId433" Type="http://schemas.openxmlformats.org/officeDocument/2006/relationships/image" Target="media/image426.png"/><Relationship Id="rId434" Type="http://schemas.openxmlformats.org/officeDocument/2006/relationships/image" Target="media/image427.png"/><Relationship Id="rId435" Type="http://schemas.openxmlformats.org/officeDocument/2006/relationships/image" Target="media/image428.png"/><Relationship Id="rId436" Type="http://schemas.openxmlformats.org/officeDocument/2006/relationships/image" Target="media/image429.png"/><Relationship Id="rId437" Type="http://schemas.openxmlformats.org/officeDocument/2006/relationships/image" Target="media/image430.png"/><Relationship Id="rId438" Type="http://schemas.openxmlformats.org/officeDocument/2006/relationships/image" Target="media/image431.png"/><Relationship Id="rId439" Type="http://schemas.openxmlformats.org/officeDocument/2006/relationships/image" Target="media/image432.png"/><Relationship Id="rId440" Type="http://schemas.openxmlformats.org/officeDocument/2006/relationships/image" Target="media/image433.png"/><Relationship Id="rId441" Type="http://schemas.openxmlformats.org/officeDocument/2006/relationships/image" Target="media/image434.png"/><Relationship Id="rId442" Type="http://schemas.openxmlformats.org/officeDocument/2006/relationships/image" Target="media/image435.png"/><Relationship Id="rId443" Type="http://schemas.openxmlformats.org/officeDocument/2006/relationships/image" Target="media/image436.png"/><Relationship Id="rId444" Type="http://schemas.openxmlformats.org/officeDocument/2006/relationships/image" Target="media/image437.png"/><Relationship Id="rId445" Type="http://schemas.openxmlformats.org/officeDocument/2006/relationships/image" Target="media/image438.png"/><Relationship Id="rId446" Type="http://schemas.openxmlformats.org/officeDocument/2006/relationships/image" Target="media/image439.png"/><Relationship Id="rId447" Type="http://schemas.openxmlformats.org/officeDocument/2006/relationships/image" Target="media/image440.png"/><Relationship Id="rId448" Type="http://schemas.openxmlformats.org/officeDocument/2006/relationships/image" Target="media/image441.png"/><Relationship Id="rId449" Type="http://schemas.openxmlformats.org/officeDocument/2006/relationships/image" Target="media/image442.png"/><Relationship Id="rId450" Type="http://schemas.openxmlformats.org/officeDocument/2006/relationships/image" Target="media/image443.png"/><Relationship Id="rId451" Type="http://schemas.openxmlformats.org/officeDocument/2006/relationships/image" Target="media/image444.png"/><Relationship Id="rId452" Type="http://schemas.openxmlformats.org/officeDocument/2006/relationships/image" Target="media/image445.png"/><Relationship Id="rId453" Type="http://schemas.openxmlformats.org/officeDocument/2006/relationships/image" Target="media/image446.png"/><Relationship Id="rId454" Type="http://schemas.openxmlformats.org/officeDocument/2006/relationships/image" Target="media/image447.png"/><Relationship Id="rId455" Type="http://schemas.openxmlformats.org/officeDocument/2006/relationships/image" Target="media/image448.png"/><Relationship Id="rId456" Type="http://schemas.openxmlformats.org/officeDocument/2006/relationships/image" Target="media/image449.png"/><Relationship Id="rId457" Type="http://schemas.openxmlformats.org/officeDocument/2006/relationships/image" Target="media/image450.png"/><Relationship Id="rId458" Type="http://schemas.openxmlformats.org/officeDocument/2006/relationships/image" Target="media/image451.png"/><Relationship Id="rId459" Type="http://schemas.openxmlformats.org/officeDocument/2006/relationships/image" Target="media/image452.png"/><Relationship Id="rId460" Type="http://schemas.openxmlformats.org/officeDocument/2006/relationships/image" Target="media/image453.png"/><Relationship Id="rId461" Type="http://schemas.openxmlformats.org/officeDocument/2006/relationships/image" Target="media/image454.png"/><Relationship Id="rId462" Type="http://schemas.openxmlformats.org/officeDocument/2006/relationships/image" Target="media/image455.png"/><Relationship Id="rId463" Type="http://schemas.openxmlformats.org/officeDocument/2006/relationships/image" Target="media/image456.png"/><Relationship Id="rId464" Type="http://schemas.openxmlformats.org/officeDocument/2006/relationships/image" Target="media/image457.png"/><Relationship Id="rId465" Type="http://schemas.openxmlformats.org/officeDocument/2006/relationships/image" Target="media/image458.png"/><Relationship Id="rId466" Type="http://schemas.openxmlformats.org/officeDocument/2006/relationships/image" Target="media/image459.png"/><Relationship Id="rId467" Type="http://schemas.openxmlformats.org/officeDocument/2006/relationships/image" Target="media/image460.png"/><Relationship Id="rId468" Type="http://schemas.openxmlformats.org/officeDocument/2006/relationships/image" Target="media/image461.png"/><Relationship Id="rId469" Type="http://schemas.openxmlformats.org/officeDocument/2006/relationships/image" Target="media/image462.png"/><Relationship Id="rId470" Type="http://schemas.openxmlformats.org/officeDocument/2006/relationships/image" Target="media/image463.png"/><Relationship Id="rId471" Type="http://schemas.openxmlformats.org/officeDocument/2006/relationships/image" Target="media/image464.png"/><Relationship Id="rId472" Type="http://schemas.openxmlformats.org/officeDocument/2006/relationships/image" Target="media/image465.png"/><Relationship Id="rId473" Type="http://schemas.openxmlformats.org/officeDocument/2006/relationships/image" Target="media/image466.png"/><Relationship Id="rId474" Type="http://schemas.openxmlformats.org/officeDocument/2006/relationships/image" Target="media/image467.png"/><Relationship Id="rId475" Type="http://schemas.openxmlformats.org/officeDocument/2006/relationships/image" Target="media/image468.png"/><Relationship Id="rId476" Type="http://schemas.openxmlformats.org/officeDocument/2006/relationships/image" Target="media/image469.png"/><Relationship Id="rId477" Type="http://schemas.openxmlformats.org/officeDocument/2006/relationships/image" Target="media/image470.png"/><Relationship Id="rId478" Type="http://schemas.openxmlformats.org/officeDocument/2006/relationships/image" Target="media/image471.png"/><Relationship Id="rId479" Type="http://schemas.openxmlformats.org/officeDocument/2006/relationships/image" Target="media/image472.png"/><Relationship Id="rId480" Type="http://schemas.openxmlformats.org/officeDocument/2006/relationships/image" Target="media/image473.png"/><Relationship Id="rId481" Type="http://schemas.openxmlformats.org/officeDocument/2006/relationships/image" Target="media/image474.png"/><Relationship Id="rId482" Type="http://schemas.openxmlformats.org/officeDocument/2006/relationships/image" Target="media/image475.png"/><Relationship Id="rId483" Type="http://schemas.openxmlformats.org/officeDocument/2006/relationships/image" Target="media/image476.png"/><Relationship Id="rId484" Type="http://schemas.openxmlformats.org/officeDocument/2006/relationships/image" Target="media/image477.png"/><Relationship Id="rId485" Type="http://schemas.openxmlformats.org/officeDocument/2006/relationships/image" Target="media/image478.png"/><Relationship Id="rId486" Type="http://schemas.openxmlformats.org/officeDocument/2006/relationships/image" Target="media/image479.png"/><Relationship Id="rId487" Type="http://schemas.openxmlformats.org/officeDocument/2006/relationships/image" Target="media/image480.png"/><Relationship Id="rId488" Type="http://schemas.openxmlformats.org/officeDocument/2006/relationships/image" Target="media/image481.png"/><Relationship Id="rId489" Type="http://schemas.openxmlformats.org/officeDocument/2006/relationships/image" Target="media/image482.png"/><Relationship Id="rId490" Type="http://schemas.openxmlformats.org/officeDocument/2006/relationships/image" Target="media/image483.png"/><Relationship Id="rId491" Type="http://schemas.openxmlformats.org/officeDocument/2006/relationships/image" Target="media/image484.png"/><Relationship Id="rId492" Type="http://schemas.openxmlformats.org/officeDocument/2006/relationships/image" Target="media/image485.png"/><Relationship Id="rId493" Type="http://schemas.openxmlformats.org/officeDocument/2006/relationships/image" Target="media/image486.png"/><Relationship Id="rId494" Type="http://schemas.openxmlformats.org/officeDocument/2006/relationships/image" Target="media/image487.png"/><Relationship Id="rId495" Type="http://schemas.openxmlformats.org/officeDocument/2006/relationships/image" Target="media/image488.png"/><Relationship Id="rId496" Type="http://schemas.openxmlformats.org/officeDocument/2006/relationships/image" Target="media/image489.png"/><Relationship Id="rId497" Type="http://schemas.openxmlformats.org/officeDocument/2006/relationships/image" Target="media/image490.png"/><Relationship Id="rId498" Type="http://schemas.openxmlformats.org/officeDocument/2006/relationships/image" Target="media/image491.png"/><Relationship Id="rId499" Type="http://schemas.openxmlformats.org/officeDocument/2006/relationships/image" Target="media/image492.png"/><Relationship Id="rId500" Type="http://schemas.openxmlformats.org/officeDocument/2006/relationships/image" Target="media/image493.png"/><Relationship Id="rId501" Type="http://schemas.openxmlformats.org/officeDocument/2006/relationships/image" Target="media/image494.png"/><Relationship Id="rId502" Type="http://schemas.openxmlformats.org/officeDocument/2006/relationships/image" Target="media/image495.png"/><Relationship Id="rId503" Type="http://schemas.openxmlformats.org/officeDocument/2006/relationships/image" Target="media/image496.png"/><Relationship Id="rId504" Type="http://schemas.openxmlformats.org/officeDocument/2006/relationships/image" Target="media/image497.png"/><Relationship Id="rId505" Type="http://schemas.openxmlformats.org/officeDocument/2006/relationships/image" Target="media/image498.png"/><Relationship Id="rId506" Type="http://schemas.openxmlformats.org/officeDocument/2006/relationships/image" Target="media/image499.png"/><Relationship Id="rId507" Type="http://schemas.openxmlformats.org/officeDocument/2006/relationships/image" Target="media/image500.png"/><Relationship Id="rId508" Type="http://schemas.openxmlformats.org/officeDocument/2006/relationships/image" Target="media/image501.png"/><Relationship Id="rId509" Type="http://schemas.openxmlformats.org/officeDocument/2006/relationships/image" Target="media/image502.png"/><Relationship Id="rId510" Type="http://schemas.openxmlformats.org/officeDocument/2006/relationships/image" Target="media/image503.png"/><Relationship Id="rId511" Type="http://schemas.openxmlformats.org/officeDocument/2006/relationships/image" Target="media/image504.png"/><Relationship Id="rId512" Type="http://schemas.openxmlformats.org/officeDocument/2006/relationships/image" Target="media/image505.png"/><Relationship Id="rId513" Type="http://schemas.openxmlformats.org/officeDocument/2006/relationships/image" Target="media/image506.png"/><Relationship Id="rId514" Type="http://schemas.openxmlformats.org/officeDocument/2006/relationships/image" Target="media/image507.png"/><Relationship Id="rId515" Type="http://schemas.openxmlformats.org/officeDocument/2006/relationships/image" Target="media/image508.png"/><Relationship Id="rId516" Type="http://schemas.openxmlformats.org/officeDocument/2006/relationships/image" Target="media/image509.png"/><Relationship Id="rId517" Type="http://schemas.openxmlformats.org/officeDocument/2006/relationships/image" Target="media/image510.png"/><Relationship Id="rId518" Type="http://schemas.openxmlformats.org/officeDocument/2006/relationships/image" Target="media/image511.png"/><Relationship Id="rId519" Type="http://schemas.openxmlformats.org/officeDocument/2006/relationships/image" Target="media/image512.png"/><Relationship Id="rId520" Type="http://schemas.openxmlformats.org/officeDocument/2006/relationships/image" Target="media/image513.png"/><Relationship Id="rId521" Type="http://schemas.openxmlformats.org/officeDocument/2006/relationships/image" Target="media/image514.png"/><Relationship Id="rId522" Type="http://schemas.openxmlformats.org/officeDocument/2006/relationships/image" Target="media/image515.png"/><Relationship Id="rId523" Type="http://schemas.openxmlformats.org/officeDocument/2006/relationships/image" Target="media/image516.png"/><Relationship Id="rId524" Type="http://schemas.openxmlformats.org/officeDocument/2006/relationships/image" Target="media/image517.png"/><Relationship Id="rId525" Type="http://schemas.openxmlformats.org/officeDocument/2006/relationships/image" Target="media/image518.png"/><Relationship Id="rId526" Type="http://schemas.openxmlformats.org/officeDocument/2006/relationships/image" Target="media/image519.png"/><Relationship Id="rId527" Type="http://schemas.openxmlformats.org/officeDocument/2006/relationships/image" Target="media/image520.png"/><Relationship Id="rId528" Type="http://schemas.openxmlformats.org/officeDocument/2006/relationships/image" Target="media/image521.png"/><Relationship Id="rId529" Type="http://schemas.openxmlformats.org/officeDocument/2006/relationships/image" Target="media/image522.png"/><Relationship Id="rId530" Type="http://schemas.openxmlformats.org/officeDocument/2006/relationships/image" Target="media/image523.png"/><Relationship Id="rId531" Type="http://schemas.openxmlformats.org/officeDocument/2006/relationships/image" Target="media/image524.png"/><Relationship Id="rId532" Type="http://schemas.openxmlformats.org/officeDocument/2006/relationships/image" Target="media/image525.png"/><Relationship Id="rId533" Type="http://schemas.openxmlformats.org/officeDocument/2006/relationships/image" Target="media/image526.png"/><Relationship Id="rId534" Type="http://schemas.openxmlformats.org/officeDocument/2006/relationships/image" Target="media/image527.png"/><Relationship Id="rId535" Type="http://schemas.openxmlformats.org/officeDocument/2006/relationships/image" Target="media/image528.png"/><Relationship Id="rId536" Type="http://schemas.openxmlformats.org/officeDocument/2006/relationships/image" Target="media/image529.png"/><Relationship Id="rId537" Type="http://schemas.openxmlformats.org/officeDocument/2006/relationships/image" Target="media/image530.png"/><Relationship Id="rId538" Type="http://schemas.openxmlformats.org/officeDocument/2006/relationships/image" Target="media/image531.png"/><Relationship Id="rId539" Type="http://schemas.openxmlformats.org/officeDocument/2006/relationships/image" Target="media/image532.png"/><Relationship Id="rId540" Type="http://schemas.openxmlformats.org/officeDocument/2006/relationships/image" Target="media/image533.png"/><Relationship Id="rId541" Type="http://schemas.openxmlformats.org/officeDocument/2006/relationships/image" Target="media/image534.png"/><Relationship Id="rId542" Type="http://schemas.openxmlformats.org/officeDocument/2006/relationships/image" Target="media/image535.png"/><Relationship Id="rId543" Type="http://schemas.openxmlformats.org/officeDocument/2006/relationships/image" Target="media/image536.png"/><Relationship Id="rId544" Type="http://schemas.openxmlformats.org/officeDocument/2006/relationships/image" Target="media/image537.png"/><Relationship Id="rId545" Type="http://schemas.openxmlformats.org/officeDocument/2006/relationships/image" Target="media/image538.png"/><Relationship Id="rId546" Type="http://schemas.openxmlformats.org/officeDocument/2006/relationships/image" Target="media/image539.png"/><Relationship Id="rId547" Type="http://schemas.openxmlformats.org/officeDocument/2006/relationships/image" Target="media/image540.png"/><Relationship Id="rId548" Type="http://schemas.openxmlformats.org/officeDocument/2006/relationships/image" Target="media/image541.png"/><Relationship Id="rId549" Type="http://schemas.openxmlformats.org/officeDocument/2006/relationships/image" Target="media/image542.png"/><Relationship Id="rId550" Type="http://schemas.openxmlformats.org/officeDocument/2006/relationships/image" Target="media/image543.png"/><Relationship Id="rId551" Type="http://schemas.openxmlformats.org/officeDocument/2006/relationships/image" Target="media/image544.png"/><Relationship Id="rId552" Type="http://schemas.openxmlformats.org/officeDocument/2006/relationships/image" Target="media/image545.png"/><Relationship Id="rId553" Type="http://schemas.openxmlformats.org/officeDocument/2006/relationships/image" Target="media/image546.png"/><Relationship Id="rId554" Type="http://schemas.openxmlformats.org/officeDocument/2006/relationships/image" Target="media/image547.png"/><Relationship Id="rId555" Type="http://schemas.openxmlformats.org/officeDocument/2006/relationships/image" Target="media/image548.png"/><Relationship Id="rId556" Type="http://schemas.openxmlformats.org/officeDocument/2006/relationships/image" Target="media/image549.png"/><Relationship Id="rId557" Type="http://schemas.openxmlformats.org/officeDocument/2006/relationships/image" Target="media/image550.png"/><Relationship Id="rId558" Type="http://schemas.openxmlformats.org/officeDocument/2006/relationships/image" Target="media/image551.png"/><Relationship Id="rId559" Type="http://schemas.openxmlformats.org/officeDocument/2006/relationships/image" Target="media/image552.png"/><Relationship Id="rId560" Type="http://schemas.openxmlformats.org/officeDocument/2006/relationships/image" Target="media/image553.png"/><Relationship Id="rId561" Type="http://schemas.openxmlformats.org/officeDocument/2006/relationships/image" Target="media/image554.png"/><Relationship Id="rId562" Type="http://schemas.openxmlformats.org/officeDocument/2006/relationships/image" Target="media/image555.png"/><Relationship Id="rId563" Type="http://schemas.openxmlformats.org/officeDocument/2006/relationships/image" Target="media/image556.png"/><Relationship Id="rId564" Type="http://schemas.openxmlformats.org/officeDocument/2006/relationships/image" Target="media/image557.png"/><Relationship Id="rId565" Type="http://schemas.openxmlformats.org/officeDocument/2006/relationships/image" Target="media/image558.png"/><Relationship Id="rId566" Type="http://schemas.openxmlformats.org/officeDocument/2006/relationships/image" Target="media/image559.png"/><Relationship Id="rId567" Type="http://schemas.openxmlformats.org/officeDocument/2006/relationships/image" Target="media/image560.png"/><Relationship Id="rId568" Type="http://schemas.openxmlformats.org/officeDocument/2006/relationships/image" Target="media/image561.png"/><Relationship Id="rId569" Type="http://schemas.openxmlformats.org/officeDocument/2006/relationships/image" Target="media/image562.png"/><Relationship Id="rId570" Type="http://schemas.openxmlformats.org/officeDocument/2006/relationships/image" Target="media/image563.png"/><Relationship Id="rId571" Type="http://schemas.openxmlformats.org/officeDocument/2006/relationships/image" Target="media/image564.png"/><Relationship Id="rId572" Type="http://schemas.openxmlformats.org/officeDocument/2006/relationships/image" Target="media/image565.png"/><Relationship Id="rId573" Type="http://schemas.openxmlformats.org/officeDocument/2006/relationships/image" Target="media/image566.png"/><Relationship Id="rId574" Type="http://schemas.openxmlformats.org/officeDocument/2006/relationships/image" Target="media/image567.png"/><Relationship Id="rId575" Type="http://schemas.openxmlformats.org/officeDocument/2006/relationships/image" Target="media/image568.png"/><Relationship Id="rId576" Type="http://schemas.openxmlformats.org/officeDocument/2006/relationships/image" Target="media/image569.png"/><Relationship Id="rId577" Type="http://schemas.openxmlformats.org/officeDocument/2006/relationships/image" Target="media/image570.png"/><Relationship Id="rId578" Type="http://schemas.openxmlformats.org/officeDocument/2006/relationships/image" Target="media/image571.png"/><Relationship Id="rId579" Type="http://schemas.openxmlformats.org/officeDocument/2006/relationships/image" Target="media/image572.png"/><Relationship Id="rId580" Type="http://schemas.openxmlformats.org/officeDocument/2006/relationships/image" Target="media/image573.png"/><Relationship Id="rId581" Type="http://schemas.openxmlformats.org/officeDocument/2006/relationships/image" Target="media/image574.png"/><Relationship Id="rId582" Type="http://schemas.openxmlformats.org/officeDocument/2006/relationships/image" Target="media/image575.png"/><Relationship Id="rId583" Type="http://schemas.openxmlformats.org/officeDocument/2006/relationships/image" Target="media/image576.png"/><Relationship Id="rId584" Type="http://schemas.openxmlformats.org/officeDocument/2006/relationships/image" Target="media/image577.png"/><Relationship Id="rId585" Type="http://schemas.openxmlformats.org/officeDocument/2006/relationships/image" Target="media/image578.png"/><Relationship Id="rId586" Type="http://schemas.openxmlformats.org/officeDocument/2006/relationships/image" Target="media/image579.png"/><Relationship Id="rId587" Type="http://schemas.openxmlformats.org/officeDocument/2006/relationships/image" Target="media/image580.png"/><Relationship Id="rId588" Type="http://schemas.openxmlformats.org/officeDocument/2006/relationships/image" Target="media/image581.png"/><Relationship Id="rId589" Type="http://schemas.openxmlformats.org/officeDocument/2006/relationships/image" Target="media/image582.png"/><Relationship Id="rId590" Type="http://schemas.openxmlformats.org/officeDocument/2006/relationships/image" Target="media/image583.png"/><Relationship Id="rId591" Type="http://schemas.openxmlformats.org/officeDocument/2006/relationships/image" Target="media/image584.png"/><Relationship Id="rId592" Type="http://schemas.openxmlformats.org/officeDocument/2006/relationships/image" Target="media/image585.png"/><Relationship Id="rId593" Type="http://schemas.openxmlformats.org/officeDocument/2006/relationships/image" Target="media/image586.png"/><Relationship Id="rId594" Type="http://schemas.openxmlformats.org/officeDocument/2006/relationships/image" Target="media/image587.png"/><Relationship Id="rId595" Type="http://schemas.openxmlformats.org/officeDocument/2006/relationships/image" Target="media/image588.png"/><Relationship Id="rId596" Type="http://schemas.openxmlformats.org/officeDocument/2006/relationships/image" Target="media/image589.png"/><Relationship Id="rId597" Type="http://schemas.openxmlformats.org/officeDocument/2006/relationships/image" Target="media/image590.png"/><Relationship Id="rId598" Type="http://schemas.openxmlformats.org/officeDocument/2006/relationships/image" Target="media/image591.png"/><Relationship Id="rId599" Type="http://schemas.openxmlformats.org/officeDocument/2006/relationships/image" Target="media/image592.png"/><Relationship Id="rId600" Type="http://schemas.openxmlformats.org/officeDocument/2006/relationships/image" Target="media/image593.png"/><Relationship Id="rId601" Type="http://schemas.openxmlformats.org/officeDocument/2006/relationships/image" Target="media/image594.png"/><Relationship Id="rId602" Type="http://schemas.openxmlformats.org/officeDocument/2006/relationships/image" Target="media/image595.png"/><Relationship Id="rId603" Type="http://schemas.openxmlformats.org/officeDocument/2006/relationships/image" Target="media/image596.png"/><Relationship Id="rId604" Type="http://schemas.openxmlformats.org/officeDocument/2006/relationships/image" Target="media/image597.png"/><Relationship Id="rId605" Type="http://schemas.openxmlformats.org/officeDocument/2006/relationships/image" Target="media/image598.png"/><Relationship Id="rId606" Type="http://schemas.openxmlformats.org/officeDocument/2006/relationships/image" Target="media/image599.png"/><Relationship Id="rId607" Type="http://schemas.openxmlformats.org/officeDocument/2006/relationships/image" Target="media/image600.png"/><Relationship Id="rId608" Type="http://schemas.openxmlformats.org/officeDocument/2006/relationships/image" Target="media/image601.png"/><Relationship Id="rId609" Type="http://schemas.openxmlformats.org/officeDocument/2006/relationships/image" Target="media/image602.png"/><Relationship Id="rId610" Type="http://schemas.openxmlformats.org/officeDocument/2006/relationships/image" Target="media/image603.png"/><Relationship Id="rId611" Type="http://schemas.openxmlformats.org/officeDocument/2006/relationships/image" Target="media/image604.png"/><Relationship Id="rId612" Type="http://schemas.openxmlformats.org/officeDocument/2006/relationships/image" Target="media/image605.png"/><Relationship Id="rId613" Type="http://schemas.openxmlformats.org/officeDocument/2006/relationships/image" Target="media/image606.png"/><Relationship Id="rId614" Type="http://schemas.openxmlformats.org/officeDocument/2006/relationships/image" Target="media/image607.png"/><Relationship Id="rId615" Type="http://schemas.openxmlformats.org/officeDocument/2006/relationships/image" Target="media/image608.png"/><Relationship Id="rId616" Type="http://schemas.openxmlformats.org/officeDocument/2006/relationships/image" Target="media/image609.png"/><Relationship Id="rId617" Type="http://schemas.openxmlformats.org/officeDocument/2006/relationships/image" Target="media/image610.png"/><Relationship Id="rId618" Type="http://schemas.openxmlformats.org/officeDocument/2006/relationships/image" Target="media/image611.png"/><Relationship Id="rId619" Type="http://schemas.openxmlformats.org/officeDocument/2006/relationships/image" Target="media/image6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2020-12-08T15:10:10Z</dcterms:created>
  <dcterms:modified xsi:type="dcterms:W3CDTF">2020-12-08T15:10:10Z</dcterms:modified>
</cp:coreProperties>
</file>