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December 15, 2020</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43"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ind w:left="4560"/>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ind w:left="514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06"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431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rPr>
          <w:sz w:val="20"/>
          <w:szCs w:val="20"/>
          <w:color w:val="auto"/>
        </w:rPr>
      </w:pPr>
      <w:r>
        <w:rPr>
          <w:rFonts w:ascii="Arial" w:cs="Arial" w:eastAsia="Arial" w:hAnsi="Arial"/>
          <w:sz w:val="16"/>
          <w:szCs w:val="16"/>
          <w:color w:val="auto"/>
        </w:rPr>
        <w:t>On December 15, 2020, Marvell Technology Group Ltd. (“Marvell”) issued a press release announcing that the waiting period under the Hart-Scott-</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Rodino Act of 1976, as amended, in connection with its previously announced proposed acquisition of Inphi Corporation (“Inphi”), expired at</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11:59 p.m. EST on December 14, 2020. A copy of the press release is attached as Exhibit 99.1 to this Current Report on Form 8-K and incorporated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herein by reference.</w:t>
      </w:r>
    </w:p>
    <w:p>
      <w:pPr>
        <w:spacing w:after="0" w:line="35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820"/>
        <w:spacing w:after="0"/>
        <w:tabs>
          <w:tab w:leader="none" w:pos="1380" w:val="left"/>
        </w:tabs>
        <w:rPr>
          <w:rFonts w:ascii="Arial" w:cs="Arial" w:eastAsia="Arial" w:hAnsi="Arial"/>
          <w:sz w:val="15"/>
          <w:szCs w:val="15"/>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5"/>
            <w:szCs w:val="15"/>
            <w:u w:val="single" w:color="auto"/>
            <w:color w:val="0000EE"/>
          </w:rPr>
          <w:t>Press Release dated December 15, 2020.</w:t>
        </w:r>
      </w:hyperlink>
    </w:p>
    <w:p>
      <w:pPr>
        <w:spacing w:after="0" w:line="117" w:lineRule="exact"/>
        <w:rPr>
          <w:sz w:val="20"/>
          <w:szCs w:val="20"/>
          <w:color w:val="auto"/>
        </w:rPr>
      </w:pPr>
    </w:p>
    <w:p>
      <w:pPr>
        <w:ind w:left="820"/>
        <w:spacing w:after="0"/>
        <w:tabs>
          <w:tab w:leader="none" w:pos="138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680"/>
          </w:cols>
          <w:pgMar w:left="440" w:top="297" w:right="77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425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December 15,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320165" cy="3860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320165"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Announces Expiration Of Hart-Scott-Rodino Waiting Period</w:t>
      </w:r>
    </w:p>
    <w:p>
      <w:pPr>
        <w:spacing w:after="0" w:line="225" w:lineRule="exact"/>
        <w:rPr>
          <w:sz w:val="20"/>
          <w:szCs w:val="20"/>
          <w:color w:val="auto"/>
        </w:rPr>
      </w:pPr>
    </w:p>
    <w:p>
      <w:pPr>
        <w:ind w:right="120"/>
        <w:spacing w:after="0" w:line="261" w:lineRule="auto"/>
        <w:rPr>
          <w:sz w:val="20"/>
          <w:szCs w:val="20"/>
          <w:color w:val="auto"/>
        </w:rPr>
      </w:pPr>
      <w:r>
        <w:rPr>
          <w:rFonts w:ascii="Arial" w:cs="Arial" w:eastAsia="Arial" w:hAnsi="Arial"/>
          <w:sz w:val="18"/>
          <w:szCs w:val="18"/>
          <w:b w:val="1"/>
          <w:bCs w:val="1"/>
          <w:color w:val="auto"/>
        </w:rPr>
        <w:t xml:space="preserve">SANTA CLARA, Calif. – December 15, 2020– </w:t>
      </w:r>
      <w:r>
        <w:rPr>
          <w:rFonts w:ascii="Arial" w:cs="Arial" w:eastAsia="Arial" w:hAnsi="Arial"/>
          <w:sz w:val="18"/>
          <w:szCs w:val="18"/>
          <w:color w:val="auto"/>
        </w:rPr>
        <w:t>Marvell Technology Group Ltd. (NASDAQ: MRVL) (“Marvell”), a leading provider of data</w:t>
      </w:r>
      <w:r>
        <w:rPr>
          <w:rFonts w:ascii="Arial" w:cs="Arial" w:eastAsia="Arial" w:hAnsi="Arial"/>
          <w:sz w:val="18"/>
          <w:szCs w:val="18"/>
          <w:b w:val="1"/>
          <w:bCs w:val="1"/>
          <w:color w:val="auto"/>
        </w:rPr>
        <w:t xml:space="preserve"> </w:t>
      </w:r>
      <w:r>
        <w:rPr>
          <w:rFonts w:ascii="Arial" w:cs="Arial" w:eastAsia="Arial" w:hAnsi="Arial"/>
          <w:sz w:val="18"/>
          <w:szCs w:val="18"/>
          <w:color w:val="auto"/>
        </w:rPr>
        <w:t>infrastructure semiconductor solutions, today announced that the waiting period under the Hart-Scott-Rodino Antitrust Improvements Act of 1976 (“HSR Act”), as amended, in connection with its previously announced proposed acquisition of Inphi Corporation (“Inphi”), expired at 11:59 p.m. EST on December 14, 2020.</w:t>
      </w:r>
    </w:p>
    <w:p>
      <w:pPr>
        <w:spacing w:after="0" w:line="184"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The expiration of the HSR Act waiting period satisfies one of the conditions to the closing of the proposed acquisition, which remains subject to other customary closing conditions, including receipt of shareholder approvals and other regulatory approvals.</w:t>
      </w:r>
    </w:p>
    <w:p>
      <w:pPr>
        <w:spacing w:after="0" w:line="170" w:lineRule="exact"/>
        <w:rPr>
          <w:sz w:val="20"/>
          <w:szCs w:val="20"/>
          <w:color w:val="auto"/>
        </w:rPr>
      </w:pPr>
    </w:p>
    <w:p>
      <w:pPr>
        <w:ind w:right="120"/>
        <w:spacing w:after="0" w:line="342" w:lineRule="auto"/>
        <w:rPr>
          <w:sz w:val="20"/>
          <w:szCs w:val="20"/>
          <w:color w:val="auto"/>
        </w:rPr>
      </w:pPr>
      <w:r>
        <w:rPr>
          <w:rFonts w:ascii="Arial" w:cs="Arial" w:eastAsia="Arial" w:hAnsi="Arial"/>
          <w:sz w:val="16"/>
          <w:szCs w:val="16"/>
          <w:color w:val="auto"/>
        </w:rPr>
        <w:t>Additional information concerning the proposed acquisition, the general meeting of Marvell shareholders and the special meeting of Inphi stockholders will be included in the definitive joint proxy statement/prospectus that will be mailed to all Marvell shareholders and Inphi stockholders.</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440"/>
        <w:spacing w:after="0" w:line="308" w:lineRule="auto"/>
        <w:rPr>
          <w:sz w:val="20"/>
          <w:szCs w:val="20"/>
          <w:color w:val="auto"/>
        </w:rPr>
      </w:pPr>
      <w:r>
        <w:rPr>
          <w:rFonts w:ascii="Arial" w:cs="Arial" w:eastAsia="Arial" w:hAnsi="Arial"/>
          <w:sz w:val="17"/>
          <w:szCs w:val="17"/>
          <w:color w:val="auto"/>
        </w:rPr>
        <w:t>This press release relates to a proposed transaction between Marvell and Inphi. In connection with the proposed transaction, Marvell and Inphi will cause Marvell Technology, Inc. (f/k/a Maui HoldCo, Inc.), a Delaware corporation and wholly owned subsidiary of Marvell (“MTI”) to</w:t>
      </w:r>
    </w:p>
    <w:p>
      <w:pPr>
        <w:sectPr>
          <w:pgSz w:w="11900" w:h="16838" w:orient="portrait"/>
          <w:cols w:equalWidth="0" w:num="1">
            <w:col w:w="11020"/>
          </w:cols>
          <w:pgMar w:left="440" w:top="121" w:right="439" w:bottom="1440" w:gutter="0" w:footer="0" w:header="0"/>
        </w:sectPr>
      </w:pPr>
    </w:p>
    <w:bookmarkStart w:id="4" w:name="page5"/>
    <w:bookmarkEnd w:id="4"/>
    <w:p>
      <w:pPr>
        <w:ind w:right="4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file a registration statement on Form S-4 with the Securities and Exchange Commissions (“SEC”), which will include a document that serves as a joint proxy statement of Marvell and Inphi and a prospectus of MTI referred to as a joint proxy statement/prospectus. A joint proxy statement/prospectus will be sent to all Inphi stockholders and all Marvell shareholders. Each party also will file other documents regarding the proposed transaction with the</w:t>
      </w:r>
    </w:p>
    <w:p>
      <w:pPr>
        <w:spacing w:after="0" w:line="2"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SEC. BEFORE MAKING ANY VOTING DECISION, INVESTORS AND SECURITY HOLDERS OF INPHI AND 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91" w:lineRule="exact"/>
        <w:rPr>
          <w:sz w:val="20"/>
          <w:szCs w:val="20"/>
          <w:color w:val="auto"/>
        </w:rPr>
      </w:pPr>
    </w:p>
    <w:p>
      <w:pPr>
        <w:ind w:right="20"/>
        <w:spacing w:after="0" w:line="275" w:lineRule="auto"/>
        <w:rPr>
          <w:sz w:val="20"/>
          <w:szCs w:val="20"/>
          <w:color w:val="auto"/>
        </w:rPr>
      </w:pPr>
      <w:r>
        <w:rPr>
          <w:rFonts w:ascii="Arial" w:cs="Arial" w:eastAsia="Arial" w:hAnsi="Arial"/>
          <w:sz w:val="17"/>
          <w:szCs w:val="17"/>
          <w:color w:val="auto"/>
        </w:rPr>
        <w:t>Investors, Marvell shareholders and Inphi stockholders may obtain free copies of the joint proxy statement/prospectus (when available)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Participants in the Solicitation</w:t>
      </w:r>
    </w:p>
    <w:p>
      <w:pPr>
        <w:spacing w:after="0" w:line="121" w:lineRule="exact"/>
        <w:rPr>
          <w:sz w:val="20"/>
          <w:szCs w:val="20"/>
          <w:color w:val="auto"/>
        </w:rPr>
      </w:pPr>
    </w:p>
    <w:p>
      <w:pPr>
        <w:ind w:right="60"/>
        <w:spacing w:after="0" w:line="296" w:lineRule="auto"/>
        <w:rPr>
          <w:sz w:val="20"/>
          <w:szCs w:val="20"/>
          <w:color w:val="auto"/>
        </w:rPr>
      </w:pPr>
      <w:r>
        <w:rPr>
          <w:rFonts w:ascii="Arial" w:cs="Arial" w:eastAsia="Arial" w:hAnsi="Arial"/>
          <w:sz w:val="16"/>
          <w:szCs w:val="16"/>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and in Marvell’s Current Report on Form 8-K filed</w:t>
      </w:r>
    </w:p>
    <w:p>
      <w:pPr>
        <w:sectPr>
          <w:pgSz w:w="11900" w:h="16838" w:orient="portrait"/>
          <w:cols w:equalWidth="0" w:num="1">
            <w:col w:w="11000"/>
          </w:cols>
          <w:pgMar w:left="440" w:top="274" w:right="459" w:bottom="1440" w:gutter="0" w:footer="0" w:header="0"/>
        </w:sectPr>
      </w:pPr>
    </w:p>
    <w:bookmarkStart w:id="5" w:name="page6"/>
    <w:bookmarkEnd w:id="5"/>
    <w:p>
      <w:pPr>
        <w:ind w:left="4" w:right="12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with the SEC on July 30, 2020. To the extent that holdings of Inphi’s or Marvell’s securities have changed since the amounts printed in Inphi’s or Marvell’s proxy statement, such changes have been or will be reflected on Initial Statements of Beneficial Ownership on Form 3 and Statements of Changes in Beneficial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80"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ind w:left="4" w:right="20"/>
        <w:spacing w:after="0" w:line="283" w:lineRule="auto"/>
        <w:rPr>
          <w:sz w:val="20"/>
          <w:szCs w:val="20"/>
          <w:color w:val="auto"/>
        </w:rPr>
      </w:pPr>
      <w:r>
        <w:rPr>
          <w:rFonts w:ascii="Arial" w:cs="Arial" w:eastAsia="Arial" w:hAnsi="Arial"/>
          <w:sz w:val="16"/>
          <w:szCs w:val="16"/>
          <w:color w:val="auto"/>
        </w:rPr>
        <w:t>This press release contains certain forward-looking statements within the meaning of Section 27A of the Securities Act of 1933, as amended (the “Securities Act”), and Section 21E of the Securities Exchange Act of 1934, as amended, with respect to the proposed transaction between Marvell, Inphi and MTI,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timing, receipt and terms and conditions of regulatory approvals required for the proposed transaction that could reduce the anticipated benefits of the proposed transaction or cause the parties to abandon the proposed transaction;</w:t>
      </w:r>
    </w:p>
    <w:p>
      <w:pPr>
        <w:spacing w:after="0" w:line="6" w:lineRule="exact"/>
        <w:rPr>
          <w:sz w:val="20"/>
          <w:szCs w:val="20"/>
          <w:color w:val="auto"/>
        </w:rPr>
      </w:pPr>
    </w:p>
    <w:p>
      <w:pPr>
        <w:ind w:left="4" w:hanging="4"/>
        <w:spacing w:after="0" w:line="253" w:lineRule="auto"/>
        <w:tabs>
          <w:tab w:leader="none" w:pos="269"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possibility that Marvell shareholders and/or Inphi stockholders do not approve the proposed transaction; (iii) failure to realize the anticipated benefits of the proposed transaction, including as a result of delay in completing the proposed transaction; (iv) MTI’s inability to integrate the businesses of Marvell and Inphi; (v) unexpected costs or liabilities relating to the proposed transaction; (vi) the ability of the parties to obtain or complete the financing or any refinancing related to the proposed transaction upon acceptable terms or at all; (vii) potential litigation relating to the proposed transaction that could be instituted against</w:t>
      </w:r>
    </w:p>
    <w:p>
      <w:pPr>
        <w:sectPr>
          <w:pgSz w:w="11900" w:h="16838" w:orient="portrait"/>
          <w:cols w:equalWidth="0" w:num="1">
            <w:col w:w="11004"/>
          </w:cols>
          <w:pgMar w:left="436" w:top="274" w:right="459" w:bottom="1440" w:gutter="0" w:footer="0" w:header="0"/>
        </w:sectPr>
      </w:pPr>
    </w:p>
    <w:bookmarkStart w:id="6" w:name="page7"/>
    <w:bookmarkEnd w:id="6"/>
    <w:p>
      <w:pPr>
        <w:jc w:val="both"/>
        <w:ind w:left="4" w:right="14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Marvell, MTI or Inphi or their respective directors or officers; (viii) the risk that disruptions caused by or relating to the proposed transaction will harm Marvell’s or Inphi’s business, including current plans and operations; (ix) the ability of Marvell, Inphi or MTI to retain and hire key personnel; (x) the ability of MTI to protect its intellectual property; (xi) risks related to MTI’s incurrence of indebtedness in connection with the proposed transaction;</w:t>
      </w:r>
    </w:p>
    <w:p>
      <w:pPr>
        <w:spacing w:after="0" w:line="2" w:lineRule="exact"/>
        <w:rPr>
          <w:sz w:val="20"/>
          <w:szCs w:val="20"/>
          <w:color w:val="auto"/>
        </w:rPr>
      </w:pPr>
    </w:p>
    <w:p>
      <w:pPr>
        <w:ind w:left="364" w:hanging="364"/>
        <w:spacing w:after="0"/>
        <w:tabs>
          <w:tab w:leader="none" w:pos="364" w:val="left"/>
        </w:tabs>
        <w:numPr>
          <w:ilvl w:val="0"/>
          <w:numId w:val="4"/>
        </w:numPr>
        <w:rPr>
          <w:rFonts w:ascii="Arial" w:cs="Arial" w:eastAsia="Arial" w:hAnsi="Arial"/>
          <w:sz w:val="17"/>
          <w:szCs w:val="17"/>
          <w:color w:val="auto"/>
        </w:rPr>
      </w:pPr>
      <w:r>
        <w:rPr>
          <w:rFonts w:ascii="Arial" w:cs="Arial" w:eastAsia="Arial" w:hAnsi="Arial"/>
          <w:sz w:val="17"/>
          <w:szCs w:val="17"/>
          <w:color w:val="auto"/>
        </w:rPr>
        <w:t>potential adverse reactions or changes to business relationships resulting from the announcement or completion of the proposed transaction;</w:t>
      </w:r>
    </w:p>
    <w:p>
      <w:pPr>
        <w:spacing w:after="0" w:line="20" w:lineRule="exact"/>
        <w:rPr>
          <w:rFonts w:ascii="Arial" w:cs="Arial" w:eastAsia="Arial" w:hAnsi="Arial"/>
          <w:sz w:val="17"/>
          <w:szCs w:val="17"/>
          <w:color w:val="auto"/>
        </w:rPr>
      </w:pPr>
    </w:p>
    <w:p>
      <w:pPr>
        <w:jc w:val="both"/>
        <w:ind w:left="4" w:right="100" w:hanging="4"/>
        <w:spacing w:after="0" w:line="281" w:lineRule="auto"/>
        <w:tabs>
          <w:tab w:leader="none" w:pos="409" w:val="left"/>
        </w:tabs>
        <w:numPr>
          <w:ilvl w:val="0"/>
          <w:numId w:val="4"/>
        </w:numPr>
        <w:rPr>
          <w:rFonts w:ascii="Arial" w:cs="Arial" w:eastAsia="Arial" w:hAnsi="Arial"/>
          <w:sz w:val="16"/>
          <w:szCs w:val="16"/>
          <w:color w:val="auto"/>
        </w:rPr>
      </w:pPr>
      <w:r>
        <w:rPr>
          <w:rFonts w:ascii="Arial" w:cs="Arial" w:eastAsia="Arial" w:hAnsi="Arial"/>
          <w:sz w:val="16"/>
          <w:szCs w:val="16"/>
          <w:color w:val="auto"/>
        </w:rPr>
        <w:t>risks relating to the market value of the shares of MTI common stock to be issued in the proposed transaction; (xiv) risks associated with third party contracts containing consent and/or other provisions that may be triggered by the proposed transaction; (xv) the impact of public health crises, such as pandemics (including the COVID-19 pandemic) and epidemics and any related company or government policies and actions intended to protect the health and safety of individuals or government policies or actions intended to maintain the functioning of national or global economies and markets;</w:t>
      </w:r>
    </w:p>
    <w:p>
      <w:pPr>
        <w:spacing w:after="0" w:line="2" w:lineRule="exact"/>
        <w:rPr>
          <w:rFonts w:ascii="Arial" w:cs="Arial" w:eastAsia="Arial" w:hAnsi="Arial"/>
          <w:sz w:val="16"/>
          <w:szCs w:val="16"/>
          <w:color w:val="auto"/>
        </w:rPr>
      </w:pPr>
    </w:p>
    <w:p>
      <w:pPr>
        <w:ind w:left="4" w:hanging="4"/>
        <w:spacing w:after="0" w:line="267" w:lineRule="auto"/>
        <w:tabs>
          <w:tab w:leader="none" w:pos="399" w:val="left"/>
        </w:tabs>
        <w:numPr>
          <w:ilvl w:val="0"/>
          <w:numId w:val="5"/>
        </w:numPr>
        <w:rPr>
          <w:rFonts w:ascii="Arial" w:cs="Arial" w:eastAsia="Arial" w:hAnsi="Arial"/>
          <w:sz w:val="17"/>
          <w:szCs w:val="17"/>
          <w:color w:val="auto"/>
        </w:rPr>
      </w:pPr>
      <w:r>
        <w:rPr>
          <w:rFonts w:ascii="Arial" w:cs="Arial" w:eastAsia="Arial" w:hAnsi="Arial"/>
          <w:sz w:val="17"/>
          <w:szCs w:val="17"/>
          <w:color w:val="auto"/>
        </w:rPr>
        <w:t>legislative, regulatory and economic developments affecting Marvell’s, Inphi’s or MTI’s business; (xvii) general economic and market developments and conditions; (xviii) the evolving legal, regulatory and tax regimes under which Marvell, Inphi and MTI operate; (xix) potential business uncertainty, including changes to existing business relationships, during the pendency of the proposed transaction that could affect Marvell’s, Inphi’s or MTI’s financial performance; (xx) restrictions during the pendency of the proposed transaction or thereafter that may impact Marvell’s, Inphi’s or MTI’s ability to pursue certain business opportunities or strategic transactions; (xxi) unpredictability and severity of catastrophic events, including, but not limited to, acts of terrorism or outbreak of war or hostilities, as well as Marvell’s, Inphi’s or MTI’s response to any of the aforementioned factors; (xxii) the risk of downturns in the highly cyclical semiconductor industry; and (xxiii)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w:t>
      </w:r>
    </w:p>
    <w:p>
      <w:pPr>
        <w:sectPr>
          <w:pgSz w:w="11900" w:h="16838" w:orient="portrait"/>
          <w:cols w:equalWidth="0" w:num="1">
            <w:col w:w="11024"/>
          </w:cols>
          <w:pgMar w:left="436" w:top="274" w:right="439" w:bottom="1440" w:gutter="0" w:footer="0" w:header="0"/>
        </w:sectPr>
      </w:pPr>
    </w:p>
    <w:bookmarkStart w:id="7" w:name="page8"/>
    <w:bookmarkEnd w:id="7"/>
    <w:p>
      <w:pPr>
        <w:ind w:right="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 Offer or Solicitation</w:t>
      </w:r>
    </w:p>
    <w:p>
      <w:pPr>
        <w:spacing w:after="0" w:line="12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This press release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Marvell and the M logo are trademarks of Marvell or its affiliates. Please visit www.marvell.com for a complete list of Marvell trademarks.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0980"/>
      </w:cols>
      <w:pgMar w:left="440" w:top="274"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1)"/>
      <w:numFmt w:val="lowerRoman"/>
      <w:start w:val="2"/>
    </w:lvl>
  </w:abstractNum>
  <w:abstractNum w:abstractNumId="3">
    <w:nsid w:val="238E1F29"/>
    <w:multiLevelType w:val="hybridMultilevel"/>
    <w:lvl w:ilvl="0">
      <w:lvlJc w:val="left"/>
      <w:lvlText w:val="(%1)"/>
      <w:numFmt w:val="lowerRoman"/>
      <w:start w:val="12"/>
    </w:lvl>
  </w:abstractNum>
  <w:abstractNum w:abstractNumId="4">
    <w:nsid w:val="46E87CCD"/>
    <w:multiLevelType w:val="hybridMultilevel"/>
    <w:lvl w:ilvl="0">
      <w:lvlJc w:val="left"/>
      <w:lvlText w:val="(%1)"/>
      <w:numFmt w:val="lowerRoman"/>
      <w:start w:val="16"/>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2020-12-15T15:50:36Z</dcterms:created>
  <dcterms:modified xsi:type="dcterms:W3CDTF">2020-12-15T15:50:36Z</dcterms:modified>
</cp:coreProperties>
</file>