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5363845</wp:posOffset>
            </wp:positionH>
            <wp:positionV relativeFrom="paragraph">
              <wp:posOffset>-625475</wp:posOffset>
            </wp:positionV>
            <wp:extent cx="8255" cy="6261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4060825</wp:posOffset>
            </wp:positionH>
            <wp:positionV relativeFrom="paragraph">
              <wp:posOffset>-633730</wp:posOffset>
            </wp:positionV>
            <wp:extent cx="8255" cy="6343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-608330</wp:posOffset>
            </wp:positionV>
            <wp:extent cx="1260475" cy="58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-1557020</wp:posOffset>
            </wp:positionH>
            <wp:positionV relativeFrom="paragraph">
              <wp:posOffset>32385</wp:posOffset>
            </wp:positionV>
            <wp:extent cx="69640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0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4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</w:rPr>
                <w:t>STRACHAN MICHAEL G</w:t>
              </w:r>
            </w:hyperlink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5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restart"/>
          </w:tcPr>
          <w:p>
            <w:pPr>
              <w:spacing w:after="0" w:line="22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LTD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[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17"/>
                  <w:szCs w:val="17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]</w:t>
              </w:r>
            </w:hyperlink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5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12/17/2020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7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8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12/17/2020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5,000</w:t>
            </w: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46.88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27,957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12,860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IRA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7,830</w:t>
            </w:r>
          </w:p>
        </w:tc>
        <w:tc>
          <w:tcPr>
            <w:tcW w:w="9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27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1"/>
                <w:szCs w:val="31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-3855085</wp:posOffset>
            </wp:positionV>
            <wp:extent cx="7031355" cy="39008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355" cy="3900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Michael G. Strachan.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Patricia K. Strachan.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Michael Strachan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-8255</wp:posOffset>
            </wp:positionV>
            <wp:extent cx="115760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-5080</wp:posOffset>
            </wp:positionV>
            <wp:extent cx="121920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3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12/21/2017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5715</wp:posOffset>
            </wp:positionV>
            <wp:extent cx="50101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520" w:space="260"/>
            <w:col w:w="2300"/>
          </w:cols>
          <w:pgMar w:left="460" w:top="225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3" Type="http://schemas.openxmlformats.org/officeDocument/2006/relationships/hyperlink" Target="http://www.sec.gov/cgi-bin/browse-edgar?action=getcompany&amp;CIK=000145572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2020-12-21T10:08:15Z</dcterms:created>
  <dcterms:modified xsi:type="dcterms:W3CDTF">2020-12-21T10:08:15Z</dcterms:modified>
</cp:coreProperties>
</file>