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9</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Cusip #G5876H105</w:t>
      </w:r>
    </w:p>
    <w:p>
      <w:pPr>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jc w:val="both"/>
        <w:ind w:right="8339" w:firstLine="8"/>
        <w:spacing w:after="0" w:line="323"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4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 Reporting Person - FMR LLC</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jc w:val="both"/>
        <w:ind w:right="8239" w:firstLine="850"/>
        <w:spacing w:after="0" w:line="268" w:lineRule="auto"/>
        <w:tabs>
          <w:tab w:leader="none" w:pos="1369"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Item 4: Delaware Item 5: 11,489,928 Item 6: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7: 100,768,312</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8: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9: 100,768,312</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11: 14.999%</w:t>
      </w:r>
    </w:p>
    <w:p>
      <w:pPr>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Item 12: HC</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 Reporting Person - Abigail P. Johnson</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ind w:left="1380" w:hanging="530"/>
        <w:spacing w:after="0" w:line="238" w:lineRule="auto"/>
        <w:tabs>
          <w:tab w:leader="none" w:pos="138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8" w:lineRule="auto"/>
        <w:rPr>
          <w:sz w:val="20"/>
          <w:szCs w:val="20"/>
          <w:color w:val="auto"/>
        </w:rPr>
      </w:pPr>
      <w:r>
        <w:rPr>
          <w:rFonts w:ascii="Courier New" w:cs="Courier New" w:eastAsia="Courier New" w:hAnsi="Courier New"/>
          <w:sz w:val="18"/>
          <w:szCs w:val="18"/>
          <w:color w:val="auto"/>
        </w:rPr>
        <w:t>Item 5: 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100,768,312</w:t>
      </w:r>
    </w:p>
    <w:p>
      <w:pPr>
        <w:spacing w:after="0" w:line="238" w:lineRule="auto"/>
        <w:rPr>
          <w:sz w:val="20"/>
          <w:szCs w:val="20"/>
          <w:color w:val="auto"/>
        </w:rPr>
      </w:pPr>
      <w:r>
        <w:rPr>
          <w:rFonts w:ascii="Courier New" w:cs="Courier New" w:eastAsia="Courier New" w:hAnsi="Courier New"/>
          <w:sz w:val="18"/>
          <w:szCs w:val="18"/>
          <w:color w:val="auto"/>
        </w:rPr>
        <w:t>Item 8: 0</w:t>
      </w:r>
    </w:p>
    <w:p>
      <w:pPr>
        <w:spacing w:after="0" w:line="238" w:lineRule="auto"/>
        <w:rPr>
          <w:sz w:val="20"/>
          <w:szCs w:val="20"/>
          <w:color w:val="auto"/>
        </w:rPr>
      </w:pPr>
      <w:r>
        <w:rPr>
          <w:rFonts w:ascii="Courier New" w:cs="Courier New" w:eastAsia="Courier New" w:hAnsi="Courier New"/>
          <w:sz w:val="18"/>
          <w:szCs w:val="18"/>
          <w:color w:val="auto"/>
        </w:rPr>
        <w:t>Item 9: 100,768,312</w:t>
      </w:r>
    </w:p>
    <w:p>
      <w:pPr>
        <w:spacing w:after="0"/>
        <w:rPr>
          <w:sz w:val="20"/>
          <w:szCs w:val="20"/>
          <w:color w:val="auto"/>
        </w:rPr>
      </w:pPr>
      <w:r>
        <w:rPr>
          <w:rFonts w:ascii="Courier New" w:cs="Courier New" w:eastAsia="Courier New" w:hAnsi="Courier New"/>
          <w:sz w:val="18"/>
          <w:szCs w:val="18"/>
          <w:color w:val="auto"/>
        </w:rPr>
        <w:t>Item 11: 14.999%</w:t>
      </w:r>
    </w:p>
    <w:p>
      <w:pPr>
        <w:spacing w:after="0"/>
        <w:rPr>
          <w:sz w:val="20"/>
          <w:szCs w:val="20"/>
          <w:color w:val="auto"/>
        </w:rPr>
      </w:pPr>
      <w:r>
        <w:rPr>
          <w:rFonts w:ascii="Courier New" w:cs="Courier New" w:eastAsia="Courier New" w:hAnsi="Courier New"/>
          <w:sz w:val="18"/>
          <w:szCs w:val="18"/>
          <w:color w:val="auto"/>
        </w:rPr>
        <w:t>Item 12: IN</w:t>
      </w:r>
    </w:p>
    <w:p>
      <w:pPr>
        <w:spacing w:after="0" w:line="200" w:lineRule="exact"/>
        <w:rPr>
          <w:sz w:val="24"/>
          <w:szCs w:val="24"/>
          <w:color w:val="auto"/>
        </w:rPr>
      </w:pPr>
    </w:p>
    <w:p>
      <w:pPr>
        <w:spacing w:after="0" w:line="37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VICTORIA PLACE, 5TH FLOOR, 31 VICTORIA STREET</w:t>
      </w:r>
    </w:p>
    <w:p>
      <w:pPr>
        <w:spacing w:after="0" w:line="29" w:lineRule="exact"/>
        <w:rPr>
          <w:sz w:val="24"/>
          <w:szCs w:val="24"/>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HAMILTON,</w:t>
        <w:tab/>
        <w:t>HM 10 D0 NA</w:t>
      </w:r>
    </w:p>
    <w:p>
      <w:pPr>
        <w:spacing w:after="0"/>
        <w:rPr>
          <w:sz w:val="20"/>
          <w:szCs w:val="20"/>
          <w:color w:val="auto"/>
        </w:rPr>
      </w:pPr>
      <w:r>
        <w:rPr>
          <w:rFonts w:ascii="Courier New" w:cs="Courier New" w:eastAsia="Courier New" w:hAnsi="Courier New"/>
          <w:sz w:val="18"/>
          <w:szCs w:val="18"/>
          <w:color w:val="auto"/>
        </w:rPr>
        <w:t>BERMUDA</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 Filing: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245 Summer Street, Boston, Massachusetts 02210</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01" w:lineRule="exact"/>
        <w:rPr>
          <w:sz w:val="24"/>
          <w:szCs w:val="24"/>
          <w:color w:val="auto"/>
        </w:rPr>
      </w:pPr>
    </w:p>
    <w:p>
      <w:pPr>
        <w:ind w:right="1919"/>
        <w:spacing w:after="0" w:line="292" w:lineRule="auto"/>
        <w:rPr>
          <w:sz w:val="20"/>
          <w:szCs w:val="20"/>
          <w:color w:val="auto"/>
        </w:rPr>
      </w:pPr>
      <w:r>
        <w:rPr>
          <w:rFonts w:ascii="Courier New" w:cs="Courier New" w:eastAsia="Courier New" w:hAnsi="Courier New"/>
          <w:sz w:val="18"/>
          <w:szCs w:val="18"/>
          <w:color w:val="auto"/>
        </w:rPr>
        <w:t>Item 3. This statement is filed pursuant to Rule 13d-1(b) or 13d-2(b) or (c) and the person filing, FMR LLC, is a parent holding company in accordance with Section 240.13d-1(b)(1)(ii)(G). (Note: See Exhibit A).</w:t>
      </w:r>
    </w:p>
    <w:p>
      <w:pPr>
        <w:spacing w:after="0" w:line="6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Amount Beneficially Owned: 100,768,312</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14.999%</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w:t>
      </w:r>
    </w:p>
    <w:p>
      <w:pPr>
        <w:sectPr>
          <w:pgSz w:w="11900" w:h="16838" w:orient="portrait"/>
          <w:cols w:equalWidth="0" w:num="1">
            <w:col w:w="10139"/>
          </w:cols>
          <w:pgMar w:left="320" w:top="218" w:right="1440" w:bottom="0" w:gutter="0" w:footer="0" w:header="0"/>
        </w:sectPr>
      </w:pPr>
    </w:p>
    <w:bookmarkStart w:id="1" w:name="page2"/>
    <w:bookmarkEnd w:id="1"/>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11,489,928</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0</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100,768,312</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 direct the disposition of: 0</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1" w:lineRule="exact"/>
        <w:rPr>
          <w:sz w:val="20"/>
          <w:szCs w:val="20"/>
          <w:color w:val="auto"/>
        </w:rPr>
      </w:pPr>
    </w:p>
    <w:p>
      <w:pPr>
        <w:ind w:right="1919"/>
        <w:spacing w:after="0" w:line="265" w:lineRule="auto"/>
        <w:rPr>
          <w:sz w:val="20"/>
          <w:szCs w:val="20"/>
          <w:color w:val="auto"/>
        </w:rPr>
      </w:pPr>
      <w:r>
        <w:rPr>
          <w:rFonts w:ascii="Courier New" w:cs="Courier New" w:eastAsia="Courier New" w:hAnsi="Courier New"/>
          <w:sz w:val="18"/>
          <w:szCs w:val="18"/>
          <w:color w:val="auto"/>
        </w:rPr>
        <w:t>One or more other persons are known to have the right to receive or the power to direct the receipt of dividends from, or the proceeds from the sale of, the COMMON STOCK of MARVELL TECHNOLOGY GROUP LTD. No one other person's interest in the COMMON STOCK of MARVELL TECHNOLOGY GROUP LTD is more than five percent of the total outstanding COMMON STOCK.</w:t>
      </w:r>
    </w:p>
    <w:p>
      <w:pPr>
        <w:spacing w:after="0" w:line="89" w:lineRule="exact"/>
        <w:rPr>
          <w:sz w:val="20"/>
          <w:szCs w:val="20"/>
          <w:color w:val="auto"/>
        </w:rPr>
      </w:pPr>
    </w:p>
    <w:p>
      <w:pPr>
        <w:ind w:right="1919"/>
        <w:spacing w:after="0" w:line="34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201" w:lineRule="exact"/>
        <w:rPr>
          <w:sz w:val="20"/>
          <w:szCs w:val="20"/>
          <w:color w:val="auto"/>
        </w:rPr>
      </w:pPr>
    </w:p>
    <w:p>
      <w:pPr>
        <w:ind w:right="1919"/>
        <w:spacing w:after="0" w:line="260"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9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1" w:lineRule="exact"/>
        <w:rPr>
          <w:sz w:val="20"/>
          <w:szCs w:val="20"/>
          <w:color w:val="auto"/>
        </w:rPr>
      </w:pPr>
    </w:p>
    <w:p>
      <w:pPr>
        <w:ind w:right="1919"/>
        <w:spacing w:after="0" w:line="292"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6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5, 2021</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Kevin M. Meagher</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Kevin M. Meagher</w:t>
      </w:r>
    </w:p>
    <w:p>
      <w:pPr>
        <w:spacing w:after="0" w:line="31" w:lineRule="exact"/>
        <w:rPr>
          <w:sz w:val="20"/>
          <w:szCs w:val="20"/>
          <w:color w:val="auto"/>
        </w:rPr>
      </w:pPr>
    </w:p>
    <w:p>
      <w:pPr>
        <w:ind w:right="1919"/>
        <w:spacing w:after="0" w:line="309"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253" w:lineRule="exact"/>
        <w:rPr>
          <w:sz w:val="20"/>
          <w:szCs w:val="20"/>
          <w:color w:val="auto"/>
        </w:rPr>
      </w:pPr>
    </w:p>
    <w:p>
      <w:pPr>
        <w:ind w:right="2019" w:firstLine="8"/>
        <w:spacing w:after="0" w:line="292"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p>
      <w:pPr>
        <w:spacing w:after="0" w:line="26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4" w:lineRule="exact"/>
        <w:rPr>
          <w:sz w:val="20"/>
          <w:szCs w:val="20"/>
          <w:color w:val="auto"/>
        </w:rPr>
      </w:pPr>
    </w:p>
    <w:p>
      <w:pPr>
        <w:ind w:right="2019"/>
        <w:spacing w:after="0" w:line="274"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ectPr>
          <w:pgSz w:w="11900" w:h="16838" w:orient="portrait"/>
          <w:cols w:equalWidth="0" w:num="1">
            <w:col w:w="10139"/>
          </w:cols>
          <w:pgMar w:left="320" w:top="312" w:right="1440" w:bottom="0" w:gutter="0" w:footer="0" w:header="0"/>
        </w:sectPr>
      </w:pPr>
    </w:p>
    <w:p>
      <w:pPr>
        <w:spacing w:after="0" w:line="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Entity</w:t>
      </w:r>
    </w:p>
    <w:p>
      <w:pPr>
        <w:spacing w:after="0" w:line="20" w:lineRule="exact"/>
        <w:rPr>
          <w:sz w:val="20"/>
          <w:szCs w:val="20"/>
          <w:color w:val="auto"/>
        </w:rPr>
      </w:pPr>
      <w:r>
        <w:rPr>
          <w:sz w:val="20"/>
          <w:szCs w:val="20"/>
          <w:color w:val="auto"/>
        </w:rPr>
        <w:br w:type="column"/>
      </w:r>
    </w:p>
    <w:p>
      <w:pPr>
        <w:spacing w:after="0" w:line="6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3 Classification</w:t>
      </w:r>
    </w:p>
    <w:p>
      <w:pPr>
        <w:spacing w:after="0" w:line="200" w:lineRule="exact"/>
        <w:rPr>
          <w:sz w:val="20"/>
          <w:szCs w:val="20"/>
          <w:color w:val="auto"/>
        </w:rPr>
      </w:pPr>
    </w:p>
    <w:p>
      <w:pPr>
        <w:sectPr>
          <w:pgSz w:w="11900" w:h="16838" w:orient="portrait"/>
          <w:cols w:equalWidth="0" w:num="2">
            <w:col w:w="640" w:space="320"/>
            <w:col w:w="9179"/>
          </w:cols>
          <w:pgMar w:left="320" w:top="312" w:right="1440" w:bottom="0" w:gutter="0" w:footer="0" w:header="0"/>
          <w:type w:val="continuous"/>
        </w:sectPr>
      </w:pPr>
    </w:p>
    <w:p>
      <w:pPr>
        <w:spacing w:after="0" w:line="24"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FIAM LLC</w:t>
        <w:tab/>
        <w:t>IA</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Fidelity Institutional Asset Management Trust Company</w:t>
      </w:r>
    </w:p>
    <w:p>
      <w:pPr>
        <w:spacing w:after="0" w:line="20" w:lineRule="exact"/>
        <w:rPr>
          <w:sz w:val="20"/>
          <w:szCs w:val="20"/>
          <w:color w:val="auto"/>
        </w:rPr>
      </w:pPr>
    </w:p>
    <w:p>
      <w:pPr>
        <w:spacing w:after="0"/>
        <w:tabs>
          <w:tab w:leader="none" w:pos="5460" w:val="left"/>
        </w:tabs>
        <w:rPr>
          <w:sz w:val="20"/>
          <w:szCs w:val="20"/>
          <w:color w:val="auto"/>
        </w:rPr>
      </w:pPr>
      <w:r>
        <w:rPr>
          <w:rFonts w:ascii="Courier New" w:cs="Courier New" w:eastAsia="Courier New" w:hAnsi="Courier New"/>
          <w:sz w:val="18"/>
          <w:szCs w:val="18"/>
          <w:color w:val="auto"/>
        </w:rPr>
        <w:t>Fidelity Management &amp; Research (Hong Kong) Limited</w:t>
        <w:tab/>
        <w:t>IA</w:t>
      </w:r>
    </w:p>
    <w:p>
      <w:pPr>
        <w:spacing w:after="0"/>
        <w:rPr>
          <w:sz w:val="20"/>
          <w:szCs w:val="20"/>
          <w:color w:val="auto"/>
        </w:rPr>
      </w:pPr>
      <w:r>
        <w:rPr>
          <w:rFonts w:ascii="Courier New" w:cs="Courier New" w:eastAsia="Courier New" w:hAnsi="Courier New"/>
          <w:sz w:val="18"/>
          <w:szCs w:val="18"/>
          <w:color w:val="auto"/>
        </w:rPr>
        <w:t>Fidelity Management &amp; Research Company LLC * IA</w:t>
      </w:r>
    </w:p>
    <w:p>
      <w:pPr>
        <w:spacing w:after="0" w:line="20" w:lineRule="exact"/>
        <w:rPr>
          <w:sz w:val="20"/>
          <w:szCs w:val="20"/>
          <w:color w:val="auto"/>
        </w:rPr>
      </w:pPr>
      <w:r>
        <w:rPr>
          <w:sz w:val="20"/>
          <w:szCs w:val="20"/>
          <w:color w:val="auto"/>
        </w:rPr>
        <w:br w:type="column"/>
      </w: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BK</w:t>
      </w:r>
    </w:p>
    <w:p>
      <w:pPr>
        <w:spacing w:after="0" w:line="495" w:lineRule="exact"/>
        <w:rPr>
          <w:sz w:val="20"/>
          <w:szCs w:val="20"/>
          <w:color w:val="auto"/>
        </w:rPr>
      </w:pPr>
    </w:p>
    <w:p>
      <w:pPr>
        <w:sectPr>
          <w:pgSz w:w="11900" w:h="16838" w:orient="portrait"/>
          <w:cols w:equalWidth="0" w:num="2">
            <w:col w:w="5700" w:space="100"/>
            <w:col w:w="4339"/>
          </w:cols>
          <w:pgMar w:left="320" w:top="312" w:right="1440" w:bottom="0" w:gutter="0" w:footer="0" w:header="0"/>
          <w:type w:val="continuous"/>
        </w:sectPr>
      </w:pPr>
    </w:p>
    <w:p>
      <w:pPr>
        <w:spacing w:after="0"/>
        <w:tabs>
          <w:tab w:leader="none" w:pos="2520" w:val="left"/>
        </w:tabs>
        <w:rPr>
          <w:sz w:val="20"/>
          <w:szCs w:val="20"/>
          <w:color w:val="auto"/>
        </w:rPr>
      </w:pPr>
      <w:r>
        <w:rPr>
          <w:rFonts w:ascii="Courier New" w:cs="Courier New" w:eastAsia="Courier New" w:hAnsi="Courier New"/>
          <w:sz w:val="18"/>
          <w:szCs w:val="18"/>
          <w:color w:val="auto"/>
        </w:rPr>
        <w:t>Strategic Advisers LLC</w:t>
      </w:r>
      <w:r>
        <w:rPr>
          <w:sz w:val="20"/>
          <w:szCs w:val="20"/>
          <w:color w:val="auto"/>
        </w:rPr>
        <w:tab/>
      </w:r>
      <w:r>
        <w:rPr>
          <w:rFonts w:ascii="Courier New" w:cs="Courier New" w:eastAsia="Courier New" w:hAnsi="Courier New"/>
          <w:sz w:val="16"/>
          <w:szCs w:val="16"/>
          <w:color w:val="auto"/>
        </w:rPr>
        <w:t>IA</w:t>
      </w:r>
    </w:p>
    <w:p>
      <w:pPr>
        <w:sectPr>
          <w:pgSz w:w="11900" w:h="16838" w:orient="portrait"/>
          <w:cols w:equalWidth="0" w:num="1">
            <w:col w:w="10139"/>
          </w:cols>
          <w:pgMar w:left="320" w:top="312" w:right="1440" w:bottom="0" w:gutter="0" w:footer="0" w:header="0"/>
          <w:type w:val="continuous"/>
        </w:sectPr>
      </w:pPr>
    </w:p>
    <w:bookmarkStart w:id="2" w:name="page3"/>
    <w:bookmarkEnd w:id="2"/>
    <w:p>
      <w:pPr>
        <w:ind w:right="2439" w:firstLine="8"/>
        <w:spacing w:after="0" w:line="346" w:lineRule="auto"/>
        <w:tabs>
          <w:tab w:leader="none" w:pos="211"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Entity beneficially owns 5% or greater of the outstanding shares of the security class being reported on this Schedule 13G.</w:t>
      </w:r>
    </w:p>
    <w:p>
      <w:pPr>
        <w:spacing w:after="0" w:line="222" w:lineRule="exact"/>
        <w:rPr>
          <w:sz w:val="20"/>
          <w:szCs w:val="20"/>
          <w:color w:val="auto"/>
        </w:rPr>
      </w:pPr>
    </w:p>
    <w:p>
      <w:pPr>
        <w:ind w:right="1919"/>
        <w:spacing w:after="0" w:line="346" w:lineRule="auto"/>
        <w:rPr>
          <w:sz w:val="20"/>
          <w:szCs w:val="20"/>
          <w:color w:val="auto"/>
        </w:rPr>
      </w:pPr>
      <w:r>
        <w:rPr>
          <w:rFonts w:ascii="Courier New" w:cs="Courier New" w:eastAsia="Courier New" w:hAnsi="Courier New"/>
          <w:sz w:val="18"/>
          <w:szCs w:val="18"/>
          <w:color w:val="auto"/>
        </w:rPr>
        <w:t>Abigail P. Johnson is a Director, the Chairman and the Chief Executive Officer of FMR LLC.</w:t>
      </w:r>
    </w:p>
    <w:p>
      <w:pPr>
        <w:spacing w:after="0" w:line="20" w:lineRule="exact"/>
        <w:rPr>
          <w:sz w:val="20"/>
          <w:szCs w:val="20"/>
          <w:color w:val="auto"/>
        </w:rPr>
      </w:pPr>
    </w:p>
    <w:p>
      <w:pPr>
        <w:ind w:right="1919"/>
        <w:spacing w:after="0" w:line="250" w:lineRule="auto"/>
        <w:rPr>
          <w:sz w:val="20"/>
          <w:szCs w:val="20"/>
          <w:color w:val="auto"/>
        </w:rPr>
      </w:pPr>
      <w:r>
        <w:rPr>
          <w:rFonts w:ascii="Courier New" w:cs="Courier New" w:eastAsia="Courier New" w:hAnsi="Courier New"/>
          <w:sz w:val="18"/>
          <w:szCs w:val="18"/>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103" w:lineRule="exact"/>
        <w:rPr>
          <w:sz w:val="20"/>
          <w:szCs w:val="20"/>
          <w:color w:val="auto"/>
        </w:rPr>
      </w:pPr>
    </w:p>
    <w:p>
      <w:pPr>
        <w:ind w:right="2019"/>
        <w:spacing w:after="0" w:line="256" w:lineRule="auto"/>
        <w:rPr>
          <w:sz w:val="20"/>
          <w:szCs w:val="20"/>
          <w:color w:val="auto"/>
        </w:rPr>
      </w:pPr>
      <w:r>
        <w:rPr>
          <w:rFonts w:ascii="Courier New" w:cs="Courier New" w:eastAsia="Courier New" w:hAnsi="Courier New"/>
          <w:sz w:val="18"/>
          <w:szCs w:val="18"/>
          <w:color w:val="auto"/>
        </w:rPr>
        <w:t>Neither FMR LLC nor Abigail P. Johnson has the sole power to vote or direct the voting of the shares owned directly by the various investment companies registered under the Investment Company Act ("Fidelity Funds") advised by Fidelity Management &amp; Research Company LLC ("FMR Co. LLC"), a wholly owned subsidiary of FMR LLC, which power resides with the Fidelity Funds' Boards of Trustees. FMR Co. LLC carries out the voting of the shares under written guidelines established by the Fidelity Funds' Boards of Trustees.</w:t>
      </w:r>
    </w:p>
    <w:p>
      <w:pPr>
        <w:spacing w:after="0" w:line="97" w:lineRule="exact"/>
        <w:rPr>
          <w:sz w:val="20"/>
          <w:szCs w:val="20"/>
          <w:color w:val="auto"/>
        </w:rPr>
      </w:pPr>
    </w:p>
    <w:p>
      <w:pPr>
        <w:ind w:right="1919"/>
        <w:spacing w:after="0" w:line="256" w:lineRule="auto"/>
        <w:rPr>
          <w:sz w:val="20"/>
          <w:szCs w:val="20"/>
          <w:color w:val="auto"/>
        </w:rPr>
      </w:pPr>
      <w:r>
        <w:rPr>
          <w:rFonts w:ascii="Courier New" w:cs="Courier New" w:eastAsia="Courier New" w:hAnsi="Courier New"/>
          <w:sz w:val="18"/>
          <w:szCs w:val="18"/>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30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1" w:lineRule="exact"/>
        <w:rPr>
          <w:sz w:val="20"/>
          <w:szCs w:val="20"/>
          <w:color w:val="auto"/>
        </w:rPr>
      </w:pPr>
    </w:p>
    <w:p>
      <w:pPr>
        <w:ind w:right="2119"/>
        <w:spacing w:after="0" w:line="274" w:lineRule="auto"/>
        <w:rPr>
          <w:sz w:val="20"/>
          <w:szCs w:val="20"/>
          <w:color w:val="auto"/>
        </w:rPr>
      </w:pPr>
      <w:r>
        <w:rPr>
          <w:rFonts w:ascii="Courier New" w:cs="Courier New" w:eastAsia="Courier New" w:hAnsi="Courier New"/>
          <w:sz w:val="18"/>
          <w:szCs w:val="18"/>
          <w:color w:val="auto"/>
        </w:rPr>
        <w:t>The undersigned persons, on February 5, 2021, agree and consent to the joint filing on their behalf of this Schedule 13G in connection with their beneficial ownership of the COMMON STOCK of MARVELL TECHNOLOGY GROUP LTD at December 31, 2020.</w:t>
      </w:r>
    </w:p>
    <w:p>
      <w:pPr>
        <w:spacing w:after="0" w:line="8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Kevin M. Meagher</w:t>
      </w:r>
    </w:p>
    <w:p>
      <w:pPr>
        <w:ind w:right="1919"/>
        <w:spacing w:after="0" w:line="309"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5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Kevin M. Meagher</w:t>
      </w:r>
    </w:p>
    <w:p>
      <w:pPr>
        <w:ind w:right="1919"/>
        <w:spacing w:after="0" w:line="309" w:lineRule="auto"/>
        <w:rPr>
          <w:sz w:val="20"/>
          <w:szCs w:val="20"/>
          <w:color w:val="auto"/>
        </w:rPr>
      </w:pPr>
      <w:r>
        <w:rPr>
          <w:rFonts w:ascii="Courier New" w:cs="Courier New" w:eastAsia="Courier New" w:hAnsi="Courier New"/>
          <w:sz w:val="18"/>
          <w:szCs w:val="18"/>
          <w:color w:val="auto"/>
        </w:rPr>
        <w:t>Duly authorized under Power of Attorney effective as of September 30, 2018, by and on behalf of Abigail P. Johnson*</w:t>
      </w:r>
    </w:p>
    <w:p>
      <w:pPr>
        <w:spacing w:after="0" w:line="253" w:lineRule="exact"/>
        <w:rPr>
          <w:sz w:val="20"/>
          <w:szCs w:val="20"/>
          <w:color w:val="auto"/>
        </w:rPr>
      </w:pPr>
    </w:p>
    <w:p>
      <w:pPr>
        <w:ind w:right="2019" w:firstLine="8"/>
        <w:spacing w:after="0" w:line="292" w:lineRule="auto"/>
        <w:tabs>
          <w:tab w:leader="none" w:pos="21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sectPr>
      <w:pgSz w:w="11900" w:h="16838" w:orient="portrait"/>
      <w:cols w:equalWidth="0" w:num="1">
        <w:col w:w="10139"/>
      </w:cols>
      <w:pgMar w:left="320" w:top="71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lowerRoman"/>
      <w:start w:val="10"/>
    </w:lvl>
  </w:abstractNum>
  <w:abstractNum w:abstractNumId="1">
    <w:nsid w:val="46E87CCD"/>
    <w:multiLevelType w:val="hybridMultilevel"/>
    <w:lvl w:ilvl="0">
      <w:lvlJc w:val="left"/>
      <w:lvlText w:val="(%1)"/>
      <w:numFmt w:val="lowerLetter"/>
      <w:start w:val="2"/>
    </w:lvl>
  </w:abstractNum>
  <w:abstractNum w:abstractNumId="2">
    <w:nsid w:val="3D1B58BA"/>
    <w:multiLevelType w:val="hybridMultilevel"/>
    <w:lvl w:ilvl="0">
      <w:lvlJc w:val="left"/>
      <w:lvlText w:val="(%1)"/>
      <w:numFmt w:val="lowerLetter"/>
      <w:start w:val="2"/>
    </w:lvl>
  </w:abstractNum>
  <w:abstractNum w:abstractNumId="3">
    <w:nsid w:val="507ED7AB"/>
    <w:multiLevelType w:val="hybridMultilevel"/>
    <w:lvl w:ilvl="0">
      <w:lvlJc w:val="left"/>
      <w:lvlText w:val="(%1)"/>
      <w:numFmt w:val="lowerLetter"/>
      <w:start w:val="1"/>
    </w:lvl>
  </w:abstractNum>
  <w:abstractNum w:abstractNumId="4">
    <w:nsid w:val="2EB141F2"/>
    <w:multiLevelType w:val="hybridMultilevel"/>
    <w:lvl w:ilvl="0">
      <w:lvlJc w:val="left"/>
      <w:lvlText w:val="(%1)"/>
      <w:numFmt w:val="lowerRoman"/>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
      <w:numFmt w:val="bullet"/>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2021-02-08T09:29:52Z</dcterms:created>
  <dcterms:modified xsi:type="dcterms:W3CDTF">2021-02-08T09:29:52Z</dcterms:modified>
</cp:coreProperties>
</file>