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0"/>
          <w:szCs w:val="30"/>
          <w:b w:val="1"/>
          <w:bCs w:val="1"/>
          <w:color w:val="auto"/>
        </w:rPr>
        <w:t>UNITED STATES</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30"/>
          <w:szCs w:val="30"/>
          <w:b w:val="1"/>
          <w:bCs w:val="1"/>
          <w:color w:val="auto"/>
        </w:rPr>
        <w:t>SECURITIES AND EXCHANGE COMMISSION</w:t>
      </w:r>
    </w:p>
    <w:p>
      <w:pPr>
        <w:jc w:val="center"/>
        <w:ind w:right="-19"/>
        <w:spacing w:after="0"/>
        <w:rPr>
          <w:sz w:val="20"/>
          <w:szCs w:val="20"/>
          <w:color w:val="auto"/>
        </w:rPr>
      </w:pPr>
      <w:r>
        <w:rPr>
          <w:rFonts w:ascii="Arial" w:cs="Arial" w:eastAsia="Arial" w:hAnsi="Arial"/>
          <w:sz w:val="20"/>
          <w:szCs w:val="20"/>
          <w:b w:val="1"/>
          <w:bCs w:val="1"/>
          <w:color w:val="auto"/>
        </w:rPr>
        <w:t>Washington, D.C. 20549</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30"/>
          <w:szCs w:val="30"/>
          <w:b w:val="1"/>
          <w:bCs w:val="1"/>
          <w:color w:val="auto"/>
        </w:rPr>
        <w:t>Form 10-K</w:t>
      </w:r>
    </w:p>
    <w:p>
      <w:pPr>
        <w:spacing w:after="0"/>
        <w:rPr>
          <w:sz w:val="20"/>
          <w:szCs w:val="20"/>
          <w:color w:val="auto"/>
        </w:rPr>
      </w:pPr>
      <w:r>
        <w:rPr>
          <w:rFonts w:ascii="Arial" w:cs="Arial" w:eastAsia="Arial" w:hAnsi="Arial"/>
          <w:sz w:val="13"/>
          <w:szCs w:val="13"/>
          <w:color w:val="auto"/>
        </w:rPr>
        <w:t>(Mark One)</w:t>
      </w:r>
    </w:p>
    <w:p>
      <w:pPr>
        <w:spacing w:after="0" w:line="3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6"/>
          <w:szCs w:val="16"/>
          <w:color w:val="auto"/>
        </w:rPr>
      </w:pPr>
      <w:r>
        <w:rPr>
          <w:rFonts w:ascii="Arial" w:cs="Arial" w:eastAsia="Arial" w:hAnsi="Arial"/>
          <w:sz w:val="16"/>
          <w:szCs w:val="16"/>
          <w:b w:val="1"/>
          <w:bCs w:val="1"/>
          <w:color w:val="auto"/>
        </w:rPr>
        <w:t>ANNUAL REPORT PURSUANT TO SECTION 13 OR 15(d) OF THE SECURITIES EXCHANGE ACT OF 1934</w:t>
      </w:r>
    </w:p>
    <w:p>
      <w:pPr>
        <w:spacing w:after="0" w:line="131"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 the fiscal year ended January 30, 2021</w:t>
      </w:r>
    </w:p>
    <w:p>
      <w:pPr>
        <w:spacing w:after="0" w:line="5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or</w:t>
      </w:r>
    </w:p>
    <w:p>
      <w:pPr>
        <w:spacing w:after="0" w:line="42" w:lineRule="exact"/>
        <w:rPr>
          <w:sz w:val="24"/>
          <w:szCs w:val="24"/>
          <w:color w:val="auto"/>
        </w:rPr>
      </w:pPr>
    </w:p>
    <w:p>
      <w:pPr>
        <w:ind w:left="680" w:hanging="654"/>
        <w:spacing w:after="0"/>
        <w:tabs>
          <w:tab w:leader="none" w:pos="68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pacing w:after="0" w:line="131" w:lineRule="exact"/>
        <w:rPr>
          <w:sz w:val="24"/>
          <w:szCs w:val="24"/>
          <w:color w:val="auto"/>
        </w:rPr>
      </w:pPr>
    </w:p>
    <w:p>
      <w:pPr>
        <w:ind w:left="4060"/>
        <w:spacing w:after="0"/>
        <w:tabs>
          <w:tab w:leader="none" w:pos="6520" w:val="left"/>
        </w:tabs>
        <w:rPr>
          <w:sz w:val="20"/>
          <w:szCs w:val="20"/>
          <w:color w:val="auto"/>
        </w:rPr>
      </w:pPr>
      <w:r>
        <w:rPr>
          <w:rFonts w:ascii="Arial" w:cs="Arial" w:eastAsia="Arial" w:hAnsi="Arial"/>
          <w:sz w:val="16"/>
          <w:szCs w:val="16"/>
          <w:color w:val="auto"/>
        </w:rPr>
        <w:t>For the transition period from</w:t>
      </w:r>
      <w:r>
        <w:rPr>
          <w:sz w:val="20"/>
          <w:szCs w:val="20"/>
          <w:color w:val="auto"/>
        </w:rPr>
        <w:tab/>
      </w:r>
      <w:r>
        <w:rPr>
          <w:rFonts w:ascii="Arial" w:cs="Arial" w:eastAsia="Arial" w:hAnsi="Arial"/>
          <w:sz w:val="16"/>
          <w:szCs w:val="16"/>
          <w:color w:val="auto"/>
        </w:rPr>
        <w:t>to</w:t>
      </w:r>
    </w:p>
    <w:p>
      <w:pPr>
        <w:spacing w:after="0" w:line="100"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Commission file number 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60960</wp:posOffset>
            </wp:positionV>
            <wp:extent cx="2228850" cy="6515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2228850" cy="6515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30"/>
          <w:szCs w:val="30"/>
          <w:b w:val="1"/>
          <w:bCs w:val="1"/>
          <w:color w:val="auto"/>
        </w:rPr>
        <w:t>Marvell Technology Group Ltd.</w:t>
      </w:r>
    </w:p>
    <w:p>
      <w:pPr>
        <w:spacing w:after="0" w:line="74" w:lineRule="exact"/>
        <w:rPr>
          <w:sz w:val="24"/>
          <w:szCs w:val="24"/>
          <w:color w:val="auto"/>
        </w:rPr>
      </w:pPr>
    </w:p>
    <w:p>
      <w:pPr>
        <w:jc w:val="center"/>
        <w:ind w:right="-19"/>
        <w:spacing w:after="0"/>
        <w:rPr>
          <w:sz w:val="20"/>
          <w:szCs w:val="20"/>
          <w:color w:val="auto"/>
        </w:rPr>
      </w:pPr>
      <w:r>
        <w:rPr>
          <w:rFonts w:ascii="Arial" w:cs="Arial" w:eastAsia="Arial" w:hAnsi="Arial"/>
          <w:sz w:val="13"/>
          <w:szCs w:val="13"/>
          <w:b w:val="1"/>
          <w:bCs w:val="1"/>
          <w:i w:val="1"/>
          <w:iCs w:val="1"/>
          <w:color w:val="auto"/>
        </w:rPr>
        <w:t>(Exact name of registrant as specified in its charter)</w:t>
      </w:r>
    </w:p>
    <w:p>
      <w:pPr>
        <w:sectPr>
          <w:pgSz w:w="11900" w:h="16838" w:orient="portrait"/>
          <w:cols w:equalWidth="0" w:num="1">
            <w:col w:w="11240"/>
          </w:cols>
          <w:pgMar w:left="320" w:top="786" w:right="339" w:bottom="1440" w:gutter="0" w:footer="0" w:header="0"/>
        </w:sectPr>
      </w:pPr>
    </w:p>
    <w:p>
      <w:pPr>
        <w:spacing w:after="0" w:line="40" w:lineRule="exact"/>
        <w:rPr>
          <w:sz w:val="24"/>
          <w:szCs w:val="24"/>
          <w:color w:val="auto"/>
        </w:rPr>
      </w:pPr>
    </w:p>
    <w:p>
      <w:pPr>
        <w:ind w:left="2020"/>
        <w:spacing w:after="0"/>
        <w:rPr>
          <w:sz w:val="20"/>
          <w:szCs w:val="20"/>
          <w:color w:val="auto"/>
        </w:rPr>
      </w:pPr>
      <w:r>
        <w:rPr>
          <w:rFonts w:ascii="Arial" w:cs="Arial" w:eastAsia="Arial" w:hAnsi="Arial"/>
          <w:sz w:val="14"/>
          <w:szCs w:val="14"/>
          <w:b w:val="1"/>
          <w:bCs w:val="1"/>
          <w:color w:val="auto"/>
        </w:rPr>
        <w:t>Bermuda</w:t>
      </w:r>
    </w:p>
    <w:p>
      <w:pPr>
        <w:spacing w:after="0" w:line="20" w:lineRule="exact"/>
        <w:rPr>
          <w:sz w:val="24"/>
          <w:szCs w:val="24"/>
          <w:color w:val="auto"/>
        </w:rPr>
      </w:pPr>
      <w:r>
        <w:rPr>
          <w:sz w:val="24"/>
          <w:szCs w:val="24"/>
          <w:color w:val="auto"/>
        </w:rPr>
        <w:br w:type="column"/>
      </w:r>
    </w:p>
    <w:p>
      <w:pPr>
        <w:spacing w:after="0" w:line="20"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77-0481679</w:t>
      </w:r>
    </w:p>
    <w:p>
      <w:pPr>
        <w:spacing w:after="0" w:line="54" w:lineRule="exact"/>
        <w:rPr>
          <w:sz w:val="24"/>
          <w:szCs w:val="24"/>
          <w:color w:val="auto"/>
        </w:rPr>
      </w:pPr>
    </w:p>
    <w:p>
      <w:pPr>
        <w:sectPr>
          <w:pgSz w:w="11900" w:h="16838" w:orient="portrait"/>
          <w:cols w:equalWidth="0" w:num="2">
            <w:col w:w="7780" w:space="720"/>
            <w:col w:w="2740"/>
          </w:cols>
          <w:pgMar w:left="320" w:top="786" w:right="339" w:bottom="1440" w:gutter="0" w:footer="0" w:header="0"/>
          <w:type w:val="continuous"/>
        </w:sectPr>
      </w:pPr>
    </w:p>
    <w:p>
      <w:pPr>
        <w:spacing w:after="0" w:line="9" w:lineRule="exact"/>
        <w:rPr>
          <w:sz w:val="24"/>
          <w:szCs w:val="24"/>
          <w:color w:val="auto"/>
        </w:rPr>
      </w:pPr>
    </w:p>
    <w:p>
      <w:pPr>
        <w:ind w:left="1640"/>
        <w:spacing w:after="0"/>
        <w:rPr>
          <w:sz w:val="20"/>
          <w:szCs w:val="20"/>
          <w:color w:val="auto"/>
        </w:rPr>
      </w:pPr>
      <w:r>
        <w:rPr>
          <w:rFonts w:ascii="Arial" w:cs="Arial" w:eastAsia="Arial" w:hAnsi="Arial"/>
          <w:sz w:val="9"/>
          <w:szCs w:val="9"/>
          <w:b w:val="1"/>
          <w:bCs w:val="1"/>
          <w:i w:val="1"/>
          <w:iCs w:val="1"/>
          <w:color w:val="auto"/>
        </w:rPr>
        <w:t>(State or other jurisdiction of</w:t>
      </w:r>
    </w:p>
    <w:p>
      <w:pPr>
        <w:spacing w:after="0" w:line="15" w:lineRule="exact"/>
        <w:rPr>
          <w:sz w:val="24"/>
          <w:szCs w:val="24"/>
          <w:color w:val="auto"/>
        </w:rPr>
      </w:pPr>
    </w:p>
    <w:p>
      <w:pPr>
        <w:ind w:left="1600"/>
        <w:spacing w:after="0"/>
        <w:rPr>
          <w:sz w:val="20"/>
          <w:szCs w:val="20"/>
          <w:color w:val="auto"/>
        </w:rPr>
      </w:pPr>
      <w:r>
        <w:rPr>
          <w:rFonts w:ascii="Arial" w:cs="Arial" w:eastAsia="Arial" w:hAnsi="Arial"/>
          <w:sz w:val="9"/>
          <w:szCs w:val="9"/>
          <w:b w:val="1"/>
          <w:bCs w:val="1"/>
          <w:i w:val="1"/>
          <w:i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00"/>
        <w:spacing w:after="0"/>
        <w:rPr>
          <w:sz w:val="20"/>
          <w:szCs w:val="20"/>
          <w:color w:val="auto"/>
        </w:rPr>
      </w:pPr>
      <w:r>
        <w:rPr>
          <w:rFonts w:ascii="Arial" w:cs="Arial" w:eastAsia="Arial" w:hAnsi="Arial"/>
          <w:sz w:val="11"/>
          <w:szCs w:val="11"/>
          <w:b w:val="1"/>
          <w:bCs w:val="1"/>
          <w:i w:val="1"/>
          <w:iCs w:val="1"/>
          <w:color w:val="auto"/>
        </w:rPr>
        <w:t>(I.R.S. Employer</w:t>
      </w:r>
    </w:p>
    <w:p>
      <w:pPr>
        <w:jc w:val="center"/>
        <w:ind w:right="1900"/>
        <w:spacing w:after="0"/>
        <w:rPr>
          <w:sz w:val="20"/>
          <w:szCs w:val="20"/>
          <w:color w:val="auto"/>
        </w:rPr>
      </w:pPr>
      <w:r>
        <w:rPr>
          <w:rFonts w:ascii="Arial" w:cs="Arial" w:eastAsia="Arial" w:hAnsi="Arial"/>
          <w:sz w:val="9"/>
          <w:szCs w:val="9"/>
          <w:b w:val="1"/>
          <w:bCs w:val="1"/>
          <w:i w:val="1"/>
          <w:iCs w:val="1"/>
          <w:color w:val="auto"/>
        </w:rPr>
        <w:t>Identification No.)</w:t>
      </w:r>
    </w:p>
    <w:p>
      <w:pPr>
        <w:spacing w:after="0" w:line="135" w:lineRule="exact"/>
        <w:rPr>
          <w:sz w:val="24"/>
          <w:szCs w:val="24"/>
          <w:color w:val="auto"/>
        </w:rPr>
      </w:pPr>
    </w:p>
    <w:p>
      <w:pPr>
        <w:sectPr>
          <w:pgSz w:w="11900" w:h="16838" w:orient="portrait"/>
          <w:cols w:equalWidth="0" w:num="2">
            <w:col w:w="7720" w:space="720"/>
            <w:col w:w="2800"/>
          </w:cols>
          <w:pgMar w:left="320" w:top="786" w:right="339" w:bottom="1440" w:gutter="0" w:footer="0" w:header="0"/>
          <w:type w:val="continuous"/>
        </w:sectPr>
      </w:pPr>
    </w:p>
    <w:p>
      <w:pPr>
        <w:jc w:val="center"/>
        <w:ind w:right="-19"/>
        <w:spacing w:after="0"/>
        <w:rPr>
          <w:sz w:val="20"/>
          <w:szCs w:val="20"/>
          <w:color w:val="auto"/>
        </w:rPr>
      </w:pPr>
      <w:r>
        <w:rPr>
          <w:rFonts w:ascii="Arial" w:cs="Arial" w:eastAsia="Arial" w:hAnsi="Arial"/>
          <w:sz w:val="16"/>
          <w:szCs w:val="16"/>
          <w:b w:val="1"/>
          <w:bCs w:val="1"/>
          <w:color w:val="auto"/>
        </w:rPr>
        <w:t>Victoria Place, 5th Floor, 31 Victoria Street, Hamilton HM 10, Bermuda</w:t>
      </w:r>
    </w:p>
    <w:p>
      <w:pPr>
        <w:spacing w:after="0" w:line="15" w:lineRule="exact"/>
        <w:rPr>
          <w:sz w:val="24"/>
          <w:szCs w:val="24"/>
          <w:color w:val="auto"/>
        </w:rPr>
      </w:pPr>
    </w:p>
    <w:p>
      <w:pPr>
        <w:jc w:val="center"/>
        <w:ind w:right="-19"/>
        <w:spacing w:after="0"/>
        <w:rPr>
          <w:sz w:val="20"/>
          <w:szCs w:val="20"/>
          <w:color w:val="auto"/>
        </w:rPr>
      </w:pPr>
      <w:r>
        <w:rPr>
          <w:rFonts w:ascii="Arial" w:cs="Arial" w:eastAsia="Arial" w:hAnsi="Arial"/>
          <w:sz w:val="13"/>
          <w:szCs w:val="13"/>
          <w:b w:val="1"/>
          <w:bCs w:val="1"/>
          <w:i w:val="1"/>
          <w:iCs w:val="1"/>
          <w:color w:val="auto"/>
        </w:rPr>
        <w:t>(Address of principal executive offices)</w:t>
      </w:r>
    </w:p>
    <w:p>
      <w:pPr>
        <w:spacing w:after="0" w:line="1" w:lineRule="exact"/>
        <w:rPr>
          <w:sz w:val="24"/>
          <w:szCs w:val="24"/>
          <w:color w:val="auto"/>
        </w:rPr>
      </w:pPr>
    </w:p>
    <w:p>
      <w:pPr>
        <w:jc w:val="center"/>
        <w:ind w:right="-219"/>
        <w:spacing w:after="0"/>
        <w:rPr>
          <w:sz w:val="20"/>
          <w:szCs w:val="20"/>
          <w:color w:val="auto"/>
        </w:rPr>
      </w:pPr>
      <w:r>
        <w:rPr>
          <w:rFonts w:ascii="Arial" w:cs="Arial" w:eastAsia="Arial" w:hAnsi="Arial"/>
          <w:sz w:val="16"/>
          <w:szCs w:val="16"/>
          <w:b w:val="1"/>
          <w:bCs w:val="1"/>
          <w:color w:val="auto"/>
        </w:rPr>
        <w:t>(441) 294-8000</w:t>
      </w:r>
    </w:p>
    <w:p>
      <w:pPr>
        <w:spacing w:after="0" w:line="3" w:lineRule="exact"/>
        <w:rPr>
          <w:sz w:val="24"/>
          <w:szCs w:val="24"/>
          <w:color w:val="auto"/>
        </w:rPr>
      </w:pPr>
    </w:p>
    <w:p>
      <w:pPr>
        <w:jc w:val="center"/>
        <w:ind w:right="-19"/>
        <w:spacing w:after="0"/>
        <w:rPr>
          <w:sz w:val="20"/>
          <w:szCs w:val="20"/>
          <w:color w:val="auto"/>
        </w:rPr>
      </w:pPr>
      <w:r>
        <w:rPr>
          <w:rFonts w:ascii="Arial" w:cs="Arial" w:eastAsia="Arial" w:hAnsi="Arial"/>
          <w:sz w:val="13"/>
          <w:szCs w:val="13"/>
          <w:b w:val="1"/>
          <w:bCs w:val="1"/>
          <w:i w:val="1"/>
          <w:iCs w:val="1"/>
          <w:color w:val="auto"/>
        </w:rPr>
        <w:t>(Registrant’s telephone number, including area code)</w:t>
      </w:r>
    </w:p>
    <w:p>
      <w:pPr>
        <w:spacing w:after="0" w:line="43" w:lineRule="exact"/>
        <w:rPr>
          <w:sz w:val="24"/>
          <w:szCs w:val="24"/>
          <w:color w:val="auto"/>
        </w:rPr>
      </w:pPr>
    </w:p>
    <w:p>
      <w:pPr>
        <w:jc w:val="center"/>
        <w:ind w:right="-19"/>
        <w:spacing w:after="0"/>
        <w:rPr>
          <w:sz w:val="20"/>
          <w:szCs w:val="20"/>
          <w:color w:val="auto"/>
        </w:rPr>
      </w:pPr>
      <w:r>
        <w:rPr>
          <w:rFonts w:ascii="Arial" w:cs="Arial" w:eastAsia="Arial" w:hAnsi="Arial"/>
          <w:sz w:val="16"/>
          <w:szCs w:val="16"/>
          <w:b w:val="1"/>
          <w:bCs w:val="1"/>
          <w:color w:val="auto"/>
        </w:rPr>
        <w:t>Securities registered pursuant to Section 12(b) of the Act:</w:t>
      </w:r>
    </w:p>
    <w:p>
      <w:pPr>
        <w:spacing w:after="0" w:line="348" w:lineRule="exact"/>
        <w:rPr>
          <w:sz w:val="24"/>
          <w:szCs w:val="24"/>
          <w:color w:val="auto"/>
        </w:rPr>
      </w:pPr>
    </w:p>
    <w:tbl>
      <w:tblPr>
        <w:tblLayout w:type="fixed"/>
        <w:tblInd w:w="0" w:type="dxa"/>
        <w:tblCellMar>
          <w:top w:w="0" w:type="dxa"/>
          <w:left w:w="0" w:type="dxa"/>
          <w:bottom w:w="0" w:type="dxa"/>
          <w:right w:w="0" w:type="dxa"/>
        </w:tblCellMar>
      </w:tblPr>
      <w:tr>
        <w:trPr>
          <w:trHeight w:val="150"/>
        </w:trPr>
        <w:tc>
          <w:tcPr>
            <w:tcW w:w="4540" w:type="dxa"/>
            <w:vAlign w:val="bottom"/>
          </w:tcPr>
          <w:p>
            <w:pPr>
              <w:jc w:val="center"/>
              <w:ind w:left="64"/>
              <w:spacing w:after="0"/>
              <w:rPr>
                <w:sz w:val="20"/>
                <w:szCs w:val="20"/>
                <w:color w:val="auto"/>
              </w:rPr>
            </w:pPr>
            <w:r>
              <w:rPr>
                <w:rFonts w:ascii="Arial" w:cs="Arial" w:eastAsia="Arial" w:hAnsi="Arial"/>
                <w:sz w:val="12"/>
                <w:szCs w:val="12"/>
                <w:b w:val="1"/>
                <w:bCs w:val="1"/>
                <w:color w:val="auto"/>
                <w:w w:val="85"/>
              </w:rPr>
              <w:t>Title of each class</w:t>
            </w:r>
          </w:p>
        </w:tc>
        <w:tc>
          <w:tcPr>
            <w:tcW w:w="3220" w:type="dxa"/>
            <w:vAlign w:val="bottom"/>
          </w:tcPr>
          <w:p>
            <w:pPr>
              <w:jc w:val="center"/>
              <w:ind w:right="984"/>
              <w:spacing w:after="0"/>
              <w:rPr>
                <w:sz w:val="20"/>
                <w:szCs w:val="20"/>
                <w:color w:val="auto"/>
              </w:rPr>
            </w:pPr>
            <w:r>
              <w:rPr>
                <w:rFonts w:ascii="Arial" w:cs="Arial" w:eastAsia="Arial" w:hAnsi="Arial"/>
                <w:sz w:val="12"/>
                <w:szCs w:val="12"/>
                <w:b w:val="1"/>
                <w:bCs w:val="1"/>
                <w:color w:val="auto"/>
                <w:w w:val="88"/>
              </w:rPr>
              <w:t>Trading Symbol</w:t>
            </w:r>
          </w:p>
        </w:tc>
        <w:tc>
          <w:tcPr>
            <w:tcW w:w="2240" w:type="dxa"/>
            <w:vAlign w:val="bottom"/>
            <w:gridSpan w:val="2"/>
          </w:tcPr>
          <w:p>
            <w:pPr>
              <w:ind w:left="60"/>
              <w:spacing w:after="0"/>
              <w:rPr>
                <w:sz w:val="20"/>
                <w:szCs w:val="20"/>
                <w:color w:val="auto"/>
              </w:rPr>
            </w:pPr>
            <w:r>
              <w:rPr>
                <w:rFonts w:ascii="Arial" w:cs="Arial" w:eastAsia="Arial" w:hAnsi="Arial"/>
                <w:sz w:val="12"/>
                <w:szCs w:val="12"/>
                <w:b w:val="1"/>
                <w:bCs w:val="1"/>
                <w:color w:val="auto"/>
                <w:w w:val="85"/>
              </w:rPr>
              <w:t>Name of each exchange on which registered</w:t>
            </w:r>
          </w:p>
        </w:tc>
      </w:tr>
      <w:tr>
        <w:trPr>
          <w:trHeight w:val="236"/>
        </w:trPr>
        <w:tc>
          <w:tcPr>
            <w:tcW w:w="4540" w:type="dxa"/>
            <w:vAlign w:val="bottom"/>
          </w:tcPr>
          <w:p>
            <w:pPr>
              <w:jc w:val="center"/>
              <w:ind w:left="84"/>
              <w:spacing w:after="0"/>
              <w:rPr>
                <w:sz w:val="20"/>
                <w:szCs w:val="20"/>
                <w:color w:val="auto"/>
              </w:rPr>
            </w:pPr>
            <w:r>
              <w:rPr>
                <w:rFonts w:ascii="Arial" w:cs="Arial" w:eastAsia="Arial" w:hAnsi="Arial"/>
                <w:sz w:val="16"/>
                <w:szCs w:val="16"/>
                <w:b w:val="1"/>
                <w:bCs w:val="1"/>
                <w:color w:val="auto"/>
                <w:w w:val="90"/>
              </w:rPr>
              <w:t>Common shares, $0.002 par value per share</w:t>
            </w:r>
          </w:p>
        </w:tc>
        <w:tc>
          <w:tcPr>
            <w:tcW w:w="3220" w:type="dxa"/>
            <w:vAlign w:val="bottom"/>
          </w:tcPr>
          <w:p>
            <w:pPr>
              <w:jc w:val="center"/>
              <w:ind w:right="984"/>
              <w:spacing w:after="0"/>
              <w:rPr>
                <w:sz w:val="20"/>
                <w:szCs w:val="20"/>
                <w:color w:val="auto"/>
              </w:rPr>
            </w:pPr>
            <w:r>
              <w:rPr>
                <w:rFonts w:ascii="Arial" w:cs="Arial" w:eastAsia="Arial" w:hAnsi="Arial"/>
                <w:sz w:val="18"/>
                <w:szCs w:val="18"/>
                <w:color w:val="auto"/>
              </w:rPr>
              <w:t>MRVL</w:t>
            </w:r>
          </w:p>
        </w:tc>
        <w:tc>
          <w:tcPr>
            <w:tcW w:w="2240" w:type="dxa"/>
            <w:vAlign w:val="bottom"/>
            <w:gridSpan w:val="2"/>
          </w:tcPr>
          <w:p>
            <w:pPr>
              <w:ind w:left="40"/>
              <w:spacing w:after="0"/>
              <w:rPr>
                <w:sz w:val="20"/>
                <w:szCs w:val="20"/>
                <w:color w:val="auto"/>
              </w:rPr>
            </w:pPr>
            <w:r>
              <w:rPr>
                <w:rFonts w:ascii="Arial" w:cs="Arial" w:eastAsia="Arial" w:hAnsi="Arial"/>
                <w:sz w:val="16"/>
                <w:szCs w:val="16"/>
                <w:b w:val="1"/>
                <w:bCs w:val="1"/>
                <w:color w:val="auto"/>
                <w:w w:val="94"/>
              </w:rPr>
              <w:t>The Nasdaq Stock Market LLC</w:t>
            </w:r>
          </w:p>
        </w:tc>
      </w:tr>
      <w:tr>
        <w:trPr>
          <w:trHeight w:val="283"/>
        </w:trPr>
        <w:tc>
          <w:tcPr>
            <w:tcW w:w="7760" w:type="dxa"/>
            <w:vAlign w:val="bottom"/>
            <w:gridSpan w:val="2"/>
          </w:tcPr>
          <w:p>
            <w:pPr>
              <w:jc w:val="center"/>
              <w:ind w:left="3404"/>
              <w:spacing w:after="0"/>
              <w:rPr>
                <w:sz w:val="20"/>
                <w:szCs w:val="20"/>
                <w:color w:val="auto"/>
              </w:rPr>
            </w:pPr>
            <w:r>
              <w:rPr>
                <w:rFonts w:ascii="Arial" w:cs="Arial" w:eastAsia="Arial" w:hAnsi="Arial"/>
                <w:sz w:val="16"/>
                <w:szCs w:val="16"/>
                <w:b w:val="1"/>
                <w:bCs w:val="1"/>
                <w:color w:val="auto"/>
                <w:w w:val="90"/>
              </w:rPr>
              <w:t>Securities registered pursuant to Section 12(g) of the Act:</w:t>
            </w:r>
          </w:p>
        </w:tc>
        <w:tc>
          <w:tcPr>
            <w:tcW w:w="740" w:type="dxa"/>
            <w:vAlign w:val="bottom"/>
          </w:tcPr>
          <w:p>
            <w:pPr>
              <w:spacing w:after="0"/>
              <w:rPr>
                <w:sz w:val="24"/>
                <w:szCs w:val="24"/>
                <w:color w:val="auto"/>
              </w:rPr>
            </w:pPr>
          </w:p>
        </w:tc>
        <w:tc>
          <w:tcPr>
            <w:tcW w:w="1500" w:type="dxa"/>
            <w:vAlign w:val="bottom"/>
          </w:tcPr>
          <w:p>
            <w:pPr>
              <w:spacing w:after="0"/>
              <w:rPr>
                <w:sz w:val="24"/>
                <w:szCs w:val="24"/>
                <w:color w:val="auto"/>
              </w:rPr>
            </w:pPr>
          </w:p>
        </w:tc>
      </w:tr>
      <w:tr>
        <w:trPr>
          <w:trHeight w:val="210"/>
        </w:trPr>
        <w:tc>
          <w:tcPr>
            <w:tcW w:w="4540" w:type="dxa"/>
            <w:vAlign w:val="bottom"/>
          </w:tcPr>
          <w:p>
            <w:pPr>
              <w:spacing w:after="0"/>
              <w:rPr>
                <w:sz w:val="18"/>
                <w:szCs w:val="18"/>
                <w:color w:val="auto"/>
              </w:rPr>
            </w:pPr>
          </w:p>
        </w:tc>
        <w:tc>
          <w:tcPr>
            <w:tcW w:w="3220" w:type="dxa"/>
            <w:vAlign w:val="bottom"/>
          </w:tcPr>
          <w:p>
            <w:pPr>
              <w:jc w:val="center"/>
              <w:ind w:right="984"/>
              <w:spacing w:after="0"/>
              <w:rPr>
                <w:sz w:val="20"/>
                <w:szCs w:val="20"/>
                <w:color w:val="auto"/>
              </w:rPr>
            </w:pPr>
            <w:r>
              <w:rPr>
                <w:rFonts w:ascii="Arial" w:cs="Arial" w:eastAsia="Arial" w:hAnsi="Arial"/>
                <w:sz w:val="16"/>
                <w:szCs w:val="16"/>
                <w:b w:val="1"/>
                <w:bCs w:val="1"/>
                <w:color w:val="auto"/>
                <w:w w:val="89"/>
              </w:rPr>
              <w:t>None</w:t>
            </w:r>
          </w:p>
        </w:tc>
        <w:tc>
          <w:tcPr>
            <w:tcW w:w="740" w:type="dxa"/>
            <w:vAlign w:val="bottom"/>
          </w:tcPr>
          <w:p>
            <w:pPr>
              <w:spacing w:after="0"/>
              <w:rPr>
                <w:sz w:val="18"/>
                <w:szCs w:val="18"/>
                <w:color w:val="auto"/>
              </w:rPr>
            </w:pPr>
          </w:p>
        </w:tc>
        <w:tc>
          <w:tcPr>
            <w:tcW w:w="1500" w:type="dxa"/>
            <w:vAlign w:val="bottom"/>
          </w:tcPr>
          <w:p>
            <w:pPr>
              <w:spacing w:after="0"/>
              <w:rPr>
                <w:sz w:val="18"/>
                <w:szCs w:val="18"/>
                <w:color w:val="auto"/>
              </w:rPr>
            </w:pPr>
          </w:p>
        </w:tc>
      </w:tr>
      <w:tr>
        <w:trPr>
          <w:trHeight w:val="250"/>
        </w:trPr>
        <w:tc>
          <w:tcPr>
            <w:tcW w:w="7760" w:type="dxa"/>
            <w:vAlign w:val="bottom"/>
            <w:gridSpan w:val="2"/>
          </w:tcPr>
          <w:p>
            <w:pPr>
              <w:spacing w:after="0"/>
              <w:rPr>
                <w:sz w:val="20"/>
                <w:szCs w:val="20"/>
                <w:color w:val="auto"/>
              </w:rPr>
            </w:pPr>
            <w:r>
              <w:rPr>
                <w:rFonts w:ascii="Arial" w:cs="Arial" w:eastAsia="Arial" w:hAnsi="Arial"/>
                <w:sz w:val="16"/>
                <w:szCs w:val="16"/>
                <w:color w:val="auto"/>
                <w:w w:val="93"/>
              </w:rPr>
              <w:t>Indicate by check mark if the registrant is a well-known seasoned issuer, as defined in Rule 405 of the Securities Act.</w:t>
            </w:r>
          </w:p>
        </w:tc>
        <w:tc>
          <w:tcPr>
            <w:tcW w:w="740" w:type="dxa"/>
            <w:vAlign w:val="bottom"/>
          </w:tcPr>
          <w:p>
            <w:pPr>
              <w:spacing w:after="0" w:line="184" w:lineRule="exact"/>
              <w:rPr>
                <w:sz w:val="20"/>
                <w:szCs w:val="20"/>
                <w:color w:val="auto"/>
              </w:rPr>
            </w:pPr>
            <w:r>
              <w:rPr>
                <w:rFonts w:ascii="Arial" w:cs="Arial" w:eastAsia="Arial" w:hAnsi="Arial"/>
                <w:sz w:val="16"/>
                <w:szCs w:val="16"/>
                <w:color w:val="auto"/>
                <w:w w:val="98"/>
              </w:rPr>
              <w:t xml:space="preserve">Yes </w:t>
            </w:r>
            <w:r>
              <w:rPr>
                <w:rFonts w:ascii="MS PGothic" w:cs="MS PGothic" w:eastAsia="MS PGothic" w:hAnsi="MS PGothic"/>
                <w:sz w:val="16"/>
                <w:szCs w:val="16"/>
                <w:color w:val="auto"/>
                <w:w w:val="98"/>
              </w:rPr>
              <w:t>☐</w:t>
            </w:r>
            <w:r>
              <w:rPr>
                <w:rFonts w:ascii="Arial" w:cs="Arial" w:eastAsia="Arial" w:hAnsi="Arial"/>
                <w:sz w:val="16"/>
                <w:szCs w:val="16"/>
                <w:color w:val="auto"/>
                <w:w w:val="98"/>
              </w:rPr>
              <w:t xml:space="preserve"> No</w:t>
            </w:r>
          </w:p>
        </w:tc>
        <w:tc>
          <w:tcPr>
            <w:tcW w:w="1500" w:type="dxa"/>
            <w:vAlign w:val="bottom"/>
          </w:tcPr>
          <w:p>
            <w:pPr>
              <w:ind w:left="60"/>
              <w:spacing w:after="0" w:line="161" w:lineRule="exact"/>
              <w:rPr>
                <w:sz w:val="20"/>
                <w:szCs w:val="20"/>
                <w:color w:val="auto"/>
              </w:rPr>
            </w:pPr>
            <w:r>
              <w:rPr>
                <w:rFonts w:ascii="MS PGothic" w:cs="MS PGothic" w:eastAsia="MS PGothic" w:hAnsi="MS PGothic"/>
                <w:sz w:val="16"/>
                <w:szCs w:val="16"/>
                <w:color w:val="auto"/>
              </w:rPr>
              <w:t>☒</w:t>
            </w:r>
          </w:p>
        </w:tc>
      </w:tr>
      <w:tr>
        <w:trPr>
          <w:trHeight w:val="254"/>
        </w:trPr>
        <w:tc>
          <w:tcPr>
            <w:tcW w:w="7760" w:type="dxa"/>
            <w:vAlign w:val="bottom"/>
            <w:gridSpan w:val="2"/>
          </w:tcPr>
          <w:p>
            <w:pPr>
              <w:spacing w:after="0"/>
              <w:rPr>
                <w:sz w:val="20"/>
                <w:szCs w:val="20"/>
                <w:color w:val="auto"/>
              </w:rPr>
            </w:pPr>
            <w:r>
              <w:rPr>
                <w:rFonts w:ascii="Arial" w:cs="Arial" w:eastAsia="Arial" w:hAnsi="Arial"/>
                <w:sz w:val="16"/>
                <w:szCs w:val="16"/>
                <w:color w:val="auto"/>
                <w:w w:val="92"/>
              </w:rPr>
              <w:t>Indicate by check mark if the registrant is not required to file reports pursuant to Section 13 or Section 15(d) of the Act.</w:t>
            </w:r>
          </w:p>
        </w:tc>
        <w:tc>
          <w:tcPr>
            <w:tcW w:w="740" w:type="dxa"/>
            <w:vAlign w:val="bottom"/>
          </w:tcPr>
          <w:p>
            <w:pPr>
              <w:ind w:left="160"/>
              <w:spacing w:after="0" w:line="184" w:lineRule="exact"/>
              <w:rPr>
                <w:sz w:val="20"/>
                <w:szCs w:val="20"/>
                <w:color w:val="auto"/>
              </w:rPr>
            </w:pPr>
            <w:r>
              <w:rPr>
                <w:rFonts w:ascii="Arial" w:cs="Arial" w:eastAsia="Arial" w:hAnsi="Arial"/>
                <w:sz w:val="16"/>
                <w:szCs w:val="16"/>
                <w:color w:val="auto"/>
              </w:rPr>
              <w:t xml:space="preserve">Yes </w:t>
            </w:r>
            <w:r>
              <w:rPr>
                <w:rFonts w:ascii="MS PGothic" w:cs="MS PGothic" w:eastAsia="MS PGothic" w:hAnsi="MS PGothic"/>
                <w:sz w:val="16"/>
                <w:szCs w:val="16"/>
                <w:color w:val="auto"/>
              </w:rPr>
              <w:t>☐</w:t>
            </w:r>
          </w:p>
        </w:tc>
        <w:tc>
          <w:tcPr>
            <w:tcW w:w="1500" w:type="dxa"/>
            <w:vAlign w:val="bottom"/>
          </w:tcPr>
          <w:p>
            <w:pPr>
              <w:ind w:left="40"/>
              <w:spacing w:after="0" w:line="184" w:lineRule="exact"/>
              <w:rPr>
                <w:sz w:val="20"/>
                <w:szCs w:val="20"/>
                <w:color w:val="auto"/>
              </w:rPr>
            </w:pP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tc>
      </w:tr>
    </w:tbl>
    <w:p>
      <w:pPr>
        <w:spacing w:after="0" w:line="19" w:lineRule="exact"/>
        <w:rPr>
          <w:sz w:val="24"/>
          <w:szCs w:val="24"/>
          <w:color w:val="auto"/>
        </w:rPr>
      </w:pPr>
    </w:p>
    <w:p>
      <w:pPr>
        <w:spacing w:after="0" w:line="268" w:lineRule="auto"/>
        <w:rPr>
          <w:sz w:val="20"/>
          <w:szCs w:val="20"/>
          <w:color w:val="auto"/>
        </w:rPr>
      </w:pPr>
      <w:r>
        <w:rPr>
          <w:rFonts w:ascii="Arial" w:cs="Arial" w:eastAsia="Arial" w:hAnsi="Arial"/>
          <w:sz w:val="15"/>
          <w:szCs w:val="15"/>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w:t>
      </w:r>
    </w:p>
    <w:p>
      <w:pPr>
        <w:spacing w:after="0" w:line="1" w:lineRule="exact"/>
        <w:rPr>
          <w:sz w:val="24"/>
          <w:szCs w:val="24"/>
          <w:color w:val="auto"/>
        </w:rPr>
      </w:pPr>
    </w:p>
    <w:p>
      <w:pPr>
        <w:spacing w:after="0" w:line="184" w:lineRule="exact"/>
        <w:tabs>
          <w:tab w:leader="none" w:pos="680" w:val="left"/>
          <w:tab w:leader="none" w:pos="1320" w:val="left"/>
        </w:tabs>
        <w:rPr>
          <w:sz w:val="20"/>
          <w:szCs w:val="20"/>
          <w:color w:val="auto"/>
        </w:rPr>
      </w:pPr>
      <w:r>
        <w:rPr>
          <w:rFonts w:ascii="Arial" w:cs="Arial" w:eastAsia="Arial" w:hAnsi="Arial"/>
          <w:sz w:val="16"/>
          <w:szCs w:val="16"/>
          <w:color w:val="auto"/>
        </w:rPr>
        <w:t>90 days.</w:t>
        <w:tab/>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 xml:space="preserve">No </w:t>
      </w:r>
      <w:r>
        <w:rPr>
          <w:rFonts w:ascii="MS PGothic" w:cs="MS PGothic" w:eastAsia="MS PGothic" w:hAnsi="MS PGothic"/>
          <w:sz w:val="16"/>
          <w:szCs w:val="16"/>
          <w:color w:val="auto"/>
        </w:rPr>
        <w:t>☐</w:t>
      </w:r>
    </w:p>
    <w:p>
      <w:pPr>
        <w:spacing w:after="0" w:line="51" w:lineRule="exact"/>
        <w:rPr>
          <w:sz w:val="24"/>
          <w:szCs w:val="24"/>
          <w:color w:val="auto"/>
        </w:rPr>
      </w:pPr>
    </w:p>
    <w:p>
      <w:pPr>
        <w:ind w:right="400"/>
        <w:spacing w:after="0" w:line="207" w:lineRule="exact"/>
        <w:rPr>
          <w:sz w:val="20"/>
          <w:szCs w:val="20"/>
          <w:color w:val="auto"/>
        </w:rPr>
      </w:pPr>
      <w:r>
        <w:rPr>
          <w:rFonts w:ascii="Arial" w:cs="Arial" w:eastAsia="Arial" w:hAnsi="Arial"/>
          <w:sz w:val="15"/>
          <w:szCs w:val="15"/>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MS PGothic" w:cs="MS PGothic" w:eastAsia="MS PGothic" w:hAnsi="MS PGothic"/>
          <w:sz w:val="15"/>
          <w:szCs w:val="15"/>
          <w:color w:val="auto"/>
        </w:rPr>
        <w:t>☒</w:t>
      </w:r>
      <w:r>
        <w:rPr>
          <w:rFonts w:ascii="Arial" w:cs="Arial" w:eastAsia="Arial" w:hAnsi="Arial"/>
          <w:sz w:val="15"/>
          <w:szCs w:val="15"/>
          <w:color w:val="auto"/>
        </w:rPr>
        <w:t xml:space="preserve"> No </w:t>
      </w:r>
      <w:r>
        <w:rPr>
          <w:rFonts w:ascii="MS PGothic" w:cs="MS PGothic" w:eastAsia="MS PGothic" w:hAnsi="MS PGothic"/>
          <w:sz w:val="15"/>
          <w:szCs w:val="15"/>
          <w:color w:val="auto"/>
        </w:rPr>
        <w:t>☐</w:t>
      </w:r>
    </w:p>
    <w:p>
      <w:pPr>
        <w:spacing w:after="0" w:line="262" w:lineRule="exact"/>
        <w:rPr>
          <w:sz w:val="24"/>
          <w:szCs w:val="24"/>
          <w:color w:val="auto"/>
        </w:rPr>
      </w:pPr>
    </w:p>
    <w:p>
      <w:pPr>
        <w:ind w:right="120"/>
        <w:spacing w:after="0" w:line="260"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tbl>
      <w:tblPr>
        <w:tblLayout w:type="fixed"/>
        <w:tblInd w:w="640" w:type="dxa"/>
        <w:tblCellMar>
          <w:top w:w="0" w:type="dxa"/>
          <w:left w:w="0" w:type="dxa"/>
          <w:bottom w:w="0" w:type="dxa"/>
          <w:right w:w="0" w:type="dxa"/>
        </w:tblCellMar>
      </w:tblPr>
      <w:tr>
        <w:trPr>
          <w:trHeight w:val="141"/>
        </w:trPr>
        <w:tc>
          <w:tcPr>
            <w:tcW w:w="1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960" w:type="dxa"/>
            <w:vAlign w:val="bottom"/>
          </w:tcPr>
          <w:p>
            <w:pPr>
              <w:jc w:val="center"/>
              <w:ind w:left="188"/>
              <w:spacing w:after="0" w:line="141" w:lineRule="exact"/>
              <w:rPr>
                <w:sz w:val="20"/>
                <w:szCs w:val="20"/>
                <w:color w:val="auto"/>
              </w:rPr>
            </w:pPr>
            <w:r>
              <w:rPr>
                <w:rFonts w:ascii="Arial" w:cs="Arial" w:eastAsia="Arial" w:hAnsi="Arial"/>
                <w:sz w:val="14"/>
                <w:szCs w:val="14"/>
                <w:color w:val="auto"/>
                <w:w w:val="96"/>
              </w:rPr>
              <w:t>Emerging</w:t>
            </w:r>
          </w:p>
        </w:tc>
        <w:tc>
          <w:tcPr>
            <w:tcW w:w="0" w:type="dxa"/>
            <w:vAlign w:val="bottom"/>
          </w:tcPr>
          <w:p>
            <w:pPr>
              <w:spacing w:after="0"/>
              <w:rPr>
                <w:sz w:val="1"/>
                <w:szCs w:val="1"/>
                <w:color w:val="auto"/>
              </w:rPr>
            </w:pPr>
          </w:p>
        </w:tc>
      </w:tr>
      <w:tr>
        <w:trPr>
          <w:trHeight w:val="135"/>
        </w:trPr>
        <w:tc>
          <w:tcPr>
            <w:tcW w:w="1740" w:type="dxa"/>
            <w:vAlign w:val="bottom"/>
            <w:vMerge w:val="restart"/>
          </w:tcPr>
          <w:p>
            <w:pPr>
              <w:spacing w:after="0" w:line="161" w:lineRule="exact"/>
              <w:rPr>
                <w:sz w:val="20"/>
                <w:szCs w:val="20"/>
                <w:color w:val="auto"/>
              </w:rPr>
            </w:pPr>
            <w:r>
              <w:rPr>
                <w:rFonts w:ascii="Arial" w:cs="Arial" w:eastAsia="Arial" w:hAnsi="Arial"/>
                <w:sz w:val="14"/>
                <w:szCs w:val="14"/>
                <w:color w:val="auto"/>
              </w:rPr>
              <w:t xml:space="preserve">Large accelerated filer </w:t>
            </w:r>
            <w:r>
              <w:rPr>
                <w:rFonts w:ascii="MS PGothic" w:cs="MS PGothic" w:eastAsia="MS PGothic" w:hAnsi="MS PGothic"/>
                <w:sz w:val="14"/>
                <w:szCs w:val="14"/>
                <w:color w:val="auto"/>
              </w:rPr>
              <w:t>☒</w:t>
            </w:r>
          </w:p>
        </w:tc>
        <w:tc>
          <w:tcPr>
            <w:tcW w:w="2020" w:type="dxa"/>
            <w:vAlign w:val="bottom"/>
            <w:vMerge w:val="restart"/>
          </w:tcPr>
          <w:p>
            <w:pPr>
              <w:ind w:left="240"/>
              <w:spacing w:after="0" w:line="161" w:lineRule="exact"/>
              <w:rPr>
                <w:sz w:val="20"/>
                <w:szCs w:val="20"/>
                <w:color w:val="auto"/>
              </w:rPr>
            </w:pPr>
            <w:r>
              <w:rPr>
                <w:rFonts w:ascii="Arial" w:cs="Arial" w:eastAsia="Arial" w:hAnsi="Arial"/>
                <w:sz w:val="14"/>
                <w:szCs w:val="14"/>
                <w:color w:val="auto"/>
              </w:rPr>
              <w:t xml:space="preserve">Accelerated filer </w:t>
            </w:r>
            <w:r>
              <w:rPr>
                <w:rFonts w:ascii="MS PGothic" w:cs="MS PGothic" w:eastAsia="MS PGothic" w:hAnsi="MS PGothic"/>
                <w:sz w:val="14"/>
                <w:szCs w:val="14"/>
                <w:color w:val="auto"/>
              </w:rPr>
              <w:t>☐</w:t>
            </w:r>
          </w:p>
        </w:tc>
        <w:tc>
          <w:tcPr>
            <w:tcW w:w="2680" w:type="dxa"/>
            <w:vAlign w:val="bottom"/>
            <w:vMerge w:val="restart"/>
          </w:tcPr>
          <w:p>
            <w:pPr>
              <w:ind w:left="600"/>
              <w:spacing w:after="0" w:line="161" w:lineRule="exact"/>
              <w:rPr>
                <w:sz w:val="20"/>
                <w:szCs w:val="20"/>
                <w:color w:val="auto"/>
              </w:rPr>
            </w:pPr>
            <w:r>
              <w:rPr>
                <w:rFonts w:ascii="Arial" w:cs="Arial" w:eastAsia="Arial" w:hAnsi="Arial"/>
                <w:sz w:val="14"/>
                <w:szCs w:val="14"/>
                <w:color w:val="auto"/>
              </w:rPr>
              <w:t xml:space="preserve">Non-accelerated filer </w:t>
            </w:r>
            <w:r>
              <w:rPr>
                <w:rFonts w:ascii="MS PGothic" w:cs="MS PGothic" w:eastAsia="MS PGothic" w:hAnsi="MS PGothic"/>
                <w:sz w:val="14"/>
                <w:szCs w:val="14"/>
                <w:color w:val="auto"/>
              </w:rPr>
              <w:t>☐</w:t>
            </w:r>
          </w:p>
        </w:tc>
        <w:tc>
          <w:tcPr>
            <w:tcW w:w="2680" w:type="dxa"/>
            <w:vAlign w:val="bottom"/>
            <w:vMerge w:val="restart"/>
          </w:tcPr>
          <w:p>
            <w:pPr>
              <w:ind w:left="680"/>
              <w:spacing w:after="0" w:line="161" w:lineRule="exact"/>
              <w:rPr>
                <w:sz w:val="20"/>
                <w:szCs w:val="20"/>
                <w:color w:val="auto"/>
              </w:rPr>
            </w:pPr>
            <w:r>
              <w:rPr>
                <w:rFonts w:ascii="Arial" w:cs="Arial" w:eastAsia="Arial" w:hAnsi="Arial"/>
                <w:sz w:val="14"/>
                <w:szCs w:val="14"/>
                <w:color w:val="auto"/>
              </w:rPr>
              <w:t xml:space="preserve">Smaller reporting company </w:t>
            </w:r>
            <w:r>
              <w:rPr>
                <w:rFonts w:ascii="MS PGothic" w:cs="MS PGothic" w:eastAsia="MS PGothic" w:hAnsi="MS PGothic"/>
                <w:sz w:val="14"/>
                <w:szCs w:val="14"/>
                <w:color w:val="auto"/>
              </w:rPr>
              <w:t>☐</w:t>
            </w:r>
          </w:p>
        </w:tc>
        <w:tc>
          <w:tcPr>
            <w:tcW w:w="960" w:type="dxa"/>
            <w:vAlign w:val="bottom"/>
          </w:tcPr>
          <w:p>
            <w:pPr>
              <w:jc w:val="center"/>
              <w:ind w:left="188"/>
              <w:spacing w:after="0" w:line="135" w:lineRule="exact"/>
              <w:rPr>
                <w:sz w:val="20"/>
                <w:szCs w:val="20"/>
                <w:color w:val="auto"/>
              </w:rPr>
            </w:pPr>
            <w:r>
              <w:rPr>
                <w:rFonts w:ascii="Arial" w:cs="Arial" w:eastAsia="Arial" w:hAnsi="Arial"/>
                <w:sz w:val="14"/>
                <w:szCs w:val="14"/>
                <w:color w:val="auto"/>
                <w:w w:val="99"/>
              </w:rPr>
              <w:t>growth</w:t>
            </w:r>
          </w:p>
        </w:tc>
        <w:tc>
          <w:tcPr>
            <w:tcW w:w="0" w:type="dxa"/>
            <w:vAlign w:val="bottom"/>
          </w:tcPr>
          <w:p>
            <w:pPr>
              <w:spacing w:after="0"/>
              <w:rPr>
                <w:sz w:val="1"/>
                <w:szCs w:val="1"/>
                <w:color w:val="auto"/>
              </w:rPr>
            </w:pPr>
          </w:p>
        </w:tc>
      </w:tr>
      <w:tr>
        <w:trPr>
          <w:trHeight w:val="226"/>
        </w:trPr>
        <w:tc>
          <w:tcPr>
            <w:tcW w:w="1740" w:type="dxa"/>
            <w:vAlign w:val="bottom"/>
            <w:vMerge w:val="continue"/>
          </w:tcPr>
          <w:p>
            <w:pPr>
              <w:spacing w:after="0"/>
              <w:rPr>
                <w:sz w:val="19"/>
                <w:szCs w:val="19"/>
                <w:color w:val="auto"/>
              </w:rPr>
            </w:pPr>
          </w:p>
        </w:tc>
        <w:tc>
          <w:tcPr>
            <w:tcW w:w="2020" w:type="dxa"/>
            <w:vAlign w:val="bottom"/>
            <w:vMerge w:val="continue"/>
          </w:tcPr>
          <w:p>
            <w:pPr>
              <w:spacing w:after="0"/>
              <w:rPr>
                <w:sz w:val="19"/>
                <w:szCs w:val="19"/>
                <w:color w:val="auto"/>
              </w:rPr>
            </w:pPr>
          </w:p>
        </w:tc>
        <w:tc>
          <w:tcPr>
            <w:tcW w:w="2680" w:type="dxa"/>
            <w:vAlign w:val="bottom"/>
            <w:vMerge w:val="continue"/>
          </w:tcPr>
          <w:p>
            <w:pPr>
              <w:spacing w:after="0"/>
              <w:rPr>
                <w:sz w:val="19"/>
                <w:szCs w:val="19"/>
                <w:color w:val="auto"/>
              </w:rPr>
            </w:pPr>
          </w:p>
        </w:tc>
        <w:tc>
          <w:tcPr>
            <w:tcW w:w="2680" w:type="dxa"/>
            <w:vAlign w:val="bottom"/>
            <w:vMerge w:val="continue"/>
          </w:tcPr>
          <w:p>
            <w:pPr>
              <w:spacing w:after="0"/>
              <w:rPr>
                <w:sz w:val="19"/>
                <w:szCs w:val="19"/>
                <w:color w:val="auto"/>
              </w:rPr>
            </w:pPr>
          </w:p>
        </w:tc>
        <w:tc>
          <w:tcPr>
            <w:tcW w:w="960" w:type="dxa"/>
            <w:vAlign w:val="bottom"/>
          </w:tcPr>
          <w:p>
            <w:pPr>
              <w:jc w:val="center"/>
              <w:ind w:left="188"/>
              <w:spacing w:after="0" w:line="161" w:lineRule="exact"/>
              <w:rPr>
                <w:sz w:val="20"/>
                <w:szCs w:val="20"/>
                <w:color w:val="auto"/>
              </w:rPr>
            </w:pPr>
            <w:r>
              <w:rPr>
                <w:rFonts w:ascii="Arial" w:cs="Arial" w:eastAsia="Arial" w:hAnsi="Arial"/>
                <w:sz w:val="14"/>
                <w:szCs w:val="14"/>
                <w:color w:val="auto"/>
                <w:w w:val="93"/>
              </w:rPr>
              <w:t xml:space="preserve">company </w:t>
            </w:r>
            <w:r>
              <w:rPr>
                <w:rFonts w:ascii="MS PGothic" w:cs="MS PGothic" w:eastAsia="MS PGothic" w:hAnsi="MS PGothic"/>
                <w:sz w:val="14"/>
                <w:szCs w:val="14"/>
                <w:color w:val="auto"/>
                <w:w w:val="93"/>
              </w:rPr>
              <w:t>☐</w:t>
            </w:r>
          </w:p>
        </w:tc>
        <w:tc>
          <w:tcPr>
            <w:tcW w:w="0" w:type="dxa"/>
            <w:vAlign w:val="bottom"/>
          </w:tcPr>
          <w:p>
            <w:pPr>
              <w:spacing w:after="0"/>
              <w:rPr>
                <w:sz w:val="1"/>
                <w:szCs w:val="1"/>
                <w:color w:val="auto"/>
              </w:rPr>
            </w:pPr>
          </w:p>
        </w:tc>
      </w:tr>
    </w:tbl>
    <w:p>
      <w:pPr>
        <w:spacing w:after="0" w:line="251" w:lineRule="exact"/>
        <w:rPr>
          <w:sz w:val="24"/>
          <w:szCs w:val="24"/>
          <w:color w:val="auto"/>
        </w:rPr>
      </w:pPr>
    </w:p>
    <w:p>
      <w:pPr>
        <w:ind w:right="580"/>
        <w:spacing w:after="0" w:line="207"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6"/>
          <w:szCs w:val="16"/>
          <w:color w:val="auto"/>
        </w:rPr>
        <w:t>☐</w:t>
      </w:r>
    </w:p>
    <w:p>
      <w:pPr>
        <w:spacing w:after="0" w:line="233" w:lineRule="exact"/>
        <w:rPr>
          <w:sz w:val="24"/>
          <w:szCs w:val="24"/>
          <w:color w:val="auto"/>
        </w:rPr>
      </w:pPr>
    </w:p>
    <w:p>
      <w:pPr>
        <w:spacing w:after="0" w:line="184" w:lineRule="exact"/>
        <w:tabs>
          <w:tab w:leader="none" w:pos="750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tab/>
        <w:t xml:space="preserve">Yes </w:t>
      </w:r>
      <w:r>
        <w:rPr>
          <w:rFonts w:ascii="MS PGothic" w:cs="MS PGothic" w:eastAsia="MS PGothic" w:hAnsi="MS PGothic"/>
          <w:sz w:val="16"/>
          <w:szCs w:val="16"/>
          <w:color w:val="auto"/>
        </w:rPr>
        <w:t>☐</w:t>
      </w:r>
      <w:r>
        <w:rPr>
          <w:rFonts w:ascii="Arial" w:cs="Arial" w:eastAsia="Arial" w:hAnsi="Arial"/>
          <w:sz w:val="16"/>
          <w:szCs w:val="16"/>
          <w:color w:val="auto"/>
        </w:rPr>
        <w:t xml:space="preserve"> No </w:t>
      </w:r>
      <w:r>
        <w:rPr>
          <w:rFonts w:ascii="MS PGothic" w:cs="MS PGothic" w:eastAsia="MS PGothic" w:hAnsi="MS PGothic"/>
          <w:sz w:val="16"/>
          <w:szCs w:val="16"/>
          <w:color w:val="auto"/>
        </w:rPr>
        <w:t>☒</w:t>
      </w:r>
    </w:p>
    <w:p>
      <w:pPr>
        <w:spacing w:after="0" w:line="89" w:lineRule="exact"/>
        <w:rPr>
          <w:sz w:val="24"/>
          <w:szCs w:val="24"/>
          <w:color w:val="auto"/>
        </w:rPr>
      </w:pPr>
    </w:p>
    <w:p>
      <w:pPr>
        <w:ind w:right="100"/>
        <w:spacing w:after="0" w:line="207" w:lineRule="exact"/>
        <w:rPr>
          <w:sz w:val="20"/>
          <w:szCs w:val="20"/>
          <w:color w:val="auto"/>
        </w:rPr>
      </w:pPr>
      <w:r>
        <w:rPr>
          <w:rFonts w:ascii="Arial" w:cs="Arial" w:eastAsia="Arial" w:hAnsi="Arial"/>
          <w:sz w:val="16"/>
          <w:szCs w:val="16"/>
          <w:color w:val="auto"/>
        </w:rPr>
        <w:t xml:space="preserve">Indicate by check mark whether the registrant has filed a report on and attestation of the effectiveness of its internal control over financial reporting under Section 404(b) of Sarbanes-Oxley Act (15 U.S.C. 7262(b)) by registered public accounting firm that prepared or issued its audit report. </w:t>
      </w:r>
      <w:r>
        <w:rPr>
          <w:rFonts w:ascii="MS PGothic" w:cs="MS PGothic" w:eastAsia="MS PGothic" w:hAnsi="MS PGothic"/>
          <w:sz w:val="16"/>
          <w:szCs w:val="16"/>
          <w:color w:val="auto"/>
        </w:rPr>
        <w:t>☒</w:t>
      </w:r>
    </w:p>
    <w:p>
      <w:pPr>
        <w:spacing w:after="0" w:line="20" w:lineRule="exact"/>
        <w:rPr>
          <w:sz w:val="24"/>
          <w:szCs w:val="24"/>
          <w:color w:val="auto"/>
        </w:rPr>
      </w:pPr>
    </w:p>
    <w:p>
      <w:pPr>
        <w:ind w:right="100"/>
        <w:spacing w:after="0" w:line="275"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$24,357,535,058 based upon the closing price of $36.47 per share on the Nasdaq Global Select Market on July 31, 2020 (the last business day of the registrant’s most recently completed second quarter).</w:t>
      </w:r>
    </w:p>
    <w:p>
      <w:pPr>
        <w:spacing w:after="0" w:line="10" w:lineRule="exact"/>
        <w:rPr>
          <w:sz w:val="24"/>
          <w:szCs w:val="24"/>
          <w:color w:val="auto"/>
        </w:rPr>
      </w:pPr>
    </w:p>
    <w:p>
      <w:pPr>
        <w:spacing w:after="0"/>
        <w:rPr>
          <w:sz w:val="20"/>
          <w:szCs w:val="20"/>
          <w:color w:val="auto"/>
        </w:rPr>
      </w:pPr>
      <w:r>
        <w:rPr>
          <w:rFonts w:ascii="Arial" w:cs="Arial" w:eastAsia="Arial" w:hAnsi="Arial"/>
          <w:sz w:val="16"/>
          <w:szCs w:val="16"/>
          <w:color w:val="auto"/>
        </w:rPr>
        <w:t>As of March 9, 2021, there were 675.7 million common shares of the registrant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335280</wp:posOffset>
            </wp:positionV>
            <wp:extent cx="7132320" cy="17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786" w:right="339" w:bottom="1440" w:gutter="0" w:footer="0" w:header="0"/>
          <w:type w:val="continuous"/>
        </w:sectPr>
      </w:pPr>
    </w:p>
    <w:bookmarkStart w:id="1" w:name="page2"/>
    <w:bookmarkEnd w:id="1"/>
    <w:p>
      <w:pPr>
        <w:jc w:val="center"/>
        <w:ind w:right="-99"/>
        <w:spacing w:after="0"/>
        <w:rPr>
          <w:sz w:val="20"/>
          <w:szCs w:val="20"/>
          <w:color w:val="auto"/>
        </w:rPr>
      </w:pPr>
      <w:r>
        <w:rPr>
          <w:rFonts w:ascii="Arial" w:cs="Arial" w:eastAsia="Arial" w:hAnsi="Arial"/>
          <w:sz w:val="16"/>
          <w:szCs w:val="16"/>
          <w:b w:val="1"/>
          <w:bCs w:val="1"/>
          <w:color w:val="auto"/>
        </w:rPr>
        <w:t>DOCUMENTS INCORPORATED BY REFERENCE</w:t>
      </w:r>
    </w:p>
    <w:p>
      <w:pPr>
        <w:spacing w:after="0" w:line="117" w:lineRule="exact"/>
        <w:rPr>
          <w:sz w:val="20"/>
          <w:szCs w:val="20"/>
          <w:color w:val="auto"/>
        </w:rPr>
      </w:pPr>
    </w:p>
    <w:p>
      <w:pPr>
        <w:ind w:firstLine="405"/>
        <w:spacing w:after="0" w:line="286" w:lineRule="auto"/>
        <w:rPr>
          <w:sz w:val="20"/>
          <w:szCs w:val="20"/>
          <w:color w:val="auto"/>
        </w:rPr>
      </w:pPr>
      <w:r>
        <w:rPr>
          <w:rFonts w:ascii="Arial" w:cs="Arial" w:eastAsia="Arial" w:hAnsi="Arial"/>
          <w:sz w:val="15"/>
          <w:szCs w:val="15"/>
          <w:color w:val="auto"/>
        </w:rPr>
        <w:t>Portions of Part III of this Form 10-K are incorporated by reference from the registrant’s definitive proxy statement for its 2021 annual general meeting of shareholders, which proxy statement will be filed with the Securities and Exchange Commission within 120 days after the end of the fiscal year covered by this Form 10-K. Except with respect to information specifically incorporated by reference in this Form 10-K, the proxy statement is not deemed to be filed as part of this Form 10-K.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300355</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60"/>
          </w:cols>
          <w:pgMar w:left="320" w:top="1152" w:right="41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4"/>
        </w:trPr>
        <w:tc>
          <w:tcPr>
            <w:tcW w:w="840" w:type="dxa"/>
            <w:vAlign w:val="bottom"/>
          </w:tcPr>
          <w:p>
            <w:pPr>
              <w:spacing w:after="0"/>
              <w:rPr>
                <w:sz w:val="20"/>
                <w:szCs w:val="20"/>
                <w:color w:val="auto"/>
              </w:rPr>
            </w:pPr>
          </w:p>
        </w:tc>
        <w:tc>
          <w:tcPr>
            <w:tcW w:w="9540" w:type="dxa"/>
            <w:vAlign w:val="bottom"/>
          </w:tcPr>
          <w:p>
            <w:pPr>
              <w:jc w:val="center"/>
              <w:spacing w:after="0"/>
              <w:rPr>
                <w:sz w:val="20"/>
                <w:szCs w:val="20"/>
                <w:color w:val="auto"/>
              </w:rPr>
            </w:pPr>
            <w:r>
              <w:rPr>
                <w:rFonts w:ascii="Arial" w:cs="Arial" w:eastAsia="Arial" w:hAnsi="Arial"/>
                <w:sz w:val="18"/>
                <w:szCs w:val="18"/>
                <w:b w:val="1"/>
                <w:bCs w:val="1"/>
                <w:color w:val="auto"/>
                <w:w w:val="98"/>
              </w:rPr>
              <w:t>TABLE OF CONTENTS</w:t>
            </w:r>
          </w:p>
        </w:tc>
        <w:tc>
          <w:tcPr>
            <w:tcW w:w="860" w:type="dxa"/>
            <w:vAlign w:val="bottom"/>
          </w:tcPr>
          <w:p>
            <w:pPr>
              <w:spacing w:after="0"/>
              <w:rPr>
                <w:sz w:val="20"/>
                <w:szCs w:val="20"/>
                <w:color w:val="auto"/>
              </w:rPr>
            </w:pPr>
          </w:p>
        </w:tc>
      </w:tr>
      <w:tr>
        <w:trPr>
          <w:trHeight w:val="209"/>
        </w:trPr>
        <w:tc>
          <w:tcPr>
            <w:tcW w:w="840" w:type="dxa"/>
            <w:vAlign w:val="bottom"/>
          </w:tcPr>
          <w:p>
            <w:pPr>
              <w:spacing w:after="0"/>
              <w:rPr>
                <w:sz w:val="18"/>
                <w:szCs w:val="18"/>
                <w:color w:val="auto"/>
              </w:rPr>
            </w:pPr>
          </w:p>
        </w:tc>
        <w:tc>
          <w:tcPr>
            <w:tcW w:w="9540" w:type="dxa"/>
            <w:vAlign w:val="bottom"/>
          </w:tcPr>
          <w:p>
            <w:pPr>
              <w:spacing w:after="0"/>
              <w:rPr>
                <w:sz w:val="18"/>
                <w:szCs w:val="18"/>
                <w:color w:val="auto"/>
              </w:rPr>
            </w:pPr>
          </w:p>
        </w:tc>
        <w:tc>
          <w:tcPr>
            <w:tcW w:w="86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Page</w:t>
            </w:r>
          </w:p>
        </w:tc>
      </w:tr>
      <w:tr>
        <w:trPr>
          <w:trHeight w:val="216"/>
        </w:trPr>
        <w:tc>
          <w:tcPr>
            <w:tcW w:w="840" w:type="dxa"/>
            <w:vAlign w:val="bottom"/>
          </w:tcPr>
          <w:p>
            <w:pPr>
              <w:spacing w:after="0"/>
              <w:rPr>
                <w:sz w:val="18"/>
                <w:szCs w:val="18"/>
                <w:color w:val="auto"/>
              </w:rPr>
            </w:pPr>
          </w:p>
        </w:tc>
        <w:tc>
          <w:tcPr>
            <w:tcW w:w="9540" w:type="dxa"/>
            <w:vAlign w:val="bottom"/>
          </w:tcPr>
          <w:p>
            <w:pPr>
              <w:jc w:val="center"/>
              <w:spacing w:after="0"/>
              <w:rPr>
                <w:rFonts w:ascii="Arial" w:cs="Arial" w:eastAsia="Arial" w:hAnsi="Arial"/>
                <w:sz w:val="18"/>
                <w:szCs w:val="18"/>
                <w:b w:val="1"/>
                <w:bCs w:val="1"/>
                <w:u w:val="single" w:color="auto"/>
                <w:color w:val="0000FF"/>
                <w:w w:val="98"/>
              </w:rPr>
            </w:pPr>
            <w:hyperlink w:anchor="page4">
              <w:r>
                <w:rPr>
                  <w:rFonts w:ascii="Arial" w:cs="Arial" w:eastAsia="Arial" w:hAnsi="Arial"/>
                  <w:sz w:val="18"/>
                  <w:szCs w:val="18"/>
                  <w:b w:val="1"/>
                  <w:bCs w:val="1"/>
                  <w:u w:val="single" w:color="auto"/>
                  <w:color w:val="0000FF"/>
                  <w:w w:val="98"/>
                </w:rPr>
                <w:t>PART I</w:t>
              </w:r>
            </w:hyperlink>
          </w:p>
        </w:tc>
        <w:tc>
          <w:tcPr>
            <w:tcW w:w="860" w:type="dxa"/>
            <w:vAlign w:val="bottom"/>
          </w:tcPr>
          <w:p>
            <w:pPr>
              <w:spacing w:after="0"/>
              <w:rPr>
                <w:sz w:val="18"/>
                <w:szCs w:val="18"/>
                <w:color w:val="auto"/>
              </w:rPr>
            </w:pPr>
          </w:p>
        </w:tc>
      </w:tr>
      <w:tr>
        <w:trPr>
          <w:trHeight w:val="445"/>
        </w:trPr>
        <w:tc>
          <w:tcPr>
            <w:tcW w:w="840" w:type="dxa"/>
            <w:vAlign w:val="bottom"/>
          </w:tcPr>
          <w:p>
            <w:pPr>
              <w:ind w:left="20"/>
              <w:spacing w:after="0"/>
              <w:rPr>
                <w:sz w:val="20"/>
                <w:szCs w:val="20"/>
                <w:color w:val="auto"/>
              </w:rPr>
            </w:pPr>
            <w:r>
              <w:rPr>
                <w:rFonts w:ascii="Arial" w:cs="Arial" w:eastAsia="Arial" w:hAnsi="Arial"/>
                <w:sz w:val="18"/>
                <w:szCs w:val="18"/>
                <w:color w:val="auto"/>
              </w:rPr>
              <w:t>Item 1.</w:t>
            </w:r>
          </w:p>
        </w:tc>
        <w:tc>
          <w:tcPr>
            <w:tcW w:w="9540" w:type="dxa"/>
            <w:vAlign w:val="bottom"/>
          </w:tcPr>
          <w:p>
            <w:pPr>
              <w:ind w:left="180"/>
              <w:spacing w:after="0"/>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Business</w:t>
              </w:r>
            </w:hyperlink>
          </w:p>
        </w:tc>
        <w:tc>
          <w:tcPr>
            <w:tcW w:w="860" w:type="dxa"/>
            <w:vAlign w:val="bottom"/>
          </w:tcPr>
          <w:p>
            <w:pPr>
              <w:jc w:val="right"/>
              <w:spacing w:after="0"/>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2</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1A.</w:t>
            </w:r>
          </w:p>
        </w:tc>
        <w:tc>
          <w:tcPr>
            <w:tcW w:w="9540" w:type="dxa"/>
            <w:vAlign w:val="bottom"/>
          </w:tcPr>
          <w:p>
            <w:pPr>
              <w:ind w:left="180"/>
              <w:spacing w:after="0"/>
              <w:rPr>
                <w:rFonts w:ascii="Arial" w:cs="Arial" w:eastAsia="Arial" w:hAnsi="Arial"/>
                <w:sz w:val="18"/>
                <w:szCs w:val="18"/>
                <w:u w:val="single" w:color="auto"/>
                <w:color w:val="0000FF"/>
              </w:rPr>
            </w:pPr>
            <w:hyperlink w:anchor="page12">
              <w:r>
                <w:rPr>
                  <w:rFonts w:ascii="Arial" w:cs="Arial" w:eastAsia="Arial" w:hAnsi="Arial"/>
                  <w:sz w:val="18"/>
                  <w:szCs w:val="18"/>
                  <w:u w:val="single" w:color="auto"/>
                  <w:color w:val="0000FF"/>
                </w:rPr>
                <w:t>Risk Factors</w:t>
              </w:r>
            </w:hyperlink>
          </w:p>
        </w:tc>
        <w:tc>
          <w:tcPr>
            <w:tcW w:w="860" w:type="dxa"/>
            <w:vAlign w:val="bottom"/>
          </w:tcPr>
          <w:p>
            <w:pPr>
              <w:jc w:val="right"/>
              <w:spacing w:after="0"/>
              <w:rPr>
                <w:rFonts w:ascii="Arial" w:cs="Arial" w:eastAsia="Arial" w:hAnsi="Arial"/>
                <w:sz w:val="18"/>
                <w:szCs w:val="18"/>
                <w:u w:val="single" w:color="auto"/>
                <w:color w:val="0000FF"/>
              </w:rPr>
            </w:pPr>
            <w:hyperlink w:anchor="page12">
              <w:r>
                <w:rPr>
                  <w:rFonts w:ascii="Arial" w:cs="Arial" w:eastAsia="Arial" w:hAnsi="Arial"/>
                  <w:sz w:val="18"/>
                  <w:szCs w:val="18"/>
                  <w:u w:val="single" w:color="auto"/>
                  <w:color w:val="0000FF"/>
                </w:rPr>
                <w:t>10</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1B.</w:t>
            </w:r>
          </w:p>
        </w:tc>
        <w:tc>
          <w:tcPr>
            <w:tcW w:w="9540" w:type="dxa"/>
            <w:vAlign w:val="bottom"/>
          </w:tcPr>
          <w:p>
            <w:pPr>
              <w:ind w:left="180"/>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Unresolved Staff Comments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37</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2.</w:t>
            </w:r>
          </w:p>
        </w:tc>
        <w:tc>
          <w:tcPr>
            <w:tcW w:w="9540" w:type="dxa"/>
            <w:vAlign w:val="bottom"/>
          </w:tcPr>
          <w:p>
            <w:pPr>
              <w:ind w:left="180"/>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Properties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37</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3.</w:t>
            </w:r>
          </w:p>
        </w:tc>
        <w:tc>
          <w:tcPr>
            <w:tcW w:w="9540" w:type="dxa"/>
            <w:vAlign w:val="bottom"/>
          </w:tcPr>
          <w:p>
            <w:pPr>
              <w:ind w:left="180"/>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Legal Proceedings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37</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4.</w:t>
            </w:r>
          </w:p>
        </w:tc>
        <w:tc>
          <w:tcPr>
            <w:tcW w:w="9540" w:type="dxa"/>
            <w:vAlign w:val="bottom"/>
          </w:tcPr>
          <w:p>
            <w:pPr>
              <w:ind w:left="180"/>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Mine Safety Disclosures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0">
              <w:r>
                <w:rPr>
                  <w:rFonts w:ascii="Arial" w:cs="Arial" w:eastAsia="Arial" w:hAnsi="Arial"/>
                  <w:sz w:val="18"/>
                  <w:szCs w:val="18"/>
                  <w:u w:val="single" w:color="auto"/>
                  <w:color w:val="0000FF"/>
                </w:rPr>
                <w:t>37</w:t>
              </w:r>
            </w:hyperlink>
          </w:p>
        </w:tc>
      </w:tr>
      <w:tr>
        <w:trPr>
          <w:trHeight w:val="445"/>
        </w:trPr>
        <w:tc>
          <w:tcPr>
            <w:tcW w:w="840" w:type="dxa"/>
            <w:vAlign w:val="bottom"/>
          </w:tcPr>
          <w:p>
            <w:pPr>
              <w:spacing w:after="0"/>
              <w:rPr>
                <w:sz w:val="24"/>
                <w:szCs w:val="24"/>
                <w:color w:val="auto"/>
              </w:rPr>
            </w:pPr>
          </w:p>
        </w:tc>
        <w:tc>
          <w:tcPr>
            <w:tcW w:w="9540" w:type="dxa"/>
            <w:vAlign w:val="bottom"/>
          </w:tcPr>
          <w:p>
            <w:pPr>
              <w:jc w:val="center"/>
              <w:spacing w:after="0"/>
              <w:rPr>
                <w:rFonts w:ascii="Arial" w:cs="Arial" w:eastAsia="Arial" w:hAnsi="Arial"/>
                <w:sz w:val="18"/>
                <w:szCs w:val="18"/>
                <w:b w:val="1"/>
                <w:bCs w:val="1"/>
                <w:u w:val="single" w:color="auto"/>
                <w:color w:val="0000FF"/>
              </w:rPr>
            </w:pPr>
            <w:hyperlink w:anchor="page40">
              <w:r>
                <w:rPr>
                  <w:rFonts w:ascii="Arial" w:cs="Arial" w:eastAsia="Arial" w:hAnsi="Arial"/>
                  <w:sz w:val="18"/>
                  <w:szCs w:val="18"/>
                  <w:b w:val="1"/>
                  <w:bCs w:val="1"/>
                  <w:u w:val="single" w:color="auto"/>
                  <w:color w:val="0000FF"/>
                </w:rPr>
                <w:t>PART II</w:t>
              </w:r>
            </w:hyperlink>
          </w:p>
        </w:tc>
        <w:tc>
          <w:tcPr>
            <w:tcW w:w="860" w:type="dxa"/>
            <w:vAlign w:val="bottom"/>
          </w:tcPr>
          <w:p>
            <w:pPr>
              <w:spacing w:after="0"/>
              <w:rPr>
                <w:sz w:val="24"/>
                <w:szCs w:val="24"/>
                <w:color w:val="auto"/>
              </w:rPr>
            </w:pPr>
          </w:p>
        </w:tc>
      </w:tr>
      <w:tr>
        <w:trPr>
          <w:trHeight w:val="445"/>
        </w:trPr>
        <w:tc>
          <w:tcPr>
            <w:tcW w:w="840" w:type="dxa"/>
            <w:vAlign w:val="bottom"/>
          </w:tcPr>
          <w:p>
            <w:pPr>
              <w:ind w:left="20"/>
              <w:spacing w:after="0"/>
              <w:rPr>
                <w:sz w:val="20"/>
                <w:szCs w:val="20"/>
                <w:color w:val="auto"/>
              </w:rPr>
            </w:pPr>
            <w:r>
              <w:rPr>
                <w:rFonts w:ascii="Arial" w:cs="Arial" w:eastAsia="Arial" w:hAnsi="Arial"/>
                <w:sz w:val="18"/>
                <w:szCs w:val="18"/>
                <w:color w:val="auto"/>
              </w:rPr>
              <w:t>Item 5.</w:t>
            </w:r>
          </w:p>
        </w:tc>
        <w:tc>
          <w:tcPr>
            <w:tcW w:w="9540" w:type="dxa"/>
            <w:vAlign w:val="bottom"/>
          </w:tcPr>
          <w:p>
            <w:pPr>
              <w:ind w:left="180"/>
              <w:spacing w:after="0"/>
              <w:rPr>
                <w:rFonts w:ascii="Arial" w:cs="Arial" w:eastAsia="Arial" w:hAnsi="Arial"/>
                <w:sz w:val="18"/>
                <w:szCs w:val="18"/>
                <w:u w:val="single" w:color="auto"/>
                <w:color w:val="0000FF"/>
              </w:rPr>
            </w:pPr>
            <w:hyperlink w:anchor="page41">
              <w:r>
                <w:rPr>
                  <w:rFonts w:ascii="Arial" w:cs="Arial" w:eastAsia="Arial" w:hAnsi="Arial"/>
                  <w:sz w:val="18"/>
                  <w:szCs w:val="18"/>
                  <w:u w:val="single" w:color="auto"/>
                  <w:color w:val="0000FF"/>
                </w:rPr>
                <w:t>Market for Registrant’s Common Equity, Related Shareholder Matters and Issuer Purchases of Equity Securities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1">
              <w:r>
                <w:rPr>
                  <w:rFonts w:ascii="Arial" w:cs="Arial" w:eastAsia="Arial" w:hAnsi="Arial"/>
                  <w:sz w:val="18"/>
                  <w:szCs w:val="18"/>
                  <w:u w:val="single" w:color="auto"/>
                  <w:color w:val="0000FF"/>
                </w:rPr>
                <w:t>38</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7.</w:t>
            </w:r>
          </w:p>
        </w:tc>
        <w:tc>
          <w:tcPr>
            <w:tcW w:w="9540" w:type="dxa"/>
            <w:vAlign w:val="bottom"/>
          </w:tcPr>
          <w:p>
            <w:pPr>
              <w:ind w:left="180"/>
              <w:spacing w:after="0"/>
              <w:rPr>
                <w:rFonts w:ascii="Arial" w:cs="Arial" w:eastAsia="Arial" w:hAnsi="Arial"/>
                <w:sz w:val="18"/>
                <w:szCs w:val="18"/>
                <w:u w:val="single" w:color="auto"/>
                <w:color w:val="0000FF"/>
              </w:rPr>
            </w:pPr>
            <w:hyperlink w:anchor="page42">
              <w:r>
                <w:rPr>
                  <w:rFonts w:ascii="Arial" w:cs="Arial" w:eastAsia="Arial" w:hAnsi="Arial"/>
                  <w:sz w:val="18"/>
                  <w:szCs w:val="18"/>
                  <w:u w:val="single" w:color="auto"/>
                  <w:color w:val="0000FF"/>
                </w:rPr>
                <w:t>Management’s Discussion and Analysis of Financial Condition and Results of Operations</w:t>
              </w:r>
            </w:hyperlink>
          </w:p>
        </w:tc>
        <w:tc>
          <w:tcPr>
            <w:tcW w:w="860" w:type="dxa"/>
            <w:vAlign w:val="bottom"/>
          </w:tcPr>
          <w:p>
            <w:pPr>
              <w:jc w:val="right"/>
              <w:spacing w:after="0"/>
              <w:rPr>
                <w:rFonts w:ascii="Arial" w:cs="Arial" w:eastAsia="Arial" w:hAnsi="Arial"/>
                <w:sz w:val="18"/>
                <w:szCs w:val="18"/>
                <w:u w:val="single" w:color="auto"/>
                <w:color w:val="0000FF"/>
              </w:rPr>
            </w:pPr>
            <w:hyperlink w:anchor="page42">
              <w:r>
                <w:rPr>
                  <w:rFonts w:ascii="Arial" w:cs="Arial" w:eastAsia="Arial" w:hAnsi="Arial"/>
                  <w:sz w:val="18"/>
                  <w:szCs w:val="18"/>
                  <w:u w:val="single" w:color="auto"/>
                  <w:color w:val="0000FF"/>
                </w:rPr>
                <w:t>40</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7A.</w:t>
            </w:r>
          </w:p>
        </w:tc>
        <w:tc>
          <w:tcPr>
            <w:tcW w:w="9540" w:type="dxa"/>
            <w:vAlign w:val="bottom"/>
          </w:tcPr>
          <w:p>
            <w:pPr>
              <w:ind w:left="180"/>
              <w:spacing w:after="0"/>
              <w:rPr>
                <w:rFonts w:ascii="Arial" w:cs="Arial" w:eastAsia="Arial" w:hAnsi="Arial"/>
                <w:sz w:val="18"/>
                <w:szCs w:val="18"/>
                <w:u w:val="single" w:color="auto"/>
                <w:color w:val="0000FF"/>
              </w:rPr>
            </w:pPr>
            <w:hyperlink w:anchor="page54">
              <w:r>
                <w:rPr>
                  <w:rFonts w:ascii="Arial" w:cs="Arial" w:eastAsia="Arial" w:hAnsi="Arial"/>
                  <w:sz w:val="18"/>
                  <w:szCs w:val="18"/>
                  <w:u w:val="single" w:color="auto"/>
                  <w:color w:val="0000FF"/>
                </w:rPr>
                <w:t>Quantitative and Qualitative Disclosures About Market Risk</w:t>
              </w:r>
            </w:hyperlink>
          </w:p>
        </w:tc>
        <w:tc>
          <w:tcPr>
            <w:tcW w:w="860" w:type="dxa"/>
            <w:vAlign w:val="bottom"/>
          </w:tcPr>
          <w:p>
            <w:pPr>
              <w:jc w:val="right"/>
              <w:spacing w:after="0"/>
              <w:rPr>
                <w:rFonts w:ascii="Arial" w:cs="Arial" w:eastAsia="Arial" w:hAnsi="Arial"/>
                <w:sz w:val="18"/>
                <w:szCs w:val="18"/>
                <w:u w:val="single" w:color="auto"/>
                <w:color w:val="0000FF"/>
              </w:rPr>
            </w:pPr>
            <w:hyperlink w:anchor="page54">
              <w:r>
                <w:rPr>
                  <w:rFonts w:ascii="Arial" w:cs="Arial" w:eastAsia="Arial" w:hAnsi="Arial"/>
                  <w:sz w:val="18"/>
                  <w:szCs w:val="18"/>
                  <w:u w:val="single" w:color="auto"/>
                  <w:color w:val="0000FF"/>
                </w:rPr>
                <w:t>51</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8.</w:t>
            </w:r>
          </w:p>
        </w:tc>
        <w:tc>
          <w:tcPr>
            <w:tcW w:w="9540" w:type="dxa"/>
            <w:vAlign w:val="bottom"/>
          </w:tcPr>
          <w:p>
            <w:pPr>
              <w:ind w:left="180"/>
              <w:spacing w:after="0"/>
              <w:rPr>
                <w:rFonts w:ascii="Arial" w:cs="Arial" w:eastAsia="Arial" w:hAnsi="Arial"/>
                <w:sz w:val="18"/>
                <w:szCs w:val="18"/>
                <w:u w:val="single" w:color="auto"/>
                <w:color w:val="0000FF"/>
              </w:rPr>
            </w:pPr>
            <w:hyperlink w:anchor="page54">
              <w:r>
                <w:rPr>
                  <w:rFonts w:ascii="Arial" w:cs="Arial" w:eastAsia="Arial" w:hAnsi="Arial"/>
                  <w:sz w:val="18"/>
                  <w:szCs w:val="18"/>
                  <w:u w:val="single" w:color="auto"/>
                  <w:color w:val="0000FF"/>
                </w:rPr>
                <w:t>Financial Statements</w:t>
              </w:r>
            </w:hyperlink>
          </w:p>
        </w:tc>
        <w:tc>
          <w:tcPr>
            <w:tcW w:w="860" w:type="dxa"/>
            <w:vAlign w:val="bottom"/>
          </w:tcPr>
          <w:p>
            <w:pPr>
              <w:jc w:val="right"/>
              <w:spacing w:after="0"/>
              <w:rPr>
                <w:rFonts w:ascii="Arial" w:cs="Arial" w:eastAsia="Arial" w:hAnsi="Arial"/>
                <w:sz w:val="18"/>
                <w:szCs w:val="18"/>
                <w:u w:val="single" w:color="auto"/>
                <w:color w:val="0000FF"/>
              </w:rPr>
            </w:pPr>
            <w:hyperlink w:anchor="page54">
              <w:r>
                <w:rPr>
                  <w:rFonts w:ascii="Arial" w:cs="Arial" w:eastAsia="Arial" w:hAnsi="Arial"/>
                  <w:sz w:val="18"/>
                  <w:szCs w:val="18"/>
                  <w:u w:val="single" w:color="auto"/>
                  <w:color w:val="0000FF"/>
                </w:rPr>
                <w:t>52</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9.</w:t>
            </w:r>
          </w:p>
        </w:tc>
        <w:tc>
          <w:tcPr>
            <w:tcW w:w="9540" w:type="dxa"/>
            <w:vAlign w:val="bottom"/>
          </w:tcPr>
          <w:p>
            <w:pPr>
              <w:ind w:left="180"/>
              <w:spacing w:after="0"/>
              <w:rPr>
                <w:rFonts w:ascii="Arial" w:cs="Arial" w:eastAsia="Arial" w:hAnsi="Arial"/>
                <w:sz w:val="18"/>
                <w:szCs w:val="18"/>
                <w:u w:val="single" w:color="auto"/>
                <w:color w:val="0000FF"/>
              </w:rPr>
            </w:pPr>
            <w:hyperlink w:anchor="page98">
              <w:r>
                <w:rPr>
                  <w:rFonts w:ascii="Arial" w:cs="Arial" w:eastAsia="Arial" w:hAnsi="Arial"/>
                  <w:sz w:val="18"/>
                  <w:szCs w:val="18"/>
                  <w:u w:val="single" w:color="auto"/>
                  <w:color w:val="0000FF"/>
                </w:rPr>
                <w:t>Changes in and Disagreements with Accountants on Accounting and Financial Disclosure</w:t>
              </w:r>
            </w:hyperlink>
          </w:p>
        </w:tc>
        <w:tc>
          <w:tcPr>
            <w:tcW w:w="860" w:type="dxa"/>
            <w:vAlign w:val="bottom"/>
          </w:tcPr>
          <w:p>
            <w:pPr>
              <w:jc w:val="right"/>
              <w:spacing w:after="0"/>
              <w:rPr>
                <w:rFonts w:ascii="Arial" w:cs="Arial" w:eastAsia="Arial" w:hAnsi="Arial"/>
                <w:sz w:val="18"/>
                <w:szCs w:val="18"/>
                <w:u w:val="single" w:color="auto"/>
                <w:color w:val="0000FF"/>
              </w:rPr>
            </w:pPr>
            <w:hyperlink w:anchor="page98">
              <w:r>
                <w:rPr>
                  <w:rFonts w:ascii="Arial" w:cs="Arial" w:eastAsia="Arial" w:hAnsi="Arial"/>
                  <w:sz w:val="18"/>
                  <w:szCs w:val="18"/>
                  <w:u w:val="single" w:color="auto"/>
                  <w:color w:val="0000FF"/>
                </w:rPr>
                <w:t>96</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9A.</w:t>
            </w:r>
          </w:p>
        </w:tc>
        <w:tc>
          <w:tcPr>
            <w:tcW w:w="9540" w:type="dxa"/>
            <w:vAlign w:val="bottom"/>
          </w:tcPr>
          <w:p>
            <w:pPr>
              <w:ind w:left="180"/>
              <w:spacing w:after="0"/>
              <w:rPr>
                <w:rFonts w:ascii="Arial" w:cs="Arial" w:eastAsia="Arial" w:hAnsi="Arial"/>
                <w:sz w:val="18"/>
                <w:szCs w:val="18"/>
                <w:u w:val="single" w:color="auto"/>
                <w:color w:val="0000FF"/>
              </w:rPr>
            </w:pPr>
            <w:hyperlink w:anchor="page99">
              <w:r>
                <w:rPr>
                  <w:rFonts w:ascii="Arial" w:cs="Arial" w:eastAsia="Arial" w:hAnsi="Arial"/>
                  <w:sz w:val="18"/>
                  <w:szCs w:val="18"/>
                  <w:u w:val="single" w:color="auto"/>
                  <w:color w:val="0000FF"/>
                </w:rPr>
                <w:t>Controls and Procedures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99">
              <w:r>
                <w:rPr>
                  <w:rFonts w:ascii="Arial" w:cs="Arial" w:eastAsia="Arial" w:hAnsi="Arial"/>
                  <w:sz w:val="18"/>
                  <w:szCs w:val="18"/>
                  <w:u w:val="single" w:color="auto"/>
                  <w:color w:val="0000FF"/>
                </w:rPr>
                <w:t>96</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9B.</w:t>
            </w:r>
          </w:p>
        </w:tc>
        <w:tc>
          <w:tcPr>
            <w:tcW w:w="9540" w:type="dxa"/>
            <w:vAlign w:val="bottom"/>
          </w:tcPr>
          <w:p>
            <w:pPr>
              <w:ind w:left="180"/>
              <w:spacing w:after="0"/>
              <w:rPr>
                <w:rFonts w:ascii="Arial" w:cs="Arial" w:eastAsia="Arial" w:hAnsi="Arial"/>
                <w:sz w:val="18"/>
                <w:szCs w:val="18"/>
                <w:u w:val="single" w:color="auto"/>
                <w:color w:val="0000FF"/>
              </w:rPr>
            </w:pPr>
            <w:hyperlink w:anchor="page100">
              <w:r>
                <w:rPr>
                  <w:rFonts w:ascii="Arial" w:cs="Arial" w:eastAsia="Arial" w:hAnsi="Arial"/>
                  <w:sz w:val="18"/>
                  <w:szCs w:val="18"/>
                  <w:u w:val="single" w:color="auto"/>
                  <w:color w:val="0000FF"/>
                </w:rPr>
                <w:t>Other Information</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0">
              <w:r>
                <w:rPr>
                  <w:rFonts w:ascii="Arial" w:cs="Arial" w:eastAsia="Arial" w:hAnsi="Arial"/>
                  <w:sz w:val="18"/>
                  <w:szCs w:val="18"/>
                  <w:u w:val="single" w:color="auto"/>
                  <w:color w:val="0000FF"/>
                </w:rPr>
                <w:t>97</w:t>
              </w:r>
            </w:hyperlink>
          </w:p>
        </w:tc>
      </w:tr>
      <w:tr>
        <w:trPr>
          <w:trHeight w:val="392"/>
        </w:trPr>
        <w:tc>
          <w:tcPr>
            <w:tcW w:w="840" w:type="dxa"/>
            <w:vAlign w:val="bottom"/>
          </w:tcPr>
          <w:p>
            <w:pPr>
              <w:spacing w:after="0"/>
              <w:rPr>
                <w:sz w:val="24"/>
                <w:szCs w:val="24"/>
                <w:color w:val="auto"/>
              </w:rPr>
            </w:pPr>
          </w:p>
        </w:tc>
        <w:tc>
          <w:tcPr>
            <w:tcW w:w="9540" w:type="dxa"/>
            <w:vAlign w:val="bottom"/>
          </w:tcPr>
          <w:p>
            <w:pPr>
              <w:jc w:val="center"/>
              <w:spacing w:after="0"/>
              <w:rPr>
                <w:rFonts w:ascii="Arial" w:cs="Arial" w:eastAsia="Arial" w:hAnsi="Arial"/>
                <w:sz w:val="18"/>
                <w:szCs w:val="18"/>
                <w:b w:val="1"/>
                <w:bCs w:val="1"/>
                <w:u w:val="single" w:color="auto"/>
                <w:color w:val="0000FF"/>
              </w:rPr>
            </w:pPr>
            <w:hyperlink w:anchor="page101">
              <w:r>
                <w:rPr>
                  <w:rFonts w:ascii="Arial" w:cs="Arial" w:eastAsia="Arial" w:hAnsi="Arial"/>
                  <w:sz w:val="18"/>
                  <w:szCs w:val="18"/>
                  <w:b w:val="1"/>
                  <w:bCs w:val="1"/>
                  <w:u w:val="single" w:color="auto"/>
                  <w:color w:val="0000FF"/>
                </w:rPr>
                <w:t>PART III</w:t>
              </w:r>
            </w:hyperlink>
          </w:p>
        </w:tc>
        <w:tc>
          <w:tcPr>
            <w:tcW w:w="860" w:type="dxa"/>
            <w:vAlign w:val="bottom"/>
          </w:tcPr>
          <w:p>
            <w:pPr>
              <w:spacing w:after="0"/>
              <w:rPr>
                <w:sz w:val="24"/>
                <w:szCs w:val="24"/>
                <w:color w:val="auto"/>
              </w:rPr>
            </w:pPr>
          </w:p>
        </w:tc>
      </w:tr>
      <w:tr>
        <w:trPr>
          <w:trHeight w:val="445"/>
        </w:trPr>
        <w:tc>
          <w:tcPr>
            <w:tcW w:w="840" w:type="dxa"/>
            <w:vAlign w:val="bottom"/>
          </w:tcPr>
          <w:p>
            <w:pPr>
              <w:ind w:left="20"/>
              <w:spacing w:after="0"/>
              <w:rPr>
                <w:sz w:val="20"/>
                <w:szCs w:val="20"/>
                <w:color w:val="auto"/>
              </w:rPr>
            </w:pPr>
            <w:r>
              <w:rPr>
                <w:rFonts w:ascii="Arial" w:cs="Arial" w:eastAsia="Arial" w:hAnsi="Arial"/>
                <w:sz w:val="18"/>
                <w:szCs w:val="18"/>
                <w:color w:val="auto"/>
              </w:rPr>
              <w:t>Item 10.</w:t>
            </w:r>
          </w:p>
        </w:tc>
        <w:tc>
          <w:tcPr>
            <w:tcW w:w="9540" w:type="dxa"/>
            <w:vAlign w:val="bottom"/>
          </w:tcPr>
          <w:p>
            <w:pPr>
              <w:ind w:left="180"/>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Directors, Executive Officers and Corporate Governance</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99</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11.</w:t>
            </w:r>
          </w:p>
        </w:tc>
        <w:tc>
          <w:tcPr>
            <w:tcW w:w="9540" w:type="dxa"/>
            <w:vAlign w:val="bottom"/>
          </w:tcPr>
          <w:p>
            <w:pPr>
              <w:ind w:left="180"/>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Executive Compensation</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99</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12.</w:t>
            </w:r>
          </w:p>
        </w:tc>
        <w:tc>
          <w:tcPr>
            <w:tcW w:w="9540" w:type="dxa"/>
            <w:vAlign w:val="bottom"/>
          </w:tcPr>
          <w:p>
            <w:pPr>
              <w:ind w:left="180"/>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Security Ownership of Certain Beneficial Owners and Management and Related Shareholder Matters</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2">
              <w:r>
                <w:rPr>
                  <w:rFonts w:ascii="Arial" w:cs="Arial" w:eastAsia="Arial" w:hAnsi="Arial"/>
                  <w:sz w:val="18"/>
                  <w:szCs w:val="18"/>
                  <w:u w:val="single" w:color="auto"/>
                  <w:color w:val="0000FF"/>
                </w:rPr>
                <w:t>99</w:t>
              </w:r>
            </w:hyperlink>
          </w:p>
        </w:tc>
      </w:tr>
      <w:tr>
        <w:trPr>
          <w:trHeight w:val="229"/>
        </w:trPr>
        <w:tc>
          <w:tcPr>
            <w:tcW w:w="840" w:type="dxa"/>
            <w:vAlign w:val="bottom"/>
          </w:tcPr>
          <w:p>
            <w:pPr>
              <w:ind w:left="20"/>
              <w:spacing w:after="0"/>
              <w:rPr>
                <w:sz w:val="20"/>
                <w:szCs w:val="20"/>
                <w:color w:val="auto"/>
              </w:rPr>
            </w:pPr>
            <w:r>
              <w:rPr>
                <w:rFonts w:ascii="Arial" w:cs="Arial" w:eastAsia="Arial" w:hAnsi="Arial"/>
                <w:sz w:val="18"/>
                <w:szCs w:val="18"/>
                <w:color w:val="auto"/>
              </w:rPr>
              <w:t>Item 13.</w:t>
            </w:r>
          </w:p>
        </w:tc>
        <w:tc>
          <w:tcPr>
            <w:tcW w:w="9540" w:type="dxa"/>
            <w:vAlign w:val="bottom"/>
          </w:tcPr>
          <w:p>
            <w:pPr>
              <w:ind w:left="180"/>
              <w:spacing w:after="0"/>
              <w:rPr>
                <w:rFonts w:ascii="Arial" w:cs="Arial" w:eastAsia="Arial" w:hAnsi="Arial"/>
                <w:sz w:val="18"/>
                <w:szCs w:val="18"/>
                <w:u w:val="single" w:color="auto"/>
                <w:color w:val="0000FF"/>
              </w:rPr>
            </w:pPr>
            <w:hyperlink w:anchor="page103">
              <w:r>
                <w:rPr>
                  <w:rFonts w:ascii="Arial" w:cs="Arial" w:eastAsia="Arial" w:hAnsi="Arial"/>
                  <w:sz w:val="18"/>
                  <w:szCs w:val="18"/>
                  <w:u w:val="single" w:color="auto"/>
                  <w:color w:val="0000FF"/>
                </w:rPr>
                <w:t>Certain Relationships and Related Transactions, and Director Independence</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3">
              <w:r>
                <w:rPr>
                  <w:rFonts w:ascii="Arial" w:cs="Arial" w:eastAsia="Arial" w:hAnsi="Arial"/>
                  <w:sz w:val="18"/>
                  <w:szCs w:val="18"/>
                  <w:u w:val="single" w:color="auto"/>
                  <w:color w:val="0000FF"/>
                </w:rPr>
                <w:t>100</w:t>
              </w:r>
            </w:hyperlink>
          </w:p>
        </w:tc>
      </w:t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Item 14.</w:t>
            </w:r>
          </w:p>
        </w:tc>
        <w:tc>
          <w:tcPr>
            <w:tcW w:w="9540" w:type="dxa"/>
            <w:vAlign w:val="bottom"/>
          </w:tcPr>
          <w:p>
            <w:pPr>
              <w:ind w:left="180"/>
              <w:spacing w:after="0"/>
              <w:rPr>
                <w:rFonts w:ascii="Arial" w:cs="Arial" w:eastAsia="Arial" w:hAnsi="Arial"/>
                <w:sz w:val="18"/>
                <w:szCs w:val="18"/>
                <w:u w:val="single" w:color="auto"/>
                <w:color w:val="0000FF"/>
              </w:rPr>
            </w:pPr>
            <w:hyperlink w:anchor="page103">
              <w:r>
                <w:rPr>
                  <w:rFonts w:ascii="Arial" w:cs="Arial" w:eastAsia="Arial" w:hAnsi="Arial"/>
                  <w:sz w:val="18"/>
                  <w:szCs w:val="18"/>
                  <w:u w:val="single" w:color="auto"/>
                  <w:color w:val="0000FF"/>
                </w:rPr>
                <w:t>Principal Accounting Fees and Services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3">
              <w:r>
                <w:rPr>
                  <w:rFonts w:ascii="Arial" w:cs="Arial" w:eastAsia="Arial" w:hAnsi="Arial"/>
                  <w:sz w:val="18"/>
                  <w:szCs w:val="18"/>
                  <w:u w:val="single" w:color="auto"/>
                  <w:color w:val="0000FF"/>
                </w:rPr>
                <w:t>100</w:t>
              </w:r>
            </w:hyperlink>
          </w:p>
        </w:tc>
      </w:tr>
      <w:tr>
        <w:trPr>
          <w:trHeight w:val="392"/>
        </w:trPr>
        <w:tc>
          <w:tcPr>
            <w:tcW w:w="840" w:type="dxa"/>
            <w:vAlign w:val="bottom"/>
          </w:tcPr>
          <w:p>
            <w:pPr>
              <w:spacing w:after="0"/>
              <w:rPr>
                <w:sz w:val="24"/>
                <w:szCs w:val="24"/>
                <w:color w:val="auto"/>
              </w:rPr>
            </w:pPr>
          </w:p>
        </w:tc>
        <w:tc>
          <w:tcPr>
            <w:tcW w:w="9540" w:type="dxa"/>
            <w:vAlign w:val="bottom"/>
          </w:tcPr>
          <w:p>
            <w:pPr>
              <w:jc w:val="center"/>
              <w:spacing w:after="0"/>
              <w:rPr>
                <w:rFonts w:ascii="Arial" w:cs="Arial" w:eastAsia="Arial" w:hAnsi="Arial"/>
                <w:sz w:val="18"/>
                <w:szCs w:val="18"/>
                <w:b w:val="1"/>
                <w:bCs w:val="1"/>
                <w:u w:val="single" w:color="auto"/>
                <w:color w:val="0000FF"/>
              </w:rPr>
            </w:pPr>
            <w:hyperlink w:anchor="page103">
              <w:r>
                <w:rPr>
                  <w:rFonts w:ascii="Arial" w:cs="Arial" w:eastAsia="Arial" w:hAnsi="Arial"/>
                  <w:sz w:val="18"/>
                  <w:szCs w:val="18"/>
                  <w:b w:val="1"/>
                  <w:bCs w:val="1"/>
                  <w:u w:val="single" w:color="auto"/>
                  <w:color w:val="0000FF"/>
                </w:rPr>
                <w:t>PART IV</w:t>
              </w:r>
            </w:hyperlink>
          </w:p>
        </w:tc>
        <w:tc>
          <w:tcPr>
            <w:tcW w:w="860" w:type="dxa"/>
            <w:vAlign w:val="bottom"/>
          </w:tcPr>
          <w:p>
            <w:pPr>
              <w:spacing w:after="0"/>
              <w:rPr>
                <w:sz w:val="24"/>
                <w:szCs w:val="24"/>
                <w:color w:val="auto"/>
              </w:rPr>
            </w:pPr>
          </w:p>
        </w:tc>
      </w:tr>
      <w:tr>
        <w:trPr>
          <w:trHeight w:val="431"/>
        </w:trPr>
        <w:tc>
          <w:tcPr>
            <w:tcW w:w="840" w:type="dxa"/>
            <w:vAlign w:val="bottom"/>
          </w:tcPr>
          <w:p>
            <w:pPr>
              <w:ind w:left="20"/>
              <w:spacing w:after="0"/>
              <w:rPr>
                <w:sz w:val="20"/>
                <w:szCs w:val="20"/>
                <w:color w:val="auto"/>
              </w:rPr>
            </w:pPr>
            <w:r>
              <w:rPr>
                <w:rFonts w:ascii="Arial" w:cs="Arial" w:eastAsia="Arial" w:hAnsi="Arial"/>
                <w:sz w:val="18"/>
                <w:szCs w:val="18"/>
                <w:color w:val="auto"/>
              </w:rPr>
              <w:t>Item 15.</w:t>
            </w:r>
          </w:p>
        </w:tc>
        <w:tc>
          <w:tcPr>
            <w:tcW w:w="9540" w:type="dxa"/>
            <w:vAlign w:val="bottom"/>
          </w:tcPr>
          <w:p>
            <w:pPr>
              <w:ind w:left="180"/>
              <w:spacing w:after="0"/>
              <w:rPr>
                <w:rFonts w:ascii="Arial" w:cs="Arial" w:eastAsia="Arial" w:hAnsi="Arial"/>
                <w:sz w:val="18"/>
                <w:szCs w:val="18"/>
                <w:u w:val="single" w:color="auto"/>
                <w:color w:val="0000FF"/>
              </w:rPr>
            </w:pPr>
            <w:hyperlink w:anchor="page104">
              <w:r>
                <w:rPr>
                  <w:rFonts w:ascii="Arial" w:cs="Arial" w:eastAsia="Arial" w:hAnsi="Arial"/>
                  <w:sz w:val="18"/>
                  <w:szCs w:val="18"/>
                  <w:u w:val="single" w:color="auto"/>
                  <w:color w:val="0000FF"/>
                </w:rPr>
                <w:t>Exhibits, Financial Statement Schedules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4">
              <w:r>
                <w:rPr>
                  <w:rFonts w:ascii="Arial" w:cs="Arial" w:eastAsia="Arial" w:hAnsi="Arial"/>
                  <w:sz w:val="18"/>
                  <w:szCs w:val="18"/>
                  <w:u w:val="single" w:color="auto"/>
                  <w:color w:val="0000FF"/>
                </w:rPr>
                <w:t>101</w:t>
              </w:r>
            </w:hyperlink>
          </w:p>
        </w:tc>
      </w:tr>
      <w:tr>
        <w:trPr>
          <w:trHeight w:val="230"/>
        </w:trPr>
        <w:tc>
          <w:tcPr>
            <w:tcW w:w="840" w:type="dxa"/>
            <w:vAlign w:val="bottom"/>
          </w:tcPr>
          <w:p>
            <w:pPr>
              <w:spacing w:after="0"/>
              <w:rPr>
                <w:sz w:val="19"/>
                <w:szCs w:val="19"/>
                <w:color w:val="auto"/>
              </w:rPr>
            </w:pPr>
          </w:p>
        </w:tc>
        <w:tc>
          <w:tcPr>
            <w:tcW w:w="9540" w:type="dxa"/>
            <w:vAlign w:val="bottom"/>
          </w:tcPr>
          <w:p>
            <w:pPr>
              <w:ind w:left="180"/>
              <w:spacing w:after="0"/>
              <w:rPr>
                <w:rFonts w:ascii="Arial" w:cs="Arial" w:eastAsia="Arial" w:hAnsi="Arial"/>
                <w:sz w:val="18"/>
                <w:szCs w:val="18"/>
                <w:u w:val="single" w:color="auto"/>
                <w:color w:val="0000FF"/>
              </w:rPr>
            </w:pPr>
            <w:hyperlink w:anchor="page108">
              <w:r>
                <w:rPr>
                  <w:rFonts w:ascii="Arial" w:cs="Arial" w:eastAsia="Arial" w:hAnsi="Arial"/>
                  <w:sz w:val="18"/>
                  <w:szCs w:val="18"/>
                  <w:u w:val="single" w:color="auto"/>
                  <w:color w:val="0000FF"/>
                </w:rPr>
                <w:t>Signatures</w:t>
              </w:r>
            </w:hyperlink>
          </w:p>
        </w:tc>
        <w:tc>
          <w:tcPr>
            <w:tcW w:w="860" w:type="dxa"/>
            <w:vAlign w:val="bottom"/>
          </w:tcPr>
          <w:p>
            <w:pPr>
              <w:jc w:val="right"/>
              <w:spacing w:after="0"/>
              <w:rPr>
                <w:rFonts w:ascii="Arial" w:cs="Arial" w:eastAsia="Arial" w:hAnsi="Arial"/>
                <w:sz w:val="18"/>
                <w:szCs w:val="18"/>
                <w:u w:val="single" w:color="auto"/>
                <w:color w:val="0000FF"/>
              </w:rPr>
            </w:pPr>
            <w:hyperlink w:anchor="page108">
              <w:r>
                <w:rPr>
                  <w:rFonts w:ascii="Arial" w:cs="Arial" w:eastAsia="Arial" w:hAnsi="Arial"/>
                  <w:sz w:val="18"/>
                  <w:szCs w:val="18"/>
                  <w:u w:val="single" w:color="auto"/>
                  <w:color w:val="0000FF"/>
                </w:rPr>
                <w:t>106</w:t>
              </w:r>
            </w:hyperlink>
          </w:p>
        </w:tc>
      </w:tr>
      <w:tr>
        <w:trPr>
          <w:trHeight w:val="230"/>
        </w:trPr>
        <w:tc>
          <w:tcPr>
            <w:tcW w:w="840" w:type="dxa"/>
            <w:vAlign w:val="bottom"/>
          </w:tcPr>
          <w:p>
            <w:pPr>
              <w:spacing w:after="0"/>
              <w:rPr>
                <w:sz w:val="20"/>
                <w:szCs w:val="20"/>
                <w:color w:val="auto"/>
              </w:rPr>
            </w:pPr>
          </w:p>
        </w:tc>
        <w:tc>
          <w:tcPr>
            <w:tcW w:w="9540" w:type="dxa"/>
            <w:vAlign w:val="bottom"/>
          </w:tcPr>
          <w:p>
            <w:pPr>
              <w:ind w:left="180"/>
              <w:spacing w:after="0"/>
              <w:rPr>
                <w:rFonts w:ascii="Arial" w:cs="Arial" w:eastAsia="Arial" w:hAnsi="Arial"/>
                <w:sz w:val="18"/>
                <w:szCs w:val="18"/>
                <w:u w:val="single" w:color="auto"/>
                <w:color w:val="0000FF"/>
              </w:rPr>
            </w:pPr>
            <w:hyperlink w:anchor="page110">
              <w:r>
                <w:rPr>
                  <w:rFonts w:ascii="Arial" w:cs="Arial" w:eastAsia="Arial" w:hAnsi="Arial"/>
                  <w:sz w:val="18"/>
                  <w:szCs w:val="18"/>
                  <w:u w:val="single" w:color="auto"/>
                  <w:color w:val="0000FF"/>
                </w:rPr>
                <w:t>Schedule II</w:t>
              </w:r>
            </w:hyperlink>
          </w:p>
        </w:tc>
        <w:tc>
          <w:tcPr>
            <w:tcW w:w="860" w:type="dxa"/>
            <w:vAlign w:val="bottom"/>
          </w:tcPr>
          <w:p>
            <w:pPr>
              <w:jc w:val="right"/>
              <w:spacing w:after="0"/>
              <w:rPr>
                <w:rFonts w:ascii="Arial" w:cs="Arial" w:eastAsia="Arial" w:hAnsi="Arial"/>
                <w:sz w:val="18"/>
                <w:szCs w:val="18"/>
                <w:u w:val="single" w:color="auto"/>
                <w:color w:val="0000FF"/>
              </w:rPr>
            </w:pPr>
            <w:hyperlink w:anchor="page110">
              <w:r>
                <w:rPr>
                  <w:rFonts w:ascii="Arial" w:cs="Arial" w:eastAsia="Arial" w:hAnsi="Arial"/>
                  <w:sz w:val="18"/>
                  <w:szCs w:val="18"/>
                  <w:u w:val="single" w:color="auto"/>
                  <w:color w:val="0000FF"/>
                </w:rPr>
                <w:t>108</w:t>
              </w:r>
            </w:hyperlink>
          </w:p>
        </w:tc>
      </w:tr>
      <w:tr>
        <w:trPr>
          <w:trHeight w:val="1330"/>
        </w:trPr>
        <w:tc>
          <w:tcPr>
            <w:tcW w:w="840" w:type="dxa"/>
            <w:vAlign w:val="bottom"/>
            <w:tcBorders>
              <w:bottom w:val="single" w:sz="8" w:color="9A9A9A"/>
            </w:tcBorders>
          </w:tcPr>
          <w:p>
            <w:pPr>
              <w:spacing w:after="0"/>
              <w:rPr>
                <w:sz w:val="24"/>
                <w:szCs w:val="24"/>
                <w:color w:val="auto"/>
              </w:rPr>
            </w:pPr>
          </w:p>
        </w:tc>
        <w:tc>
          <w:tcPr>
            <w:tcW w:w="9540" w:type="dxa"/>
            <w:vAlign w:val="bottom"/>
            <w:tcBorders>
              <w:bottom w:val="single" w:sz="8" w:color="9A9A9A"/>
            </w:tcBorders>
          </w:tcPr>
          <w:p>
            <w:pPr>
              <w:spacing w:after="0"/>
              <w:rPr>
                <w:sz w:val="24"/>
                <w:szCs w:val="24"/>
                <w:color w:val="auto"/>
              </w:rPr>
            </w:pPr>
          </w:p>
        </w:tc>
        <w:tc>
          <w:tcPr>
            <w:tcW w:w="86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Forward-Looking Statements</w:t>
      </w:r>
    </w:p>
    <w:p>
      <w:pPr>
        <w:spacing w:after="0" w:line="175" w:lineRule="exact"/>
        <w:rPr>
          <w:sz w:val="20"/>
          <w:szCs w:val="20"/>
          <w:color w:val="auto"/>
        </w:rPr>
      </w:pPr>
    </w:p>
    <w:p>
      <w:pPr>
        <w:ind w:right="20" w:firstLine="445"/>
        <w:spacing w:after="0" w:line="296" w:lineRule="auto"/>
        <w:rPr>
          <w:sz w:val="20"/>
          <w:szCs w:val="20"/>
          <w:color w:val="auto"/>
        </w:rPr>
      </w:pPr>
      <w:r>
        <w:rPr>
          <w:rFonts w:ascii="Arial" w:cs="Arial" w:eastAsia="Arial" w:hAnsi="Arial"/>
          <w:sz w:val="16"/>
          <w:szCs w:val="16"/>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07" w:lineRule="exact"/>
        <w:rPr>
          <w:sz w:val="20"/>
          <w:szCs w:val="20"/>
          <w:color w:val="auto"/>
        </w:rPr>
      </w:pPr>
    </w:p>
    <w:p>
      <w:pPr>
        <w:ind w:right="380" w:firstLine="445"/>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3"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actual or potential public health emergencies such as the Novel Coronavirus (COVID-19);</w:t>
      </w:r>
    </w:p>
    <w:p>
      <w:pPr>
        <w:spacing w:after="0" w:line="11" w:lineRule="exact"/>
        <w:rPr>
          <w:rFonts w:ascii="Arial" w:cs="Arial" w:eastAsia="Arial" w:hAnsi="Arial"/>
          <w:sz w:val="18"/>
          <w:szCs w:val="18"/>
          <w:color w:val="auto"/>
        </w:rPr>
      </w:pPr>
    </w:p>
    <w:p>
      <w:pPr>
        <w:ind w:left="660" w:right="120" w:hanging="328"/>
        <w:spacing w:after="0" w:line="249" w:lineRule="auto"/>
        <w:tabs>
          <w:tab w:leader="none" w:pos="655"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660" w:right="300" w:hanging="328"/>
        <w:spacing w:after="0" w:line="250" w:lineRule="auto"/>
        <w:tabs>
          <w:tab w:leader="none" w:pos="655"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infrastructure and 5G market and to market and sell those products to infrastructure customers;</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7"/>
          <w:szCs w:val="17"/>
          <w:i w:val="1"/>
          <w:iCs w:val="1"/>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color w:val="auto"/>
        </w:rPr>
      </w:pPr>
    </w:p>
    <w:p>
      <w:pPr>
        <w:ind w:left="660" w:right="10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660" w:right="38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tariffs or embargos;</w:t>
      </w:r>
    </w:p>
    <w:p>
      <w:pPr>
        <w:ind w:left="660" w:right="44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expected benefits from restructuring activities;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proceedings.</w:t>
      </w:r>
    </w:p>
    <w:p>
      <w:pPr>
        <w:spacing w:after="0" w:line="157" w:lineRule="exact"/>
        <w:rPr>
          <w:sz w:val="20"/>
          <w:szCs w:val="20"/>
          <w:color w:val="auto"/>
        </w:rPr>
      </w:pPr>
    </w:p>
    <w:p>
      <w:pPr>
        <w:ind w:firstLine="445"/>
        <w:spacing w:after="0" w:line="342" w:lineRule="auto"/>
        <w:rPr>
          <w:sz w:val="20"/>
          <w:szCs w:val="20"/>
          <w:color w:val="auto"/>
        </w:rPr>
      </w:pPr>
      <w:r>
        <w:rPr>
          <w:rFonts w:ascii="Arial" w:cs="Arial" w:eastAsia="Arial" w:hAnsi="Arial"/>
          <w:sz w:val="16"/>
          <w:szCs w:val="16"/>
          <w:i w:val="1"/>
          <w:iCs w:val="1"/>
          <w:color w:val="auto"/>
        </w:rPr>
        <w:t>Additional factors that could cause actual results to differ materially include the risks discussed in Part I,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3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282" w:right="39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Company</w:t>
      </w:r>
    </w:p>
    <w:p>
      <w:pPr>
        <w:spacing w:after="0" w:line="121" w:lineRule="exact"/>
        <w:rPr>
          <w:sz w:val="20"/>
          <w:szCs w:val="20"/>
          <w:color w:val="auto"/>
        </w:rPr>
      </w:pPr>
    </w:p>
    <w:p>
      <w:pPr>
        <w:ind w:right="100" w:firstLine="405"/>
        <w:spacing w:after="0" w:line="254" w:lineRule="auto"/>
        <w:rPr>
          <w:sz w:val="20"/>
          <w:szCs w:val="20"/>
          <w:color w:val="auto"/>
        </w:rPr>
      </w:pPr>
      <w:r>
        <w:rPr>
          <w:rFonts w:ascii="Arial" w:cs="Arial" w:eastAsia="Arial" w:hAnsi="Arial"/>
          <w:sz w:val="18"/>
          <w:szCs w:val="18"/>
          <w:color w:val="auto"/>
        </w:rPr>
        <w:t>Marvell Technology Group Ltd., together with its consolidated subsidiaries (“Marvell,” the “Company,” “we,” or “us”) is a global fabless semiconductor solutions provider of high-performance data infrastructure products. We leverage our extensive and growing technology portfolio of intellectual property in the areas of analog, mixed-signal, compute, digital signal processing, networking, security, and storage to address critical data infrastructure needs spanning performance, power, latency and scalability. Our integrated circuit solutions are architected and designed to move, store, process and secure the world’s data faster and more reliably than anyone else. We offer essential technology to service the mounting compute, networking, security and storage requirements of the automotive, carrier, data center and enterprise data infrastructure markets. We currently are incorporated in Bermuda.</w:t>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Developments</w:t>
      </w:r>
    </w:p>
    <w:p>
      <w:pPr>
        <w:spacing w:after="0" w:line="121" w:lineRule="exact"/>
        <w:rPr>
          <w:sz w:val="20"/>
          <w:szCs w:val="20"/>
          <w:color w:val="auto"/>
        </w:rPr>
      </w:pPr>
    </w:p>
    <w:p>
      <w:pPr>
        <w:ind w:right="120" w:firstLine="405"/>
        <w:spacing w:after="0" w:line="254" w:lineRule="auto"/>
        <w:rPr>
          <w:sz w:val="20"/>
          <w:szCs w:val="20"/>
          <w:color w:val="auto"/>
        </w:rPr>
      </w:pPr>
      <w:r>
        <w:rPr>
          <w:rFonts w:ascii="Arial" w:cs="Arial" w:eastAsia="Arial" w:hAnsi="Arial"/>
          <w:sz w:val="18"/>
          <w:szCs w:val="18"/>
          <w:color w:val="auto"/>
        </w:rPr>
        <w:t>On October 29, 2020, we entered into a merger agreement (the “Merger Agreement”) with Inphi Corporation (“Inphi”), whereby we will pay Inphi's stockholders $66 per share in cash and 2.323 common shares for each Inphi share, which represented purchase consideration of approximately $10 billion as of that date. We intend to fund the cash consideration with $4.0 billion in debt financing, and have obtained commitments consisting of $2.5 billion of bridge loan commitments, $875 million of commitments for a 3-year term loan facility and $875 million of commitments for a 5-year term loan facility, in each case, from a syndicate of financial institutions, including, and arranged by, JPMorgan Chase Bank, N.A., and in each case the availability of such facilities are subject to customary terms and conditions, including completion of the merger with Inphi in accordance with the Merger Agreement. The transaction is not subject to any financing condition.</w:t>
      </w:r>
    </w:p>
    <w:p>
      <w:pPr>
        <w:spacing w:after="0" w:line="87"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The transaction is expected to close in the second half of calendar 2021, pending approval by Inphi's and our stockholders, as well as regulatory approval and satisfaction of other customary closing conditions. As a result of the transaction, we, as the parent company, will be domiciled in the United States upon closing of the transaction. For periods after closing, the combined company will be subject to taxation in the United States, which may adversely impact our future effective tax rates and tax liabilities. A fee of up to $460 million may be payable by us or $300 million payable by Inphi upon termination of the transaction, as more fully described in the Merger Agreement. If the Merger Agreement is terminated due to failure to obtain stockholder approval, the party whose stockholders did not approve the transaction will be obligated to reimburse the other party up to $25 million for its merger related fees and costs.</w:t>
      </w:r>
    </w:p>
    <w:p>
      <w:pPr>
        <w:spacing w:after="0" w:line="87" w:lineRule="exact"/>
        <w:rPr>
          <w:sz w:val="20"/>
          <w:szCs w:val="20"/>
          <w:color w:val="auto"/>
        </w:rPr>
      </w:pPr>
    </w:p>
    <w:p>
      <w:pPr>
        <w:ind w:right="160" w:firstLine="405"/>
        <w:spacing w:after="0" w:line="296" w:lineRule="auto"/>
        <w:rPr>
          <w:sz w:val="20"/>
          <w:szCs w:val="20"/>
          <w:color w:val="auto"/>
        </w:rPr>
      </w:pPr>
      <w:r>
        <w:rPr>
          <w:rFonts w:ascii="Arial" w:cs="Arial" w:eastAsia="Arial" w:hAnsi="Arial"/>
          <w:sz w:val="16"/>
          <w:szCs w:val="16"/>
          <w:color w:val="auto"/>
        </w:rPr>
        <w:t>Inphi is a global leader in high-speed data movement enabled by optical interconnects. Their product portfolio includes laser drivers, TIA (Trans-Impedance Amplifiers), PAM (Pulse Amplitude Modulation) and Coherent DSPs (Digital Signal Processors) and data center interconnects. The Company and Inphi both have growing positions in carrier and datacenter, and we anticipate that Inphi’s high-speed electro-optics platform will add to our storage, networking, compute, and security portfolio. Inphi’s electro-optics portfolio along with our copper Ethernet PHY franchise is expected to create an industry-leading highspeed data interconnect platform serving the enterprise, carrier, data center, and automotive end markets.</w:t>
      </w:r>
    </w:p>
    <w:p>
      <w:pPr>
        <w:spacing w:after="0" w:line="5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registered and mailing address is Victoria Place, 5th Floor, 31 Victoria Street, Hamilton HM 10, Bermuda, and our telephone number there is</w:t>
      </w:r>
    </w:p>
    <w:p>
      <w:pPr>
        <w:spacing w:after="0" w:line="46" w:lineRule="exact"/>
        <w:rPr>
          <w:sz w:val="20"/>
          <w:szCs w:val="20"/>
          <w:color w:val="auto"/>
        </w:rPr>
      </w:pPr>
    </w:p>
    <w:p>
      <w:pPr>
        <w:ind w:right="180" w:firstLine="8"/>
        <w:spacing w:after="0" w:line="255" w:lineRule="auto"/>
        <w:tabs>
          <w:tab w:leader="none" w:pos="435" w:val="left"/>
        </w:tabs>
        <w:numPr>
          <w:ilvl w:val="0"/>
          <w:numId w:val="4"/>
        </w:numPr>
        <w:rPr>
          <w:rFonts w:ascii="Arial" w:cs="Arial" w:eastAsia="Arial" w:hAnsi="Arial"/>
          <w:sz w:val="18"/>
          <w:szCs w:val="18"/>
          <w:color w:val="auto"/>
        </w:rPr>
      </w:pPr>
      <w:r>
        <w:rPr>
          <w:rFonts w:ascii="Arial" w:cs="Arial" w:eastAsia="Arial" w:hAnsi="Arial"/>
          <w:sz w:val="18"/>
          <w:szCs w:val="18"/>
          <w:color w:val="auto"/>
        </w:rPr>
        <w:t>294-8000.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121" w:lineRule="exact"/>
        <w:rPr>
          <w:sz w:val="20"/>
          <w:szCs w:val="20"/>
          <w:color w:val="auto"/>
        </w:rPr>
      </w:pPr>
    </w:p>
    <w:p>
      <w:pPr>
        <w:ind w:right="40" w:firstLine="405"/>
        <w:spacing w:after="0" w:line="273" w:lineRule="auto"/>
        <w:rPr>
          <w:sz w:val="20"/>
          <w:szCs w:val="20"/>
          <w:color w:val="auto"/>
        </w:rPr>
      </w:pPr>
      <w:r>
        <w:rPr>
          <w:rFonts w:ascii="Arial" w:cs="Arial" w:eastAsia="Arial" w:hAnsi="Arial"/>
          <w:sz w:val="17"/>
          <w:szCs w:val="17"/>
          <w:color w:val="auto"/>
        </w:rPr>
        <w:t>Our website address is www.marvell.com. The information contained on any website referred to in this Form 10-K does not form any part of this Annual Report on Form 10-K and is not incorporated by reference herein unless expressly noted.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 In addition, the SEC’s website, www.sec.gov, contains reports, proxy statements, and other information that we file electronically with the SEC.</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121" w:lineRule="exact"/>
        <w:rPr>
          <w:sz w:val="20"/>
          <w:szCs w:val="20"/>
          <w:color w:val="auto"/>
        </w:rPr>
      </w:pPr>
    </w:p>
    <w:p>
      <w:pPr>
        <w:jc w:val="both"/>
        <w:ind w:right="140" w:firstLine="405"/>
        <w:spacing w:after="0" w:line="263" w:lineRule="auto"/>
        <w:rPr>
          <w:sz w:val="20"/>
          <w:szCs w:val="20"/>
          <w:color w:val="auto"/>
        </w:rPr>
      </w:pPr>
      <w:r>
        <w:rPr>
          <w:rFonts w:ascii="Arial" w:cs="Arial" w:eastAsia="Arial" w:hAnsi="Arial"/>
          <w:sz w:val="18"/>
          <w:szCs w:val="18"/>
          <w:color w:val="auto"/>
        </w:rPr>
        <w:t>Our products address the data infrastructure market with our four focus markets being automotive, carrier, data center and enterprise. Our compute, networking, security and storage technologies are essential and differentiating for these markets. The data infrastructure market has several very attractive attributes including long product lifecycles, deep customer relationships and are typically sole-sourced.</w:t>
      </w:r>
    </w:p>
    <w:p>
      <w:pPr>
        <w:spacing w:after="0" w:line="2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999" w:right="339" w:bottom="1440" w:gutter="0" w:footer="0" w:header="0"/>
        </w:sectPr>
      </w:pPr>
    </w:p>
    <w:bookmarkStart w:id="5" w:name="page6"/>
    <w:bookmarkEnd w:id="5"/>
    <w:p>
      <w:pPr>
        <w:ind w:right="40" w:firstLine="405"/>
        <w:spacing w:after="0" w:line="255" w:lineRule="auto"/>
        <w:rPr>
          <w:sz w:val="20"/>
          <w:szCs w:val="20"/>
          <w:color w:val="auto"/>
        </w:rPr>
      </w:pPr>
      <w:r>
        <w:rPr>
          <w:rFonts w:ascii="Arial" w:cs="Arial" w:eastAsia="Arial" w:hAnsi="Arial"/>
          <w:sz w:val="18"/>
          <w:szCs w:val="18"/>
          <w:color w:val="auto"/>
        </w:rPr>
        <w:t>Our portfolio of solutions integrate multiple analog, mixed-signal and digital intellectual property components incorporating -hardware, firmware and software technologies and our system knowledge to provide our customers highly-integrated optimized solutions for their end products. In addition to selling standard product solutions, where the exact same product is sold to multiple customers, we also offer customized solutions which are tailored to a specific customer's requirements. The acquisition of Avera has extended our ability to offer custom semiconductor solutions for our data infrastructure customers. The demand for custom solutions has been increasing as our customers seek greater optimizations and differentiation for their products and services.</w:t>
      </w:r>
    </w:p>
    <w:p>
      <w:pPr>
        <w:spacing w:after="0" w:line="84"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Our current product offerings are primarily in two broad product categories: networking and storage. Our networking products include custom ASICs, ethernet solutions and processors. These products address all four of our focus data infrastructure markets: automotive, carrier, data center and enterprise. In storage, we are a market leader in fibre channel products and data storage controller solutions primarily addressing data center, enterprise, and edge computing markets.</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900" w:type="dxa"/>
            <w:vAlign w:val="bottom"/>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ind w:left="760"/>
              <w:spacing w:after="0"/>
              <w:rPr>
                <w:sz w:val="20"/>
                <w:szCs w:val="20"/>
                <w:color w:val="auto"/>
              </w:rPr>
            </w:pPr>
            <w:r>
              <w:rPr>
                <w:rFonts w:ascii="Arial" w:cs="Arial" w:eastAsia="Arial" w:hAnsi="Arial"/>
                <w:sz w:val="14"/>
                <w:szCs w:val="14"/>
                <w:b w:val="1"/>
                <w:bCs w:val="1"/>
                <w:color w:val="auto"/>
              </w:rPr>
              <w:t>Year Ended</w:t>
            </w:r>
          </w:p>
        </w:tc>
        <w:tc>
          <w:tcPr>
            <w:tcW w:w="66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r>
      <w:tr>
        <w:trPr>
          <w:trHeight w:val="187"/>
        </w:trPr>
        <w:tc>
          <w:tcPr>
            <w:tcW w:w="3900" w:type="dxa"/>
            <w:vAlign w:val="bottom"/>
          </w:tcPr>
          <w:p>
            <w:pPr>
              <w:spacing w:after="0"/>
              <w:rPr>
                <w:sz w:val="16"/>
                <w:szCs w:val="16"/>
                <w:color w:val="auto"/>
              </w:rPr>
            </w:pPr>
          </w:p>
        </w:tc>
        <w:tc>
          <w:tcPr>
            <w:tcW w:w="11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6"/>
              </w:rPr>
              <w:t>January 30, 2021</w:t>
            </w:r>
          </w:p>
        </w:tc>
        <w:tc>
          <w:tcPr>
            <w:tcW w:w="128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February 1, 2020</w:t>
            </w:r>
          </w:p>
        </w:tc>
        <w:tc>
          <w:tcPr>
            <w:tcW w:w="6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7"/>
              </w:rPr>
              <w:t>February 2, 2019</w:t>
            </w:r>
          </w:p>
        </w:tc>
        <w:tc>
          <w:tcPr>
            <w:tcW w:w="1360" w:type="dxa"/>
            <w:vAlign w:val="bottom"/>
            <w:tcBorders>
              <w:bottom w:val="single" w:sz="8" w:color="auto"/>
            </w:tcBorders>
          </w:tcPr>
          <w:p>
            <w:pPr>
              <w:spacing w:after="0"/>
              <w:rPr>
                <w:sz w:val="16"/>
                <w:szCs w:val="16"/>
                <w:color w:val="auto"/>
              </w:rPr>
            </w:pPr>
          </w:p>
        </w:tc>
      </w:tr>
      <w:tr>
        <w:trPr>
          <w:trHeight w:val="183"/>
        </w:trPr>
        <w:tc>
          <w:tcPr>
            <w:tcW w:w="39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80" w:type="dxa"/>
            <w:vAlign w:val="bottom"/>
            <w:gridSpan w:val="3"/>
          </w:tcPr>
          <w:p>
            <w:pPr>
              <w:jc w:val="right"/>
              <w:spacing w:after="0"/>
              <w:rPr>
                <w:sz w:val="20"/>
                <w:szCs w:val="20"/>
                <w:color w:val="auto"/>
              </w:rPr>
            </w:pPr>
            <w:r>
              <w:rPr>
                <w:rFonts w:ascii="Arial" w:cs="Arial" w:eastAsia="Arial" w:hAnsi="Arial"/>
                <w:sz w:val="14"/>
                <w:szCs w:val="14"/>
                <w:b w:val="1"/>
                <w:bCs w:val="1"/>
                <w:color w:val="auto"/>
                <w:w w:val="90"/>
              </w:rPr>
              <w:t>(in millions, except for percentages)</w:t>
            </w:r>
          </w:p>
        </w:tc>
        <w:tc>
          <w:tcPr>
            <w:tcW w:w="3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360" w:type="dxa"/>
            <w:vAlign w:val="bottom"/>
          </w:tcPr>
          <w:p>
            <w:pPr>
              <w:spacing w:after="0"/>
              <w:rPr>
                <w:sz w:val="15"/>
                <w:szCs w:val="15"/>
                <w:color w:val="auto"/>
              </w:rPr>
            </w:pPr>
          </w:p>
        </w:tc>
      </w:tr>
      <w:tr>
        <w:trPr>
          <w:trHeight w:val="231"/>
        </w:trPr>
        <w:tc>
          <w:tcPr>
            <w:tcW w:w="3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Networking</w:t>
            </w:r>
          </w:p>
        </w:tc>
        <w:tc>
          <w:tcPr>
            <w:tcW w:w="400" w:type="dxa"/>
            <w:vAlign w:val="bottom"/>
            <w:shd w:val="clear" w:color="auto" w:fill="CCEEFF"/>
          </w:tcPr>
          <w:p>
            <w:pPr>
              <w:jc w:val="right"/>
              <w:ind w:right="196"/>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1,683</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 $</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1,377</w:t>
            </w:r>
          </w:p>
        </w:tc>
        <w:tc>
          <w:tcPr>
            <w:tcW w:w="620" w:type="dxa"/>
            <w:vAlign w:val="bottom"/>
            <w:shd w:val="clear" w:color="auto" w:fill="CCEEFF"/>
          </w:tcPr>
          <w:p>
            <w:pPr>
              <w:spacing w:after="0"/>
              <w:rPr>
                <w:sz w:val="20"/>
                <w:szCs w:val="20"/>
                <w:color w:val="auto"/>
              </w:rPr>
            </w:pPr>
          </w:p>
        </w:tc>
        <w:tc>
          <w:tcPr>
            <w:tcW w:w="6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51 %</w:t>
            </w:r>
          </w:p>
        </w:tc>
        <w:tc>
          <w:tcPr>
            <w:tcW w:w="380" w:type="dxa"/>
            <w:vAlign w:val="bottom"/>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46 %</w:t>
            </w:r>
          </w:p>
        </w:tc>
      </w:tr>
      <w:tr>
        <w:trPr>
          <w:trHeight w:val="230"/>
        </w:trPr>
        <w:tc>
          <w:tcPr>
            <w:tcW w:w="3900" w:type="dxa"/>
            <w:vAlign w:val="bottom"/>
          </w:tcPr>
          <w:p>
            <w:pPr>
              <w:ind w:left="20"/>
              <w:spacing w:after="0"/>
              <w:rPr>
                <w:sz w:val="20"/>
                <w:szCs w:val="20"/>
                <w:color w:val="auto"/>
              </w:rPr>
            </w:pPr>
            <w:r>
              <w:rPr>
                <w:rFonts w:ascii="Arial" w:cs="Arial" w:eastAsia="Arial" w:hAnsi="Arial"/>
                <w:sz w:val="18"/>
                <w:szCs w:val="18"/>
                <w:color w:val="auto"/>
              </w:rPr>
              <w:t>Storage</w:t>
            </w:r>
          </w:p>
        </w:tc>
        <w:tc>
          <w:tcPr>
            <w:tcW w:w="4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1,152</w:t>
            </w:r>
          </w:p>
        </w:tc>
        <w:tc>
          <w:tcPr>
            <w:tcW w:w="1280" w:type="dxa"/>
            <w:vAlign w:val="bottom"/>
          </w:tcPr>
          <w:p>
            <w:pPr>
              <w:jc w:val="right"/>
              <w:ind w:right="30"/>
              <w:spacing w:after="0"/>
              <w:rPr>
                <w:sz w:val="20"/>
                <w:szCs w:val="20"/>
                <w:color w:val="auto"/>
              </w:rPr>
            </w:pPr>
            <w:r>
              <w:rPr>
                <w:rFonts w:ascii="Arial" w:cs="Arial" w:eastAsia="Arial" w:hAnsi="Arial"/>
                <w:sz w:val="18"/>
                <w:szCs w:val="18"/>
                <w:color w:val="auto"/>
              </w:rPr>
              <w:t>39 %</w:t>
            </w:r>
          </w:p>
        </w:tc>
        <w:tc>
          <w:tcPr>
            <w:tcW w:w="1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1,138</w:t>
            </w:r>
          </w:p>
        </w:tc>
        <w:tc>
          <w:tcPr>
            <w:tcW w:w="620" w:type="dxa"/>
            <w:vAlign w:val="bottom"/>
          </w:tcPr>
          <w:p>
            <w:pPr>
              <w:spacing w:after="0"/>
              <w:rPr>
                <w:sz w:val="19"/>
                <w:szCs w:val="19"/>
                <w:color w:val="auto"/>
              </w:rPr>
            </w:pPr>
          </w:p>
        </w:tc>
        <w:tc>
          <w:tcPr>
            <w:tcW w:w="660" w:type="dxa"/>
            <w:vAlign w:val="bottom"/>
          </w:tcPr>
          <w:p>
            <w:pPr>
              <w:jc w:val="right"/>
              <w:ind w:right="30"/>
              <w:spacing w:after="0"/>
              <w:rPr>
                <w:sz w:val="20"/>
                <w:szCs w:val="20"/>
                <w:color w:val="auto"/>
              </w:rPr>
            </w:pPr>
            <w:r>
              <w:rPr>
                <w:rFonts w:ascii="Arial" w:cs="Arial" w:eastAsia="Arial" w:hAnsi="Arial"/>
                <w:sz w:val="18"/>
                <w:szCs w:val="18"/>
                <w:color w:val="auto"/>
              </w:rPr>
              <w:t>42 %</w:t>
            </w:r>
          </w:p>
        </w:tc>
        <w:tc>
          <w:tcPr>
            <w:tcW w:w="38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1,377</w:t>
            </w:r>
          </w:p>
        </w:tc>
        <w:tc>
          <w:tcPr>
            <w:tcW w:w="1360" w:type="dxa"/>
            <w:vAlign w:val="bottom"/>
          </w:tcPr>
          <w:p>
            <w:pPr>
              <w:jc w:val="right"/>
              <w:spacing w:after="0"/>
              <w:rPr>
                <w:sz w:val="20"/>
                <w:szCs w:val="20"/>
                <w:color w:val="auto"/>
              </w:rPr>
            </w:pPr>
            <w:r>
              <w:rPr>
                <w:rFonts w:ascii="Arial" w:cs="Arial" w:eastAsia="Arial" w:hAnsi="Arial"/>
                <w:sz w:val="18"/>
                <w:szCs w:val="18"/>
                <w:color w:val="auto"/>
              </w:rPr>
              <w:t>48 %</w:t>
            </w:r>
          </w:p>
        </w:tc>
      </w:tr>
      <w:tr>
        <w:trPr>
          <w:trHeight w:val="229"/>
        </w:trPr>
        <w:tc>
          <w:tcPr>
            <w:tcW w:w="3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400" w:type="dxa"/>
            <w:vAlign w:val="bottom"/>
            <w:tcBorders>
              <w:bottom w:val="single" w:sz="8" w:color="auto"/>
            </w:tcBorders>
            <w:shd w:val="clear" w:color="auto" w:fill="CCEEFF"/>
          </w:tcPr>
          <w:p>
            <w:pPr>
              <w:spacing w:after="0"/>
              <w:rPr>
                <w:sz w:val="19"/>
                <w:szCs w:val="19"/>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12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4 %</w:t>
            </w:r>
          </w:p>
        </w:tc>
        <w:tc>
          <w:tcPr>
            <w:tcW w:w="1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w:t>
            </w:r>
          </w:p>
        </w:tc>
        <w:tc>
          <w:tcPr>
            <w:tcW w:w="620" w:type="dxa"/>
            <w:vAlign w:val="bottom"/>
            <w:shd w:val="clear" w:color="auto" w:fill="CCEEFF"/>
          </w:tcPr>
          <w:p>
            <w:pPr>
              <w:spacing w:after="0"/>
              <w:rPr>
                <w:sz w:val="19"/>
                <w:szCs w:val="19"/>
                <w:color w:val="auto"/>
              </w:rPr>
            </w:pPr>
          </w:p>
        </w:tc>
        <w:tc>
          <w:tcPr>
            <w:tcW w:w="6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7 %</w:t>
            </w:r>
          </w:p>
        </w:tc>
        <w:tc>
          <w:tcPr>
            <w:tcW w:w="380" w:type="dxa"/>
            <w:vAlign w:val="bottom"/>
            <w:tcBorders>
              <w:bottom w:val="single" w:sz="8" w:color="auto"/>
            </w:tcBorders>
            <w:shd w:val="clear" w:color="auto" w:fill="CCEEFF"/>
          </w:tcPr>
          <w:p>
            <w:pPr>
              <w:spacing w:after="0"/>
              <w:rPr>
                <w:sz w:val="19"/>
                <w:szCs w:val="19"/>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6 %</w:t>
            </w:r>
          </w:p>
        </w:tc>
      </w:tr>
      <w:tr>
        <w:trPr>
          <w:trHeight w:val="223"/>
        </w:trPr>
        <w:tc>
          <w:tcPr>
            <w:tcW w:w="3900" w:type="dxa"/>
            <w:vAlign w:val="bottom"/>
          </w:tcPr>
          <w:p>
            <w:pPr>
              <w:ind w:left="360"/>
              <w:spacing w:after="0"/>
              <w:rPr>
                <w:sz w:val="20"/>
                <w:szCs w:val="20"/>
                <w:color w:val="auto"/>
              </w:rPr>
            </w:pPr>
            <w:r>
              <w:rPr>
                <w:rFonts w:ascii="Arial" w:cs="Arial" w:eastAsia="Arial" w:hAnsi="Arial"/>
                <w:sz w:val="18"/>
                <w:szCs w:val="18"/>
                <w:color w:val="auto"/>
              </w:rPr>
              <w:t>Total</w:t>
            </w:r>
          </w:p>
        </w:tc>
        <w:tc>
          <w:tcPr>
            <w:tcW w:w="400" w:type="dxa"/>
            <w:vAlign w:val="bottom"/>
            <w:tcBorders>
              <w:bottom w:val="single" w:sz="8" w:color="auto"/>
            </w:tcBorders>
          </w:tcPr>
          <w:p>
            <w:pPr>
              <w:jc w:val="right"/>
              <w:ind w:right="196"/>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2,969</w:t>
            </w:r>
          </w:p>
        </w:tc>
        <w:tc>
          <w:tcPr>
            <w:tcW w:w="1280" w:type="dxa"/>
            <w:vAlign w:val="bottom"/>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2,699</w:t>
            </w:r>
          </w:p>
        </w:tc>
        <w:tc>
          <w:tcPr>
            <w:tcW w:w="6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380" w:type="dxa"/>
            <w:vAlign w:val="bottom"/>
            <w:tcBorders>
              <w:bottom w:val="single" w:sz="8" w:color="auto"/>
            </w:tcBorders>
          </w:tcPr>
          <w:p>
            <w:pPr>
              <w:jc w:val="right"/>
              <w:ind w:right="176"/>
              <w:spacing w:after="0"/>
              <w:rPr>
                <w:sz w:val="20"/>
                <w:szCs w:val="20"/>
                <w:color w:val="auto"/>
              </w:rPr>
            </w:pPr>
            <w:r>
              <w:rPr>
                <w:rFonts w:ascii="Arial" w:cs="Arial" w:eastAsia="Arial" w:hAnsi="Arial"/>
                <w:sz w:val="18"/>
                <w:szCs w:val="18"/>
                <w:color w:val="auto"/>
                <w:w w:val="9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2,866</w:t>
            </w:r>
          </w:p>
        </w:tc>
        <w:tc>
          <w:tcPr>
            <w:tcW w:w="1360" w:type="dxa"/>
            <w:vAlign w:val="bottom"/>
          </w:tcPr>
          <w:p>
            <w:pPr>
              <w:spacing w:after="0"/>
              <w:rPr>
                <w:sz w:val="19"/>
                <w:szCs w:val="19"/>
                <w:color w:val="auto"/>
              </w:rPr>
            </w:pPr>
          </w:p>
        </w:tc>
      </w:tr>
      <w:tr>
        <w:trPr>
          <w:trHeight w:val="20"/>
        </w:trPr>
        <w:tc>
          <w:tcPr>
            <w:tcW w:w="39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Networking</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Ethernet Solutions</w:t>
      </w:r>
    </w:p>
    <w:p>
      <w:pPr>
        <w:spacing w:after="0" w:line="117" w:lineRule="exact"/>
        <w:rPr>
          <w:sz w:val="20"/>
          <w:szCs w:val="20"/>
          <w:color w:val="auto"/>
        </w:rPr>
      </w:pPr>
    </w:p>
    <w:p>
      <w:pPr>
        <w:ind w:right="280" w:firstLine="405"/>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76" w:lineRule="exact"/>
        <w:rPr>
          <w:sz w:val="20"/>
          <w:szCs w:val="20"/>
          <w:color w:val="auto"/>
        </w:rPr>
      </w:pPr>
    </w:p>
    <w:p>
      <w:pPr>
        <w:ind w:right="400" w:firstLine="405"/>
        <w:spacing w:after="0" w:line="259" w:lineRule="auto"/>
        <w:rPr>
          <w:sz w:val="20"/>
          <w:szCs w:val="20"/>
          <w:color w:val="auto"/>
        </w:rPr>
      </w:pPr>
      <w:r>
        <w:rPr>
          <w:rFonts w:ascii="Arial" w:cs="Arial" w:eastAsia="Arial" w:hAnsi="Arial"/>
          <w:sz w:val="18"/>
          <w:szCs w:val="18"/>
          <w:color w:val="auto"/>
        </w:rPr>
        <w:t>Our Ethernet switches integrate market-optimized innovative features, such as advanced tunneling and routing, high throughput forwarding, and packet processing that make networks more effective at delivering content with low-latency and high-reliability. Our Ethernet switch product portfolio ranges from low-power, five-port switches to highly integrated, multi-terabit Ethernet devices that can be interconnected to form massive network solutions.</w:t>
      </w:r>
    </w:p>
    <w:p>
      <w:pPr>
        <w:spacing w:after="0" w:line="79" w:lineRule="exact"/>
        <w:rPr>
          <w:sz w:val="20"/>
          <w:szCs w:val="20"/>
          <w:color w:val="auto"/>
        </w:rPr>
      </w:pPr>
    </w:p>
    <w:p>
      <w:pPr>
        <w:ind w:right="160" w:firstLine="405"/>
        <w:spacing w:after="0" w:line="263" w:lineRule="auto"/>
        <w:rPr>
          <w:sz w:val="20"/>
          <w:szCs w:val="20"/>
          <w:color w:val="auto"/>
        </w:rPr>
      </w:pPr>
      <w:r>
        <w:rPr>
          <w:rFonts w:ascii="Arial" w:cs="Arial" w:eastAsia="Arial" w:hAnsi="Arial"/>
          <w:sz w:val="18"/>
          <w:szCs w:val="18"/>
          <w:color w:val="auto"/>
        </w:rPr>
        <w:t>We complement our Ethernet switch and infrastructure processors with a broad selection of Ethernet physical-layer transceivers for both fiber and copper interconnect with advanced power management, link security, and time synchronization features. With the acquisition of Aquantia, we have added their multi-gigabit ethernet transceivers to our ethernet product portfolio.</w:t>
      </w:r>
    </w:p>
    <w:p>
      <w:pPr>
        <w:spacing w:after="0" w:line="76"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Our Ethernet controllers and network adapters are optimized to accelerate and simplify data center and enterprise networking. Our family of products provide exceptional value features and performance enabling the most agile and data-intensive applications. They deliver Ethernet connectivity for enterprise-class workstations all the way up to enterprise and cloud data centers.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Processors</w:t>
      </w:r>
    </w:p>
    <w:p>
      <w:pPr>
        <w:spacing w:after="0" w:line="117" w:lineRule="exact"/>
        <w:rPr>
          <w:sz w:val="20"/>
          <w:szCs w:val="20"/>
          <w:color w:val="auto"/>
        </w:rPr>
      </w:pPr>
    </w:p>
    <w:p>
      <w:pPr>
        <w:jc w:val="both"/>
        <w:ind w:right="60" w:firstLine="405"/>
        <w:spacing w:after="0" w:line="259" w:lineRule="auto"/>
        <w:rPr>
          <w:sz w:val="20"/>
          <w:szCs w:val="20"/>
          <w:color w:val="auto"/>
        </w:rPr>
      </w:pPr>
      <w:r>
        <w:rPr>
          <w:rFonts w:ascii="Arial" w:cs="Arial" w:eastAsia="Arial" w:hAnsi="Arial"/>
          <w:sz w:val="18"/>
          <w:szCs w:val="18"/>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79"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Our OCTEON multi-core infrastructure processor families provide integrated Layer 4 through 7 data and security processing with additional capabilities at Layers 2 and 3 at line speeds. These software-compatible processors integrate next-generation networking I/Os along with advanced security, storage, and application hardware accelerators, offering programmability for the Layer 2 through Layer 7 processing requirements of intelligent networks. The OCTEON processors are targeted for use in a wide variety of carrier, data center, and enterprise equipment, including routers, switches, security UTM appliances, content-aware switches, application-aware gateways, wireless access points, 3G/4G/5G wireless base stations, storage arrays, smart network interface controllers, network functions virtualization (NFV) and software-defined networking (SDN) infrastructure.</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6" w:name="page7"/>
    <w:bookmarkEnd w:id="6"/>
    <w:p>
      <w:pPr>
        <w:ind w:firstLine="405"/>
        <w:spacing w:after="0" w:line="273" w:lineRule="auto"/>
        <w:rPr>
          <w:sz w:val="20"/>
          <w:szCs w:val="20"/>
          <w:color w:val="auto"/>
        </w:rPr>
      </w:pPr>
      <w:r>
        <w:rPr>
          <w:rFonts w:ascii="Arial" w:cs="Arial" w:eastAsia="Arial" w:hAnsi="Arial"/>
          <w:sz w:val="17"/>
          <w:szCs w:val="17"/>
          <w:color w:val="auto"/>
        </w:rPr>
        <w:t>Our OCTEON Fusion-M family of wireless baseband infrastructure processors is a highly scalable product family supporting enterprise small cells, high capacity outdoor picocells and microcells all the way up to multi-sector macrocells for multiple wireless protocols including 5G. The key features include highly optimized processor cores, a highly efficient caching subsystem, high memory bandwidth digital signal processing engines along with a host of hardware accelerators. Additionally, multiple OCTEON Fusion-M chips can be cascaded for even denser deployments or higher order multiple-input and multiple-output, or MIMO. Our OCTEON Fusion-M processors have also been designed into 5G base station radio units to enable Massive MIMO (Multiple Input Multiple Output) antenna and advanced Beamforming implementations.</w:t>
      </w:r>
    </w:p>
    <w:p>
      <w:pPr>
        <w:spacing w:after="0" w:line="70" w:lineRule="exact"/>
        <w:rPr>
          <w:sz w:val="20"/>
          <w:szCs w:val="20"/>
          <w:color w:val="auto"/>
        </w:rPr>
      </w:pPr>
    </w:p>
    <w:p>
      <w:pPr>
        <w:ind w:right="200" w:firstLine="405"/>
        <w:spacing w:after="0" w:line="275" w:lineRule="auto"/>
        <w:rPr>
          <w:sz w:val="20"/>
          <w:szCs w:val="20"/>
          <w:color w:val="auto"/>
        </w:rPr>
      </w:pPr>
      <w:r>
        <w:rPr>
          <w:rFonts w:ascii="Arial" w:cs="Arial" w:eastAsia="Arial" w:hAnsi="Arial"/>
          <w:sz w:val="17"/>
          <w:szCs w:val="17"/>
          <w:color w:val="auto"/>
        </w:rPr>
        <w:t>Our NITROX security processor family provides the functionality required for Layer 3 to Layer 5 secure communication in a single chip. These single chip, custom-designed processors provide complete security protocol processing, encryption, authentication and compression algorithms to reduce the load on the system processor and increase total system throughput. The LiquidSecurity product family is a high-performance hardware-based transaction security solution for cloud data center and enterprise applications. It addresses the high-performance security requirements for private key management and administration. This family is available as an adapter with complete software or as a standalone appliance.</w:t>
      </w:r>
    </w:p>
    <w:p>
      <w:pPr>
        <w:spacing w:after="0" w:line="68"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Our LiquidIO Server Adapter family is a high-performance, general-purpose programmable adapter platform that enables cloud data centers and enterprises to offload their server processors for higher performance and power efficiencies. The LiquidIO Server Adapter family is supported by a feature rich software development kit that allows customers and partners to develop high-performance SDN (software defined networking) applications with packet processing, switching, security, tunneling, quality of service, and metering.</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Custom ASICs</w:t>
      </w:r>
    </w:p>
    <w:p>
      <w:pPr>
        <w:spacing w:after="0" w:line="117" w:lineRule="exact"/>
        <w:rPr>
          <w:sz w:val="20"/>
          <w:szCs w:val="20"/>
          <w:color w:val="auto"/>
        </w:rPr>
      </w:pPr>
    </w:p>
    <w:p>
      <w:pPr>
        <w:ind w:right="100" w:firstLine="405"/>
        <w:spacing w:after="0" w:line="263" w:lineRule="auto"/>
        <w:rPr>
          <w:sz w:val="20"/>
          <w:szCs w:val="20"/>
          <w:color w:val="auto"/>
        </w:rPr>
      </w:pPr>
      <w:r>
        <w:rPr>
          <w:rFonts w:ascii="Arial" w:cs="Arial" w:eastAsia="Arial" w:hAnsi="Arial"/>
          <w:sz w:val="18"/>
          <w:szCs w:val="18"/>
          <w:color w:val="auto"/>
        </w:rPr>
        <w:t>We develop custom product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Storage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Storage Controllers</w:t>
      </w:r>
    </w:p>
    <w:p>
      <w:pPr>
        <w:spacing w:after="0" w:line="117"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HDD controller differentiation and value propositions, we offer customers preamplifier products as part of a chipset with our HDD controllers to increase our customers’ product efficiencies. Our HDD controllers support all the high-volume host system interfaces, including Serial Advanced Technology Attachment (“SATA”) and Serial Attached SCSI (“SAS”), which are critical for the data center and enterprise markets.</w:t>
      </w:r>
    </w:p>
    <w:p>
      <w:pPr>
        <w:spacing w:after="0" w:line="57" w:lineRule="exact"/>
        <w:rPr>
          <w:sz w:val="20"/>
          <w:szCs w:val="20"/>
          <w:color w:val="auto"/>
        </w:rPr>
      </w:pPr>
    </w:p>
    <w:p>
      <w:pPr>
        <w:ind w:right="40" w:firstLine="405"/>
        <w:spacing w:after="0" w:line="275" w:lineRule="auto"/>
        <w:rPr>
          <w:sz w:val="20"/>
          <w:szCs w:val="20"/>
          <w:color w:val="auto"/>
        </w:rPr>
      </w:pPr>
      <w:r>
        <w:rPr>
          <w:rFonts w:ascii="Arial" w:cs="Arial" w:eastAsia="Arial" w:hAnsi="Arial"/>
          <w:sz w:val="17"/>
          <w:szCs w:val="17"/>
          <w:color w:val="auto"/>
        </w:rPr>
        <w:t>Our SSD controller products leverage our strong HDD controller know-how and system-level expertise. We integrate several of our HDD controller IPs with our flash technologies to deliver optimal solutions for data center, enterprise and client computing markets. Our SSD controller products integrate hardware and firmware components to help accelerate our customers’ time to market and maximize the capabilities of our solutions. Like our HDD controllers, our SSD controllers support all the high-volume SSD host system interfaces, including SAS, SATA, peripheral component interconnect express (“PCIe”), non-volatile memory express (“NVMe”) and NVMe over Fabrics (“NVMe-oF”).</w:t>
      </w:r>
    </w:p>
    <w:p>
      <w:pPr>
        <w:spacing w:after="0" w:line="68" w:lineRule="exact"/>
        <w:rPr>
          <w:sz w:val="20"/>
          <w:szCs w:val="20"/>
          <w:color w:val="auto"/>
        </w:rPr>
      </w:pPr>
    </w:p>
    <w:p>
      <w:pPr>
        <w:ind w:right="200" w:firstLine="405"/>
        <w:spacing w:after="0" w:line="263" w:lineRule="auto"/>
        <w:rPr>
          <w:sz w:val="20"/>
          <w:szCs w:val="20"/>
          <w:color w:val="auto"/>
        </w:rPr>
      </w:pPr>
      <w:r>
        <w:rPr>
          <w:rFonts w:ascii="Arial" w:cs="Arial" w:eastAsia="Arial" w:hAnsi="Arial"/>
          <w:sz w:val="18"/>
          <w:szCs w:val="18"/>
          <w:color w:val="auto"/>
        </w:rPr>
        <w:t>We have introduced new controller chipset products to enable innovative flash-based storage architectures in data centers and enterprises. These solutions increase overall data center performance, density and scalability while lowering overall power, resulting in lower total cost of ownership for the infrastructure organizations.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Fibre Channel Products</w:t>
      </w:r>
    </w:p>
    <w:p>
      <w:pPr>
        <w:spacing w:after="0" w:line="11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Other Products</w:t>
      </w:r>
    </w:p>
    <w:p>
      <w:pPr>
        <w:spacing w:after="0" w:line="117"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Our other products primarily include printer SoC products. Our printer SoC products power many of today’s laser and ink printers and multi-function peripherals.</w:t>
      </w:r>
    </w:p>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003" w:right="3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121"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We have determined that we operate in one reportable segment: the design, development and sale of integrated circuits. For information regarding our revenue by geographic area, and property and equipment by geographic area, please see “Note 17 -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121" w:lineRule="exact"/>
        <w:rPr>
          <w:sz w:val="20"/>
          <w:szCs w:val="20"/>
          <w:color w:val="auto"/>
        </w:rPr>
      </w:pPr>
    </w:p>
    <w:p>
      <w:pPr>
        <w:ind w:right="180" w:firstLine="405"/>
        <w:spacing w:after="0" w:line="272" w:lineRule="auto"/>
        <w:rPr>
          <w:sz w:val="20"/>
          <w:szCs w:val="20"/>
          <w:color w:val="auto"/>
        </w:rPr>
      </w:pPr>
      <w:r>
        <w:rPr>
          <w:rFonts w:ascii="Arial" w:cs="Arial" w:eastAsia="Arial" w:hAnsi="Arial"/>
          <w:sz w:val="17"/>
          <w:szCs w:val="17"/>
          <w:color w:val="auto"/>
        </w:rPr>
        <w:t>Our target customers are original equipment manufacturers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and Europe. In addition, we have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69"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76" w:lineRule="exact"/>
        <w:rPr>
          <w:sz w:val="20"/>
          <w:szCs w:val="20"/>
          <w:color w:val="auto"/>
        </w:rPr>
      </w:pPr>
    </w:p>
    <w:p>
      <w:pPr>
        <w:jc w:val="both"/>
        <w:ind w:right="200" w:firstLine="405"/>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During fiscal year 2021 and 2020, there was no net revenue attributable to a customer, other than one distributor, whose revenues as a percentage of net revenue was 10% or greater of total net revenues. Net revenue attributable to significant customers whose revenues as a percentage of net revenue was 10% or greater of total net revenues is presented in the following table:</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80" w:type="dxa"/>
            <w:vAlign w:val="bottom"/>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2"/>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1540" w:type="dxa"/>
            <w:vAlign w:val="bottom"/>
            <w:tcBorders>
              <w:bottom w:val="single" w:sz="8" w:color="auto"/>
            </w:tcBorders>
          </w:tcPr>
          <w:p>
            <w:pPr>
              <w:spacing w:after="0"/>
              <w:rPr>
                <w:sz w:val="16"/>
                <w:szCs w:val="16"/>
                <w:color w:val="auto"/>
              </w:rPr>
            </w:pPr>
          </w:p>
        </w:tc>
      </w:tr>
      <w:tr>
        <w:trPr>
          <w:trHeight w:val="187"/>
        </w:trPr>
        <w:tc>
          <w:tcPr>
            <w:tcW w:w="6380" w:type="dxa"/>
            <w:vAlign w:val="bottom"/>
          </w:tcPr>
          <w:p>
            <w:pPr>
              <w:spacing w:after="0"/>
              <w:rPr>
                <w:sz w:val="16"/>
                <w:szCs w:val="16"/>
                <w:color w:val="auto"/>
              </w:rPr>
            </w:pPr>
          </w:p>
        </w:tc>
        <w:tc>
          <w:tcPr>
            <w:tcW w:w="1640" w:type="dxa"/>
            <w:vAlign w:val="bottom"/>
            <w:gridSpan w:val="2"/>
          </w:tcPr>
          <w:p>
            <w:pPr>
              <w:ind w:left="240"/>
              <w:spacing w:after="0"/>
              <w:rPr>
                <w:sz w:val="20"/>
                <w:szCs w:val="20"/>
                <w:color w:val="auto"/>
              </w:rPr>
            </w:pPr>
            <w:r>
              <w:rPr>
                <w:rFonts w:ascii="Arial" w:cs="Arial" w:eastAsia="Arial" w:hAnsi="Arial"/>
                <w:sz w:val="14"/>
                <w:szCs w:val="14"/>
                <w:b w:val="1"/>
                <w:bCs w:val="1"/>
                <w:color w:val="auto"/>
              </w:rPr>
              <w:t>January 30, 2021</w:t>
            </w:r>
          </w:p>
        </w:tc>
        <w:tc>
          <w:tcPr>
            <w:tcW w:w="16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4"/>
              </w:rPr>
              <w:t>February 1, 2020</w:t>
            </w:r>
          </w:p>
        </w:tc>
        <w:tc>
          <w:tcPr>
            <w:tcW w:w="1540" w:type="dxa"/>
            <w:vAlign w:val="bottom"/>
          </w:tcPr>
          <w:p>
            <w:pPr>
              <w:jc w:val="right"/>
              <w:ind w:right="174"/>
              <w:spacing w:after="0"/>
              <w:rPr>
                <w:sz w:val="20"/>
                <w:szCs w:val="20"/>
                <w:color w:val="auto"/>
              </w:rPr>
            </w:pPr>
            <w:r>
              <w:rPr>
                <w:rFonts w:ascii="Arial" w:cs="Arial" w:eastAsia="Arial" w:hAnsi="Arial"/>
                <w:sz w:val="14"/>
                <w:szCs w:val="14"/>
                <w:b w:val="1"/>
                <w:bCs w:val="1"/>
                <w:color w:val="auto"/>
              </w:rPr>
              <w:t>February 2, 2019</w:t>
            </w:r>
          </w:p>
        </w:tc>
      </w:tr>
      <w:tr>
        <w:trPr>
          <w:trHeight w:val="211"/>
        </w:trPr>
        <w:tc>
          <w:tcPr>
            <w:tcW w:w="6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Customer:</w:t>
            </w:r>
          </w:p>
        </w:tc>
        <w:tc>
          <w:tcPr>
            <w:tcW w:w="15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Western Digital</w:t>
            </w: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12 %</w:t>
            </w:r>
          </w:p>
        </w:tc>
      </w:tr>
      <w:tr>
        <w:trPr>
          <w:trHeight w:val="230"/>
        </w:trPr>
        <w:tc>
          <w:tcPr>
            <w:tcW w:w="63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Toshiba **</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11 %</w:t>
            </w: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Seagate</w:t>
            </w: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29"/>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5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spacing w:after="0"/>
              <w:rPr>
                <w:sz w:val="19"/>
                <w:szCs w:val="19"/>
                <w:color w:val="auto"/>
              </w:rPr>
            </w:pP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Wintech</w:t>
            </w:r>
          </w:p>
        </w:tc>
        <w:tc>
          <w:tcPr>
            <w:tcW w:w="1540" w:type="dxa"/>
            <w:vAlign w:val="bottom"/>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23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Less than 10% of net revenue</w:t>
      </w:r>
    </w:p>
    <w:p>
      <w:pPr>
        <w:ind w:left="360" w:right="580" w:hanging="10"/>
        <w:spacing w:after="0" w:line="226" w:lineRule="auto"/>
        <w:tabs>
          <w:tab w:leader="none" w:pos="585"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percentage of net revenue reported for Toshiba for fiscal year 2019 excludes net revenue of Toshiba Memory Corporation after Toshiba divested Toshiba Memory Corporation during fiscal year 2019.</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121"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We place firm orders with our suppliers generally up to 32 weeks prior to the anticipated delivery date and typically prior to an order for the product. These lead times were extended from 16 weeks in the prior year based on the manufacturing process and current capacity at the foundries and substrate suppliers. We often maintain substantial inventories of our products because the semiconductor industry is characterized by short lead time orders and quick delivery schedules.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12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107" w:right="359" w:bottom="1440" w:gutter="0" w:footer="0" w:header="0"/>
        </w:sectPr>
      </w:pPr>
    </w:p>
    <w:bookmarkStart w:id="8" w:name="page9"/>
    <w:bookmarkEnd w:id="8"/>
    <w:p>
      <w:pPr>
        <w:ind w:right="100" w:firstLine="405"/>
        <w:spacing w:after="0" w:line="301" w:lineRule="auto"/>
        <w:rPr>
          <w:sz w:val="20"/>
          <w:szCs w:val="20"/>
          <w:color w:val="auto"/>
        </w:rPr>
      </w:pPr>
      <w:r>
        <w:rPr>
          <w:rFonts w:ascii="Arial" w:cs="Arial" w:eastAsia="Arial" w:hAnsi="Arial"/>
          <w:sz w:val="16"/>
          <w:szCs w:val="16"/>
          <w:color w:val="auto"/>
        </w:rPr>
        <w:t>We have assembled a core team of engineers who have experience in the areas of mixed-signal circuit design, digital signal processing, embedded microprocessors, complementary metal oxide semiconductor (“CMOS”) technology and system-level architectures. We have invested and will continue to invest a significant amount in research and development. See our discussion of research and development expenses in Item 7, Management’s Discussion and Analysis of Financial Condition and Results of Operations, of this Annual Report on Form 10-K for further information.</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11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5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117"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primarily located in China, Korea, Singapore, Canada and Taiwan.</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Governmental Regulations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Import/Export, National Security and Other Regulations Related to International Operations and Ownership</w:t>
      </w:r>
    </w:p>
    <w:p>
      <w:pPr>
        <w:spacing w:after="0" w:line="117" w:lineRule="exact"/>
        <w:rPr>
          <w:sz w:val="20"/>
          <w:szCs w:val="20"/>
          <w:color w:val="auto"/>
        </w:rPr>
      </w:pPr>
    </w:p>
    <w:p>
      <w:pPr>
        <w:ind w:right="20" w:firstLine="405"/>
        <w:spacing w:after="0" w:line="301"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w:t>
      </w:r>
    </w:p>
    <w:p>
      <w:pPr>
        <w:spacing w:after="0" w:line="49"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w:t>
      </w:r>
    </w:p>
    <w:p>
      <w:pPr>
        <w:spacing w:after="0" w:line="56" w:lineRule="exact"/>
        <w:rPr>
          <w:sz w:val="20"/>
          <w:szCs w:val="20"/>
          <w:color w:val="auto"/>
        </w:rPr>
      </w:pPr>
    </w:p>
    <w:p>
      <w:pPr>
        <w:ind w:right="300" w:firstLine="405"/>
        <w:spacing w:after="0" w:line="263" w:lineRule="auto"/>
        <w:rPr>
          <w:sz w:val="20"/>
          <w:szCs w:val="20"/>
          <w:color w:val="auto"/>
        </w:rPr>
      </w:pPr>
      <w:r>
        <w:rPr>
          <w:rFonts w:ascii="Arial" w:cs="Arial" w:eastAsia="Arial" w:hAnsi="Arial"/>
          <w:sz w:val="18"/>
          <w:szCs w:val="18"/>
          <w:color w:val="auto"/>
        </w:rPr>
        <w:t>Primarily as a result of our acquisition of Avera, we are now a party to certain contracts with the U.S. government and its subcontractors. Our contracts with government entities are subject to various procurement regulations and other requirements relating to their formation, administration and performance.</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“Risk Factors” under Item 1A of this Annual Report on Form 10-K for additional information on regulatory matters.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104" w:lineRule="exact"/>
        <w:rPr>
          <w:sz w:val="20"/>
          <w:szCs w:val="20"/>
          <w:color w:val="auto"/>
        </w:rPr>
      </w:pPr>
    </w:p>
    <w:p>
      <w:pPr>
        <w:ind w:right="40" w:firstLine="405"/>
        <w:spacing w:after="0" w:line="253" w:lineRule="auto"/>
        <w:rPr>
          <w:sz w:val="20"/>
          <w:szCs w:val="20"/>
          <w:color w:val="auto"/>
        </w:rPr>
      </w:pPr>
      <w:r>
        <w:rPr>
          <w:rFonts w:ascii="Arial" w:cs="Arial" w:eastAsia="Arial" w:hAnsi="Arial"/>
          <w:sz w:val="17"/>
          <w:szCs w:val="17"/>
          <w:color w:val="auto"/>
        </w:rPr>
        <w:t>We are also subject to environmental rules and regulations in multiple jurisdictions, such as the EU Directive on Restriction of Hazardous Substances (RoHS), the EU Waste Electrical and Electronic Equipment Directive (WEEE Directive),China’s regulation on Management Methods for Controlling Pollution Caused by Electronic Information Products, and California Safe Drinking Water and Toxic Enforcement Act of 1986.</w:t>
      </w:r>
    </w:p>
    <w:p>
      <w:pPr>
        <w:spacing w:after="0" w:line="70" w:lineRule="exact"/>
        <w:rPr>
          <w:sz w:val="20"/>
          <w:szCs w:val="20"/>
          <w:color w:val="auto"/>
        </w:rPr>
      </w:pPr>
    </w:p>
    <w:p>
      <w:pPr>
        <w:ind w:right="20" w:firstLine="405"/>
        <w:spacing w:after="0" w:line="301" w:lineRule="auto"/>
        <w:rPr>
          <w:sz w:val="20"/>
          <w:szCs w:val="20"/>
          <w:color w:val="auto"/>
        </w:rPr>
      </w:pPr>
      <w:r>
        <w:rPr>
          <w:rFonts w:ascii="Arial" w:cs="Arial" w:eastAsia="Arial" w:hAnsi="Arial"/>
          <w:sz w:val="16"/>
          <w:szCs w:val="16"/>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certifies to us compliance with ISO 14001:2004, the international standard related to environmental management. We are also working to establish a “conflict-free” supply chain, including ethical sourcing of certain minerals for our products.</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111" w:right="35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t>Intellectual Property</w:t>
      </w:r>
    </w:p>
    <w:p>
      <w:pPr>
        <w:spacing w:after="0" w:line="12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Our future revenue growth and overall success depend in large part on our ability to protect our intellectual property. We rely on a combination of patents, copyrights, trademarks, trade secrets, contractual provisions, confidentiality agreements and licenses to protect our intellectual property. As of January 30, 2021, we have approximately 9,400 active U.S. and foreign patents issued and approximately 1,100 U.S. and foreign patent applications pending on various aspects of our technology. While we believe the duration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intellectual property.</w:t>
      </w:r>
    </w:p>
    <w:p>
      <w:pPr>
        <w:spacing w:after="0" w:line="87" w:lineRule="exact"/>
        <w:rPr>
          <w:sz w:val="20"/>
          <w:szCs w:val="20"/>
          <w:color w:val="auto"/>
        </w:rPr>
      </w:pPr>
    </w:p>
    <w:p>
      <w:pPr>
        <w:ind w:right="200" w:firstLine="405"/>
        <w:spacing w:after="0" w:line="259"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9" w:lineRule="exact"/>
        <w:rPr>
          <w:sz w:val="20"/>
          <w:szCs w:val="20"/>
          <w:color w:val="auto"/>
        </w:rPr>
      </w:pPr>
    </w:p>
    <w:p>
      <w:pPr>
        <w:jc w:val="both"/>
        <w:ind w:right="200" w:firstLine="405"/>
        <w:spacing w:after="0" w:line="263"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76"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76"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In addition, we have in the past and may in the future be sued by other parties who claim that we have infringed their patents or misappropriated or misused other intellectual property rights, or who may seek to invalidate one or more of our patents, trademarks, or other rights. Although we defend these claims vigorously, it is possible that we will not prevail in pending or future lawsuits. See “Risk Factors” under Item 1A of this Annual Report on Form 10-K and “Note 12 - Commitments and Contingencies” in our Notes to the Consolidated Financial Statements set forth in Part II, Item 8, of this Annual Report on Form 10-K for further discussion of the risks associated with patent litigation matters.</w:t>
      </w:r>
    </w:p>
    <w:p>
      <w:pPr>
        <w:spacing w:after="0" w:line="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121" w:lineRule="exact"/>
        <w:rPr>
          <w:sz w:val="20"/>
          <w:szCs w:val="20"/>
          <w:color w:val="auto"/>
        </w:rPr>
      </w:pPr>
    </w:p>
    <w:p>
      <w:pPr>
        <w:ind w:right="280" w:firstLine="405"/>
        <w:spacing w:after="0" w:line="273" w:lineRule="auto"/>
        <w:rPr>
          <w:sz w:val="20"/>
          <w:szCs w:val="20"/>
          <w:color w:val="auto"/>
        </w:rPr>
      </w:pPr>
      <w:r>
        <w:rPr>
          <w:rFonts w:ascii="Arial" w:cs="Arial" w:eastAsia="Arial" w:hAnsi="Arial"/>
          <w:sz w:val="17"/>
          <w:szCs w:val="17"/>
          <w:color w:val="auto"/>
        </w:rPr>
        <w:t>The markets for our products are intensely competitive, and are characterized by rapid technological change, evolving industry standards, frequent new product introductions and pricing pressures. Competition has intensified as a result of the increasing demand for higher levels of performance, integration and smaller process geometries. We expect competition to further intensify as current competitors strengthen the depth and breadth of their product offerings, either through in-house development or by acquiring existing technology. In addition, some of our customers have chosen to develop certain semiconductor products internally and this trend may continue to proliferate. We believe that our ability to compete successfully in the rapidly evolving markets for our products depends on multiple factors, including, but not limited to:</w:t>
      </w:r>
    </w:p>
    <w:p>
      <w:pPr>
        <w:spacing w:after="0" w:line="70" w:lineRule="exact"/>
        <w:rPr>
          <w:sz w:val="20"/>
          <w:szCs w:val="20"/>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performance, features, quality and price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development execution, timing and success of enhanced and new product introductions by us, our customers and our competitors;</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emergence, rate of adoption and acceptance of new industry standards;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market demand trends;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competitive tactics;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obtain adequate foundry capacity with the appropriate technological capability;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w:t>
      </w:r>
    </w:p>
    <w:p>
      <w:pPr>
        <w:spacing w:after="0" w:line="346"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Our major competitors for our products include Broadcom Limited, Intel Corporation, Microchip Technology Inc., NXP Semiconductors N.V., Phison Electronics Corporation, Realtek Semiconductor Corporation, Silicon Motion Technology Corporation and Socionext Inc. We expect increased competition in the future from both emerging and established companies, as well as from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2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07" w:right="339" w:bottom="1440" w:gutter="0" w:footer="0" w:header="0"/>
        </w:sectPr>
      </w:pPr>
    </w:p>
    <w:bookmarkStart w:id="10" w:name="page11"/>
    <w:bookmarkEnd w:id="10"/>
    <w:p>
      <w:pPr>
        <w:ind w:right="20" w:firstLine="405"/>
        <w:spacing w:after="0" w:line="275" w:lineRule="auto"/>
        <w:rPr>
          <w:sz w:val="20"/>
          <w:szCs w:val="20"/>
          <w:color w:val="auto"/>
        </w:rPr>
      </w:pPr>
      <w:r>
        <w:rPr>
          <w:rFonts w:ascii="Arial" w:cs="Arial" w:eastAsia="Arial" w:hAnsi="Arial"/>
          <w:sz w:val="17"/>
          <w:szCs w:val="17"/>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Human Capital</w:t>
      </w:r>
    </w:p>
    <w:p>
      <w:pPr>
        <w:spacing w:after="0" w:line="121" w:lineRule="exact"/>
        <w:rPr>
          <w:sz w:val="20"/>
          <w:szCs w:val="20"/>
          <w:color w:val="auto"/>
        </w:rPr>
      </w:pPr>
    </w:p>
    <w:p>
      <w:pPr>
        <w:jc w:val="both"/>
        <w:ind w:firstLine="405"/>
        <w:spacing w:after="0" w:line="296" w:lineRule="auto"/>
        <w:rPr>
          <w:sz w:val="20"/>
          <w:szCs w:val="20"/>
          <w:color w:val="auto"/>
        </w:rPr>
      </w:pPr>
      <w:r>
        <w:rPr>
          <w:rFonts w:ascii="Arial" w:cs="Arial" w:eastAsia="Arial" w:hAnsi="Arial"/>
          <w:sz w:val="16"/>
          <w:szCs w:val="16"/>
          <w:color w:val="auto"/>
        </w:rPr>
        <w:t>Marvell’s human capital objectives are to attract, retain and develop high quality talent with the technical and other skills necessary to execute on our business objectives. To support these objectives, Marvell’s human resources programs, which include talent acquisition, total rewards, and learning and development, are designed to train and facilitate internal talent mobility to create a high-performing, diverse workforce. Our programs are designed to reward and support employees through competitive pay and benefits as well as enhance the Company’s culture through efforts aimed at making the workplace more engaging and inclusive and develop talent to prepare them for critical roles and leadership positions for the future.</w:t>
      </w:r>
    </w:p>
    <w:p>
      <w:pPr>
        <w:spacing w:after="0" w:line="53" w:lineRule="exact"/>
        <w:rPr>
          <w:sz w:val="20"/>
          <w:szCs w:val="20"/>
          <w:color w:val="auto"/>
        </w:rPr>
      </w:pPr>
    </w:p>
    <w:p>
      <w:pPr>
        <w:jc w:val="both"/>
        <w:ind w:firstLine="405"/>
        <w:spacing w:after="0" w:line="296" w:lineRule="auto"/>
        <w:rPr>
          <w:sz w:val="20"/>
          <w:szCs w:val="20"/>
          <w:color w:val="auto"/>
        </w:rPr>
      </w:pPr>
      <w:r>
        <w:rPr>
          <w:rFonts w:ascii="Arial" w:cs="Arial" w:eastAsia="Arial" w:hAnsi="Arial"/>
          <w:sz w:val="16"/>
          <w:szCs w:val="16"/>
          <w:color w:val="auto"/>
        </w:rPr>
        <w:t>Our Board of Directors and Board committees provide oversight on certain human capital matters. The Audit Committee provides oversight of business risks and the Company’s Code of Business Conduct and Ethics, both of which have relevance for human capital. The Nominating and Governance Committee of the Board has oversight for Marvell’s Environment, Society and Governance (ESG) strategy, which includes talent attraction and retention and inclusion and diversity. The Executive Compensation Committee provides oversight of the Company’s overall compensation philosophy, policies and programs, and assesses whether the Company’s compensation establishes appropriate incentives for executive officers and employees.</w:t>
      </w:r>
    </w:p>
    <w:p>
      <w:pPr>
        <w:spacing w:after="0" w:line="53" w:lineRule="exact"/>
        <w:rPr>
          <w:sz w:val="20"/>
          <w:szCs w:val="20"/>
          <w:color w:val="auto"/>
        </w:rPr>
      </w:pPr>
    </w:p>
    <w:p>
      <w:pPr>
        <w:jc w:val="both"/>
        <w:ind w:firstLine="405"/>
        <w:spacing w:after="0" w:line="263" w:lineRule="auto"/>
        <w:rPr>
          <w:sz w:val="20"/>
          <w:szCs w:val="20"/>
          <w:color w:val="auto"/>
        </w:rPr>
      </w:pPr>
      <w:r>
        <w:rPr>
          <w:rFonts w:ascii="Arial" w:cs="Arial" w:eastAsia="Arial" w:hAnsi="Arial"/>
          <w:sz w:val="18"/>
          <w:szCs w:val="18"/>
          <w:color w:val="auto"/>
        </w:rPr>
        <w:t>The Company employed 5,340 people as of January 30, 2021. As of January 30, 2021, our global workforce was comprised of approximately: 99% full time employees and 1% part time employees. Our employees sit across three geographical regions: 50% of employees are based in North America, 38% are in APAC (which includes India) and 12% are in EMEA.</w:t>
      </w:r>
    </w:p>
    <w:p>
      <w:pPr>
        <w:spacing w:after="0" w:line="76" w:lineRule="exact"/>
        <w:rPr>
          <w:sz w:val="20"/>
          <w:szCs w:val="20"/>
          <w:color w:val="auto"/>
        </w:rPr>
      </w:pPr>
    </w:p>
    <w:p>
      <w:pPr>
        <w:jc w:val="both"/>
        <w:ind w:firstLine="405"/>
        <w:spacing w:after="0" w:line="257" w:lineRule="auto"/>
        <w:rPr>
          <w:sz w:val="20"/>
          <w:szCs w:val="20"/>
          <w:color w:val="auto"/>
        </w:rPr>
      </w:pPr>
      <w:r>
        <w:rPr>
          <w:rFonts w:ascii="Arial" w:cs="Arial" w:eastAsia="Arial" w:hAnsi="Arial"/>
          <w:sz w:val="18"/>
          <w:szCs w:val="18"/>
          <w:color w:val="auto"/>
        </w:rPr>
        <w:t>We continually monitor employee turnover, as given the nature of our business, our success depends upon highly trained personnel with the technical skills necessary to execute on our business objectives. We believe the combination of competitive compensation and career growth and development opportunities help to increase employee tenure and reduce voluntary turnover. Intern and entry level professional new hires are an important part of our overall talent pipeline and strategy, as students and entry level professionals often have knowledge in the latest research and innovations, and we want Marvell to benefit from that knowledge.</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Competitive Compensation and Benefits</w:t>
      </w:r>
    </w:p>
    <w:p>
      <w:pPr>
        <w:spacing w:after="0" w:line="117" w:lineRule="exact"/>
        <w:rPr>
          <w:sz w:val="20"/>
          <w:szCs w:val="20"/>
          <w:color w:val="auto"/>
        </w:rPr>
      </w:pPr>
    </w:p>
    <w:p>
      <w:pPr>
        <w:ind w:right="180" w:firstLine="405"/>
        <w:spacing w:after="0" w:line="279" w:lineRule="auto"/>
        <w:rPr>
          <w:sz w:val="20"/>
          <w:szCs w:val="20"/>
          <w:color w:val="auto"/>
        </w:rPr>
      </w:pPr>
      <w:r>
        <w:rPr>
          <w:rFonts w:ascii="Arial" w:cs="Arial" w:eastAsia="Arial" w:hAnsi="Arial"/>
          <w:sz w:val="17"/>
          <w:szCs w:val="17"/>
          <w:color w:val="auto"/>
        </w:rPr>
        <w:t>We provide employee wages that we believe are competitive and consistent with employee positions, skill levels, experience, knowledge, and geographic location. We evaluate the effectiveness of our executive compensation and benefit programs and compare those programs against those of our peers within the industry. We align our executives’ long-term equity compensation with our shareholders’ interests by linking realizable pay with performance. Marvell provides comprehensive and affordable health and wellness coverage to all our employees.</w:t>
      </w:r>
    </w:p>
    <w:p>
      <w:pPr>
        <w:spacing w:after="0" w:line="6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Culture, Engagement and Development</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Marvell is a dynamic, interactive, high-energy workplace, where people are self-motivated and encouraged to make a difference.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We have defined four core behaviors to help guide our actions and interactions with people both inside and outside the company:</w:t>
      </w:r>
    </w:p>
    <w:p>
      <w:pPr>
        <w:spacing w:after="0" w:line="23"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Act with integrity and treat everyone with respect,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Innovate to solve customer needs,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Execute with thoroughness and rigor,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Help others achieve their objectives.</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11" w:name="page12"/>
    <w:bookmarkEnd w:id="11"/>
    <w:p>
      <w:pPr>
        <w:ind w:right="80" w:firstLine="405"/>
        <w:spacing w:after="0" w:line="296" w:lineRule="auto"/>
        <w:rPr>
          <w:sz w:val="20"/>
          <w:szCs w:val="20"/>
          <w:color w:val="auto"/>
        </w:rPr>
      </w:pPr>
      <w:r>
        <w:rPr>
          <w:rFonts w:ascii="Arial" w:cs="Arial" w:eastAsia="Arial" w:hAnsi="Arial"/>
          <w:sz w:val="16"/>
          <w:szCs w:val="16"/>
          <w:color w:val="auto"/>
        </w:rPr>
        <w:t>Our focus is on creating an environment where people feel respected, valued and engaged. Employee feedback is one way for us to know how we are doing and where we can do better. We regularly conduct Voice of the Employee and other surveys. This is a valuable opportunity for all employees to provide open, candid, confidential feedback about what it's like to work at Marvell. We offer a variety of employee training programs, including management training programs aligned with the level of managers, technical training, mandatory compliance trainings and voluntary professional development opportunities. In addition, we organize a wide range of employee events designed to foster a sense of community at Marvell.</w:t>
      </w:r>
    </w:p>
    <w:p>
      <w:pPr>
        <w:spacing w:after="0" w:line="53" w:lineRule="exact"/>
        <w:rPr>
          <w:sz w:val="20"/>
          <w:szCs w:val="20"/>
          <w:color w:val="auto"/>
        </w:rPr>
      </w:pPr>
    </w:p>
    <w:p>
      <w:pPr>
        <w:jc w:val="both"/>
        <w:ind w:right="60" w:firstLine="405"/>
        <w:spacing w:after="0" w:line="286" w:lineRule="auto"/>
        <w:rPr>
          <w:sz w:val="20"/>
          <w:szCs w:val="20"/>
          <w:color w:val="auto"/>
        </w:rPr>
      </w:pPr>
      <w:r>
        <w:rPr>
          <w:rFonts w:ascii="Arial" w:cs="Arial" w:eastAsia="Arial" w:hAnsi="Arial"/>
          <w:sz w:val="17"/>
          <w:szCs w:val="17"/>
          <w:color w:val="auto"/>
        </w:rPr>
        <w:t>The COVID-19 pandemic has presented challenges for all individuals and businesses. Our leadership has continued to engage and support employees through the pandemic in a range of ways, including sending frequent communication and resources, providing a number of four day “recharge weekends”, and surveying employees on the experience of working from home. See the Health &amp; Safety section below for more details.</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Inclusion &amp; Diversity</w:t>
      </w:r>
    </w:p>
    <w:p>
      <w:pPr>
        <w:spacing w:after="0" w:line="117" w:lineRule="exact"/>
        <w:rPr>
          <w:sz w:val="20"/>
          <w:szCs w:val="20"/>
          <w:color w:val="auto"/>
        </w:rPr>
      </w:pPr>
    </w:p>
    <w:p>
      <w:pPr>
        <w:jc w:val="both"/>
        <w:ind w:firstLine="405"/>
        <w:spacing w:after="0" w:line="286" w:lineRule="auto"/>
        <w:rPr>
          <w:sz w:val="20"/>
          <w:szCs w:val="20"/>
          <w:color w:val="auto"/>
        </w:rPr>
      </w:pPr>
      <w:r>
        <w:rPr>
          <w:rFonts w:ascii="Arial" w:cs="Arial" w:eastAsia="Arial" w:hAnsi="Arial"/>
          <w:sz w:val="17"/>
          <w:szCs w:val="17"/>
          <w:color w:val="auto"/>
        </w:rPr>
        <w:t>At Marvell, we value the uniqueness that an inclusive and diverse global team brings to our company, and we are focused on creating an environment that leverages the perspectives and contributions of each employee. As one part of our ongoing efforts to strengthen our inclusion and diversity, we began to release regular updates to our diversity data to enable our investors, partners and employees to track our progress.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Health &amp; Safety</w:t>
      </w:r>
    </w:p>
    <w:p>
      <w:pPr>
        <w:spacing w:after="0" w:line="121" w:lineRule="exact"/>
        <w:rPr>
          <w:sz w:val="20"/>
          <w:szCs w:val="20"/>
          <w:color w:val="auto"/>
        </w:rPr>
      </w:pPr>
    </w:p>
    <w:p>
      <w:pPr>
        <w:jc w:val="both"/>
        <w:ind w:right="20" w:firstLine="414"/>
        <w:spacing w:after="0" w:line="277" w:lineRule="auto"/>
        <w:rPr>
          <w:sz w:val="20"/>
          <w:szCs w:val="20"/>
          <w:color w:val="auto"/>
        </w:rPr>
      </w:pPr>
      <w:r>
        <w:rPr>
          <w:rFonts w:ascii="Arial" w:cs="Arial" w:eastAsia="Arial" w:hAnsi="Arial"/>
          <w:sz w:val="18"/>
          <w:szCs w:val="18"/>
          <w:color w:val="auto"/>
        </w:rPr>
        <w:t>Marvell is committed to protecting the health and safety of all individuals, including employees, contractors and vendors, affected by our activities. In this regard, we continuously seek to reduce workplace hazards and risks.</w:t>
      </w:r>
    </w:p>
    <w:p>
      <w:pPr>
        <w:spacing w:after="0" w:line="62"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COVID-19 pandemic placed new emphasis on health and safety at Marvell, and we took various steps to promote the health, safety and wellness of our employees during the ongoing crisis.</w:t>
      </w:r>
    </w:p>
    <w:p>
      <w:pPr>
        <w:spacing w:after="0" w:line="200" w:lineRule="exact"/>
        <w:rPr>
          <w:sz w:val="20"/>
          <w:szCs w:val="20"/>
          <w:color w:val="auto"/>
        </w:rPr>
      </w:pPr>
    </w:p>
    <w:p>
      <w:pPr>
        <w:spacing w:after="0" w:line="3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121"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117" w:lineRule="exact"/>
        <w:rPr>
          <w:sz w:val="20"/>
          <w:szCs w:val="20"/>
          <w:color w:val="auto"/>
        </w:rPr>
      </w:pPr>
    </w:p>
    <w:p>
      <w:pPr>
        <w:ind w:right="340" w:firstLine="405"/>
        <w:spacing w:after="0" w:line="275"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r>
        <w:rPr>
          <w:rFonts w:ascii="Arial" w:cs="Arial" w:eastAsia="Arial" w:hAnsi="Arial"/>
          <w:sz w:val="17"/>
          <w:szCs w:val="17"/>
          <w:color w:val="auto"/>
        </w:rPr>
        <w:t>.</w:t>
      </w:r>
    </w:p>
    <w:p>
      <w:pPr>
        <w:spacing w:after="0" w:line="244" w:lineRule="exact"/>
        <w:rPr>
          <w:sz w:val="20"/>
          <w:szCs w:val="20"/>
          <w:color w:val="auto"/>
        </w:rPr>
      </w:pPr>
    </w:p>
    <w:p>
      <w:pPr>
        <w:ind w:left="660" w:right="66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27" w:lineRule="exact"/>
        <w:rPr>
          <w:rFonts w:ascii="Arial" w:cs="Arial" w:eastAsia="Arial" w:hAnsi="Arial"/>
          <w:sz w:val="22"/>
          <w:szCs w:val="22"/>
          <w:color w:val="auto"/>
        </w:rPr>
      </w:pPr>
    </w:p>
    <w:p>
      <w:pPr>
        <w:ind w:left="660" w:right="48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complete our planned merger with Inphi Corporation on a timely basis, or at all, and limitations and restrictions contained in the Merger Agreement;</w:t>
      </w:r>
    </w:p>
    <w:p>
      <w:pPr>
        <w:spacing w:after="0" w:line="27" w:lineRule="exact"/>
        <w:rPr>
          <w:rFonts w:ascii="Arial" w:cs="Arial" w:eastAsia="Arial" w:hAnsi="Arial"/>
          <w:sz w:val="22"/>
          <w:szCs w:val="22"/>
          <w:color w:val="auto"/>
        </w:rPr>
      </w:pPr>
    </w:p>
    <w:p>
      <w:pPr>
        <w:ind w:left="660" w:right="40" w:hanging="328"/>
        <w:spacing w:after="0" w:line="23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4"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realize anticipated synergies in connection with the Inphi merger and other strategic transactions;</w:t>
      </w:r>
    </w:p>
    <w:p>
      <w:pPr>
        <w:spacing w:after="0" w:line="26" w:lineRule="exact"/>
        <w:rPr>
          <w:rFonts w:ascii="Arial" w:cs="Arial" w:eastAsia="Arial" w:hAnsi="Arial"/>
          <w:sz w:val="22"/>
          <w:szCs w:val="22"/>
          <w:color w:val="auto"/>
        </w:rPr>
      </w:pPr>
    </w:p>
    <w:p>
      <w:pPr>
        <w:ind w:left="660" w:right="140" w:hanging="328"/>
        <w:spacing w:after="0" w:line="23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the impact of Brexit on the economy in the E.U., political conditions, such as the recent tariffs and trade restrictions with China and other foreign nations, and specific conditions in the end markets we address, including the continuing volatility in the technology sector and semiconductor industry;</w:t>
      </w:r>
    </w:p>
    <w:p>
      <w:pPr>
        <w:spacing w:after="0" w:line="27" w:lineRule="exact"/>
        <w:rPr>
          <w:rFonts w:ascii="Arial" w:cs="Arial" w:eastAsia="Arial" w:hAnsi="Arial"/>
          <w:sz w:val="22"/>
          <w:szCs w:val="22"/>
          <w:color w:val="auto"/>
        </w:rPr>
      </w:pPr>
    </w:p>
    <w:p>
      <w:pPr>
        <w:ind w:left="660" w:right="12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27"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5"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5"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33"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33"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27" w:lineRule="exact"/>
        <w:rPr>
          <w:rFonts w:ascii="Arial" w:cs="Arial" w:eastAsia="Arial" w:hAnsi="Arial"/>
          <w:sz w:val="22"/>
          <w:szCs w:val="22"/>
          <w:color w:val="auto"/>
        </w:rPr>
      </w:pPr>
    </w:p>
    <w:p>
      <w:pPr>
        <w:ind w:left="660" w:right="6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spacing w:after="0" w:line="27" w:lineRule="exact"/>
        <w:rPr>
          <w:rFonts w:ascii="Arial" w:cs="Arial" w:eastAsia="Arial" w:hAnsi="Arial"/>
          <w:sz w:val="22"/>
          <w:szCs w:val="22"/>
          <w:color w:val="auto"/>
        </w:rPr>
      </w:pPr>
    </w:p>
    <w:p>
      <w:pPr>
        <w:ind w:left="660" w:right="40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realize anticipated synergies in connection with our acquisitions and our loss of synergies in connection with our divestitures;</w:t>
      </w:r>
    </w:p>
    <w:p>
      <w:pPr>
        <w:spacing w:after="0" w:line="27" w:lineRule="exact"/>
        <w:rPr>
          <w:rFonts w:ascii="Arial" w:cs="Arial" w:eastAsia="Arial" w:hAnsi="Arial"/>
          <w:sz w:val="22"/>
          <w:szCs w:val="22"/>
          <w:color w:val="auto"/>
        </w:rPr>
      </w:pPr>
    </w:p>
    <w:p>
      <w:pPr>
        <w:ind w:left="660" w:right="4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5"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33"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w:t>
      </w:r>
    </w:p>
    <w:p>
      <w:pPr>
        <w:spacing w:after="0" w:line="3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3" w:name="page14"/>
    <w:bookmarkEnd w:id="13"/>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26" w:lineRule="exact"/>
        <w:rPr>
          <w:rFonts w:ascii="Arial" w:cs="Arial" w:eastAsia="Arial" w:hAnsi="Arial"/>
          <w:sz w:val="22"/>
          <w:szCs w:val="22"/>
          <w:color w:val="auto"/>
        </w:rPr>
      </w:pPr>
    </w:p>
    <w:p>
      <w:pPr>
        <w:ind w:left="660" w:right="700" w:hanging="328"/>
        <w:spacing w:after="0" w:line="232"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a timely and effective manner, as well as our ability to anticipate and adapt to changes in technology;</w:t>
      </w:r>
    </w:p>
    <w:p>
      <w:pPr>
        <w:spacing w:after="0" w:line="5"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U.S.;</w:t>
      </w:r>
    </w:p>
    <w:p>
      <w:pPr>
        <w:spacing w:after="0" w:line="26" w:lineRule="exact"/>
        <w:rPr>
          <w:rFonts w:ascii="Arial" w:cs="Arial" w:eastAsia="Arial" w:hAnsi="Arial"/>
          <w:sz w:val="22"/>
          <w:szCs w:val="22"/>
          <w:color w:val="auto"/>
        </w:rPr>
      </w:pPr>
    </w:p>
    <w:p>
      <w:pPr>
        <w:ind w:left="660" w:right="260" w:hanging="328"/>
        <w:spacing w:after="0" w:line="238"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27"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managerial, engineering, sales and marketing personnel;</w:t>
      </w:r>
    </w:p>
    <w:p>
      <w:pPr>
        <w:spacing w:after="0" w:line="5"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0" w:lineRule="exact"/>
        <w:rPr>
          <w:rFonts w:ascii="Arial" w:cs="Arial" w:eastAsia="Arial" w:hAnsi="Arial"/>
          <w:sz w:val="22"/>
          <w:szCs w:val="22"/>
          <w:color w:val="auto"/>
        </w:rPr>
      </w:pPr>
    </w:p>
    <w:p>
      <w:pPr>
        <w:ind w:left="660" w:hanging="328"/>
        <w:spacing w:after="0" w:line="233"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of one or more of our major customers; and</w:t>
      </w:r>
    </w:p>
    <w:p>
      <w:pPr>
        <w:spacing w:after="0" w:line="2" w:lineRule="exact"/>
        <w:rPr>
          <w:rFonts w:ascii="Arial" w:cs="Arial" w:eastAsia="Arial" w:hAnsi="Arial"/>
          <w:sz w:val="22"/>
          <w:szCs w:val="22"/>
          <w:color w:val="auto"/>
        </w:rPr>
      </w:pPr>
    </w:p>
    <w:p>
      <w:pPr>
        <w:ind w:left="660" w:right="100" w:hanging="328"/>
        <w:spacing w:after="0" w:line="258"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4"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48" w:lineRule="exact"/>
        <w:rPr>
          <w:sz w:val="20"/>
          <w:szCs w:val="20"/>
          <w:color w:val="auto"/>
        </w:rPr>
      </w:pPr>
    </w:p>
    <w:p>
      <w:pPr>
        <w:ind w:right="460"/>
        <w:spacing w:after="0" w:line="282"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193" w:lineRule="exact"/>
        <w:rPr>
          <w:sz w:val="20"/>
          <w:szCs w:val="20"/>
          <w:color w:val="auto"/>
        </w:rPr>
      </w:pPr>
    </w:p>
    <w:p>
      <w:pPr>
        <w:ind w:right="140" w:firstLine="405"/>
        <w:spacing w:after="0" w:line="272"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3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4" w:right="379" w:bottom="1440" w:gutter="0" w:footer="0" w:header="0"/>
        </w:sectPr>
      </w:pPr>
    </w:p>
    <w:bookmarkStart w:id="14" w:name="page15"/>
    <w:bookmarkEnd w:id="14"/>
    <w:p>
      <w:pPr>
        <w:jc w:val="both"/>
        <w:ind w:right="200" w:firstLine="405"/>
        <w:spacing w:after="0" w:line="287"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08" w:lineRule="exact"/>
        <w:rPr>
          <w:sz w:val="20"/>
          <w:szCs w:val="20"/>
          <w:color w:val="auto"/>
        </w:rPr>
      </w:pPr>
    </w:p>
    <w:p>
      <w:pPr>
        <w:ind w:right="380" w:firstLine="405"/>
        <w:spacing w:after="0" w:line="259"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remains temporarily suspended in anticipation of the funding of our acquisition of Inphi. See the Risk Factor entitled “</w:t>
      </w:r>
      <w:r>
        <w:rPr>
          <w:rFonts w:ascii="Arial" w:cs="Arial" w:eastAsia="Arial" w:hAnsi="Arial"/>
          <w:sz w:val="18"/>
          <w:szCs w:val="18"/>
          <w:i w:val="1"/>
          <w:iCs w:val="1"/>
          <w:color w:val="auto"/>
        </w:rPr>
        <w:t>There can be no assurance that we will</w:t>
      </w:r>
      <w:r>
        <w:rPr>
          <w:rFonts w:ascii="Arial" w:cs="Arial" w:eastAsia="Arial" w:hAnsi="Arial"/>
          <w:sz w:val="18"/>
          <w:szCs w:val="18"/>
          <w:color w:val="auto"/>
        </w:rPr>
        <w:t xml:space="preserve"> </w:t>
      </w:r>
      <w:r>
        <w:rPr>
          <w:rFonts w:ascii="Arial" w:cs="Arial" w:eastAsia="Arial" w:hAnsi="Arial"/>
          <w:sz w:val="18"/>
          <w:szCs w:val="18"/>
          <w:i w:val="1"/>
          <w:iCs w:val="1"/>
          <w:color w:val="auto"/>
        </w:rPr>
        <w:t>continue to declare cash dividends or effect share repurchases in any particular amount or at all, and statutory requirements under Bermuda Law may require us to defer payment of declared dividends or suspend share repurchases.</w:t>
      </w:r>
      <w:r>
        <w:rPr>
          <w:rFonts w:ascii="Arial" w:cs="Arial" w:eastAsia="Arial" w:hAnsi="Arial"/>
          <w:sz w:val="18"/>
          <w:szCs w:val="18"/>
          <w:color w:val="auto"/>
        </w:rPr>
        <w:t>”</w:t>
      </w:r>
    </w:p>
    <w:p>
      <w:pPr>
        <w:spacing w:after="0" w:line="214" w:lineRule="exact"/>
        <w:rPr>
          <w:sz w:val="20"/>
          <w:szCs w:val="20"/>
          <w:color w:val="auto"/>
        </w:rPr>
      </w:pPr>
    </w:p>
    <w:p>
      <w:pPr>
        <w:ind w:right="480" w:firstLine="405"/>
        <w:spacing w:after="0" w:line="277"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w:t>
      </w:r>
    </w:p>
    <w:p>
      <w:pPr>
        <w:spacing w:after="0" w:line="197" w:lineRule="exact"/>
        <w:rPr>
          <w:sz w:val="20"/>
          <w:szCs w:val="20"/>
          <w:color w:val="auto"/>
        </w:rPr>
      </w:pPr>
    </w:p>
    <w:p>
      <w:pPr>
        <w:ind w:right="80" w:firstLine="405"/>
        <w:spacing w:after="0" w:line="273" w:lineRule="auto"/>
        <w:rPr>
          <w:sz w:val="20"/>
          <w:szCs w:val="20"/>
          <w:color w:val="auto"/>
        </w:rPr>
      </w:pPr>
      <w:r>
        <w:rPr>
          <w:rFonts w:ascii="Arial" w:cs="Arial" w:eastAsia="Arial" w:hAnsi="Arial"/>
          <w:sz w:val="17"/>
          <w:szCs w:val="17"/>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20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PROPOSED MERGER WITH INPHI</w:t>
      </w:r>
    </w:p>
    <w:p>
      <w:pPr>
        <w:spacing w:after="0" w:line="252" w:lineRule="exact"/>
        <w:rPr>
          <w:sz w:val="20"/>
          <w:szCs w:val="20"/>
          <w:color w:val="auto"/>
        </w:rPr>
      </w:pPr>
    </w:p>
    <w:p>
      <w:pPr>
        <w:ind w:right="240"/>
        <w:spacing w:after="0" w:line="311" w:lineRule="auto"/>
        <w:rPr>
          <w:sz w:val="20"/>
          <w:szCs w:val="20"/>
          <w:color w:val="auto"/>
        </w:rPr>
      </w:pPr>
      <w:r>
        <w:rPr>
          <w:rFonts w:ascii="Arial" w:cs="Arial" w:eastAsia="Arial" w:hAnsi="Arial"/>
          <w:sz w:val="16"/>
          <w:szCs w:val="16"/>
          <w:b w:val="1"/>
          <w:bCs w:val="1"/>
          <w:i w:val="1"/>
          <w:iCs w:val="1"/>
          <w:color w:val="auto"/>
        </w:rPr>
        <w:t>Our proposed acquisition of Inphi involves a number of risks, including, among others, the risk that we fail to complete the acquisition in a timely manner or at all, regulatory risks, risks associated with our use of a significant portion of our cash and our taking on significant indebtedness, other financial risks, integration risks, and risks associated with the reactions of customers, suppliers and employees</w:t>
      </w:r>
      <w:r>
        <w:rPr>
          <w:rFonts w:ascii="Arial" w:cs="Arial" w:eastAsia="Arial" w:hAnsi="Arial"/>
          <w:sz w:val="16"/>
          <w:szCs w:val="16"/>
          <w:b w:val="1"/>
          <w:bCs w:val="1"/>
          <w:color w:val="auto"/>
        </w:rPr>
        <w:t>.</w:t>
      </w:r>
    </w:p>
    <w:p>
      <w:pPr>
        <w:spacing w:after="0" w:line="176" w:lineRule="exact"/>
        <w:rPr>
          <w:sz w:val="20"/>
          <w:szCs w:val="20"/>
          <w:color w:val="auto"/>
        </w:rPr>
      </w:pPr>
    </w:p>
    <w:p>
      <w:pPr>
        <w:ind w:right="60" w:firstLine="405"/>
        <w:spacing w:after="0" w:line="271" w:lineRule="auto"/>
        <w:rPr>
          <w:sz w:val="20"/>
          <w:szCs w:val="20"/>
          <w:color w:val="auto"/>
        </w:rPr>
      </w:pPr>
      <w:r>
        <w:rPr>
          <w:rFonts w:ascii="Arial" w:cs="Arial" w:eastAsia="Arial" w:hAnsi="Arial"/>
          <w:sz w:val="17"/>
          <w:szCs w:val="17"/>
          <w:color w:val="auto"/>
        </w:rPr>
        <w:t>On October 29, 2020, Marvell entered into an Agreement and Plan of Merger and Reorganization (the “Merger Agreement”), by and among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 As a result of the transaction, the parent company will be domiciled in the United States upon closing of the transaction.</w:t>
      </w: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5" w:name="page16"/>
    <w:bookmarkEnd w:id="15"/>
    <w:p>
      <w:pPr>
        <w:ind w:right="240" w:firstLine="405"/>
        <w:spacing w:after="0" w:line="279" w:lineRule="auto"/>
        <w:rPr>
          <w:sz w:val="20"/>
          <w:szCs w:val="20"/>
          <w:color w:val="auto"/>
        </w:rPr>
      </w:pPr>
      <w:r>
        <w:rPr>
          <w:rFonts w:ascii="Arial" w:cs="Arial" w:eastAsia="Arial" w:hAnsi="Arial"/>
          <w:sz w:val="17"/>
          <w:szCs w:val="17"/>
          <w:color w:val="auto"/>
        </w:rPr>
        <w:t>Our and Inphi’s obligations to consummate the proposed Mergers are subject to the satisfaction or waiver of certain conditions, including, among others: (i) approval by Marvell’s shareholders of the Merger Agreement and the Bermuda Merger; (ii) adoption by Inphi’s stockholders of the Merger Agreement; and (iii) the receipt of certain regulatory approvals. In addition to these requirements, the Merger is subject to potential delays or disruptions resulting from the COVID-19 pandemic, litigation, and the ability of HoldCo and Marvell to obtain necessary financing.</w:t>
      </w:r>
    </w:p>
    <w:p>
      <w:pPr>
        <w:spacing w:after="0" w:line="198"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The regulatory approvals required in connection with the proposed transaction may not be obtained or may contain materially burdensome conditions. If any conditions or changes to the structure of the proposed Mergers are required to obtain these regulatory approvals, they may have the effect of jeopardizing or delaying completion of the proposed Mergers or reducing the anticipated benefits of the transaction to HoldCo. If we agree to any material conditions in order to obtain any approvals required to complete the proposed Mergers, HoldCo’s business and results of operations may be adversely affected.</w:t>
      </w:r>
    </w:p>
    <w:p>
      <w:pPr>
        <w:spacing w:after="0" w:line="215" w:lineRule="exact"/>
        <w:rPr>
          <w:sz w:val="20"/>
          <w:szCs w:val="20"/>
          <w:color w:val="auto"/>
        </w:rPr>
      </w:pPr>
    </w:p>
    <w:p>
      <w:pPr>
        <w:ind w:right="180" w:firstLine="405"/>
        <w:spacing w:after="0" w:line="342" w:lineRule="auto"/>
        <w:rPr>
          <w:sz w:val="20"/>
          <w:szCs w:val="20"/>
          <w:color w:val="auto"/>
        </w:rPr>
      </w:pPr>
      <w:r>
        <w:rPr>
          <w:rFonts w:ascii="Arial" w:cs="Arial" w:eastAsia="Arial" w:hAnsi="Arial"/>
          <w:sz w:val="16"/>
          <w:szCs w:val="16"/>
          <w:color w:val="auto"/>
        </w:rPr>
        <w:t>In addition, the incurrence of substantial indebtedness in connection with the financing of the proposed Mergers will reduce HoldCo’s liquidity, and may limit HoldCo’s flexibility in responding to other business opportunities and increase our vulnerability to adverse economic and industry conditions.</w:t>
      </w:r>
    </w:p>
    <w:p>
      <w:pPr>
        <w:spacing w:after="0" w:line="151"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If the proposed Mergers are not completed by June 30, 2021 (or March 1, 2022, if extended by either party in accordance with the terms of the Merger Agreement) under certain circumstances, including in the event receipt of certain required regulatory approvals has not been obtained, either Marvell or Inphi may choose to terminate the Merger Agreement. Marvell or Inphi may also elect to terminate the Merger Agreement in certain other circumstances, or they may mutually decide to terminate the Merger Agreement at any time prior to the effective time of the Delaware Merger, before or after obtaining shareholder approval, as applicable.</w:t>
      </w:r>
    </w:p>
    <w:p>
      <w:pPr>
        <w:spacing w:after="0" w:line="215"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If the proposed Mergers are not completed, our stock price could fall to the extent that our current price reflects an assumption that we will complete it. Furthermore, if the proposed Mergers are not completed and the Merger Agreement is terminated, we would not realize any of the expected benefits of the proposed Mergers, and we may suffer other consequences that could adversely affect our business, results of operations and stock price, including, among others:</w:t>
      </w:r>
    </w:p>
    <w:p>
      <w:pPr>
        <w:spacing w:after="0" w:line="254" w:lineRule="exact"/>
        <w:rPr>
          <w:sz w:val="20"/>
          <w:szCs w:val="20"/>
          <w:color w:val="auto"/>
        </w:rPr>
      </w:pPr>
    </w:p>
    <w:p>
      <w:pPr>
        <w:ind w:left="440" w:hanging="108"/>
        <w:spacing w:after="0"/>
        <w:tabs>
          <w:tab w:leader="none" w:pos="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could be required to pay a termination fee of up to $460 million;</w:t>
      </w:r>
    </w:p>
    <w:p>
      <w:pPr>
        <w:spacing w:after="0" w:line="49" w:lineRule="exact"/>
        <w:rPr>
          <w:rFonts w:ascii="Arial" w:cs="Arial" w:eastAsia="Arial" w:hAnsi="Arial"/>
          <w:sz w:val="18"/>
          <w:szCs w:val="18"/>
          <w:color w:val="auto"/>
        </w:rPr>
      </w:pPr>
    </w:p>
    <w:p>
      <w:pPr>
        <w:ind w:left="660" w:right="680" w:hanging="328"/>
        <w:spacing w:after="0" w:line="273" w:lineRule="auto"/>
        <w:tabs>
          <w:tab w:leader="none" w:pos="453"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will have incurred and may continue to incur costs relating to the proposed Mergers, many of which are payable by us whether or not the proposed Mergers are completed;</w:t>
      </w:r>
    </w:p>
    <w:p>
      <w:pPr>
        <w:spacing w:after="0" w:line="1" w:lineRule="exact"/>
        <w:rPr>
          <w:rFonts w:ascii="Arial" w:cs="Arial" w:eastAsia="Arial" w:hAnsi="Arial"/>
          <w:sz w:val="18"/>
          <w:szCs w:val="18"/>
          <w:color w:val="auto"/>
        </w:rPr>
      </w:pPr>
    </w:p>
    <w:p>
      <w:pPr>
        <w:ind w:left="660" w:right="140" w:hanging="328"/>
        <w:spacing w:after="0" w:line="290" w:lineRule="auto"/>
        <w:tabs>
          <w:tab w:leader="none" w:pos="453" w:val="left"/>
        </w:tabs>
        <w:numPr>
          <w:ilvl w:val="0"/>
          <w:numId w:val="10"/>
        </w:numPr>
        <w:rPr>
          <w:rFonts w:ascii="Arial" w:cs="Arial" w:eastAsia="Arial" w:hAnsi="Arial"/>
          <w:sz w:val="17"/>
          <w:szCs w:val="17"/>
          <w:color w:val="auto"/>
        </w:rPr>
      </w:pPr>
      <w:r>
        <w:rPr>
          <w:rFonts w:ascii="Arial" w:cs="Arial" w:eastAsia="Arial" w:hAnsi="Arial"/>
          <w:sz w:val="17"/>
          <w:szCs w:val="17"/>
          <w:color w:val="auto"/>
        </w:rPr>
        <w:t>matters related to the proposed Mergers (including integration planning) require substantial commitments of time and resources by our management team and numerous others throughout our organization, which could otherwise have been devoted to other opportunities;</w:t>
      </w:r>
    </w:p>
    <w:p>
      <w:pPr>
        <w:ind w:left="440" w:hanging="108"/>
        <w:spacing w:after="0"/>
        <w:tabs>
          <w:tab w:leader="none" w:pos="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may be subject to legal proceedings related to the proposed Mergers or the failure to complete the proposed Mergers;</w:t>
      </w:r>
    </w:p>
    <w:p>
      <w:pPr>
        <w:spacing w:after="0" w:line="49" w:lineRule="exact"/>
        <w:rPr>
          <w:rFonts w:ascii="Arial" w:cs="Arial" w:eastAsia="Arial" w:hAnsi="Arial"/>
          <w:sz w:val="18"/>
          <w:szCs w:val="18"/>
          <w:color w:val="auto"/>
        </w:rPr>
      </w:pPr>
    </w:p>
    <w:p>
      <w:pPr>
        <w:ind w:left="440" w:hanging="108"/>
        <w:spacing w:after="0"/>
        <w:tabs>
          <w:tab w:leader="none" w:pos="4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failure to complete the proposed Mergers may result in negative publicity and a negative perception of us in the investment community; and</w:t>
      </w:r>
    </w:p>
    <w:p>
      <w:pPr>
        <w:spacing w:after="0" w:line="61" w:lineRule="exact"/>
        <w:rPr>
          <w:rFonts w:ascii="Arial" w:cs="Arial" w:eastAsia="Arial" w:hAnsi="Arial"/>
          <w:sz w:val="17"/>
          <w:szCs w:val="17"/>
          <w:color w:val="auto"/>
        </w:rPr>
      </w:pPr>
    </w:p>
    <w:p>
      <w:pPr>
        <w:ind w:left="660" w:right="520" w:hanging="328"/>
        <w:spacing w:after="0" w:line="263" w:lineRule="auto"/>
        <w:tabs>
          <w:tab w:leader="none" w:pos="453"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any disruptions to our business resulting from the announcement and pendency of the proposed Mergers, including any adverse changes in our relationships with our customers, suppliers, partners or employees, may continue to intensify in the event the proposed Mergers are not consummated.</w:t>
      </w:r>
    </w:p>
    <w:p>
      <w:pPr>
        <w:spacing w:after="0" w:line="211"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The benefits we expect HoldCo to realize from the proposed Mergers will depend, in part, on HoldCo’s ability to integrate the businesses successfully and efficiently.</w:t>
      </w:r>
    </w:p>
    <w:p>
      <w:pPr>
        <w:spacing w:after="0" w:line="197" w:lineRule="exact"/>
        <w:rPr>
          <w:sz w:val="20"/>
          <w:szCs w:val="20"/>
          <w:color w:val="auto"/>
        </w:rPr>
      </w:pPr>
    </w:p>
    <w:p>
      <w:pPr>
        <w:ind w:right="220" w:firstLine="405"/>
        <w:spacing w:after="0" w:line="255" w:lineRule="auto"/>
        <w:rPr>
          <w:sz w:val="20"/>
          <w:szCs w:val="20"/>
          <w:color w:val="auto"/>
        </w:rPr>
      </w:pPr>
      <w:r>
        <w:rPr>
          <w:rFonts w:ascii="Arial" w:cs="Arial" w:eastAsia="Arial" w:hAnsi="Arial"/>
          <w:sz w:val="18"/>
          <w:szCs w:val="18"/>
          <w:color w:val="auto"/>
        </w:rPr>
        <w:t>Furthermore, uncertainties about the proposed Mergers may cause our and/or Inphi’s current and prospective employees to experience uncertainty about their futures. These uncertainties may impair our and/or Inphi’s ability to retain, recruit or motivate key management, engineering, technical and other personnel. Similarly, our and/or Inphi’s existing or prospective customers, licensees, suppliers and/or partners may delay, defer or cease purchasing products or services from or providing products or services to us or Inphi; delay or defer other decisions concerning us or Inphi; or otherwise seek to change the terms on which they do business with us or Inphi. Any of the above could harm us and/or Inphi, and thus decrease the benefits we expect HoldCo to receive from the proposed Mergers.</w:t>
      </w:r>
    </w:p>
    <w:p>
      <w:pPr>
        <w:spacing w:after="0" w:line="200" w:lineRule="exact"/>
        <w:rPr>
          <w:sz w:val="20"/>
          <w:szCs w:val="20"/>
          <w:color w:val="auto"/>
        </w:r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6" w:name="page17"/>
    <w:bookmarkEnd w:id="16"/>
    <w:p>
      <w:pPr>
        <w:ind w:right="100" w:firstLine="405"/>
        <w:spacing w:after="0" w:line="255" w:lineRule="auto"/>
        <w:rPr>
          <w:sz w:val="20"/>
          <w:szCs w:val="20"/>
          <w:color w:val="auto"/>
        </w:rPr>
      </w:pPr>
      <w:r>
        <w:rPr>
          <w:rFonts w:ascii="Arial" w:cs="Arial" w:eastAsia="Arial" w:hAnsi="Arial"/>
          <w:sz w:val="18"/>
          <w:szCs w:val="18"/>
          <w:color w:val="auto"/>
        </w:rPr>
        <w:t>The proposed Mergers may also result in significant charges or other liabilities, including taxes, that could adversely affect HoldCo’s results of operations, such as cash expenses and non-cash accounting charges incurred in connection with the acquisition and/or integration of the business and operations of Marvell and Inphi. The amount and timing of these possible charges are not yet known. Further, HoldCo’s failure to identify or accurately assess the magnitude of certain liabilities HoldCo is assuming in the proposed transaction could result in unexpected litigation or regulatory exposure, unfavorable accounting charges, unexpected increases in taxes due, a loss of anticipated tax benefits or other adverse effects on HoldCo’s business, results of operations, financial condition or cash flows.</w:t>
      </w:r>
    </w:p>
    <w:p>
      <w:pPr>
        <w:spacing w:after="0" w:line="219" w:lineRule="exact"/>
        <w:rPr>
          <w:sz w:val="20"/>
          <w:szCs w:val="20"/>
          <w:color w:val="auto"/>
        </w:rPr>
      </w:pPr>
    </w:p>
    <w:p>
      <w:pPr>
        <w:ind w:right="180"/>
        <w:spacing w:after="0" w:line="263" w:lineRule="auto"/>
        <w:rPr>
          <w:sz w:val="20"/>
          <w:szCs w:val="20"/>
          <w:color w:val="auto"/>
        </w:rPr>
      </w:pPr>
      <w:r>
        <w:rPr>
          <w:rFonts w:ascii="Arial" w:cs="Arial" w:eastAsia="Arial" w:hAnsi="Arial"/>
          <w:sz w:val="18"/>
          <w:szCs w:val="18"/>
          <w:b w:val="1"/>
          <w:bCs w:val="1"/>
          <w:i w:val="1"/>
          <w:iCs w:val="1"/>
          <w:color w:val="231F20"/>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r>
        <w:rPr>
          <w:rFonts w:ascii="Arial" w:cs="Arial" w:eastAsia="Arial" w:hAnsi="Arial"/>
          <w:sz w:val="18"/>
          <w:szCs w:val="18"/>
          <w:b w:val="1"/>
          <w:bCs w:val="1"/>
          <w:color w:val="000000"/>
        </w:rPr>
        <w:t>.</w:t>
      </w:r>
    </w:p>
    <w:p>
      <w:pPr>
        <w:spacing w:after="0" w:line="211" w:lineRule="exact"/>
        <w:rPr>
          <w:sz w:val="20"/>
          <w:szCs w:val="20"/>
          <w:color w:val="auto"/>
        </w:rPr>
      </w:pPr>
    </w:p>
    <w:p>
      <w:pPr>
        <w:ind w:right="160" w:firstLine="405"/>
        <w:spacing w:after="0" w:line="257" w:lineRule="auto"/>
        <w:rPr>
          <w:sz w:val="20"/>
          <w:szCs w:val="20"/>
          <w:color w:val="auto"/>
        </w:rPr>
      </w:pPr>
      <w:r>
        <w:rPr>
          <w:rFonts w:ascii="Arial" w:cs="Arial" w:eastAsia="Arial" w:hAnsi="Arial"/>
          <w:sz w:val="18"/>
          <w:szCs w:val="18"/>
          <w:color w:val="231F20"/>
        </w:rPr>
        <w:t xml:space="preserve">Until the </w:t>
      </w:r>
      <w:r>
        <w:rPr>
          <w:rFonts w:ascii="Arial" w:cs="Arial" w:eastAsia="Arial" w:hAnsi="Arial"/>
          <w:sz w:val="18"/>
          <w:szCs w:val="18"/>
          <w:color w:val="000000"/>
        </w:rPr>
        <w:t>proposed Mergers are completed or the Merger Agreement is terminated, the Merger Agreement restricts Marvell and Inphi from taking</w:t>
      </w:r>
      <w:r>
        <w:rPr>
          <w:rFonts w:ascii="Arial" w:cs="Arial" w:eastAsia="Arial" w:hAnsi="Arial"/>
          <w:sz w:val="18"/>
          <w:szCs w:val="18"/>
          <w:color w:val="231F20"/>
        </w:rPr>
        <w:t xml:space="preserve"> </w:t>
      </w:r>
      <w:r>
        <w:rPr>
          <w:rFonts w:ascii="Arial" w:cs="Arial" w:eastAsia="Arial" w:hAnsi="Arial"/>
          <w:sz w:val="18"/>
          <w:szCs w:val="18"/>
          <w:color w:val="000000"/>
        </w:rPr>
        <w:t>specified actions without the consent of the other party, and requires Marvell and Inphi to conduct their respective business and operations in the ordinary course in all material respects and substantially in accordance with pa</w:t>
      </w:r>
      <w:r>
        <w:rPr>
          <w:rFonts w:ascii="Arial" w:cs="Arial" w:eastAsia="Arial" w:hAnsi="Arial"/>
          <w:sz w:val="18"/>
          <w:szCs w:val="18"/>
          <w:color w:val="231F20"/>
        </w:rPr>
        <w:t>st practices. These restrictions may prevent Marvell and Inphi from making</w:t>
      </w:r>
      <w:r>
        <w:rPr>
          <w:rFonts w:ascii="Arial" w:cs="Arial" w:eastAsia="Arial" w:hAnsi="Arial"/>
          <w:sz w:val="18"/>
          <w:szCs w:val="18"/>
          <w:color w:val="000000"/>
        </w:rPr>
        <w:t xml:space="preserve"> </w:t>
      </w:r>
      <w:r>
        <w:rPr>
          <w:rFonts w:ascii="Arial" w:cs="Arial" w:eastAsia="Arial" w:hAnsi="Arial"/>
          <w:sz w:val="18"/>
          <w:szCs w:val="18"/>
          <w:color w:val="231F20"/>
        </w:rPr>
        <w:t xml:space="preserve">appropriate changes to their respective businesses or pursuing attractive business opportunities that may arise prior to the completion of the </w:t>
      </w:r>
      <w:r>
        <w:rPr>
          <w:rFonts w:ascii="Arial" w:cs="Arial" w:eastAsia="Arial" w:hAnsi="Arial"/>
          <w:sz w:val="18"/>
          <w:szCs w:val="18"/>
          <w:color w:val="000000"/>
        </w:rPr>
        <w:t>proposed</w:t>
      </w:r>
      <w:r>
        <w:rPr>
          <w:rFonts w:ascii="Arial" w:cs="Arial" w:eastAsia="Arial" w:hAnsi="Arial"/>
          <w:sz w:val="18"/>
          <w:szCs w:val="18"/>
          <w:color w:val="231F20"/>
        </w:rPr>
        <w:t xml:space="preserve"> Mergers</w:t>
      </w:r>
      <w:r>
        <w:rPr>
          <w:rFonts w:ascii="Arial" w:cs="Arial" w:eastAsia="Arial" w:hAnsi="Arial"/>
          <w:sz w:val="18"/>
          <w:szCs w:val="18"/>
          <w:color w:val="000000"/>
        </w:rPr>
        <w:t>.</w:t>
      </w:r>
    </w:p>
    <w:p>
      <w:pPr>
        <w:spacing w:after="0" w:line="215"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231F20"/>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197"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231F20"/>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is required to pay a termination fee of $300 million if the Merger Agreement is terminated and, under certain specified circumstances, Marvell is required to pay a termination fee of $400 (or in some cases $460) million if the Merger Agreement is terminated.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231F20"/>
        </w:rPr>
        <w:t>Any delay in completing the Mergers may significantly reduce the benefits expected to be obtained from the Mergers.</w:t>
      </w:r>
    </w:p>
    <w:p>
      <w:pPr>
        <w:spacing w:after="0" w:line="252" w:lineRule="exact"/>
        <w:rPr>
          <w:sz w:val="20"/>
          <w:szCs w:val="20"/>
          <w:color w:val="auto"/>
        </w:rPr>
      </w:pPr>
    </w:p>
    <w:p>
      <w:pPr>
        <w:ind w:right="60" w:firstLine="405"/>
        <w:spacing w:after="0" w:line="273" w:lineRule="auto"/>
        <w:rPr>
          <w:sz w:val="20"/>
          <w:szCs w:val="20"/>
          <w:color w:val="auto"/>
        </w:rPr>
      </w:pPr>
      <w:r>
        <w:rPr>
          <w:rFonts w:ascii="Arial" w:cs="Arial" w:eastAsia="Arial" w:hAnsi="Arial"/>
          <w:sz w:val="17"/>
          <w:szCs w:val="17"/>
          <w:color w:val="231F20"/>
        </w:rPr>
        <w:t>In addition to the required regulatory clearances and approvals, the Mergers are subject to a number of other conditions that are beyond the control of Marvell and Inphi. The failure to satisfy these and other conditions may prevent, delay or otherwise materially and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05"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231F20"/>
        </w:rPr>
        <w:t>There can be no assurance that Marvell will be able to secure the funds necessary to pay the cash portion of the Merger consideration and refinance certain existing indebtedness on acceptable terms, in a timely manner or at all.</w:t>
      </w:r>
    </w:p>
    <w:p>
      <w:pPr>
        <w:spacing w:after="0" w:line="197"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HoldCo intends to fund the cash portion of the Merger consideration to be paid to holders of Inphi common stock with new debt. To this end, Marvell and HoldCo have entered into a bridge commitment letter containing commitments for a $2.5 billion senior 364-day bridge loan and a term loan credit agreement containing commitments for $1.75 billion senior unsecured term loan facilities (consisting of a $875 million 3-year term loan facility and a $875 million 5-year term loan facility). There can be no assurance that Marvell or HoldCo will be able to obtain the debt financing pursuant to the bridge commitment letter or the term loan credit agreement, as applicable.</w:t>
      </w:r>
    </w:p>
    <w:p>
      <w:pPr>
        <w:spacing w:after="0" w:line="215" w:lineRule="exact"/>
        <w:rPr>
          <w:sz w:val="20"/>
          <w:szCs w:val="20"/>
          <w:color w:val="auto"/>
        </w:rPr>
      </w:pPr>
    </w:p>
    <w:p>
      <w:pPr>
        <w:ind w:right="240" w:firstLine="405"/>
        <w:spacing w:after="0" w:line="263" w:lineRule="auto"/>
        <w:rPr>
          <w:sz w:val="20"/>
          <w:szCs w:val="20"/>
          <w:color w:val="auto"/>
        </w:rPr>
      </w:pPr>
      <w:r>
        <w:rPr>
          <w:rFonts w:ascii="Arial" w:cs="Arial" w:eastAsia="Arial" w:hAnsi="Arial"/>
          <w:sz w:val="18"/>
          <w:szCs w:val="18"/>
          <w:color w:val="auto"/>
        </w:rPr>
        <w:t>In the event that the debt financing contemplated by the bridge commitment letter or the term loan credit agreement, as applicable, is not available, other financing may not be available on acceptable terms, in a timely manner or at all. If Marvell or HoldCo is unable to obtain debt financing, the proposed Mergers may be delayed or not be completed.</w:t>
      </w: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6" w:right="359" w:bottom="1440" w:gutter="0" w:footer="0" w:header="0"/>
        </w:sectPr>
      </w:pPr>
    </w:p>
    <w:bookmarkStart w:id="17" w:name="page18"/>
    <w:bookmarkEnd w:id="17"/>
    <w:p>
      <w:pPr>
        <w:ind w:right="20"/>
        <w:spacing w:after="0" w:line="277" w:lineRule="auto"/>
        <w:rPr>
          <w:sz w:val="20"/>
          <w:szCs w:val="20"/>
          <w:color w:val="auto"/>
        </w:rPr>
      </w:pPr>
      <w:r>
        <w:rPr>
          <w:rFonts w:ascii="Arial" w:cs="Arial" w:eastAsia="Arial" w:hAnsi="Arial"/>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197" w:lineRule="exact"/>
        <w:rPr>
          <w:sz w:val="20"/>
          <w:szCs w:val="20"/>
          <w:color w:val="auto"/>
        </w:rPr>
      </w:pPr>
    </w:p>
    <w:p>
      <w:pPr>
        <w:ind w:right="100" w:firstLine="405"/>
        <w:spacing w:after="0" w:line="283" w:lineRule="auto"/>
        <w:rPr>
          <w:sz w:val="20"/>
          <w:szCs w:val="20"/>
          <w:color w:val="auto"/>
        </w:rPr>
      </w:pPr>
      <w:r>
        <w:rPr>
          <w:rFonts w:ascii="Arial" w:cs="Arial" w:eastAsia="Arial" w:hAnsi="Arial"/>
          <w:sz w:val="16"/>
          <w:szCs w:val="16"/>
          <w:color w:val="auto"/>
        </w:rPr>
        <w:t>Marvell, Inphi, and the boards of directors of both companies currently are and may in the future be parties, among others, to various litigations related to the Merger Agreement and the Merger,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its board of directors, and certain Marvell entities involved in the Merger: MacIntosh v. Inphi Corp., et al. (filed December 30, 2020, Southern District of New York) and Poe v. Inphi Corp., et al. (filed January 16, 2021, District of Delaware). Three lawsuits have been filed against only Marvell and its board of directors in federal court: Raul v. Marvell Tech. Group Ltd., et al. (filed January 8, 2021, Southern District of New York); Cardone v. Marvell Tech. Group Ltd., et al. (filed January 11, 2021, Eastern District of New York); and Schumacher v. Marvell Tech. Group, Ltd., et al. (filed January 16, 2021, District of Delaware). All ten lawsuits assert claims for violation of Section 14(a) of and Rule</w:t>
      </w:r>
    </w:p>
    <w:p>
      <w:pPr>
        <w:spacing w:after="0" w:line="5" w:lineRule="exact"/>
        <w:rPr>
          <w:sz w:val="20"/>
          <w:szCs w:val="20"/>
          <w:color w:val="auto"/>
        </w:rPr>
      </w:pPr>
    </w:p>
    <w:p>
      <w:pPr>
        <w:ind w:right="60"/>
        <w:spacing w:after="0" w:line="295" w:lineRule="auto"/>
        <w:rPr>
          <w:sz w:val="20"/>
          <w:szCs w:val="20"/>
          <w:color w:val="auto"/>
        </w:rPr>
      </w:pPr>
      <w:r>
        <w:rPr>
          <w:rFonts w:ascii="Arial" w:cs="Arial" w:eastAsia="Arial" w:hAnsi="Arial"/>
          <w:sz w:val="16"/>
          <w:szCs w:val="16"/>
          <w:color w:val="auto"/>
        </w:rPr>
        <w:t>14a-9 promulgated under the Exchange Act based on allegations that the registration statement on Form S-4 filed by Marvell with the SEC on December 22, 2020 omits material information. The complaints also assert control person claims under Section 20(a) of the Exchange Act against the Marvell and Inphi boards of directors. One of the complaints that names only Inphi and its board of directors asserts an additional claim for breach of fiduciary duty. As set forth in the Merger Agreement, no settlement of litigation related to the Merger may be agreed to by Inphi without the prior written consent of Marvell.</w:t>
      </w:r>
    </w:p>
    <w:p>
      <w:pPr>
        <w:spacing w:after="0" w:line="188" w:lineRule="exact"/>
        <w:rPr>
          <w:sz w:val="20"/>
          <w:szCs w:val="20"/>
          <w:color w:val="auto"/>
        </w:rPr>
      </w:pPr>
    </w:p>
    <w:p>
      <w:pPr>
        <w:jc w:val="both"/>
        <w:ind w:firstLine="405"/>
        <w:spacing w:after="0" w:line="257" w:lineRule="auto"/>
        <w:rPr>
          <w:sz w:val="20"/>
          <w:szCs w:val="20"/>
          <w:color w:val="auto"/>
        </w:rPr>
      </w:pPr>
      <w:r>
        <w:rPr>
          <w:rFonts w:ascii="Arial" w:cs="Arial" w:eastAsia="Arial" w:hAnsi="Arial"/>
          <w:sz w:val="18"/>
          <w:szCs w:val="18"/>
          <w:color w:val="auto"/>
        </w:rPr>
        <w:t>Among other remedies, the plaintiffs in such matters are seeking to enjoin the Merger. The results of complex legal proceedings are difficult to predict, and could delay or prevent the Merger from becoming effective in a timely manner. Moreover, the pending litigation and any future additional litigation could be time consuming and expensive, could divert Marvell’s and Inphi’s management’s attention away from their regular businesses, and, if any one of these lawsuits is adversely resolved against either Marvell or Inphi, could have a material adverse effect on Marvell’s or Inphi’s respective financial condition or the condition of the combined company.</w:t>
      </w:r>
    </w:p>
    <w:p>
      <w:pPr>
        <w:spacing w:after="0" w:line="215" w:lineRule="exact"/>
        <w:rPr>
          <w:sz w:val="20"/>
          <w:szCs w:val="20"/>
          <w:color w:val="auto"/>
        </w:rPr>
      </w:pPr>
    </w:p>
    <w:p>
      <w:pPr>
        <w:jc w:val="both"/>
        <w:ind w:firstLine="405"/>
        <w:spacing w:after="0" w:line="259" w:lineRule="auto"/>
        <w:rPr>
          <w:sz w:val="20"/>
          <w:szCs w:val="20"/>
          <w:color w:val="auto"/>
        </w:rPr>
      </w:pPr>
      <w:r>
        <w:rPr>
          <w:rFonts w:ascii="Arial" w:cs="Arial" w:eastAsia="Arial" w:hAnsi="Arial"/>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 on the terms contemplated by the Merger Agreement, or there is a pending or overtly threatened legal proceeding brought by a governmental party as described above, then the Merger may not become effective in a timely manner or at all.</w:t>
      </w:r>
    </w:p>
    <w:p>
      <w:pPr>
        <w:spacing w:after="0" w:line="21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 xml:space="preserve">Failure to successfully integrate the businesses of </w:t>
      </w:r>
      <w:r>
        <w:rPr>
          <w:rFonts w:ascii="Arial" w:cs="Arial" w:eastAsia="Arial" w:hAnsi="Arial"/>
          <w:sz w:val="16"/>
          <w:szCs w:val="16"/>
          <w:b w:val="1"/>
          <w:bCs w:val="1"/>
          <w:i w:val="1"/>
          <w:iCs w:val="1"/>
          <w:color w:val="231F20"/>
        </w:rPr>
        <w:t>Marvell</w:t>
      </w:r>
      <w:r>
        <w:rPr>
          <w:rFonts w:ascii="Arial" w:cs="Arial" w:eastAsia="Arial" w:hAnsi="Arial"/>
          <w:sz w:val="16"/>
          <w:szCs w:val="16"/>
          <w:b w:val="1"/>
          <w:bCs w:val="1"/>
          <w:i w:val="1"/>
          <w:iCs w:val="1"/>
          <w:color w:val="auto"/>
        </w:rPr>
        <w:t xml:space="preserve"> and Inphi in the expected time frame may adversely affect HoldCo’s future results.</w:t>
      </w:r>
    </w:p>
    <w:p>
      <w:pPr>
        <w:spacing w:after="0" w:line="275" w:lineRule="exact"/>
        <w:rPr>
          <w:sz w:val="20"/>
          <w:szCs w:val="20"/>
          <w:color w:val="auto"/>
        </w:rPr>
      </w:pPr>
    </w:p>
    <w:p>
      <w:pPr>
        <w:ind w:right="80" w:firstLine="441"/>
        <w:spacing w:after="0" w:line="272" w:lineRule="auto"/>
        <w:rPr>
          <w:sz w:val="20"/>
          <w:szCs w:val="20"/>
          <w:color w:val="auto"/>
        </w:rPr>
      </w:pPr>
      <w:r>
        <w:rPr>
          <w:rFonts w:ascii="Arial" w:cs="Arial" w:eastAsia="Arial" w:hAnsi="Arial"/>
          <w:sz w:val="17"/>
          <w:szCs w:val="17"/>
          <w:color w:val="auto"/>
        </w:rPr>
        <w:t>Marvell and Inphi entered into the Merger Agreement with the expectation that the Mergers will result in various benefits, including certain cost savings and operational efficiencies or synergies. To realize these anticipated benefits, the businesses of Marvell and Inphi must be successfully integrated. Historically, Marvell and Inphi have been independent companies, and they will continue to be operated as such until the completion of the Mergers. The integration may be complex and time consuming and may require substantial resources and effort. The management of HoldCo may face significant challenges in consolidating the operations of Marvell and Inphi, integrating the technologies, procedures, and policies, as well as addressing the different corporate cultures of the two companies and retaining key personnel. If the companies are not successfully integrated, the anticipated benefits of the mergers may not be realized fully or at all or may take longer to realize than expected.</w:t>
      </w: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i w:val="1"/>
          <w:iCs w:val="1"/>
          <w:color w:val="auto"/>
        </w:rPr>
        <w:t>The Change in Jurisdiction Resulting from the Mergers may impact the Rights of our Shareholders</w:t>
      </w:r>
    </w:p>
    <w:p>
      <w:pPr>
        <w:spacing w:after="0" w:line="252" w:lineRule="exact"/>
        <w:rPr>
          <w:sz w:val="20"/>
          <w:szCs w:val="20"/>
          <w:color w:val="auto"/>
        </w:rPr>
      </w:pPr>
    </w:p>
    <w:p>
      <w:pPr>
        <w:ind w:right="60" w:firstLine="324"/>
        <w:spacing w:after="0" w:line="284" w:lineRule="auto"/>
        <w:rPr>
          <w:sz w:val="20"/>
          <w:szCs w:val="20"/>
          <w:color w:val="auto"/>
        </w:rPr>
      </w:pPr>
      <w:r>
        <w:rPr>
          <w:rFonts w:ascii="Arial" w:cs="Arial" w:eastAsia="Arial" w:hAnsi="Arial"/>
          <w:sz w:val="16"/>
          <w:szCs w:val="16"/>
          <w:color w:val="auto"/>
        </w:rPr>
        <w:t>Currently, the rights of Marvell shareholders arise under Bermuda law, the Marvell Memorandum of Association and the Marvell Bye-Laws. Upon completion of the Mergers, Marvell will become a wholly owned subsidiary of HoldCo, a Delaware corporation, and former Marvell shareholders will become HoldCo shareholders. The rights of former Marvell shareholders who become HoldCo shareholders will be governed by the HoldCo Charter and the HoldCo Bylaws, as well as U.S. federal law and Delaware law. As a result, some of the rights of HoldCo shareholders could differ from the rights Marvell shareholders currently possess. For example, the HoldCo Charter provides that the Court of Chancery of the State of Delaware will be the sole and exclusive forum for any complaint asserting any internal corporate claims, including claims in the right of HoldCo that are based upon a violation of a duty by a current or former director, officer, employee or stockholder in such capacity, or as to which Delaware law confers jurisdiction upon the Court of Chancery. The federal district courts of the United States, to the fullest extent permitted by law, will be the exclusive forum for any complaint asserting a cause of action under the Securities Act.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 The provision may limit a stockholder’s ability to bring a claim in a judicial forum that it finds favorable for disputes with HoldCo or its directors, officers, employees or stockholders, which may discourage such lawsuits against HoldCo and its directors, officers, employees or stockholders. Alternatively, if a court were to find the choice of forum provision contained in the HoldCo Charter to be inapplicable or unenforceable in an action, HoldCo may incur additional costs associated with resolving such action in other jurisdictions, which could materially and adversely affect its business, financial condition and results of operations. In addition, while class actions are generally not available to shareholders under Bermuda law, such actions are generally available under Delaware law. Thus, HoldCo may be subject to more shareholder litigation than Marvell and costly litigation could have a material adverse effect on the financial condition of HoldCo.</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52"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97" w:lineRule="exact"/>
        <w:rPr>
          <w:sz w:val="20"/>
          <w:szCs w:val="20"/>
          <w:color w:val="auto"/>
        </w:rPr>
      </w:pPr>
    </w:p>
    <w:p>
      <w:pPr>
        <w:jc w:val="both"/>
        <w:ind w:right="140" w:firstLine="405"/>
        <w:spacing w:after="0" w:line="286"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9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52" w:lineRule="exact"/>
        <w:rPr>
          <w:sz w:val="20"/>
          <w:szCs w:val="20"/>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On September 19, 2019, we completed the acquisition of Aquantia Corp. (“Aquantia”);</w:t>
      </w:r>
    </w:p>
    <w:p>
      <w:pPr>
        <w:spacing w:after="0" w:line="23" w:lineRule="exact"/>
        <w:rPr>
          <w:rFonts w:ascii="Arial" w:cs="Arial" w:eastAsia="Arial" w:hAnsi="Arial"/>
          <w:sz w:val="18"/>
          <w:szCs w:val="18"/>
          <w:color w:val="auto"/>
        </w:rPr>
      </w:pPr>
    </w:p>
    <w:p>
      <w:pPr>
        <w:ind w:left="660" w:right="420" w:hanging="328"/>
        <w:spacing w:after="0" w:line="250"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w:t>
      </w: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On December 6, 2019, we sold NXP USA, Inc. certain assets related to our Wi-Fi Connectivity business;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On October 29, 2020, we entered into the Merger Agreement with Inphi.</w:t>
      </w:r>
    </w:p>
    <w:p>
      <w:pPr>
        <w:spacing w:after="0" w:line="238" w:lineRule="exact"/>
        <w:rPr>
          <w:sz w:val="20"/>
          <w:szCs w:val="20"/>
          <w:color w:val="auto"/>
        </w:rPr>
      </w:pPr>
    </w:p>
    <w:p>
      <w:pPr>
        <w:jc w:val="both"/>
        <w:ind w:firstLine="405"/>
        <w:spacing w:after="0" w:line="279" w:lineRule="auto"/>
        <w:rPr>
          <w:sz w:val="20"/>
          <w:szCs w:val="20"/>
          <w:color w:val="auto"/>
        </w:rPr>
      </w:pPr>
      <w:r>
        <w:rPr>
          <w:rFonts w:ascii="Arial" w:cs="Arial" w:eastAsia="Arial" w:hAnsi="Arial"/>
          <w:sz w:val="17"/>
          <w:szCs w:val="17"/>
          <w:color w:val="auto"/>
        </w:rPr>
        <w:t>Mergers, acquisitions and divestitures include a number of risks and present financial, managerial and operational challenges. 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98"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9" w:name="page20"/>
    <w:bookmarkEnd w:id="19"/>
    <w:p>
      <w:pPr>
        <w:jc w:val="both"/>
        <w:ind w:right="220" w:firstLine="405"/>
        <w:spacing w:after="0" w:line="263"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11"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197"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 and integration risks.</w:t>
      </w:r>
    </w:p>
    <w:p>
      <w:pPr>
        <w:spacing w:after="0" w:line="197" w:lineRule="exact"/>
        <w:rPr>
          <w:sz w:val="20"/>
          <w:szCs w:val="20"/>
          <w:color w:val="auto"/>
        </w:rPr>
      </w:pPr>
    </w:p>
    <w:p>
      <w:pPr>
        <w:ind w:right="120" w:firstLine="405"/>
        <w:spacing w:after="0" w:line="287" w:lineRule="auto"/>
        <w:rPr>
          <w:sz w:val="20"/>
          <w:szCs w:val="20"/>
          <w:color w:val="auto"/>
        </w:rPr>
      </w:pPr>
      <w:r>
        <w:rPr>
          <w:rFonts w:ascii="Arial" w:cs="Arial" w:eastAsia="Arial" w:hAnsi="Arial"/>
          <w:sz w:val="16"/>
          <w:szCs w:val="16"/>
          <w:color w:val="auto"/>
        </w:rPr>
        <w:t>We used a significant portion of our cash and incurred substantial indebtedness in connection with the financing of our acquisition of Cavium, which was completed in fiscal year 2019. In fiscal year 2020, we used cash and indebtedness to finance our acquisition of Aquantia and indebtedness to finance our acquisition of Avera. As of December 11, 2019, we repaid the entire amount of the indebtedness related to the Aquantia and Avera acquisitions. In addition, Marvell and HoldCo intend to fund the cash portion of the Merger consideration and other fees and expenses required to be paid in connection with the Mergers with new debt. Our use of cash to fund our current and future acquisitions has reduced our liquidity and may (i) limit our flexibility in responding to other business opportunities and (ii) increase our vulnerability to adverse economic and industry conditions. Furthermore, the Merger financing agreements contain negative covenants, limitations on indebtedness, liens, sale and leaseback transactions and mergers and other fundamental changes. Marvell’s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48" w:lineRule="exact"/>
        <w:rPr>
          <w:sz w:val="20"/>
          <w:szCs w:val="20"/>
          <w:color w:val="auto"/>
        </w:rPr>
      </w:pPr>
    </w:p>
    <w:p>
      <w:pPr>
        <w:ind w:right="26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Regulatory activity, such as enforcement of U.S. export control and sanctions laws, and the imposition of tariffs and export regulations,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An increasing number of Marvell products require licenses for export to Huawei and other companies on the Entity List; there can be no assurances that such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has adopted a new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which use our solutions, such as hard disk drives, may also be impacted by export restrictions. Customers in China may also choose to develop indigenous solutions, as replacements for products that are subject to U.S. export controls. Several important new restrictions became effective in December 2020 and January 2021, which may further impact our business. If export restrictions related to Chinese customers are sustained for a long period of time, or if other export restrictions were to be imposed, including restrictions on trade with other countries, it will have an adverse impact on our revenues and results of operations.</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0" w:name="page21"/>
    <w:bookmarkEnd w:id="20"/>
    <w:p>
      <w:pPr>
        <w:ind w:right="80" w:firstLine="405"/>
        <w:spacing w:after="0" w:line="291"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189" w:lineRule="exact"/>
        <w:rPr>
          <w:sz w:val="20"/>
          <w:szCs w:val="20"/>
          <w:color w:val="auto"/>
        </w:rPr>
      </w:pPr>
    </w:p>
    <w:p>
      <w:pPr>
        <w:ind w:right="380"/>
        <w:spacing w:after="0" w:line="282"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new U.S. presidential administration’s policies are not fully understood but seem likely to include some changes to the status quo, which may cause damage to our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 government in connection with trade with China have reduced the</w:t>
      </w:r>
      <w:r>
        <w:rPr>
          <w:rFonts w:ascii="Arial" w:cs="Arial" w:eastAsia="Arial" w:hAnsi="Arial"/>
          <w:sz w:val="17"/>
          <w:szCs w:val="17"/>
          <w:color w:val="auto"/>
        </w:rPr>
        <w:t xml:space="preserve"> </w:t>
      </w:r>
      <w:r>
        <w:rPr>
          <w:rFonts w:ascii="Arial" w:cs="Arial" w:eastAsia="Arial" w:hAnsi="Arial"/>
          <w:sz w:val="17"/>
          <w:szCs w:val="17"/>
          <w:i w:val="1"/>
          <w:iCs w:val="1"/>
          <w:color w:val="auto"/>
        </w:rPr>
        <w:t>demand for our products and damaged our business” and "Changes in existing taxation benefits, rules or practices may adversely affect our financial results</w:t>
      </w:r>
      <w:r>
        <w:rPr>
          <w:rFonts w:ascii="Arial" w:cs="Arial" w:eastAsia="Arial" w:hAnsi="Arial"/>
          <w:sz w:val="17"/>
          <w:szCs w:val="17"/>
          <w:color w:val="auto"/>
        </w:rPr>
        <w:t>.”</w:t>
      </w:r>
    </w:p>
    <w:p>
      <w:pPr>
        <w:spacing w:after="0" w:line="311"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7" w:lineRule="exact"/>
        <w:rPr>
          <w:sz w:val="20"/>
          <w:szCs w:val="20"/>
          <w:color w:val="auto"/>
        </w:rPr>
      </w:pPr>
    </w:p>
    <w:p>
      <w:pPr>
        <w:ind w:right="140" w:firstLine="405"/>
        <w:spacing w:after="0" w:line="276"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In addition, our primary assembly and test subcontractors are located in the Pacific Rim region. As a result, disruptions affecting the operations of our suppliers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80% and 82% of our net revenue in fiscal 2021 and fiscal 2020, respectively.</w:t>
      </w:r>
    </w:p>
    <w:p>
      <w:pPr>
        <w:spacing w:after="0" w:line="53" w:lineRule="exact"/>
        <w:rPr>
          <w:sz w:val="20"/>
          <w:szCs w:val="20"/>
          <w:color w:val="auto"/>
        </w:rPr>
      </w:pPr>
    </w:p>
    <w:p>
      <w:pPr>
        <w:jc w:val="both"/>
        <w:ind w:right="40" w:firstLine="405"/>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 w:lineRule="exact"/>
        <w:rPr>
          <w:sz w:val="20"/>
          <w:szCs w:val="20"/>
          <w:color w:val="auto"/>
        </w:rPr>
      </w:pPr>
    </w:p>
    <w:p>
      <w:pPr>
        <w:ind w:left="660" w:right="480" w:hanging="328"/>
        <w:spacing w:after="0" w:line="250"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ind w:left="660" w:hanging="328"/>
        <w:spacing w:after="0"/>
        <w:tabs>
          <w:tab w:leader="none" w:pos="6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33" w:lineRule="exact"/>
        <w:rPr>
          <w:rFonts w:ascii="Arial" w:cs="Arial" w:eastAsia="Arial" w:hAnsi="Arial"/>
          <w:sz w:val="16"/>
          <w:szCs w:val="16"/>
          <w:color w:val="auto"/>
        </w:rPr>
      </w:pPr>
    </w:p>
    <w:p>
      <w:pPr>
        <w:ind w:left="660" w:right="440" w:hanging="328"/>
        <w:spacing w:after="0" w:line="277"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1" w:name="page22"/>
    <w:bookmarkEnd w:id="21"/>
    <w:p>
      <w:pPr>
        <w:ind w:left="660" w:right="700" w:hanging="328"/>
        <w:spacing w:after="0" w:line="258"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 w:lineRule="exact"/>
        <w:rPr>
          <w:rFonts w:ascii="Arial" w:cs="Arial" w:eastAsia="Arial" w:hAnsi="Arial"/>
          <w:sz w:val="18"/>
          <w:szCs w:val="18"/>
          <w:color w:val="auto"/>
        </w:rPr>
      </w:pPr>
    </w:p>
    <w:p>
      <w:pPr>
        <w:ind w:left="660" w:right="40" w:hanging="328"/>
        <w:spacing w:after="0" w:line="250"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9" w:lineRule="exact"/>
        <w:rPr>
          <w:rFonts w:ascii="Arial" w:cs="Arial" w:eastAsia="Arial" w:hAnsi="Arial"/>
          <w:sz w:val="18"/>
          <w:szCs w:val="18"/>
          <w:color w:val="auto"/>
        </w:rPr>
      </w:pPr>
    </w:p>
    <w:p>
      <w:pPr>
        <w:ind w:left="660" w:hanging="328"/>
        <w:spacing w:after="0" w:line="250"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320" w:firstLine="405"/>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300" w:firstLine="405"/>
        <w:spacing w:after="0" w:line="263"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48"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rely on independent foundries and subcontractors for the manufacture, assembly and testing of our integrated circuit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7" w:lineRule="exact"/>
        <w:rPr>
          <w:sz w:val="20"/>
          <w:szCs w:val="20"/>
          <w:color w:val="auto"/>
        </w:rPr>
      </w:pPr>
    </w:p>
    <w:p>
      <w:pPr>
        <w:jc w:val="both"/>
        <w:ind w:right="40" w:firstLine="405"/>
        <w:spacing w:after="0" w:line="263"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117"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2" w:name="page23"/>
    <w:bookmarkEnd w:id="22"/>
    <w:p>
      <w:pPr>
        <w:spacing w:after="0"/>
        <w:rPr>
          <w:sz w:val="20"/>
          <w:szCs w:val="20"/>
          <w:color w:val="auto"/>
        </w:rPr>
      </w:pPr>
      <w:r>
        <w:rPr>
          <w:rFonts w:ascii="Arial" w:cs="Arial" w:eastAsia="Arial" w:hAnsi="Arial"/>
          <w:sz w:val="18"/>
          <w:szCs w:val="18"/>
          <w:color w:val="auto"/>
        </w:rPr>
        <w:t>No Guarantee of Capacity or Supply</w:t>
      </w:r>
    </w:p>
    <w:p>
      <w:pPr>
        <w:spacing w:after="0" w:line="117"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Our foundries</w:t>
      </w:r>
    </w:p>
    <w:p>
      <w:pPr>
        <w:spacing w:after="0" w:line="3" w:lineRule="exact"/>
        <w:rPr>
          <w:sz w:val="20"/>
          <w:szCs w:val="20"/>
          <w:color w:val="auto"/>
        </w:rPr>
      </w:pPr>
    </w:p>
    <w:p>
      <w:pPr>
        <w:ind w:right="140"/>
        <w:spacing w:after="0" w:line="270" w:lineRule="auto"/>
        <w:rPr>
          <w:sz w:val="20"/>
          <w:szCs w:val="20"/>
          <w:color w:val="auto"/>
        </w:rPr>
      </w:pPr>
      <w:r>
        <w:rPr>
          <w:rFonts w:ascii="Arial" w:cs="Arial" w:eastAsia="Arial" w:hAnsi="Arial"/>
          <w:sz w:val="17"/>
          <w:szCs w:val="17"/>
          <w:color w:val="auto"/>
        </w:rPr>
        <w:t>and outsourced assembly and test suppliers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7"/>
          <w:szCs w:val="17"/>
          <w:i w:val="1"/>
          <w:iCs w:val="1"/>
          <w:color w:val="auto"/>
        </w:rPr>
        <w:t>We may experience difficulties in transitioning to smaller geometry process technologies or in</w:t>
      </w:r>
      <w:r>
        <w:rPr>
          <w:rFonts w:ascii="Arial" w:cs="Arial" w:eastAsia="Arial" w:hAnsi="Arial"/>
          <w:sz w:val="17"/>
          <w:szCs w:val="17"/>
          <w:color w:val="auto"/>
        </w:rPr>
        <w:t xml:space="preserve"> </w:t>
      </w:r>
      <w:r>
        <w:rPr>
          <w:rFonts w:ascii="Arial" w:cs="Arial" w:eastAsia="Arial" w:hAnsi="Arial"/>
          <w:sz w:val="17"/>
          <w:szCs w:val="17"/>
          <w:i w:val="1"/>
          <w:iCs w:val="1"/>
          <w:color w:val="auto"/>
        </w:rPr>
        <w:t>achieving higher levels of design integration, which may result in reduced manufacturing yields, delays in product deliveries and increased expenses.</w:t>
      </w:r>
      <w:r>
        <w:rPr>
          <w:rFonts w:ascii="Arial" w:cs="Arial" w:eastAsia="Arial" w:hAnsi="Arial"/>
          <w:sz w:val="17"/>
          <w:szCs w:val="17"/>
          <w:color w:val="auto"/>
        </w:rPr>
        <w:t>”</w:t>
      </w:r>
      <w:r>
        <w:rPr>
          <w:rFonts w:ascii="Arial" w:cs="Arial" w:eastAsia="Arial" w:hAnsi="Arial"/>
          <w:sz w:val="17"/>
          <w:szCs w:val="17"/>
          <w:i w:val="1"/>
          <w:iCs w:val="1"/>
          <w:color w:val="auto"/>
        </w:rPr>
        <w:t xml:space="preserve"> </w:t>
      </w:r>
      <w:r>
        <w:rPr>
          <w:rFonts w:ascii="Arial" w:cs="Arial" w:eastAsia="Arial" w:hAnsi="Arial"/>
          <w:sz w:val="17"/>
          <w:szCs w:val="17"/>
          <w:color w:val="auto"/>
        </w:rPr>
        <w:t>Moreover, if any of our third-party foundry suppliers, outsourced assembly and test suppliers, or other suppliers are unable to secure the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8"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For example, in response to growth in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challenges have in the past, and may in the future, limit our ability to fully satisfy the increase in demand for some of our networking products.</w:t>
      </w:r>
    </w:p>
    <w:p>
      <w:pPr>
        <w:spacing w:after="0" w:line="214"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15" w:lineRule="exact"/>
        <w:rPr>
          <w:sz w:val="20"/>
          <w:szCs w:val="20"/>
          <w:color w:val="auto"/>
        </w:rPr>
      </w:pPr>
    </w:p>
    <w:p>
      <w:pPr>
        <w:ind w:right="60" w:firstLine="405"/>
        <w:spacing w:after="0" w:line="293" w:lineRule="auto"/>
        <w:rPr>
          <w:sz w:val="20"/>
          <w:szCs w:val="20"/>
          <w:color w:val="auto"/>
        </w:rPr>
      </w:pPr>
      <w:r>
        <w:rPr>
          <w:rFonts w:ascii="Arial" w:cs="Arial" w:eastAsia="Arial" w:hAnsi="Arial"/>
          <w:sz w:val="16"/>
          <w:szCs w:val="16"/>
          <w:color w:val="auto"/>
        </w:rPr>
        <w:t>In order to secure sufficient foundry capacity when demand is high and to mitigate the risks described in the foregoing paragraph, we may enter into various arrangements with our foundries, outsourced assembly and test suppliers, or other suppliers that could be costly and harm our results of operations, such as nonrefundable deposits with or loans to such parties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1"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Recent supply shortages in the semiconductor industry of multi-layer complex substrates, IC packaging capacity and fab constraints have resulted in increased lead times, inability to meet demand, and increased costs during 2020, and these supply constraints are currently expected to continue throughout 2021.</w:t>
      </w:r>
    </w:p>
    <w:p>
      <w:pPr>
        <w:spacing w:after="0" w:line="3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23" w:name="page24"/>
    <w:bookmarkEnd w:id="23"/>
    <w:p>
      <w:pPr>
        <w:spacing w:after="0"/>
        <w:rPr>
          <w:sz w:val="20"/>
          <w:szCs w:val="20"/>
          <w:color w:val="auto"/>
        </w:rPr>
      </w:pPr>
      <w:r>
        <w:rPr>
          <w:rFonts w:ascii="Arial" w:cs="Arial" w:eastAsia="Arial" w:hAnsi="Arial"/>
          <w:sz w:val="18"/>
          <w:szCs w:val="18"/>
          <w:color w:val="auto"/>
        </w:rPr>
        <w:t>Uncertain Yields and Quality</w:t>
      </w:r>
    </w:p>
    <w:p>
      <w:pPr>
        <w:spacing w:after="0" w:line="117" w:lineRule="exact"/>
        <w:rPr>
          <w:sz w:val="20"/>
          <w:szCs w:val="20"/>
          <w:color w:val="auto"/>
        </w:rPr>
      </w:pPr>
    </w:p>
    <w:p>
      <w:pPr>
        <w:ind w:right="100" w:firstLine="405"/>
        <w:spacing w:after="0" w:line="269"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77" w:lineRule="exact"/>
        <w:rPr>
          <w:sz w:val="20"/>
          <w:szCs w:val="20"/>
          <w:color w:val="auto"/>
        </w:rPr>
      </w:pPr>
    </w:p>
    <w:p>
      <w:pPr>
        <w:ind w:right="300" w:firstLine="405"/>
        <w:spacing w:after="0" w:line="263"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117" w:lineRule="exact"/>
        <w:rPr>
          <w:sz w:val="20"/>
          <w:szCs w:val="20"/>
          <w:color w:val="auto"/>
        </w:rPr>
      </w:pPr>
    </w:p>
    <w:p>
      <w:pPr>
        <w:ind w:right="20" w:firstLine="405"/>
        <w:spacing w:after="0" w:line="263"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56"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77" w:lineRule="exact"/>
        <w:rPr>
          <w:sz w:val="20"/>
          <w:szCs w:val="20"/>
          <w:color w:val="auto"/>
        </w:rPr>
      </w:pPr>
    </w:p>
    <w:p>
      <w:pPr>
        <w:ind w:right="140" w:firstLine="405"/>
        <w:spacing w:after="0" w:line="301"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49" w:lineRule="exact"/>
        <w:rPr>
          <w:sz w:val="20"/>
          <w:szCs w:val="20"/>
          <w:color w:val="auto"/>
        </w:rPr>
      </w:pPr>
    </w:p>
    <w:p>
      <w:pPr>
        <w:jc w:val="both"/>
        <w:ind w:right="280" w:firstLine="405"/>
        <w:spacing w:after="0" w:line="301"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24" w:name="page25"/>
    <w:bookmarkEnd w:id="24"/>
    <w:p>
      <w:pPr>
        <w:ind w:right="340"/>
        <w:spacing w:after="0" w:line="266"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7"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57"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660" w:hanging="328"/>
        <w:spacing w:after="0" w:line="270" w:lineRule="auto"/>
        <w:tabs>
          <w:tab w:leader="none" w:pos="655"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70" w:lineRule="exact"/>
        <w:rPr>
          <w:sz w:val="20"/>
          <w:szCs w:val="20"/>
          <w:color w:val="auto"/>
        </w:rPr>
      </w:pPr>
    </w:p>
    <w:p>
      <w:pPr>
        <w:jc w:val="both"/>
        <w:ind w:firstLine="648"/>
        <w:spacing w:after="0" w:line="263"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6" w:lineRule="exact"/>
        <w:rPr>
          <w:sz w:val="20"/>
          <w:szCs w:val="20"/>
          <w:color w:val="auto"/>
        </w:rPr>
      </w:pPr>
    </w:p>
    <w:p>
      <w:pPr>
        <w:ind w:right="300" w:firstLine="648"/>
        <w:spacing w:after="0" w:line="308"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7"/>
          <w:szCs w:val="17"/>
          <w:i w:val="1"/>
          <w:iCs w:val="1"/>
          <w:color w:val="auto"/>
        </w:rPr>
        <w:t>Research and Development"</w:t>
      </w:r>
      <w:r>
        <w:rPr>
          <w:rFonts w:ascii="Arial" w:cs="Arial" w:eastAsia="Arial" w:hAnsi="Arial"/>
          <w:sz w:val="17"/>
          <w:szCs w:val="17"/>
          <w:color w:val="auto"/>
        </w:rPr>
        <w:t xml:space="preserve"> under Results of Operations.</w:t>
      </w:r>
    </w:p>
    <w:p>
      <w:pPr>
        <w:spacing w:after="0" w:line="169"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25" w:name="page26"/>
    <w:bookmarkEnd w:id="25"/>
    <w:p>
      <w:pPr>
        <w:ind w:right="60" w:firstLine="405"/>
        <w:spacing w:after="0" w:line="275"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56"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6"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120" w:firstLine="405"/>
        <w:spacing w:after="0" w:line="279"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4"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60" w:firstLine="405"/>
        <w:spacing w:after="0" w:line="273"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26" w:name="page27"/>
    <w:bookmarkEnd w:id="26"/>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Unfavorable or uncertain conditions in the 5G infrastructure market may cause fluctuations in our rate of revenue growth or financial results.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worsen, particularly in light of the impacts of the COVID-19 pandemic and potential global recession resulting therefrom, overall spending on 5G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infrastructure may be reduced, which would adversely impact demand for our products in these markets. In addition, unfavorable developments with</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evolving laws and regulations worldwide related to 5G or 5G suppliers may limit global adoption, impede our strategy, and negatively impact our long-</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term expectations in this area. Even if the 5G infrastructure market develops in the manner or in the time periods we anticipate, if we do not have timely,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competitively priced, market-accepted products available to meet our customers’ planned roll-out of 5G wireless communication systems, we may miss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significant opportunity and our business, financial condition, results of operations and cash flows could be materially and adversely affected. See also,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Our sales are concentrated in a few large customers. If we lose or experience a significant reduction in sales to any of these key customers, if any of these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key customers experience a significant decline in market share, or if any of these customers experience significant financial difficulties, our revenue may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decrease substantially and our results of operations and financial condition may be harmed.</w:t>
      </w:r>
      <w:r>
        <w:rPr>
          <w:rFonts w:ascii="Arial" w:cs="Arial" w:eastAsia="Arial" w:hAnsi="Arial"/>
          <w:sz w:val="17"/>
          <w:szCs w:val="17"/>
          <w:color w:val="auto"/>
        </w:rPr>
        <w:t>” for additional risks related to export restrictions that may</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impact a customer in the 5G infrastructure market.</w:t>
      </w:r>
    </w:p>
    <w:p>
      <w:pPr>
        <w:spacing w:after="0" w:line="234" w:lineRule="exact"/>
        <w:rPr>
          <w:sz w:val="20"/>
          <w:szCs w:val="20"/>
          <w:color w:val="auto"/>
        </w:rPr>
      </w:pPr>
    </w:p>
    <w:p>
      <w:pPr>
        <w:spacing w:after="0" w:line="314"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3" w:lineRule="exact"/>
        <w:rPr>
          <w:sz w:val="20"/>
          <w:szCs w:val="20"/>
          <w:color w:val="auto"/>
        </w:rPr>
      </w:pPr>
    </w:p>
    <w:p>
      <w:pPr>
        <w:ind w:right="480" w:firstLine="405"/>
        <w:spacing w:after="0" w:line="308" w:lineRule="auto"/>
        <w:rPr>
          <w:sz w:val="20"/>
          <w:szCs w:val="20"/>
          <w:color w:val="auto"/>
        </w:rPr>
      </w:pPr>
      <w:r>
        <w:rPr>
          <w:rFonts w:ascii="Arial" w:cs="Arial" w:eastAsia="Arial" w:hAnsi="Arial"/>
          <w:sz w:val="16"/>
          <w:szCs w:val="16"/>
          <w:color w:val="auto"/>
        </w:rPr>
        <w:t>We receive a significant amount of our revenue from a limited number of customers. For example, during fiscal 2021, there was one distributor, whose revenue as a percentage of our net revenue was 10% or greater of total net revenues. In addition, net revenue from our two largest customers,</w:t>
      </w:r>
    </w:p>
    <w:p>
      <w:pPr>
        <w:ind w:right="140"/>
        <w:spacing w:after="0" w:line="254" w:lineRule="auto"/>
        <w:rPr>
          <w:sz w:val="20"/>
          <w:szCs w:val="20"/>
          <w:color w:val="auto"/>
        </w:rPr>
      </w:pPr>
      <w:r>
        <w:rPr>
          <w:rFonts w:ascii="Arial" w:cs="Arial" w:eastAsia="Arial" w:hAnsi="Arial"/>
          <w:sz w:val="18"/>
          <w:szCs w:val="18"/>
          <w:color w:val="auto"/>
        </w:rPr>
        <w:t>including this distributor, represented 22% of our net revenue for the year ended January 30, 2021.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22"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54" w:lineRule="exact"/>
        <w:rPr>
          <w:sz w:val="20"/>
          <w:szCs w:val="20"/>
          <w:color w:val="auto"/>
        </w:rPr>
      </w:pPr>
    </w:p>
    <w:p>
      <w:pPr>
        <w:ind w:left="660" w:right="400" w:hanging="328"/>
        <w:spacing w:after="0" w:line="232" w:lineRule="auto"/>
        <w:tabs>
          <w:tab w:leader="none" w:pos="655" w:val="left"/>
        </w:tabs>
        <w:numPr>
          <w:ilvl w:val="0"/>
          <w:numId w:val="16"/>
        </w:numPr>
        <w:rPr>
          <w:rFonts w:ascii="Arial" w:cs="Arial" w:eastAsia="Arial" w:hAnsi="Arial"/>
          <w:sz w:val="22"/>
          <w:szCs w:val="22"/>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5" w:lineRule="exact"/>
        <w:rPr>
          <w:rFonts w:ascii="Arial" w:cs="Arial" w:eastAsia="Arial" w:hAnsi="Arial"/>
          <w:sz w:val="22"/>
          <w:szCs w:val="22"/>
          <w:color w:val="auto"/>
        </w:rPr>
      </w:pPr>
    </w:p>
    <w:p>
      <w:pPr>
        <w:ind w:left="660" w:hanging="328"/>
        <w:spacing w:after="0"/>
        <w:tabs>
          <w:tab w:leader="none" w:pos="660" w:val="left"/>
        </w:tabs>
        <w:numPr>
          <w:ilvl w:val="0"/>
          <w:numId w:val="16"/>
        </w:numPr>
        <w:rPr>
          <w:rFonts w:ascii="Arial" w:cs="Arial" w:eastAsia="Arial" w:hAnsi="Arial"/>
          <w:sz w:val="22"/>
          <w:szCs w:val="22"/>
          <w:color w:val="auto"/>
        </w:rPr>
      </w:pPr>
      <w:r>
        <w:rPr>
          <w:rFonts w:ascii="Arial" w:cs="Arial" w:eastAsia="Arial" w:hAnsi="Arial"/>
          <w:sz w:val="18"/>
          <w:szCs w:val="18"/>
          <w:color w:val="auto"/>
        </w:rPr>
        <w:t>customers may purchase similar products from our competitors;</w:t>
      </w:r>
    </w:p>
    <w:p>
      <w:pPr>
        <w:spacing w:after="0" w:line="10" w:lineRule="exact"/>
        <w:rPr>
          <w:rFonts w:ascii="Arial" w:cs="Arial" w:eastAsia="Arial" w:hAnsi="Arial"/>
          <w:sz w:val="22"/>
          <w:szCs w:val="22"/>
          <w:color w:val="auto"/>
        </w:rPr>
      </w:pPr>
    </w:p>
    <w:p>
      <w:pPr>
        <w:ind w:left="660" w:hanging="328"/>
        <w:spacing w:after="0" w:line="233" w:lineRule="auto"/>
        <w:tabs>
          <w:tab w:leader="none" w:pos="660" w:val="left"/>
        </w:tabs>
        <w:numPr>
          <w:ilvl w:val="0"/>
          <w:numId w:val="16"/>
        </w:numPr>
        <w:rPr>
          <w:rFonts w:ascii="Arial" w:cs="Arial" w:eastAsia="Arial" w:hAnsi="Arial"/>
          <w:sz w:val="22"/>
          <w:szCs w:val="22"/>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7" w:lineRule="exact"/>
        <w:rPr>
          <w:rFonts w:ascii="Arial" w:cs="Arial" w:eastAsia="Arial" w:hAnsi="Arial"/>
          <w:sz w:val="22"/>
          <w:szCs w:val="22"/>
          <w:color w:val="auto"/>
        </w:rPr>
      </w:pPr>
    </w:p>
    <w:p>
      <w:pPr>
        <w:ind w:left="660" w:right="20" w:hanging="328"/>
        <w:spacing w:after="0" w:line="232" w:lineRule="auto"/>
        <w:tabs>
          <w:tab w:leader="none" w:pos="655" w:val="left"/>
        </w:tabs>
        <w:numPr>
          <w:ilvl w:val="0"/>
          <w:numId w:val="16"/>
        </w:numPr>
        <w:rPr>
          <w:rFonts w:ascii="Arial" w:cs="Arial" w:eastAsia="Arial" w:hAnsi="Arial"/>
          <w:sz w:val="22"/>
          <w:szCs w:val="22"/>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w:t>
      </w:r>
    </w:p>
    <w:p>
      <w:pPr>
        <w:spacing w:after="0" w:line="27" w:lineRule="exact"/>
        <w:rPr>
          <w:rFonts w:ascii="Arial" w:cs="Arial" w:eastAsia="Arial" w:hAnsi="Arial"/>
          <w:sz w:val="22"/>
          <w:szCs w:val="22"/>
          <w:color w:val="auto"/>
        </w:rPr>
      </w:pPr>
    </w:p>
    <w:p>
      <w:pPr>
        <w:ind w:left="660" w:right="300" w:hanging="328"/>
        <w:spacing w:after="0" w:line="266" w:lineRule="auto"/>
        <w:tabs>
          <w:tab w:leader="none" w:pos="655" w:val="left"/>
        </w:tabs>
        <w:numPr>
          <w:ilvl w:val="0"/>
          <w:numId w:val="16"/>
        </w:numPr>
        <w:rPr>
          <w:rFonts w:ascii="Arial" w:cs="Arial" w:eastAsia="Arial" w:hAnsi="Arial"/>
          <w:sz w:val="19"/>
          <w:szCs w:val="19"/>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 or</w:t>
      </w:r>
    </w:p>
    <w:p>
      <w:pPr>
        <w:ind w:left="660" w:right="180" w:hanging="328"/>
        <w:spacing w:after="0" w:line="255"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7" w:name="page28"/>
    <w:bookmarkEnd w:id="27"/>
    <w:p>
      <w:pPr>
        <w:ind w:right="200"/>
        <w:spacing w:after="0" w:line="261"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11"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91"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5" w:lineRule="exact"/>
        <w:rPr>
          <w:sz w:val="20"/>
          <w:szCs w:val="20"/>
          <w:color w:val="auto"/>
        </w:rPr>
      </w:pPr>
    </w:p>
    <w:p>
      <w:pPr>
        <w:ind w:right="100" w:firstLine="405"/>
        <w:spacing w:after="0" w:line="272" w:lineRule="auto"/>
        <w:rPr>
          <w:sz w:val="20"/>
          <w:szCs w:val="20"/>
          <w:color w:val="auto"/>
        </w:rPr>
      </w:pPr>
      <w:r>
        <w:rPr>
          <w:rFonts w:ascii="Arial" w:cs="Arial" w:eastAsia="Arial" w:hAnsi="Arial"/>
          <w:sz w:val="17"/>
          <w:szCs w:val="17"/>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7"/>
          <w:szCs w:val="17"/>
          <w:i w:val="1"/>
          <w:iCs w:val="1"/>
          <w:color w:val="auto"/>
        </w:rPr>
        <w:t>We rely on independent foundries and subcontractors for the manufacture,</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assembly and testing of our integrated circuit products, and the failure of any of these third-party vendors to deliver products or otherwise perform as requested could damage our relationships with our customers, decrease our sales and limit our ability to grow our business" </w:t>
      </w:r>
      <w:r>
        <w:rPr>
          <w:rFonts w:ascii="Arial" w:cs="Arial" w:eastAsia="Arial" w:hAnsi="Arial"/>
          <w:sz w:val="17"/>
          <w:szCs w:val="17"/>
          <w:color w:val="auto"/>
        </w:rPr>
        <w:t>for additional information on</w:t>
      </w:r>
      <w:r>
        <w:rPr>
          <w:rFonts w:ascii="Arial" w:cs="Arial" w:eastAsia="Arial" w:hAnsi="Arial"/>
          <w:sz w:val="17"/>
          <w:szCs w:val="17"/>
          <w:i w:val="1"/>
          <w:iCs w:val="1"/>
          <w:color w:val="auto"/>
        </w:rPr>
        <w:t xml:space="preserve"> </w:t>
      </w:r>
      <w:r>
        <w:rPr>
          <w:rFonts w:ascii="Arial" w:cs="Arial" w:eastAsia="Arial" w:hAnsi="Arial"/>
          <w:sz w:val="17"/>
          <w:szCs w:val="17"/>
          <w:color w:val="auto"/>
        </w:rPr>
        <w:t>the impacts of supply chain cross-dependencies on our business.</w:t>
      </w:r>
    </w:p>
    <w:p>
      <w:pPr>
        <w:spacing w:after="0" w:line="204"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56"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jc w:val="both"/>
        <w:ind w:right="240" w:firstLine="405"/>
        <w:spacing w:after="0" w:line="286"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3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28" w:name="page29"/>
    <w:bookmarkEnd w:id="28"/>
    <w:p>
      <w:pPr>
        <w:ind w:right="80" w:firstLine="405"/>
        <w:spacing w:after="0" w:line="257"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80" w:lineRule="exact"/>
        <w:rPr>
          <w:sz w:val="20"/>
          <w:szCs w:val="20"/>
          <w:color w:val="auto"/>
        </w:rPr>
      </w:pPr>
    </w:p>
    <w:p>
      <w:pPr>
        <w:ind w:right="800" w:firstLine="405"/>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62" w:lineRule="exact"/>
        <w:rPr>
          <w:sz w:val="20"/>
          <w:szCs w:val="20"/>
          <w:color w:val="auto"/>
        </w:rPr>
      </w:pPr>
    </w:p>
    <w:p>
      <w:pPr>
        <w:ind w:right="60" w:firstLine="648"/>
        <w:spacing w:after="0" w:line="292" w:lineRule="auto"/>
        <w:rPr>
          <w:sz w:val="20"/>
          <w:szCs w:val="20"/>
          <w:color w:val="auto"/>
        </w:rPr>
      </w:pPr>
      <w:r>
        <w:rPr>
          <w:rFonts w:ascii="Arial" w:cs="Arial" w:eastAsia="Arial" w:hAnsi="Arial"/>
          <w:sz w:val="16"/>
          <w:szCs w:val="16"/>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acquired Mellanox Technologies on April 27, 2020 and Infineon acquired Cypress Semiconductors on April 16, 2020. In July 2020, Analog Devices Inc. announced its intent to merge with Maxim Integrated Products Inc. In September 2020, NVIDIA announced its intent to acquire Arm Limited. We license technology from Arm Limited and would be adversely impacted if the pricing for, or availability of, the relevant technology is changed in an adverse manner as a</w:t>
      </w:r>
    </w:p>
    <w:p>
      <w:pPr>
        <w:spacing w:after="0" w:line="1" w:lineRule="exact"/>
        <w:rPr>
          <w:sz w:val="20"/>
          <w:szCs w:val="20"/>
          <w:color w:val="auto"/>
        </w:rPr>
      </w:pPr>
    </w:p>
    <w:p>
      <w:pPr>
        <w:jc w:val="both"/>
        <w:ind w:right="460"/>
        <w:spacing w:after="0" w:line="263" w:lineRule="auto"/>
        <w:rPr>
          <w:sz w:val="20"/>
          <w:szCs w:val="20"/>
          <w:color w:val="auto"/>
        </w:rPr>
      </w:pPr>
      <w:r>
        <w:rPr>
          <w:rFonts w:ascii="Arial" w:cs="Arial" w:eastAsia="Arial" w:hAnsi="Arial"/>
          <w:sz w:val="18"/>
          <w:szCs w:val="18"/>
          <w:color w:val="auto"/>
        </w:rPr>
        <w:t>result of this transaction. In October 2020, AMD announced its intent to acquire Xilinx, Inc. Consolidation among our competitors has led, and in the future could lead, to a changing competitive landscape, capabilities and market share, which could put us at a competitive disadvantage and harm our results of operations.</w:t>
      </w:r>
    </w:p>
    <w:p>
      <w:pPr>
        <w:spacing w:after="0" w:line="207" w:lineRule="exact"/>
        <w:rPr>
          <w:sz w:val="20"/>
          <w:szCs w:val="20"/>
          <w:color w:val="auto"/>
        </w:rPr>
      </w:pPr>
    </w:p>
    <w:p>
      <w:pPr>
        <w:ind w:right="680"/>
        <w:spacing w:after="0" w:line="282" w:lineRule="auto"/>
        <w:rPr>
          <w:sz w:val="20"/>
          <w:szCs w:val="20"/>
          <w:color w:val="auto"/>
        </w:rPr>
      </w:pPr>
      <w:r>
        <w:rPr>
          <w:rFonts w:ascii="Arial" w:cs="Arial" w:eastAsia="Arial" w:hAnsi="Arial"/>
          <w:sz w:val="18"/>
          <w:szCs w:val="18"/>
          <w:b w:val="1"/>
          <w:b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93" w:lineRule="exact"/>
        <w:rPr>
          <w:sz w:val="20"/>
          <w:szCs w:val="20"/>
          <w:color w:val="auto"/>
        </w:rPr>
      </w:pPr>
    </w:p>
    <w:p>
      <w:pPr>
        <w:ind w:right="100" w:firstLine="405"/>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57" w:lineRule="exact"/>
        <w:rPr>
          <w:sz w:val="20"/>
          <w:szCs w:val="20"/>
          <w:color w:val="auto"/>
        </w:rPr>
      </w:pPr>
    </w:p>
    <w:p>
      <w:pPr>
        <w:ind w:right="180" w:firstLine="405"/>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79" w:lineRule="exact"/>
        <w:rPr>
          <w:sz w:val="20"/>
          <w:szCs w:val="20"/>
          <w:color w:val="auto"/>
        </w:rPr>
      </w:pPr>
    </w:p>
    <w:p>
      <w:pPr>
        <w:ind w:right="180" w:firstLine="405"/>
        <w:spacing w:after="0" w:line="263"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76"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79" w:lineRule="exact"/>
        <w:rPr>
          <w:sz w:val="20"/>
          <w:szCs w:val="20"/>
          <w:color w:val="auto"/>
        </w:rPr>
      </w:pPr>
    </w:p>
    <w:p>
      <w:pPr>
        <w:ind w:right="280" w:firstLine="405"/>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260" w:lineRule="exact"/>
        <w:rPr>
          <w:sz w:val="20"/>
          <w:szCs w:val="20"/>
          <w:color w:val="auto"/>
        </w:rPr>
      </w:pPr>
    </w:p>
    <w:p>
      <w:pPr>
        <w:ind w:right="160"/>
        <w:spacing w:after="0" w:line="347" w:lineRule="auto"/>
        <w:rPr>
          <w:sz w:val="20"/>
          <w:szCs w:val="20"/>
          <w:color w:val="auto"/>
        </w:rPr>
      </w:pPr>
      <w:r>
        <w:rPr>
          <w:rFonts w:ascii="Arial" w:cs="Arial" w:eastAsia="Arial" w:hAnsi="Arial"/>
          <w:sz w:val="16"/>
          <w:szCs w:val="16"/>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and testing and assembly.</w:t>
      </w:r>
    </w:p>
    <w:p>
      <w:pPr>
        <w:spacing w:after="0" w:line="147" w:lineRule="exact"/>
        <w:rPr>
          <w:sz w:val="20"/>
          <w:szCs w:val="20"/>
          <w:color w:val="auto"/>
        </w:rPr>
      </w:pPr>
    </w:p>
    <w:p>
      <w:pPr>
        <w:ind w:firstLine="405"/>
        <w:spacing w:after="0" w:line="301"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29" w:name="page30"/>
    <w:bookmarkEnd w:id="29"/>
    <w:p>
      <w:pPr>
        <w:ind w:firstLine="405"/>
        <w:spacing w:after="0" w:line="267"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 w:lineRule="exact"/>
        <w:rPr>
          <w:sz w:val="20"/>
          <w:szCs w:val="20"/>
          <w:color w:val="auto"/>
        </w:rPr>
      </w:pPr>
    </w:p>
    <w:p>
      <w:pPr>
        <w:ind w:right="100" w:firstLine="405"/>
        <w:spacing w:after="0" w:line="251"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may affect pricing of such commodities. For example, recent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74"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56" w:lineRule="exact"/>
        <w:rPr>
          <w:sz w:val="20"/>
          <w:szCs w:val="20"/>
          <w:color w:val="auto"/>
        </w:rPr>
      </w:pPr>
    </w:p>
    <w:p>
      <w:pPr>
        <w:ind w:right="140" w:firstLine="405"/>
        <w:spacing w:after="0" w:line="286"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w:t>
      </w:r>
    </w:p>
    <w:p>
      <w:pPr>
        <w:spacing w:after="0" w:line="57" w:lineRule="exact"/>
        <w:rPr>
          <w:sz w:val="20"/>
          <w:szCs w:val="20"/>
          <w:color w:val="auto"/>
        </w:rPr>
      </w:pPr>
    </w:p>
    <w:p>
      <w:pPr>
        <w:ind w:right="40" w:firstLine="405"/>
        <w:spacing w:after="0" w:line="269" w:lineRule="auto"/>
        <w:rPr>
          <w:sz w:val="20"/>
          <w:szCs w:val="20"/>
          <w:color w:val="auto"/>
        </w:rPr>
      </w:pPr>
      <w:r>
        <w:rPr>
          <w:rFonts w:ascii="Arial" w:cs="Arial" w:eastAsia="Arial" w:hAnsi="Arial"/>
          <w:sz w:val="17"/>
          <w:szCs w:val="17"/>
          <w:color w:val="auto"/>
        </w:rPr>
        <w:t>In addition, in prior years, we have entered into incentive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for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3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30" w:name="page31"/>
    <w:bookmarkEnd w:id="30"/>
    <w:p>
      <w:pPr>
        <w:ind w:right="20" w:firstLine="405"/>
        <w:spacing w:after="0" w:line="287"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It is still not clear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100" w:lineRule="exact"/>
        <w:rPr>
          <w:sz w:val="20"/>
          <w:szCs w:val="20"/>
          <w:color w:val="auto"/>
        </w:rPr>
      </w:pPr>
    </w:p>
    <w:p>
      <w:pPr>
        <w:jc w:val="both"/>
        <w:ind w:right="160" w:firstLine="405"/>
        <w:spacing w:after="0" w:line="259" w:lineRule="auto"/>
        <w:rPr>
          <w:sz w:val="20"/>
          <w:szCs w:val="20"/>
          <w:color w:val="auto"/>
        </w:rPr>
      </w:pPr>
      <w:r>
        <w:rPr>
          <w:rFonts w:ascii="Arial" w:cs="Arial" w:eastAsia="Arial" w:hAnsi="Arial"/>
          <w:sz w:val="18"/>
          <w:szCs w:val="18"/>
          <w:color w:val="auto"/>
        </w:rPr>
        <w:t>In addition, in a prior period, the Company transferred certain intellectual property to a related entity in Singapore. The impact to the Company was determined based on our determination of the fair value of this property, which required management to make significant estimates and to apply complex tax regulations in multiple jurisdictions. In a future period, local tax authorities may challenge the fair value determinations made by the Company, which could adversely impact our expected tax benefits from this transaction.</w:t>
      </w:r>
    </w:p>
    <w:p>
      <w:pPr>
        <w:spacing w:after="0" w:line="79" w:lineRule="exact"/>
        <w:rPr>
          <w:sz w:val="20"/>
          <w:szCs w:val="20"/>
          <w:color w:val="auto"/>
        </w:rPr>
      </w:pPr>
    </w:p>
    <w:p>
      <w:pPr>
        <w:ind w:firstLine="405"/>
        <w:spacing w:after="0" w:line="269" w:lineRule="auto"/>
        <w:rPr>
          <w:sz w:val="20"/>
          <w:szCs w:val="20"/>
          <w:color w:val="auto"/>
        </w:rPr>
      </w:pPr>
      <w:r>
        <w:rPr>
          <w:rFonts w:ascii="Arial" w:cs="Arial" w:eastAsia="Arial" w:hAnsi="Arial"/>
          <w:sz w:val="17"/>
          <w:szCs w:val="17"/>
          <w:color w:val="auto"/>
        </w:rPr>
        <w:t>On October 29, 2020, the Company entered into a definitive agreement (the “Merger Agreement”) with Inphi Corporation (“Inphi”), Marvell Technology, Inc. (f/k/a Maui HoldCo, Inc.), a Delaware corporation and a wholly owned subsidiary of Marvell (“HoldCo”), Maui Acquisition Company Ltd., a Bermuda exempted company and a wholly owned subsidiary of HoldCo (“Bermuda Merger Sub”), and Indigo Acquisition Corp., a Delaware corporation and a wholly owned subsidiary of HoldCo (“Delaware Merger Sub”), pursuant to which, subject to the terms and conditions of the Merger Agreement, the Company will acquire Inphi with cash and stock consideration.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 As a result of this transaction, upon closing, the parent company will be domiciled in the US and not Bermuda. As a result, the combined group will be subject to taxation in the US, which currently has a federal tax rate of 21%, and that federal income tax rate could be increased in the future by the current Congress and presidential administration, which has proposed raising it to as high as 28%. This may cause our overall effective tax rate to increase significantly versus our current corporate effective tax rate as a Bermuda-domiciled company, which could materially impact our financial results, including our earnings and cash flow, for periods after the completion of the proposed Mergers.</w:t>
      </w:r>
    </w:p>
    <w:p>
      <w:pPr>
        <w:spacing w:after="0" w:line="7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Our profitability and effective tax rate could be impacted by unexpected changes to our statutory income tax rates or income tax liabilities. Such changes might include changes in tax law or regulations, changes to our geographic mix of earnings, changes in the valuation of deferred tax assets and liabilities,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 Our current corporate effective tax rate fluctuates significantly from period to period, and is based upon the application of currently applicable income tax laws, regulations and treaties, as well as current judicial and administrative interpretations of these income tax laws, regulations and treaties, in various jurisdictions.</w:t>
      </w:r>
    </w:p>
    <w:p>
      <w:pPr>
        <w:spacing w:after="0" w:line="200" w:lineRule="exact"/>
        <w:rPr>
          <w:sz w:val="20"/>
          <w:szCs w:val="20"/>
          <w:color w:val="auto"/>
        </w:rPr>
      </w:pPr>
    </w:p>
    <w:p>
      <w:pPr>
        <w:spacing w:after="0" w:line="3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31" w:name="page32"/>
    <w:bookmarkEnd w:id="31"/>
    <w:p>
      <w:pPr>
        <w:spacing w:after="0"/>
        <w:rPr>
          <w:sz w:val="20"/>
          <w:szCs w:val="20"/>
          <w:color w:val="auto"/>
        </w:rPr>
      </w:pPr>
      <w:r>
        <w:rPr>
          <w:rFonts w:ascii="Arial" w:cs="Arial" w:eastAsia="Arial" w:hAnsi="Arial"/>
          <w:sz w:val="18"/>
          <w:szCs w:val="18"/>
          <w:color w:val="auto"/>
        </w:rPr>
        <w:t>WE ARE SUBJECT TO RISKS RELATED TO OUR ASSETS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56"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We had approximately $5.3 billion of goodwill and $2.3 billion of acquired intangible assets on our consolidated balance sheet as of January 30, 2021.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87"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79"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84" w:lineRule="exact"/>
        <w:rPr>
          <w:sz w:val="20"/>
          <w:szCs w:val="20"/>
          <w:color w:val="auto"/>
        </w:rPr>
      </w:pPr>
    </w:p>
    <w:p>
      <w:pPr>
        <w:ind w:right="260" w:firstLine="405"/>
        <w:spacing w:after="0" w:line="293" w:lineRule="auto"/>
        <w:rPr>
          <w:sz w:val="20"/>
          <w:szCs w:val="20"/>
          <w:color w:val="auto"/>
        </w:rPr>
      </w:pPr>
      <w:r>
        <w:rPr>
          <w:rFonts w:ascii="Arial" w:cs="Arial" w:eastAsia="Arial" w:hAnsi="Arial"/>
          <w:sz w:val="16"/>
          <w:szCs w:val="16"/>
          <w:color w:val="auto"/>
        </w:rPr>
        <w:t>For example, 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of $119.0 million of restructuring related charges associated with the server processor product line during the second quarter of fiscal 2021. See “Note 6 - Restructuring” in the Notes to the Consolidated Financial Statements for further information.</w:t>
      </w:r>
    </w:p>
    <w:p>
      <w:pPr>
        <w:spacing w:after="0" w:line="56"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87"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56" w:lineRule="exact"/>
        <w:rPr>
          <w:sz w:val="20"/>
          <w:szCs w:val="20"/>
          <w:color w:val="auto"/>
        </w:rPr>
      </w:pPr>
    </w:p>
    <w:p>
      <w:pPr>
        <w:ind w:left="66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140" w:lineRule="exact"/>
        <w:rPr>
          <w:sz w:val="20"/>
          <w:szCs w:val="20"/>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660" w:right="20" w:hanging="328"/>
        <w:spacing w:after="0" w:line="260"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3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32" w:name="page33"/>
    <w:bookmarkEnd w:id="32"/>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disputes with third parties related to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660" w:right="300" w:hanging="328"/>
        <w:spacing w:after="0" w:line="260" w:lineRule="auto"/>
        <w:tabs>
          <w:tab w:leader="none" w:pos="655"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56"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60" w:firstLine="405"/>
        <w:spacing w:after="0" w:line="296"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3" w:lineRule="exact"/>
        <w:rPr>
          <w:sz w:val="20"/>
          <w:szCs w:val="20"/>
          <w:color w:val="auto"/>
        </w:rPr>
      </w:pPr>
    </w:p>
    <w:p>
      <w:pPr>
        <w:ind w:right="100" w:firstLine="405"/>
        <w:spacing w:after="0" w:line="268"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78"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0" w:lineRule="exact"/>
        <w:rPr>
          <w:sz w:val="20"/>
          <w:szCs w:val="20"/>
          <w:color w:val="auto"/>
        </w:rPr>
      </w:pPr>
    </w:p>
    <w:p>
      <w:pPr>
        <w:spacing w:after="0" w:line="3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3" w:name="page34"/>
    <w:bookmarkEnd w:id="33"/>
    <w:p>
      <w:pPr>
        <w:ind w:right="100"/>
        <w:spacing w:after="0" w:line="282"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firstLine="405"/>
        <w:spacing w:after="0" w:line="287"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5" w:lineRule="exact"/>
        <w:rPr>
          <w:sz w:val="20"/>
          <w:szCs w:val="20"/>
          <w:color w:val="auto"/>
        </w:rPr>
      </w:pPr>
    </w:p>
    <w:p>
      <w:pPr>
        <w:ind w:right="40" w:firstLine="405"/>
        <w:spacing w:after="0" w:line="296"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88"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As a result of the proposed transaction with Inphi, our parent company will be domiciled in the United States upon closing of the transaction. As a result, we plan to request to be released from some of the above obligations. We can offer no assurance that such a request will be granted in a timely manner or at all.</w:t>
      </w:r>
    </w:p>
    <w:p>
      <w:pPr>
        <w:spacing w:after="0" w:line="195"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Primarily as a result of our acquisition of Avera, we are now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34" w:name="page35"/>
    <w:bookmarkEnd w:id="34"/>
    <w:p>
      <w:pPr>
        <w:spacing w:after="0" w:line="194" w:lineRule="exact"/>
        <w:rPr>
          <w:sz w:val="20"/>
          <w:szCs w:val="20"/>
          <w:color w:val="auto"/>
        </w:rPr>
      </w:pPr>
    </w:p>
    <w:p>
      <w:pPr>
        <w:ind w:right="140"/>
        <w:spacing w:after="0" w:line="266"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7" w:lineRule="exact"/>
        <w:rPr>
          <w:sz w:val="20"/>
          <w:szCs w:val="20"/>
          <w:color w:val="auto"/>
        </w:rPr>
      </w:pPr>
    </w:p>
    <w:p>
      <w:pPr>
        <w:jc w:val="both"/>
        <w:ind w:right="100" w:firstLine="405"/>
        <w:spacing w:after="0" w:line="257"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w:t>
      </w:r>
      <w:r>
        <w:rPr>
          <w:rFonts w:ascii="Arial" w:cs="Arial" w:eastAsia="Arial" w:hAnsi="Arial"/>
          <w:sz w:val="18"/>
          <w:szCs w:val="18"/>
          <w:i w:val="1"/>
          <w:iCs w:val="1"/>
          <w:color w:val="auto"/>
        </w:rPr>
        <w:t>Note 12 - Commitments and Contingencies</w:t>
      </w:r>
      <w:r>
        <w:rPr>
          <w:rFonts w:ascii="Arial" w:cs="Arial" w:eastAsia="Arial" w:hAnsi="Arial"/>
          <w:sz w:val="18"/>
          <w:szCs w:val="18"/>
          <w:color w:val="auto"/>
        </w:rPr>
        <w:t>” of our Notes to the Consolidated Financial Statements set forth in Part II, Item 8 of this Annual Report on Form 10-K for a more detailed description of material litigation matters in which we may be currently engaged. See also, “</w:t>
      </w:r>
      <w:r>
        <w:rPr>
          <w:rFonts w:ascii="Arial" w:cs="Arial" w:eastAsia="Arial" w:hAnsi="Arial"/>
          <w:sz w:val="18"/>
          <w:szCs w:val="18"/>
          <w:i w:val="1"/>
          <w:iCs w:val="1"/>
          <w:color w:val="auto"/>
        </w:rPr>
        <w:t>Litigation filed against Marvell and Inphi could prevent or delay the completion of the Mergers</w:t>
      </w:r>
      <w:r>
        <w:rPr>
          <w:rFonts w:ascii="Arial" w:cs="Arial" w:eastAsia="Arial" w:hAnsi="Arial"/>
          <w:sz w:val="18"/>
          <w:szCs w:val="18"/>
          <w:color w:val="auto"/>
        </w:rPr>
        <w:t xml:space="preserve"> </w:t>
      </w:r>
      <w:r>
        <w:rPr>
          <w:rFonts w:ascii="Arial" w:cs="Arial" w:eastAsia="Arial" w:hAnsi="Arial"/>
          <w:sz w:val="18"/>
          <w:szCs w:val="18"/>
          <w:i w:val="1"/>
          <w:iCs w:val="1"/>
          <w:color w:val="auto"/>
        </w:rPr>
        <w:t>or result in the payment of damages following completion of the Mergers.</w:t>
      </w:r>
      <w:r>
        <w:rPr>
          <w:rFonts w:ascii="Arial" w:cs="Arial" w:eastAsia="Arial" w:hAnsi="Arial"/>
          <w:sz w:val="18"/>
          <w:szCs w:val="18"/>
          <w:color w:val="auto"/>
        </w:rPr>
        <w:t>”</w:t>
      </w:r>
    </w:p>
    <w:p>
      <w:pPr>
        <w:spacing w:after="0" w:line="215"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79"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79" w:lineRule="exact"/>
        <w:rPr>
          <w:sz w:val="20"/>
          <w:szCs w:val="20"/>
          <w:color w:val="auto"/>
        </w:rPr>
      </w:pPr>
    </w:p>
    <w:p>
      <w:pPr>
        <w:ind w:left="660" w:right="260" w:hanging="328"/>
        <w:spacing w:after="0" w:line="258" w:lineRule="auto"/>
        <w:tabs>
          <w:tab w:leader="none" w:pos="655"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660" w:right="380" w:hanging="328"/>
        <w:spacing w:after="0" w:line="250" w:lineRule="auto"/>
        <w:tabs>
          <w:tab w:leader="none" w:pos="655"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660" w:hanging="328"/>
        <w:spacing w:after="0"/>
        <w:tabs>
          <w:tab w:leader="none" w:pos="6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Under certain circumstances, we have contractual and other legal obligations to indemnify and to incur legal expenses for current and former directors and officers. See also, “</w:t>
      </w:r>
      <w:r>
        <w:rPr>
          <w:rFonts w:ascii="Arial" w:cs="Arial" w:eastAsia="Arial" w:hAnsi="Arial"/>
          <w:sz w:val="17"/>
          <w:szCs w:val="17"/>
          <w:i w:val="1"/>
          <w:iCs w:val="1"/>
          <w:color w:val="auto"/>
        </w:rPr>
        <w:t>Our indemnification obligations and limitations of our director and officer liability insurance may have a material adverse effect on</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our financial condition, results of operations and cash flows.” </w:t>
      </w:r>
      <w:r>
        <w:rPr>
          <w:rFonts w:ascii="Arial" w:cs="Arial" w:eastAsia="Arial" w:hAnsi="Arial"/>
          <w:sz w:val="17"/>
          <w:szCs w:val="17"/>
          <w:color w:val="auto"/>
        </w:rPr>
        <w:t>Additionally, from time to time, we have agreed to indemnify select customers for claims</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68"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48"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340" w:firstLine="405"/>
        <w:spacing w:after="0" w:line="301" w:lineRule="auto"/>
        <w:rPr>
          <w:sz w:val="20"/>
          <w:szCs w:val="20"/>
          <w:color w:val="auto"/>
        </w:rPr>
      </w:pPr>
      <w:r>
        <w:rPr>
          <w:rFonts w:ascii="Arial" w:cs="Arial" w:eastAsia="Arial" w:hAnsi="Arial"/>
          <w:sz w:val="16"/>
          <w:szCs w:val="16"/>
          <w:color w:val="auto"/>
        </w:rPr>
        <w:t>On July 6, 2018, in connection with our acquisition of Cavium, we incurred substantial indebtedness pursuant to a Credit Agreement (the “2018 Credit Agreement”). The 2018 Credit Agreement provides for a $900 million Term Loan (the “2018 Term Loan”). The 2018 Term Loan will mature on July 6, 2021. As of January 30, 2021, the outstanding principal balance of the 2018 Term Loan amounted to $200 million. See “Note 11 - Debt” for discussion of the debt financing in the Notes to Consolidated Financial Statements set forth in Part II, Item 8 of the Annual Report on Form 10-K.</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35" w:name="page36"/>
    <w:bookmarkEnd w:id="35"/>
    <w:p>
      <w:pPr>
        <w:ind w:right="40" w:firstLine="405"/>
        <w:spacing w:after="0" w:line="272" w:lineRule="auto"/>
        <w:rPr>
          <w:sz w:val="20"/>
          <w:szCs w:val="20"/>
          <w:color w:val="auto"/>
        </w:rPr>
      </w:pPr>
      <w:r>
        <w:rPr>
          <w:rFonts w:ascii="Arial" w:cs="Arial" w:eastAsia="Arial" w:hAnsi="Arial"/>
          <w:sz w:val="17"/>
          <w:szCs w:val="17"/>
          <w:color w:val="auto"/>
        </w:rPr>
        <w:t>In addition, we intend to pay the cash portion of the consideration for the Mergers and other fees and expenses required to be paid in connection with the Mergers from cash on hand and borrowings. We have obtained financing commitments for (i) a $2.5 billion senior 364-day bridge term loan facility (the “Bridge Facility”) pursuant to a commitment letter (the “Bridge Commitment Letter”) dated as of October 29, 2020, with JPMorgan Chase Bank, N.A. (“JPMorgan”) and the other financial institutions that have joined thereto, and (ii) a $1.75 billion senior unsecured term loan facility comprised of a $875.0 million 3-year term loan tranche (the “3 Year Term Loan”) and a $875.0 million 5-year term loan tranche (the “5-Year Term Loan,” and collectively with the 3-Year Term Loan, the “2020 Term Loan Facility”) pursuant to a credit agreement, dated December 7, 2020 (the “2020 Term Loan Agreement”), with JPMorgan, as administrative agent and a lender, and the other lenders from time to time party thereto.</w:t>
      </w:r>
    </w:p>
    <w:p>
      <w:pPr>
        <w:spacing w:after="0" w:line="204" w:lineRule="exact"/>
        <w:rPr>
          <w:sz w:val="20"/>
          <w:szCs w:val="20"/>
          <w:color w:val="auto"/>
        </w:rPr>
      </w:pPr>
    </w:p>
    <w:p>
      <w:pPr>
        <w:ind w:right="20" w:firstLine="405"/>
        <w:spacing w:after="0" w:line="288" w:lineRule="auto"/>
        <w:rPr>
          <w:sz w:val="20"/>
          <w:szCs w:val="20"/>
          <w:color w:val="auto"/>
        </w:rPr>
      </w:pPr>
      <w:r>
        <w:rPr>
          <w:rFonts w:ascii="Arial" w:cs="Arial" w:eastAsia="Arial" w:hAnsi="Arial"/>
          <w:sz w:val="16"/>
          <w:szCs w:val="16"/>
          <w:color w:val="auto"/>
        </w:rPr>
        <w:t>Pursuant to the Bridge Commitment Letter and the 2020 Term Loan Agreement, subject to the terms and conditions set forth therein, JPMorgan and the other lenders party thereto have committed to provide the full amount of the Bridge Facility and the Term Loan Facility, as applicable. The funding of the Bridge Facility provided for in the Bridge Commitment Letter and the funding of the Term Loan Facility provided for in the 2020 Term Loan Agreement, in each case, is contingent upon the satisfaction of customary conditions, including (i) execution and delivery of definitive documentation with respect to the Bridge Facility in accordance with the terms set forth in the Bridge Commitment Letter and (ii) consummation of the Mergers in accordance with the Merger Agreement. The actual documentation governing the Bridge Facility has not been finalized, and accordingly, the actual terms may differ from the description of such terms in the applicable Bridge Commitment Letter. Availability under the Bridge Facility will be reduced by the net cash proceeds from customary mandatory commitment reduction and prepayment events from issuances of equity, the incurrence of certain other debt or the sale of available assets, in each case subject to limited exceptions. We expect to replace some or all of the Bridge Facility prior to the closing of the Mergers with permanent financing comprised of senior unsecured notes. There can be no assurance that the permanent financing will be completed.</w:t>
      </w:r>
    </w:p>
    <w:p>
      <w:pPr>
        <w:spacing w:after="0" w:line="60"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117" w:lineRule="exact"/>
        <w:rPr>
          <w:sz w:val="20"/>
          <w:szCs w:val="20"/>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23" w:lineRule="exact"/>
        <w:rPr>
          <w:rFonts w:ascii="Arial" w:cs="Arial" w:eastAsia="Arial" w:hAnsi="Arial"/>
          <w:sz w:val="18"/>
          <w:szCs w:val="18"/>
          <w:color w:val="auto"/>
        </w:rPr>
      </w:pPr>
    </w:p>
    <w:p>
      <w:pPr>
        <w:jc w:val="both"/>
        <w:ind w:left="660" w:right="160" w:hanging="328"/>
        <w:spacing w:after="0" w:line="250" w:lineRule="auto"/>
        <w:tabs>
          <w:tab w:leader="none" w:pos="655"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660" w:right="460" w:hanging="328"/>
        <w:spacing w:after="0" w:line="260" w:lineRule="auto"/>
        <w:tabs>
          <w:tab w:leader="none" w:pos="655"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77" w:lineRule="exact"/>
        <w:rPr>
          <w:sz w:val="20"/>
          <w:szCs w:val="20"/>
          <w:color w:val="auto"/>
        </w:rPr>
      </w:pPr>
    </w:p>
    <w:p>
      <w:pPr>
        <w:ind w:right="180" w:firstLine="405"/>
        <w:spacing w:after="0" w:line="25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7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79" w:lineRule="exact"/>
        <w:rPr>
          <w:sz w:val="20"/>
          <w:szCs w:val="20"/>
          <w:color w:val="auto"/>
        </w:rPr>
      </w:pPr>
    </w:p>
    <w:p>
      <w:pPr>
        <w:jc w:val="both"/>
        <w:ind w:right="120" w:firstLine="405"/>
        <w:spacing w:after="0" w:line="342"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200" w:lineRule="exact"/>
        <w:rPr>
          <w:sz w:val="20"/>
          <w:szCs w:val="20"/>
          <w:color w:val="auto"/>
        </w:rPr>
      </w:pPr>
    </w:p>
    <w:p>
      <w:pPr>
        <w:spacing w:after="0" w:line="3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6" w:name="page37"/>
    <w:bookmarkEnd w:id="36"/>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56" w:lineRule="exact"/>
        <w:rPr>
          <w:sz w:val="20"/>
          <w:szCs w:val="20"/>
          <w:color w:val="auto"/>
        </w:rPr>
      </w:pPr>
    </w:p>
    <w:p>
      <w:pPr>
        <w:ind w:right="80" w:firstLine="405"/>
        <w:spacing w:after="0" w:line="29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under which the Senior Notes were issued impose restrictions on our business.</w:t>
      </w:r>
    </w:p>
    <w:p>
      <w:pPr>
        <w:spacing w:after="0" w:line="256" w:lineRule="exact"/>
        <w:rPr>
          <w:sz w:val="20"/>
          <w:szCs w:val="20"/>
          <w:color w:val="auto"/>
        </w:rPr>
      </w:pPr>
    </w:p>
    <w:p>
      <w:pPr>
        <w:ind w:right="160" w:firstLine="405"/>
        <w:spacing w:after="0" w:line="273"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70" w:lineRule="exact"/>
        <w:rPr>
          <w:sz w:val="20"/>
          <w:szCs w:val="20"/>
          <w:color w:val="auto"/>
        </w:rPr>
      </w:pPr>
    </w:p>
    <w:p>
      <w:pPr>
        <w:ind w:right="180" w:firstLine="405"/>
        <w:spacing w:after="0" w:line="263"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56"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Senior Notes at the option of the holder.</w:t>
      </w:r>
    </w:p>
    <w:p>
      <w:pPr>
        <w:spacing w:after="0" w:line="256" w:lineRule="exact"/>
        <w:rPr>
          <w:sz w:val="20"/>
          <w:szCs w:val="20"/>
          <w:color w:val="auto"/>
        </w:rPr>
      </w:pPr>
    </w:p>
    <w:p>
      <w:pPr>
        <w:ind w:right="120" w:firstLine="405"/>
        <w:spacing w:after="0" w:line="272" w:lineRule="auto"/>
        <w:rPr>
          <w:sz w:val="20"/>
          <w:szCs w:val="20"/>
          <w:color w:val="auto"/>
        </w:rPr>
      </w:pPr>
      <w:r>
        <w:rPr>
          <w:rFonts w:ascii="Arial" w:cs="Arial" w:eastAsia="Arial" w:hAnsi="Arial"/>
          <w:sz w:val="17"/>
          <w:szCs w:val="17"/>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37" w:name="page38"/>
    <w:bookmarkEnd w:id="37"/>
    <w:p>
      <w:pPr>
        <w:spacing w:after="0"/>
        <w:rPr>
          <w:sz w:val="20"/>
          <w:szCs w:val="20"/>
          <w:color w:val="auto"/>
        </w:rPr>
      </w:pPr>
      <w:r>
        <w:rPr>
          <w:rFonts w:ascii="Arial" w:cs="Arial" w:eastAsia="Arial" w:hAnsi="Arial"/>
          <w:sz w:val="18"/>
          <w:szCs w:val="18"/>
          <w:color w:val="auto"/>
        </w:rPr>
        <w:t>WE ARE SUBJECT TO CYBERSECURITY RISKS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56"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70" w:lineRule="exact"/>
        <w:rPr>
          <w:sz w:val="20"/>
          <w:szCs w:val="20"/>
          <w:color w:val="auto"/>
        </w:rPr>
      </w:pPr>
    </w:p>
    <w:p>
      <w:pPr>
        <w:ind w:right="120" w:firstLine="405"/>
        <w:spacing w:after="0" w:line="272"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6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79" w:lineRule="exact"/>
        <w:rPr>
          <w:sz w:val="20"/>
          <w:szCs w:val="20"/>
          <w:color w:val="auto"/>
        </w:rPr>
      </w:pPr>
    </w:p>
    <w:p>
      <w:pPr>
        <w:jc w:val="both"/>
        <w:ind w:right="140" w:firstLine="405"/>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48" w:lineRule="exact"/>
        <w:rPr>
          <w:sz w:val="20"/>
          <w:szCs w:val="20"/>
          <w:color w:val="auto"/>
        </w:rPr>
      </w:pPr>
    </w:p>
    <w:p>
      <w:pPr>
        <w:ind w:right="520"/>
        <w:spacing w:after="0" w:line="312"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1" w:lineRule="exact"/>
        <w:rPr>
          <w:sz w:val="20"/>
          <w:szCs w:val="20"/>
          <w:color w:val="auto"/>
        </w:rPr>
      </w:pPr>
    </w:p>
    <w:p>
      <w:pPr>
        <w:ind w:right="80" w:firstLine="405"/>
        <w:spacing w:after="0" w:line="272"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4"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recent restructuring efforts and in connection with our recent acquisitions and divestiture,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00" w:lineRule="exact"/>
        <w:rPr>
          <w:sz w:val="20"/>
          <w:szCs w:val="20"/>
          <w:color w:val="auto"/>
        </w:rPr>
      </w:pPr>
    </w:p>
    <w:p>
      <w:pPr>
        <w:spacing w:after="0" w:line="3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286" w:right="379" w:bottom="1440" w:gutter="0" w:footer="0" w:header="0"/>
        </w:sectPr>
      </w:pPr>
    </w:p>
    <w:bookmarkStart w:id="38" w:name="page39"/>
    <w:bookmarkEnd w:id="38"/>
    <w:p>
      <w:pPr>
        <w:ind w:right="460"/>
        <w:spacing w:after="0" w:line="347"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w:t>
      </w:r>
    </w:p>
    <w:p>
      <w:pPr>
        <w:spacing w:after="0" w:line="3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$700 million addition to our previously existing $1 billion share repurchase program. An aggregate of $1.1 billion of shares have been repurchased under that program as of January 30, 2021.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Our share repurchase program was temporarily suspended in late March 2020 to preserve cash during the COVID-19 pandemic and remains temporarily suspended to preserve cash in anticipation of the funding of our acquisition of Inphi. Although share repurchases were temporarily suspended during this time, as of January 30, 2021, there was $564.5 million remaining available for future share repurchases under the authorization. We will continue to evaluate business conditions to decide when we can restart the share repurchase program.</w:t>
      </w:r>
    </w:p>
    <w:p>
      <w:pPr>
        <w:spacing w:after="0" w:line="209" w:lineRule="exact"/>
        <w:rPr>
          <w:sz w:val="20"/>
          <w:szCs w:val="20"/>
          <w:color w:val="auto"/>
        </w:rPr>
      </w:pPr>
    </w:p>
    <w:p>
      <w:pPr>
        <w:ind w:right="100"/>
        <w:spacing w:after="0" w:line="282"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shareholder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22" w:lineRule="exact"/>
        <w:rPr>
          <w:sz w:val="20"/>
          <w:szCs w:val="20"/>
          <w:color w:val="auto"/>
        </w:rPr>
      </w:pPr>
    </w:p>
    <w:p>
      <w:pPr>
        <w:ind w:firstLine="405"/>
        <w:spacing w:after="0" w:line="311"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6"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0" w:lineRule="exact"/>
        <w:rPr>
          <w:sz w:val="20"/>
          <w:szCs w:val="20"/>
          <w:color w:val="auto"/>
        </w:rPr>
      </w:pPr>
    </w:p>
    <w:p>
      <w:pPr>
        <w:ind w:right="80"/>
        <w:spacing w:after="0" w:line="282"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3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39" w:name="page40"/>
    <w:bookmarkEnd w:id="39"/>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79" w:lineRule="exact"/>
        <w:rPr>
          <w:sz w:val="20"/>
          <w:szCs w:val="20"/>
          <w:color w:val="auto"/>
        </w:rPr>
      </w:pPr>
    </w:p>
    <w:p>
      <w:pPr>
        <w:ind w:firstLine="405"/>
        <w:spacing w:after="0" w:line="301"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4"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2020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1B. </w:t>
      </w:r>
      <w:r>
        <w:rPr>
          <w:rFonts w:ascii="Arial" w:cs="Arial" w:eastAsia="Arial" w:hAnsi="Arial"/>
          <w:sz w:val="18"/>
          <w:szCs w:val="18"/>
          <w:b w:val="1"/>
          <w:bCs w:val="1"/>
          <w:i w:val="1"/>
          <w:iCs w:val="1"/>
          <w:color w:val="auto"/>
        </w:rPr>
        <w:t>Unresolved Staff Comments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8"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Properties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January 30, 2021:</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180" w:type="dxa"/>
            <w:vAlign w:val="bottom"/>
            <w:tcBorders>
              <w:bottom w:val="single" w:sz="8" w:color="auto"/>
            </w:tcBorders>
            <w:gridSpan w:val="3"/>
          </w:tcPr>
          <w:p>
            <w:pPr>
              <w:jc w:val="right"/>
              <w:ind w:right="1092"/>
              <w:spacing w:after="0"/>
              <w:rPr>
                <w:sz w:val="20"/>
                <w:szCs w:val="20"/>
                <w:color w:val="auto"/>
              </w:rPr>
            </w:pPr>
            <w:r>
              <w:rPr>
                <w:rFonts w:ascii="Arial" w:cs="Arial" w:eastAsia="Arial" w:hAnsi="Arial"/>
                <w:sz w:val="14"/>
                <w:szCs w:val="14"/>
                <w:b w:val="1"/>
                <w:bCs w:val="1"/>
                <w:color w:val="auto"/>
              </w:rPr>
              <w:t>(Square Feet)</w:t>
            </w:r>
          </w:p>
        </w:tc>
      </w:tr>
      <w:tr>
        <w:trPr>
          <w:trHeight w:val="188"/>
        </w:trPr>
        <w:tc>
          <w:tcPr>
            <w:tcW w:w="2320" w:type="dxa"/>
            <w:vAlign w:val="bottom"/>
            <w:gridSpan w:val="2"/>
          </w:tcPr>
          <w:p>
            <w:pPr>
              <w:ind w:left="20"/>
              <w:spacing w:after="0"/>
              <w:rPr>
                <w:sz w:val="20"/>
                <w:szCs w:val="20"/>
                <w:color w:val="auto"/>
              </w:rPr>
            </w:pPr>
            <w:r>
              <w:rPr>
                <w:rFonts w:ascii="Arial" w:cs="Arial" w:eastAsia="Arial" w:hAnsi="Arial"/>
                <w:sz w:val="14"/>
                <w:szCs w:val="14"/>
                <w:b w:val="1"/>
                <w:bCs w:val="1"/>
                <w:color w:val="auto"/>
              </w:rPr>
              <w:t>Locations</w:t>
            </w:r>
          </w:p>
        </w:tc>
        <w:tc>
          <w:tcPr>
            <w:tcW w:w="5740" w:type="dxa"/>
            <w:vAlign w:val="bottom"/>
            <w:gridSpan w:val="2"/>
          </w:tcPr>
          <w:p>
            <w:pPr>
              <w:ind w:left="2420"/>
              <w:spacing w:after="0"/>
              <w:rPr>
                <w:sz w:val="20"/>
                <w:szCs w:val="20"/>
                <w:color w:val="auto"/>
              </w:rPr>
            </w:pPr>
            <w:r>
              <w:rPr>
                <w:rFonts w:ascii="Arial" w:cs="Arial" w:eastAsia="Arial" w:hAnsi="Arial"/>
                <w:sz w:val="14"/>
                <w:szCs w:val="14"/>
                <w:b w:val="1"/>
                <w:bCs w:val="1"/>
                <w:color w:val="auto"/>
              </w:rPr>
              <w:t>Primary Use</w:t>
            </w:r>
          </w:p>
        </w:tc>
        <w:tc>
          <w:tcPr>
            <w:tcW w:w="1540" w:type="dxa"/>
            <w:vAlign w:val="bottom"/>
            <w:gridSpan w:val="2"/>
          </w:tcPr>
          <w:p>
            <w:pPr>
              <w:ind w:left="200"/>
              <w:spacing w:after="0"/>
              <w:rPr>
                <w:sz w:val="20"/>
                <w:szCs w:val="20"/>
                <w:color w:val="auto"/>
              </w:rPr>
            </w:pPr>
            <w:r>
              <w:rPr>
                <w:rFonts w:ascii="Arial" w:cs="Arial" w:eastAsia="Arial" w:hAnsi="Arial"/>
                <w:sz w:val="14"/>
                <w:szCs w:val="14"/>
                <w:b w:val="1"/>
                <w:bCs w:val="1"/>
                <w:color w:val="auto"/>
              </w:rPr>
              <w:t>Owned Facilities</w:t>
            </w:r>
          </w:p>
        </w:tc>
        <w:tc>
          <w:tcPr>
            <w:tcW w:w="1640" w:type="dxa"/>
            <w:vAlign w:val="bottom"/>
          </w:tcPr>
          <w:p>
            <w:pPr>
              <w:jc w:val="right"/>
              <w:ind w:right="132"/>
              <w:spacing w:after="0"/>
              <w:rPr>
                <w:sz w:val="20"/>
                <w:szCs w:val="20"/>
                <w:color w:val="auto"/>
              </w:rPr>
            </w:pPr>
            <w:r>
              <w:rPr>
                <w:rFonts w:ascii="Arial" w:cs="Arial" w:eastAsia="Arial" w:hAnsi="Arial"/>
                <w:sz w:val="14"/>
                <w:szCs w:val="14"/>
                <w:b w:val="1"/>
                <w:bCs w:val="1"/>
                <w:color w:val="auto"/>
              </w:rPr>
              <w:t>Leased Facilities (1)</w:t>
            </w:r>
          </w:p>
        </w:tc>
      </w:tr>
      <w:tr>
        <w:trPr>
          <w:trHeight w:val="224"/>
        </w:trPr>
        <w:tc>
          <w:tcPr>
            <w:tcW w:w="22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United States</w:t>
            </w:r>
          </w:p>
        </w:tc>
        <w:tc>
          <w:tcPr>
            <w:tcW w:w="120" w:type="dxa"/>
            <w:vAlign w:val="bottom"/>
            <w:tcBorders>
              <w:top w:val="single" w:sz="8" w:color="CCEEFF"/>
            </w:tcBorders>
            <w:shd w:val="clear" w:color="auto" w:fill="CCEEFF"/>
          </w:tcPr>
          <w:p>
            <w:pPr>
              <w:spacing w:after="0"/>
              <w:rPr>
                <w:sz w:val="19"/>
                <w:szCs w:val="19"/>
                <w:color w:val="auto"/>
              </w:rPr>
            </w:pPr>
          </w:p>
        </w:tc>
        <w:tc>
          <w:tcPr>
            <w:tcW w:w="56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5"/>
              </w:rPr>
              <w:t>Research and design, sales and marketing, administration and operations</w:t>
            </w:r>
          </w:p>
        </w:tc>
        <w:tc>
          <w:tcPr>
            <w:tcW w:w="120" w:type="dxa"/>
            <w:vAlign w:val="bottom"/>
            <w:tcBorders>
              <w:top w:val="single" w:sz="8" w:color="CCEEFF"/>
            </w:tcBorders>
            <w:shd w:val="clear" w:color="auto" w:fill="CCEEFF"/>
          </w:tcPr>
          <w:p>
            <w:pPr>
              <w:spacing w:after="0"/>
              <w:rPr>
                <w:sz w:val="19"/>
                <w:szCs w:val="19"/>
                <w:color w:val="auto"/>
              </w:rPr>
            </w:pPr>
          </w:p>
        </w:tc>
        <w:tc>
          <w:tcPr>
            <w:tcW w:w="1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983,000</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438,000</w:t>
            </w:r>
          </w:p>
        </w:tc>
      </w:tr>
      <w:tr>
        <w:trPr>
          <w:trHeight w:val="229"/>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India</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tcPr>
          <w:p>
            <w:pPr>
              <w:jc w:val="right"/>
              <w:spacing w:after="0"/>
              <w:rPr>
                <w:sz w:val="20"/>
                <w:szCs w:val="20"/>
                <w:color w:val="auto"/>
              </w:rPr>
            </w:pPr>
            <w:r>
              <w:rPr>
                <w:rFonts w:ascii="Arial" w:cs="Arial" w:eastAsia="Arial" w:hAnsi="Arial"/>
                <w:sz w:val="18"/>
                <w:szCs w:val="18"/>
                <w:color w:val="auto"/>
              </w:rPr>
              <w:t>263,000</w:t>
            </w:r>
          </w:p>
        </w:tc>
      </w:tr>
      <w:tr>
        <w:trPr>
          <w:trHeight w:val="230"/>
        </w:trPr>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Israel</w:t>
            </w:r>
          </w:p>
        </w:tc>
        <w:tc>
          <w:tcPr>
            <w:tcW w:w="57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220,000</w:t>
            </w:r>
          </w:p>
        </w:tc>
      </w:tr>
      <w:tr>
        <w:trPr>
          <w:trHeight w:val="230"/>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China</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Research and design, and sales and marketing</w:t>
            </w:r>
          </w:p>
        </w:tc>
        <w:tc>
          <w:tcPr>
            <w:tcW w:w="1420" w:type="dxa"/>
            <w:vAlign w:val="bottom"/>
          </w:tcPr>
          <w:p>
            <w:pPr>
              <w:jc w:val="right"/>
              <w:spacing w:after="0"/>
              <w:rPr>
                <w:sz w:val="20"/>
                <w:szCs w:val="20"/>
                <w:color w:val="auto"/>
              </w:rPr>
            </w:pPr>
            <w:r>
              <w:rPr>
                <w:rFonts w:ascii="Arial" w:cs="Arial" w:eastAsia="Arial" w:hAnsi="Arial"/>
                <w:sz w:val="18"/>
                <w:szCs w:val="18"/>
                <w:color w:val="auto"/>
              </w:rPr>
              <w:t>116,000</w:t>
            </w:r>
          </w:p>
        </w:tc>
        <w:tc>
          <w:tcPr>
            <w:tcW w:w="120" w:type="dxa"/>
            <w:vAlign w:val="bottom"/>
          </w:tcPr>
          <w:p>
            <w:pPr>
              <w:spacing w:after="0"/>
              <w:rPr>
                <w:sz w:val="19"/>
                <w:szCs w:val="19"/>
                <w:color w:val="auto"/>
              </w:rPr>
            </w:pPr>
          </w:p>
        </w:tc>
        <w:tc>
          <w:tcPr>
            <w:tcW w:w="1640" w:type="dxa"/>
            <w:vAlign w:val="bottom"/>
          </w:tcPr>
          <w:p>
            <w:pPr>
              <w:jc w:val="right"/>
              <w:spacing w:after="0"/>
              <w:rPr>
                <w:sz w:val="20"/>
                <w:szCs w:val="20"/>
                <w:color w:val="auto"/>
              </w:rPr>
            </w:pPr>
            <w:r>
              <w:rPr>
                <w:rFonts w:ascii="Arial" w:cs="Arial" w:eastAsia="Arial" w:hAnsi="Arial"/>
                <w:sz w:val="18"/>
                <w:szCs w:val="18"/>
                <w:color w:val="auto"/>
              </w:rPr>
              <w:t>46,000</w:t>
            </w:r>
          </w:p>
        </w:tc>
      </w:tr>
      <w:tr>
        <w:trPr>
          <w:trHeight w:val="230"/>
        </w:trPr>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Taiwan</w:t>
            </w:r>
          </w:p>
        </w:tc>
        <w:tc>
          <w:tcPr>
            <w:tcW w:w="57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49,000</w:t>
            </w:r>
          </w:p>
        </w:tc>
      </w:tr>
      <w:tr>
        <w:trPr>
          <w:trHeight w:val="229"/>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Singapore</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Operations, and research and design</w:t>
            </w:r>
          </w:p>
        </w:tc>
        <w:tc>
          <w:tcPr>
            <w:tcW w:w="1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tcPr>
          <w:p>
            <w:pPr>
              <w:jc w:val="right"/>
              <w:spacing w:after="0"/>
              <w:rPr>
                <w:sz w:val="20"/>
                <w:szCs w:val="20"/>
                <w:color w:val="auto"/>
              </w:rPr>
            </w:pPr>
            <w:r>
              <w:rPr>
                <w:rFonts w:ascii="Arial" w:cs="Arial" w:eastAsia="Arial" w:hAnsi="Arial"/>
                <w:sz w:val="18"/>
                <w:szCs w:val="18"/>
                <w:color w:val="auto"/>
              </w:rPr>
              <w:t>55,000</w:t>
            </w:r>
          </w:p>
        </w:tc>
      </w:tr>
      <w:tr>
        <w:trPr>
          <w:trHeight w:val="248"/>
        </w:trPr>
        <w:tc>
          <w:tcPr>
            <w:tcW w:w="22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5740" w:type="dxa"/>
            <w:vAlign w:val="bottom"/>
            <w:tcBorders>
              <w:top w:val="single" w:sz="8" w:color="CCEEFF"/>
              <w:bottom w:val="single" w:sz="8" w:color="CCEEFF"/>
            </w:tcBorders>
            <w:gridSpan w:val="2"/>
            <w:shd w:val="clear" w:color="auto" w:fill="CCEEFF"/>
          </w:tcPr>
          <w:p>
            <w:pPr>
              <w:ind w:left="2620"/>
              <w:spacing w:after="0"/>
              <w:rPr>
                <w:sz w:val="20"/>
                <w:szCs w:val="20"/>
                <w:color w:val="auto"/>
              </w:rPr>
            </w:pPr>
            <w:r>
              <w:rPr>
                <w:rFonts w:ascii="Arial" w:cs="Arial" w:eastAsia="Arial" w:hAnsi="Arial"/>
                <w:sz w:val="18"/>
                <w:szCs w:val="18"/>
                <w:b w:val="1"/>
                <w:bCs w:val="1"/>
                <w:color w:val="auto"/>
              </w:rPr>
              <w:t>Total</w:t>
            </w:r>
          </w:p>
        </w:tc>
        <w:tc>
          <w:tcPr>
            <w:tcW w:w="14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1,099,000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1,071,000</w:t>
            </w:r>
          </w:p>
        </w:tc>
      </w:tr>
      <w:tr>
        <w:trPr>
          <w:trHeight w:val="20"/>
        </w:trPr>
        <w:tc>
          <w:tcPr>
            <w:tcW w:w="22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56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bottom w:val="single" w:sz="8" w:color="auto"/>
            </w:tcBorders>
          </w:tcPr>
          <w:p>
            <w:pPr>
              <w:spacing w:after="0" w:line="20" w:lineRule="exact"/>
              <w:rPr>
                <w:sz w:val="1"/>
                <w:szCs w:val="1"/>
                <w:color w:val="auto"/>
              </w:rPr>
            </w:pPr>
          </w:p>
        </w:tc>
      </w:tr>
    </w:tbl>
    <w:p>
      <w:pPr>
        <w:spacing w:after="0" w:line="350" w:lineRule="exact"/>
        <w:rPr>
          <w:sz w:val="20"/>
          <w:szCs w:val="20"/>
          <w:color w:val="auto"/>
        </w:rPr>
      </w:pPr>
    </w:p>
    <w:p>
      <w:pPr>
        <w:ind w:right="60" w:firstLine="8"/>
        <w:spacing w:after="0" w:line="250" w:lineRule="auto"/>
        <w:tabs>
          <w:tab w:leader="none" w:pos="660" w:val="left"/>
        </w:tabs>
        <w:numPr>
          <w:ilvl w:val="0"/>
          <w:numId w:val="21"/>
        </w:numPr>
        <w:rPr>
          <w:rFonts w:ascii="Arial" w:cs="Arial" w:eastAsia="Arial" w:hAnsi="Arial"/>
          <w:sz w:val="20"/>
          <w:szCs w:val="20"/>
          <w:color w:val="auto"/>
        </w:rPr>
      </w:pPr>
      <w:r>
        <w:rPr>
          <w:rFonts w:ascii="Arial" w:cs="Arial" w:eastAsia="Arial" w:hAnsi="Arial"/>
          <w:sz w:val="18"/>
          <w:szCs w:val="18"/>
          <w:color w:val="auto"/>
        </w:rPr>
        <w:t>Lease terms expire in various years from 2021 through 2030, provided, however, that we have the option to extend certain leases past the current lease term. We have ceased-use lease facilities and subleased facilities of approximately 442,010 square feet in the United States that are excluded from the table above.</w:t>
      </w:r>
    </w:p>
    <w:p>
      <w:pPr>
        <w:spacing w:after="0" w:line="85" w:lineRule="exact"/>
        <w:rPr>
          <w:sz w:val="20"/>
          <w:szCs w:val="20"/>
          <w:color w:val="auto"/>
        </w:rPr>
      </w:pPr>
    </w:p>
    <w:p>
      <w:pPr>
        <w:ind w:right="100" w:firstLine="405"/>
        <w:spacing w:after="0" w:line="263" w:lineRule="auto"/>
        <w:rPr>
          <w:sz w:val="20"/>
          <w:szCs w:val="20"/>
          <w:color w:val="auto"/>
        </w:rPr>
      </w:pPr>
      <w:r>
        <w:rPr>
          <w:rFonts w:ascii="Arial" w:cs="Arial" w:eastAsia="Arial" w:hAnsi="Arial"/>
          <w:sz w:val="18"/>
          <w:szCs w:val="18"/>
          <w:color w:val="auto"/>
        </w:rPr>
        <w:t>We also lease smaller facilities in various international locations, which are occupied by administrative, sales, design and field application personnel. Based on the potential for future hiring, we believe that our current facilities in most locations will be adequate to meet our requirements at least through the next fiscal year.</w:t>
      </w:r>
    </w:p>
    <w:p>
      <w:pPr>
        <w:spacing w:after="0" w:line="31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121"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The information set forth under “Note 12 - Commitments and Contingencies” in our Notes to the Consolidated Financial Statements set forth in Part II, Item 8 of this Annual Report on Form 10-K is incorporated herein by reference. For a discussion of certain risks associated with legal proceedings, please see Part I, Item 1A, “Risk Factors” above.</w:t>
      </w:r>
    </w:p>
    <w:p>
      <w:pPr>
        <w:spacing w:after="0" w:line="31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Not Applicable.</w:t>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40" w:name="page41"/>
    <w:bookmarkEnd w:id="40"/>
    <w:p>
      <w:pPr>
        <w:ind w:left="5300"/>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Shareholder Matters and Issuer Purchases of Equity Securities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121"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w:t>
      </w:r>
    </w:p>
    <w:p>
      <w:pPr>
        <w:spacing w:after="0" w:line="62"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As of March 9, 2021, the approximate number of record holders of our common shares was 513 (not including beneficial owners of stock held in street name).</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121"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62" w:lineRule="exact"/>
        <w:rPr>
          <w:sz w:val="20"/>
          <w:szCs w:val="20"/>
          <w:color w:val="auto"/>
        </w:rPr>
      </w:pPr>
    </w:p>
    <w:p>
      <w:pPr>
        <w:ind w:firstLine="405"/>
        <w:spacing w:after="0" w:line="279" w:lineRule="auto"/>
        <w:rPr>
          <w:sz w:val="20"/>
          <w:szCs w:val="20"/>
          <w:color w:val="auto"/>
        </w:rPr>
      </w:pPr>
      <w:r>
        <w:rPr>
          <w:rFonts w:ascii="Arial" w:cs="Arial" w:eastAsia="Arial" w:hAnsi="Arial"/>
          <w:sz w:val="17"/>
          <w:szCs w:val="17"/>
          <w:color w:val="auto"/>
        </w:rPr>
        <w:t>The graph below compares the cumulative total shareholder return of our common shares with the cumulative total return of the S&amp;P 500 Index and the Philadelphia Semiconductor Index since January 30, 2016 through January 30, 2021. The graph compares a $100 investment on January 30, 2016 in our common shares with a $100 investment on January 30, 2016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561975</wp:posOffset>
            </wp:positionH>
            <wp:positionV relativeFrom="paragraph">
              <wp:posOffset>48895</wp:posOffset>
            </wp:positionV>
            <wp:extent cx="6017895" cy="34804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6017895" cy="34804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2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1/30/2016</w:t>
            </w:r>
          </w:p>
        </w:tc>
        <w:tc>
          <w:tcPr>
            <w:tcW w:w="12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1/28/2017</w:t>
            </w:r>
          </w:p>
        </w:tc>
        <w:tc>
          <w:tcPr>
            <w:tcW w:w="100" w:type="dxa"/>
            <w:vAlign w:val="bottom"/>
            <w:tcBorders>
              <w:bottom w:val="single" w:sz="8" w:color="CCEEFF"/>
            </w:tcBorders>
          </w:tcPr>
          <w:p>
            <w:pPr>
              <w:spacing w:after="0"/>
              <w:rPr>
                <w:sz w:val="16"/>
                <w:szCs w:val="16"/>
                <w:color w:val="auto"/>
              </w:rPr>
            </w:pPr>
          </w:p>
        </w:tc>
        <w:tc>
          <w:tcPr>
            <w:tcW w:w="116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2/3/2018</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2/2/2019</w:t>
            </w:r>
          </w:p>
        </w:tc>
        <w:tc>
          <w:tcPr>
            <w:tcW w:w="12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2/1/2020</w:t>
            </w:r>
          </w:p>
        </w:tc>
        <w:tc>
          <w:tcPr>
            <w:tcW w:w="12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1/30/2021</w:t>
            </w:r>
          </w:p>
        </w:tc>
      </w:tr>
      <w:tr>
        <w:trPr>
          <w:trHeight w:val="229"/>
        </w:trPr>
        <w:tc>
          <w:tcPr>
            <w:tcW w:w="38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Marvell Technology Group Ltd.</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174.10</w:t>
            </w: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262.33</w:t>
            </w:r>
          </w:p>
        </w:tc>
        <w:tc>
          <w:tcPr>
            <w:tcW w:w="1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218.12</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287.74</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620.20</w:t>
            </w:r>
          </w:p>
        </w:tc>
      </w:tr>
      <w:tr>
        <w:trPr>
          <w:trHeight w:val="230"/>
        </w:trPr>
        <w:tc>
          <w:tcPr>
            <w:tcW w:w="3820" w:type="dxa"/>
            <w:vAlign w:val="bottom"/>
          </w:tcPr>
          <w:p>
            <w:pPr>
              <w:ind w:left="20"/>
              <w:spacing w:after="0"/>
              <w:rPr>
                <w:sz w:val="20"/>
                <w:szCs w:val="20"/>
                <w:color w:val="auto"/>
              </w:rPr>
            </w:pPr>
            <w:r>
              <w:rPr>
                <w:rFonts w:ascii="Arial" w:cs="Arial" w:eastAsia="Arial" w:hAnsi="Arial"/>
                <w:sz w:val="18"/>
                <w:szCs w:val="18"/>
                <w:b w:val="1"/>
                <w:bCs w:val="1"/>
                <w:color w:val="auto"/>
              </w:rPr>
              <w:t>S&amp;P 500</w:t>
            </w: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120.87</w:t>
            </w:r>
          </w:p>
        </w:tc>
        <w:tc>
          <w:tcPr>
            <w:tcW w:w="1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b w:val="1"/>
                <w:bCs w:val="1"/>
                <w:color w:val="auto"/>
              </w:rPr>
              <w:t>148.47</w:t>
            </w:r>
          </w:p>
        </w:tc>
        <w:tc>
          <w:tcPr>
            <w:tcW w:w="1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148.38</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180.37</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211.48</w:t>
            </w:r>
          </w:p>
        </w:tc>
      </w:tr>
      <w:tr>
        <w:trPr>
          <w:trHeight w:val="229"/>
        </w:trPr>
        <w:tc>
          <w:tcPr>
            <w:tcW w:w="38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PHLX Semiconductor</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159.88</w:t>
            </w: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222.64</w:t>
            </w:r>
          </w:p>
        </w:tc>
        <w:tc>
          <w:tcPr>
            <w:tcW w:w="1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221.67</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314.23</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515.27</w:t>
            </w:r>
          </w:p>
        </w:tc>
      </w:tr>
      <w:tr>
        <w:trPr>
          <w:trHeight w:val="635"/>
        </w:trPr>
        <w:tc>
          <w:tcPr>
            <w:tcW w:w="38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jc w:val="right"/>
              <w:ind w:right="414"/>
              <w:spacing w:after="0"/>
              <w:rPr>
                <w:sz w:val="20"/>
                <w:szCs w:val="20"/>
                <w:color w:val="auto"/>
              </w:rPr>
            </w:pPr>
            <w:r>
              <w:rPr>
                <w:rFonts w:ascii="Arial" w:cs="Arial" w:eastAsia="Arial" w:hAnsi="Arial"/>
                <w:sz w:val="18"/>
                <w:szCs w:val="18"/>
                <w:color w:val="auto"/>
              </w:rPr>
              <w:t>38</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358"/>
        </w:trPr>
        <w:tc>
          <w:tcPr>
            <w:tcW w:w="38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6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999" w:right="339" w:bottom="1440" w:gutter="0" w:footer="0" w:header="0"/>
        </w:sectPr>
      </w:pPr>
    </w:p>
    <w:bookmarkStart w:id="41" w:name="page42"/>
    <w:bookmarkEnd w:id="41"/>
    <w:p>
      <w:pPr>
        <w:spacing w:after="0" w:line="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2021,</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2020 and 2019. As a result, we paid total cash dividends of $160.6 million in fiscal 2021, $159.6 million in fiscal 2020, and $148.1 million in fiscal 2019.</w:t>
      </w:r>
    </w:p>
    <w:p>
      <w:pPr>
        <w:spacing w:after="0" w:line="126" w:lineRule="exact"/>
        <w:rPr>
          <w:sz w:val="20"/>
          <w:szCs w:val="20"/>
          <w:color w:val="auto"/>
        </w:rPr>
      </w:pPr>
    </w:p>
    <w:p>
      <w:pPr>
        <w:ind w:firstLine="405"/>
        <w:spacing w:after="0" w:line="301" w:lineRule="auto"/>
        <w:rPr>
          <w:sz w:val="20"/>
          <w:szCs w:val="20"/>
          <w:color w:val="auto"/>
        </w:rPr>
      </w:pPr>
      <w:r>
        <w:rPr>
          <w:rFonts w:ascii="Arial" w:cs="Arial" w:eastAsia="Arial" w:hAnsi="Arial"/>
          <w:sz w:val="16"/>
          <w:szCs w:val="16"/>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developments in ongoing litigation, statutory requirements under Bermuda law and other factors that our Board of Directors may deem relevant. The Company’s dividend payments may change from time to time, and we cannot provide assurance that we will continue to declare dividends at all or in any particular amounts.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121"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remains temporarily suspended to preserve cash in anticipation of the funding of our acquisition of Inphi. As a result, we did not repurchase any shares during the three months ended January 30, 2021. We will continue to evaluate business conditions to decide when we can restart the share repurchase program. Although share repurchases are temporarily suspended, we have $564.5 million of repurchase authority remaining under our current share repurchase program.</w:t>
      </w:r>
    </w:p>
    <w:p>
      <w:pPr>
        <w:spacing w:after="0" w:line="80" w:lineRule="exact"/>
        <w:rPr>
          <w:sz w:val="20"/>
          <w:szCs w:val="20"/>
          <w:color w:val="auto"/>
        </w:rPr>
      </w:pPr>
    </w:p>
    <w:p>
      <w:pPr>
        <w:ind w:right="180" w:firstLine="445"/>
        <w:spacing w:after="0" w:line="263" w:lineRule="auto"/>
        <w:rPr>
          <w:sz w:val="20"/>
          <w:szCs w:val="20"/>
          <w:color w:val="auto"/>
        </w:rPr>
      </w:pPr>
      <w:r>
        <w:rPr>
          <w:rFonts w:ascii="Arial" w:cs="Arial" w:eastAsia="Arial" w:hAnsi="Arial"/>
          <w:sz w:val="18"/>
          <w:szCs w:val="18"/>
          <w:color w:val="auto"/>
        </w:rPr>
        <w:t>From August 2010 when our Board of Directors initially authorized a share repurchase program through January 30, 2021, a total of 308.1 million shares have been repurchased under the Company’s share repurchase program for a total $4.3 billion in cash and $564.5 million remains available for future share repurchases.</w:t>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440" w:right="399" w:bottom="1440" w:gutter="0" w:footer="0" w:header="0"/>
        </w:sectPr>
      </w:pPr>
    </w:p>
    <w:bookmarkStart w:id="42" w:name="page43"/>
    <w:bookmarkEnd w:id="42"/>
    <w:p>
      <w:pPr>
        <w:spacing w:after="0"/>
        <w:tabs>
          <w:tab w:leader="none" w:pos="7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121"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i w:val="1"/>
          <w:iCs w:val="1"/>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80" w:lineRule="exact"/>
        <w:rPr>
          <w:sz w:val="20"/>
          <w:szCs w:val="20"/>
          <w:color w:val="auto"/>
        </w:rPr>
      </w:pPr>
    </w:p>
    <w:p>
      <w:pPr>
        <w:ind w:right="200" w:firstLine="405"/>
        <w:spacing w:after="0" w:line="263" w:lineRule="auto"/>
        <w:rPr>
          <w:sz w:val="20"/>
          <w:szCs w:val="20"/>
          <w:color w:val="auto"/>
        </w:rPr>
      </w:pPr>
      <w:r>
        <w:rPr>
          <w:rFonts w:ascii="Arial" w:cs="Arial" w:eastAsia="Arial" w:hAnsi="Arial"/>
          <w:sz w:val="18"/>
          <w:szCs w:val="18"/>
          <w:color w:val="auto"/>
        </w:rPr>
        <w:t>Net revenue in fiscal 2021 was $3.0 billion and was 10% higher than net revenue of $2.7 billion in fiscal 2020. The increase was primarily due to a 22% increase in sales of our networking products, a 1% increase in sales of our storage products, partially offset by a 27% decrease in sales of our other products.</w:t>
      </w:r>
    </w:p>
    <w:p>
      <w:pPr>
        <w:spacing w:after="0" w:line="76" w:lineRule="exact"/>
        <w:rPr>
          <w:sz w:val="20"/>
          <w:szCs w:val="20"/>
          <w:color w:val="auto"/>
        </w:rPr>
      </w:pPr>
    </w:p>
    <w:p>
      <w:pPr>
        <w:ind w:right="20" w:firstLine="405"/>
        <w:spacing w:after="0" w:line="311" w:lineRule="auto"/>
        <w:rPr>
          <w:sz w:val="20"/>
          <w:szCs w:val="20"/>
          <w:color w:val="auto"/>
        </w:rPr>
      </w:pPr>
      <w:r>
        <w:rPr>
          <w:rFonts w:ascii="Arial" w:cs="Arial" w:eastAsia="Arial" w:hAnsi="Arial"/>
          <w:sz w:val="16"/>
          <w:szCs w:val="16"/>
          <w:color w:val="auto"/>
        </w:rPr>
        <w:t>In response to growth in demand from customers for our products, our operations team is continuing to ramp production with our global supply chain partners. However, we have begun to experience a number of industry-wide supply constraints affecting the type of high complexity products we provide for data infrastructure. These supply challenges are currently limiting our ability to fully satisfy the increase in demand for some of our products.</w:t>
      </w:r>
    </w:p>
    <w:p>
      <w:pPr>
        <w:spacing w:after="0" w:line="41" w:lineRule="exact"/>
        <w:rPr>
          <w:sz w:val="20"/>
          <w:szCs w:val="20"/>
          <w:color w:val="auto"/>
        </w:rPr>
      </w:pPr>
    </w:p>
    <w:p>
      <w:pPr>
        <w:ind w:right="100" w:firstLine="405"/>
        <w:spacing w:after="0" w:line="272" w:lineRule="auto"/>
        <w:rPr>
          <w:sz w:val="20"/>
          <w:szCs w:val="20"/>
          <w:color w:val="auto"/>
        </w:rPr>
      </w:pPr>
      <w:r>
        <w:rPr>
          <w:rFonts w:ascii="Arial" w:cs="Arial" w:eastAsia="Arial" w:hAnsi="Arial"/>
          <w:sz w:val="17"/>
          <w:szCs w:val="17"/>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During fiscal 2021, some of our customers have reported adverse impacts on demand for their products due to COVID-19. We have seen a reduction in demand for products from customers in the enterprise networking, and enterprise server and storage end markets. We expect COVID-19 to continue to impact our business and for a further discussion of the uncertainties and business risks associated with the COVID-19 pandemic, see Part I, Item 1A, “Risk Factors,” including but not limited to the risk detailed under the caption “</w:t>
      </w:r>
      <w:r>
        <w:rPr>
          <w:rFonts w:ascii="Arial" w:cs="Arial" w:eastAsia="Arial" w:hAnsi="Arial"/>
          <w:sz w:val="17"/>
          <w:szCs w:val="17"/>
          <w:i w:val="1"/>
          <w:iCs w:val="1"/>
          <w:color w:val="auto"/>
        </w:rPr>
        <w:t>We face risks related to COVID-19 pandemic which could significantly disrupt our manufacturing, research</w:t>
      </w:r>
      <w:r>
        <w:rPr>
          <w:rFonts w:ascii="Arial" w:cs="Arial" w:eastAsia="Arial" w:hAnsi="Arial"/>
          <w:sz w:val="17"/>
          <w:szCs w:val="17"/>
          <w:color w:val="auto"/>
        </w:rPr>
        <w:t xml:space="preserve"> </w:t>
      </w:r>
      <w:r>
        <w:rPr>
          <w:rFonts w:ascii="Arial" w:cs="Arial" w:eastAsia="Arial" w:hAnsi="Arial"/>
          <w:sz w:val="17"/>
          <w:szCs w:val="17"/>
          <w:i w:val="1"/>
          <w:iCs w:val="1"/>
          <w:color w:val="auto"/>
        </w:rPr>
        <w:t>and development, operations, sales and financial results</w:t>
      </w:r>
      <w:r>
        <w:rPr>
          <w:rFonts w:ascii="Arial" w:cs="Arial" w:eastAsia="Arial" w:hAnsi="Arial"/>
          <w:sz w:val="17"/>
          <w:szCs w:val="17"/>
          <w:color w:val="auto"/>
        </w:rPr>
        <w:t>.”</w:t>
      </w:r>
    </w:p>
    <w:p>
      <w:pPr>
        <w:spacing w:after="0" w:line="69" w:lineRule="exact"/>
        <w:rPr>
          <w:sz w:val="20"/>
          <w:szCs w:val="20"/>
          <w:color w:val="auto"/>
        </w:rPr>
      </w:pPr>
    </w:p>
    <w:p>
      <w:pPr>
        <w:ind w:right="80" w:firstLine="405"/>
        <w:spacing w:after="0" w:line="273"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2022.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 not easily quantify such as the fact that some of our other customers' products which use our solutions may also be impacted by export restrictions.</w:t>
      </w:r>
    </w:p>
    <w:p>
      <w:pPr>
        <w:spacing w:after="0" w:line="70"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Our fiscal year is the 52- or 53-week period ending on the Saturday closest to January 31. Accordingly, every fifth or sixth fiscal year will have a 53-week period. The additional week in a 53-week year is added to the fourth quarter, making such quarter consist of 14 weeks. Fiscal 2020 had a 52-week period. Fiscal 2021 is a 52-week period.</w:t>
      </w:r>
    </w:p>
    <w:p>
      <w:pPr>
        <w:spacing w:after="0" w:line="76" w:lineRule="exact"/>
        <w:rPr>
          <w:sz w:val="20"/>
          <w:szCs w:val="20"/>
          <w:color w:val="auto"/>
        </w:rPr>
      </w:pPr>
    </w:p>
    <w:p>
      <w:pPr>
        <w:ind w:right="60" w:firstLine="405"/>
        <w:spacing w:after="0" w:line="273" w:lineRule="auto"/>
        <w:rPr>
          <w:sz w:val="20"/>
          <w:szCs w:val="20"/>
          <w:color w:val="auto"/>
        </w:rPr>
      </w:pPr>
      <w:r>
        <w:rPr>
          <w:rFonts w:ascii="Arial" w:cs="Arial" w:eastAsia="Arial" w:hAnsi="Arial"/>
          <w:sz w:val="17"/>
          <w:szCs w:val="17"/>
          <w:i w:val="1"/>
          <w:iCs w:val="1"/>
          <w:color w:val="auto"/>
        </w:rPr>
        <w:t>Pending Business Combination</w:t>
      </w:r>
      <w:r>
        <w:rPr>
          <w:rFonts w:ascii="Arial" w:cs="Arial" w:eastAsia="Arial" w:hAnsi="Arial"/>
          <w:sz w:val="17"/>
          <w:szCs w:val="17"/>
          <w:color w:val="auto"/>
        </w:rPr>
        <w:t>. On October 29, 2020, we entered into a merger agreement (the “Merger Agreement”) with Inphi Corporation</w:t>
      </w:r>
      <w:r>
        <w:rPr>
          <w:rFonts w:ascii="Arial" w:cs="Arial" w:eastAsia="Arial" w:hAnsi="Arial"/>
          <w:sz w:val="17"/>
          <w:szCs w:val="17"/>
          <w:i w:val="1"/>
          <w:iCs w:val="1"/>
          <w:color w:val="auto"/>
        </w:rPr>
        <w:t xml:space="preserve"> </w:t>
      </w:r>
      <w:r>
        <w:rPr>
          <w:rFonts w:ascii="Arial" w:cs="Arial" w:eastAsia="Arial" w:hAnsi="Arial"/>
          <w:sz w:val="17"/>
          <w:szCs w:val="17"/>
          <w:color w:val="auto"/>
        </w:rPr>
        <w:t>(“Inphi”), whereby we will acquire Inphi with cash and stock consideration. Under the terms of the agreement, we will pay Inphi's stockholders $66 per share in cash and 2.323 common shares for each Inphi share, which represented purchase consideration of approximately $10 billion. The merger consideration will be financed by new debt financing and issuance of our common shares. The transaction is expected to close in the second half of calendar 2021, pending approval by Inphi's and our shareholders, as well as regulatory approval and satisfaction of other customary closing conditions. As a result of the transaction, the parent company will be domiciled in the United States upon closing of the transaction.</w:t>
      </w:r>
    </w:p>
    <w:p>
      <w:pPr>
        <w:spacing w:after="0" w:line="70"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Inphi is a global leader in high-speed data movement enabled by optical interconnects. Their product portfolio includes laser drivers, TIA (Trans-Impedance Amplifiers), PAM (Pulse Amplitude Modulation) and Coherent DSPs (Digital Signal Processors) and data center interconnects. We and Inphi both have growing positions in carrier and datacenter, and Inphi’s high-speed electro-optics platform is highly complementary to our storage, networking, compute, and security portfolio. Inphi’s electro-optics portfolio combined with our copper Ethernet PHY franchise is expected to create an industry-leading high-speed data interconnect platform serving the enterprise, carrier, data center, and automotive end markets.</w:t>
      </w:r>
    </w:p>
    <w:p>
      <w:pPr>
        <w:spacing w:after="0" w:line="3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90" w:right="379" w:bottom="1440" w:gutter="0" w:footer="0" w:header="0"/>
        </w:sectPr>
      </w:pPr>
    </w:p>
    <w:bookmarkStart w:id="43" w:name="page44"/>
    <w:bookmarkEnd w:id="43"/>
    <w:p>
      <w:pPr>
        <w:ind w:right="60" w:firstLine="405"/>
        <w:spacing w:after="0" w:line="301" w:lineRule="auto"/>
        <w:rPr>
          <w:sz w:val="20"/>
          <w:szCs w:val="20"/>
          <w:color w:val="auto"/>
        </w:rPr>
      </w:pPr>
      <w:r>
        <w:rPr>
          <w:rFonts w:ascii="Arial" w:cs="Arial" w:eastAsia="Arial" w:hAnsi="Arial"/>
          <w:sz w:val="16"/>
          <w:szCs w:val="16"/>
          <w:i w:val="1"/>
          <w:iCs w:val="1"/>
          <w:color w:val="auto"/>
        </w:rPr>
        <w:t xml:space="preserve">Restructuring. </w:t>
      </w:r>
      <w:r>
        <w:rPr>
          <w:rFonts w:ascii="Arial" w:cs="Arial" w:eastAsia="Arial" w:hAnsi="Arial"/>
          <w:sz w:val="16"/>
          <w:szCs w:val="16"/>
          <w:color w:val="auto"/>
        </w:rPr>
        <w:t>We continuously evaluate our existing operations to increase operational efficiency, decrease costs and increase profitability. In July</w:t>
      </w:r>
      <w:r>
        <w:rPr>
          <w:rFonts w:ascii="Arial" w:cs="Arial" w:eastAsia="Arial" w:hAnsi="Arial"/>
          <w:sz w:val="16"/>
          <w:szCs w:val="16"/>
          <w:i w:val="1"/>
          <w:iCs w:val="1"/>
          <w:color w:val="auto"/>
        </w:rPr>
        <w:t xml:space="preserve"> </w:t>
      </w:r>
      <w:r>
        <w:rPr>
          <w:rFonts w:ascii="Arial" w:cs="Arial" w:eastAsia="Arial" w:hAnsi="Arial"/>
          <w:sz w:val="16"/>
          <w:szCs w:val="16"/>
          <w:color w:val="auto"/>
        </w:rPr>
        <w:t>2018, as part of the integration of the acquired Cavium business, we initiated a restructuring plan intended to achieve these goals. As part of this restructuring plan, revenue from our former Networking and Connectivity product groups were combined into one group named Networking. In December 2019, as part of the integration of the acquired Avera business, we initiated a restructuring plan intended to further achieve the aforementioned goals.</w:t>
      </w:r>
    </w:p>
    <w:p>
      <w:pPr>
        <w:spacing w:after="0" w:line="49"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During the second quarter of fiscal 2021, we made changes to the scope of our server processor product line in response to changes in the associated market. We transitioned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were not recoverable, which have resulted in recognition of $119.0 million of restructuring related charges associated with the server processor product line during the second quarter of fiscal 2021. See “Note 6 - Restructuring” in the Notes to the Consolidated Financial Statements for further information.</w:t>
      </w:r>
    </w:p>
    <w:p>
      <w:pPr>
        <w:spacing w:after="0" w:line="70"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During fiscal 2021, we recorded restructuring and other related charges of $180.4 million. See “Note 6 - Restructuring and Other Related Charges” in the Notes to the Consolidated Financial Statements for further information.</w:t>
      </w:r>
    </w:p>
    <w:p>
      <w:pPr>
        <w:spacing w:after="0" w:line="62"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shareholder value through our share repurchase and dividend programs. On October 16,</w:t>
      </w:r>
      <w:r>
        <w:rPr>
          <w:rFonts w:ascii="Arial" w:cs="Arial" w:eastAsia="Arial" w:hAnsi="Arial"/>
          <w:sz w:val="17"/>
          <w:szCs w:val="17"/>
          <w:i w:val="1"/>
          <w:iCs w:val="1"/>
          <w:color w:val="auto"/>
        </w:rPr>
        <w:t xml:space="preserve"> </w:t>
      </w:r>
      <w:r>
        <w:rPr>
          <w:rFonts w:ascii="Arial" w:cs="Arial" w:eastAsia="Arial" w:hAnsi="Arial"/>
          <w:sz w:val="17"/>
          <w:szCs w:val="17"/>
          <w:color w:val="auto"/>
        </w:rPr>
        <w:t>2018, we announced that our Board of Directors authorized a $700 million addition to the balance of our existing share repurchase plan.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and remains temporarily suspended to preserve cash in anticipation of the funding of our acquisition of Inphi. As a result, we did not repurchase any shares subsequent to the first quarter of fiscal 2021. We will continue to evaluate business conditions to decide when we can restart the share repurchase program. As of January 30, 2021, there was $564.5 million remaining available for future share repurchases. See “Note 13 - Shareholder’s Equity” in the Notes to the Consolidated Financial Statements for further information.</w:t>
      </w:r>
    </w:p>
    <w:p>
      <w:pPr>
        <w:spacing w:after="0" w:line="73"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We returned $185.8 million to stockholders in fiscal 2021, including $25.2 million through repurchases of common stock and $160.6 million of cash dividends.</w:t>
      </w:r>
    </w:p>
    <w:p>
      <w:pPr>
        <w:spacing w:after="0" w:line="62" w:lineRule="exact"/>
        <w:rPr>
          <w:sz w:val="20"/>
          <w:szCs w:val="20"/>
          <w:color w:val="auto"/>
        </w:rPr>
      </w:pPr>
    </w:p>
    <w:p>
      <w:pPr>
        <w:ind w:right="40" w:firstLine="405"/>
        <w:spacing w:after="0" w:line="342" w:lineRule="auto"/>
        <w:rPr>
          <w:sz w:val="20"/>
          <w:szCs w:val="20"/>
          <w:color w:val="auto"/>
        </w:rPr>
      </w:pPr>
      <w:r>
        <w:rPr>
          <w:rFonts w:ascii="Arial" w:cs="Arial" w:eastAsia="Arial" w:hAnsi="Arial"/>
          <w:sz w:val="16"/>
          <w:szCs w:val="16"/>
          <w:i w:val="1"/>
          <w:iCs w:val="1"/>
          <w:color w:val="auto"/>
        </w:rPr>
        <w:t xml:space="preserve">Cash and Short-Term Investments. </w:t>
      </w:r>
      <w:r>
        <w:rPr>
          <w:rFonts w:ascii="Arial" w:cs="Arial" w:eastAsia="Arial" w:hAnsi="Arial"/>
          <w:sz w:val="16"/>
          <w:szCs w:val="16"/>
          <w:color w:val="auto"/>
        </w:rPr>
        <w:t>Our cash and cash equivalents were $748.5 million at January 30, 2021, which was $100.9 million higher than our</w:t>
      </w:r>
      <w:r>
        <w:rPr>
          <w:rFonts w:ascii="Arial" w:cs="Arial" w:eastAsia="Arial" w:hAnsi="Arial"/>
          <w:sz w:val="16"/>
          <w:szCs w:val="16"/>
          <w:i w:val="1"/>
          <w:iCs w:val="1"/>
          <w:color w:val="auto"/>
        </w:rPr>
        <w:t xml:space="preserve"> </w:t>
      </w:r>
      <w:r>
        <w:rPr>
          <w:rFonts w:ascii="Arial" w:cs="Arial" w:eastAsia="Arial" w:hAnsi="Arial"/>
          <w:sz w:val="16"/>
          <w:szCs w:val="16"/>
          <w:color w:val="auto"/>
        </w:rPr>
        <w:t>balance at our fiscal year ended February 1, 2020 of $647.6 million. We had cash flow provided by operations of $817.3 million during fiscal 2021.</w:t>
      </w:r>
    </w:p>
    <w:p>
      <w:pPr>
        <w:spacing w:after="0" w:line="1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Sales and Customer Composition.</w:t>
      </w:r>
    </w:p>
    <w:p>
      <w:pPr>
        <w:spacing w:after="0" w:line="117" w:lineRule="exact"/>
        <w:rPr>
          <w:sz w:val="20"/>
          <w:szCs w:val="20"/>
          <w:color w:val="auto"/>
        </w:rPr>
      </w:pPr>
    </w:p>
    <w:p>
      <w:pPr>
        <w:ind w:right="40" w:firstLine="405"/>
        <w:spacing w:after="0" w:line="31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See the table in our discussion of “Customers, Sales and Marketing” in Item 1 of this Annual Report on Form 10-K for further information. We continuously monitor the creditworthiness of our distributors and believe these distributors’ sales to diverse end customers and geographies further serve to mitigate our exposure to credit risk.</w:t>
      </w:r>
    </w:p>
    <w:p>
      <w:pPr>
        <w:spacing w:after="0" w:line="41"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Most of our sales are made to customers located outside of the United States, primarily in Asia, and majority of our products are manufactured outside the United States. Sales shipped to customers with operations in Asia represented approximately 80% of our net revenues in fiscal 2021 and 82% of our net revenue in fiscal 2020 and 85% of our net revenue in fiscal 2019. Because many manufacturers and manufacturing subcontractors of our customers are located in Asia, we expect that most of our net revenue will continue to be represented by sales to our customers in that region. For risks related to our global operations, see Part I, Item 1A, “Risk Factors,” including but not limited to the risk detailed under the caption “</w:t>
      </w:r>
      <w:r>
        <w:rPr>
          <w:rFonts w:ascii="Arial" w:cs="Arial" w:eastAsia="Arial" w:hAnsi="Arial"/>
          <w:sz w:val="18"/>
          <w:szCs w:val="18"/>
          <w:i w:val="1"/>
          <w:iCs w:val="1"/>
          <w:color w:val="auto"/>
        </w:rPr>
        <w:t>We face additional risks due to the</w:t>
      </w:r>
      <w:r>
        <w:rPr>
          <w:rFonts w:ascii="Arial" w:cs="Arial" w:eastAsia="Arial" w:hAnsi="Arial"/>
          <w:sz w:val="18"/>
          <w:szCs w:val="18"/>
          <w:color w:val="auto"/>
        </w:rPr>
        <w:t xml:space="preserve"> </w:t>
      </w:r>
      <w:r>
        <w:rPr>
          <w:rFonts w:ascii="Arial" w:cs="Arial" w:eastAsia="Arial" w:hAnsi="Arial"/>
          <w:sz w:val="18"/>
          <w:szCs w:val="18"/>
          <w:i w:val="1"/>
          <w:iCs w:val="1"/>
          <w:color w:val="auto"/>
        </w:rPr>
        <w:t>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84"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44" w:name="page45"/>
    <w:bookmarkEnd w:id="44"/>
    <w:p>
      <w:pPr>
        <w:spacing w:after="0" w:line="3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121" w:lineRule="exact"/>
        <w:rPr>
          <w:sz w:val="20"/>
          <w:szCs w:val="20"/>
          <w:color w:val="auto"/>
        </w:rPr>
      </w:pPr>
    </w:p>
    <w:p>
      <w:pPr>
        <w:ind w:firstLine="405"/>
        <w:spacing w:after="0" w:line="287" w:lineRule="auto"/>
        <w:rPr>
          <w:sz w:val="20"/>
          <w:szCs w:val="20"/>
          <w:color w:val="auto"/>
        </w:rPr>
      </w:pPr>
      <w:r>
        <w:rPr>
          <w:rFonts w:ascii="Arial" w:cs="Arial" w:eastAsia="Arial" w:hAnsi="Arial"/>
          <w:sz w:val="16"/>
          <w:szCs w:val="16"/>
          <w:color w:val="auto"/>
        </w:rPr>
        <w:t>The preparation of consolidated financial statements in conformity with accounting principles generally accepted in the United States of America(“GAAP”) requires management to make estimates, judgments and assumptions that affect the reported amounts of assets, liabilities, revenues and expenses, and related disclosure of contingent assets and liabilities. On an ongoing basis, we evaluate our estimates, including those related to revenue recognition, income taxes, goodwill and other intangible assets, and business combinations.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 We believe the following critical accounting policies affect our more significant judgments and estimates used in the preparation of our consolidated financial statements. For further information on our significant accounting policies, see “Note 2 - Significant Accounting Policies” in the Notes to Consolidated Financial Statements.</w:t>
      </w:r>
    </w:p>
    <w:p>
      <w:pPr>
        <w:spacing w:after="0" w:line="64" w:lineRule="exact"/>
        <w:rPr>
          <w:sz w:val="20"/>
          <w:szCs w:val="20"/>
          <w:color w:val="auto"/>
        </w:rPr>
      </w:pPr>
    </w:p>
    <w:p>
      <w:pPr>
        <w:ind w:right="60" w:firstLine="405"/>
        <w:spacing w:after="0" w:line="301"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upon transfer of control of promised products or services to customers in an amount that reflects the</w:t>
      </w:r>
      <w:r>
        <w:rPr>
          <w:rFonts w:ascii="Arial" w:cs="Arial" w:eastAsia="Arial" w:hAnsi="Arial"/>
          <w:sz w:val="16"/>
          <w:szCs w:val="16"/>
          <w:i w:val="1"/>
          <w:iCs w:val="1"/>
          <w:color w:val="auto"/>
        </w:rPr>
        <w:t xml:space="preserve"> </w:t>
      </w:r>
      <w:r>
        <w:rPr>
          <w:rFonts w:ascii="Arial" w:cs="Arial" w:eastAsia="Arial" w:hAnsi="Arial"/>
          <w:sz w:val="16"/>
          <w:szCs w:val="16"/>
          <w:color w:val="auto"/>
        </w:rPr>
        <w:t>consideration we expect to receive in exchange for those products or services. Under the revenue recognition standard, we apply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49" w:lineRule="exact"/>
        <w:rPr>
          <w:sz w:val="20"/>
          <w:szCs w:val="20"/>
          <w:color w:val="auto"/>
        </w:rPr>
      </w:pPr>
    </w:p>
    <w:p>
      <w:pPr>
        <w:ind w:right="40" w:firstLine="405"/>
        <w:spacing w:after="0" w:line="268" w:lineRule="auto"/>
        <w:rPr>
          <w:sz w:val="20"/>
          <w:szCs w:val="20"/>
          <w:color w:val="auto"/>
        </w:rPr>
      </w:pPr>
      <w:r>
        <w:rPr>
          <w:rFonts w:ascii="Arial" w:cs="Arial" w:eastAsia="Arial" w:hAnsi="Arial"/>
          <w:sz w:val="17"/>
          <w:szCs w:val="17"/>
          <w:color w:val="auto"/>
        </w:rPr>
        <w:t>We enter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We recognize revenue when we satisfy a performance obligation by transferring control of a product to a customer in an amount that reflects the consideration to which we expect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We account for rebates by recording reductions to revenue for rebates in the same period that the related revenue is recorded. The amount of these reductions is based upon the terms agreed to with the customer. Some of our sales are made to distributors under agreements allowing for price protection, price discounts and limited rights of stock rotation on products unsold by the distributors. Control passes to the distributor upon shipment, and terms and payment by our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 Actual variable consideration could differ from these estimates.</w:t>
      </w:r>
    </w:p>
    <w:p>
      <w:pPr>
        <w:spacing w:after="0" w:line="74" w:lineRule="exact"/>
        <w:rPr>
          <w:sz w:val="20"/>
          <w:szCs w:val="20"/>
          <w:color w:val="auto"/>
        </w:rPr>
      </w:pPr>
    </w:p>
    <w:p>
      <w:pPr>
        <w:ind w:right="580" w:firstLine="405"/>
        <w:spacing w:after="0" w:line="263" w:lineRule="auto"/>
        <w:rPr>
          <w:sz w:val="20"/>
          <w:szCs w:val="20"/>
          <w:color w:val="auto"/>
        </w:rPr>
      </w:pPr>
      <w:r>
        <w:rPr>
          <w:rFonts w:ascii="Arial" w:cs="Arial" w:eastAsia="Arial" w:hAnsi="Arial"/>
          <w:sz w:val="18"/>
          <w:szCs w:val="18"/>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76" w:lineRule="exact"/>
        <w:rPr>
          <w:sz w:val="20"/>
          <w:szCs w:val="20"/>
          <w:color w:val="auto"/>
        </w:rPr>
      </w:pPr>
    </w:p>
    <w:p>
      <w:pPr>
        <w:ind w:right="220" w:firstLine="405"/>
        <w:spacing w:after="0" w:line="257" w:lineRule="auto"/>
        <w:rPr>
          <w:sz w:val="20"/>
          <w:szCs w:val="20"/>
          <w:color w:val="auto"/>
        </w:rPr>
      </w:pPr>
      <w:r>
        <w:rPr>
          <w:rFonts w:ascii="Arial" w:cs="Arial" w:eastAsia="Arial" w:hAnsi="Arial"/>
          <w:sz w:val="18"/>
          <w:szCs w:val="18"/>
          <w:color w:val="auto"/>
        </w:rPr>
        <w:t>Our products are generally subject to warranty, which provides for the estimated future costs of replacement upon shipment of the product. Our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we will have to replace products subject to a claim. From time to time, we become aware of specific warranty situations, and we record specific accruals to cover these exposures. Warranty expenses were not material for the periods presented.</w:t>
      </w:r>
    </w:p>
    <w:p>
      <w:pPr>
        <w:spacing w:after="0" w:line="3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440" w:right="359" w:bottom="1440" w:gutter="0" w:footer="0" w:header="0"/>
        </w:sectPr>
      </w:pPr>
    </w:p>
    <w:bookmarkStart w:id="45" w:name="page46"/>
    <w:bookmarkEnd w:id="45"/>
    <w:p>
      <w:pPr>
        <w:ind w:right="40" w:firstLine="405"/>
        <w:spacing w:after="0" w:line="268" w:lineRule="auto"/>
        <w:rPr>
          <w:sz w:val="20"/>
          <w:szCs w:val="20"/>
          <w:color w:val="auto"/>
        </w:rPr>
      </w:pPr>
      <w:r>
        <w:rPr>
          <w:rFonts w:ascii="Arial" w:cs="Arial" w:eastAsia="Arial" w:hAnsi="Arial"/>
          <w:sz w:val="17"/>
          <w:szCs w:val="17"/>
          <w:i w:val="1"/>
          <w:iCs w:val="1"/>
          <w:color w:val="auto"/>
        </w:rPr>
        <w:t xml:space="preserve">Inventories. </w:t>
      </w:r>
      <w:r>
        <w:rPr>
          <w:rFonts w:ascii="Arial" w:cs="Arial" w:eastAsia="Arial" w:hAnsi="Arial"/>
          <w:sz w:val="17"/>
          <w:szCs w:val="17"/>
          <w:color w:val="auto"/>
        </w:rPr>
        <w:t>We value our inventory at the lower of cost or net realizable value, cost being determined under the first-in, first-out method. We</w:t>
      </w:r>
      <w:r>
        <w:rPr>
          <w:rFonts w:ascii="Arial" w:cs="Arial" w:eastAsia="Arial" w:hAnsi="Arial"/>
          <w:sz w:val="17"/>
          <w:szCs w:val="17"/>
          <w:i w:val="1"/>
          <w:iCs w:val="1"/>
          <w:color w:val="auto"/>
        </w:rPr>
        <w:t xml:space="preserve"> </w:t>
      </w:r>
      <w:r>
        <w:rPr>
          <w:rFonts w:ascii="Arial" w:cs="Arial" w:eastAsia="Arial" w:hAnsi="Arial"/>
          <w:sz w:val="17"/>
          <w:szCs w:val="17"/>
          <w:color w:val="auto"/>
        </w:rPr>
        <w:t>regularly review inventory quantities on hand and record a reduction to the total carrying value of our inventory for any difference between cost and estimated net realizable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and judgement to determine excess inventory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81" w:lineRule="exact"/>
        <w:rPr>
          <w:sz w:val="20"/>
          <w:szCs w:val="20"/>
          <w:color w:val="auto"/>
        </w:rPr>
      </w:pPr>
    </w:p>
    <w:p>
      <w:pPr>
        <w:ind w:right="180" w:firstLine="405"/>
        <w:spacing w:after="0" w:line="311"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w:t>
      </w:r>
      <w:r>
        <w:rPr>
          <w:rFonts w:ascii="Arial" w:cs="Arial" w:eastAsia="Arial" w:hAnsi="Arial"/>
          <w:sz w:val="16"/>
          <w:szCs w:val="16"/>
          <w:i w:val="1"/>
          <w:iCs w:val="1"/>
          <w:color w:val="auto"/>
        </w:rPr>
        <w:t xml:space="preserve"> </w:t>
      </w:r>
      <w:r>
        <w:rPr>
          <w:rFonts w:ascii="Arial" w:cs="Arial" w:eastAsia="Arial" w:hAnsi="Arial"/>
          <w:sz w:val="16"/>
          <w:szCs w:val="16"/>
          <w:color w:val="auto"/>
        </w:rPr>
        <w:t>actual tax exposure together with 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41"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Evaluating the need for a valuation allowance for deferred tax assets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we establish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foreign subsidiaries. A change in the assessment of the realization of deferred tax assets may materially impact our tax provision in the period in which a change of assessment occurs. Taxes due on future Global Intangible Low-Taxed Income (GILTI) exclusions in U.S. are recognized as a current period expense when incurred.</w:t>
      </w:r>
    </w:p>
    <w:p>
      <w:pPr>
        <w:spacing w:after="0" w:line="58"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tax laws and regulations in various jurisdictions, tax incentives, the availability of tax credits and loss carryforwards, and the effectiveness of our tax planning strategies, which includes our estimates of the fair value of our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84" w:lineRule="exact"/>
        <w:rPr>
          <w:sz w:val="20"/>
          <w:szCs w:val="20"/>
          <w:color w:val="auto"/>
        </w:rPr>
      </w:pPr>
    </w:p>
    <w:p>
      <w:pPr>
        <w:ind w:right="160" w:firstLine="405"/>
        <w:spacing w:after="0" w:line="269" w:lineRule="auto"/>
        <w:rPr>
          <w:sz w:val="20"/>
          <w:szCs w:val="20"/>
          <w:color w:val="auto"/>
        </w:rPr>
      </w:pPr>
      <w:r>
        <w:rPr>
          <w:rFonts w:ascii="Arial" w:cs="Arial" w:eastAsia="Arial" w:hAnsi="Arial"/>
          <w:sz w:val="17"/>
          <w:szCs w:val="17"/>
          <w:color w:val="auto"/>
        </w:rPr>
        <w:t>We are subject to income tax audits by the respective tax authorities in the jurisdictions in which we operate. We recognize the effect of income tax positions only if these positions are more likely than not to be sustained. Recognized income tax positions are measured at the largest amount that is more than 50% likely to be realized. Changes in recognition or measurement with respect to our uncertain tax positions are reflected in the period in which a change in judgment occurs. We record interest and penalties related to unrecognized tax benefits in income tax expense. The calculation of our tax liabilities involves the inherent uncertainty associated with complex tax laws. We believe we have adequately provided for in our financial statements additional taxes that we estimate to be required as a result of such examinations. While we believe that we have adequately provided for all tax positions, amounts asserted by tax authorities could be greater or less than our accrued position. Any unpaid tax liabilities, including the interest and penalties, are released pursuant to a final settlement with tax authorities, completion of audit or expiration of various statutes of limitation. The material jurisdictions in which we are subject to potential examination by tax authorities throughout the world include China, India, Israel, Singapore, Germany, and the United States.</w:t>
      </w:r>
    </w:p>
    <w:p>
      <w:pPr>
        <w:spacing w:after="0" w:line="3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46" w:name="page47"/>
    <w:bookmarkEnd w:id="46"/>
    <w:p>
      <w:pPr>
        <w:ind w:right="20" w:firstLine="405"/>
        <w:spacing w:after="0" w:line="308" w:lineRule="auto"/>
        <w:rPr>
          <w:sz w:val="20"/>
          <w:szCs w:val="20"/>
          <w:color w:val="auto"/>
        </w:rPr>
      </w:pPr>
      <w:r>
        <w:rPr>
          <w:rFonts w:ascii="Arial" w:cs="Arial" w:eastAsia="Arial" w:hAnsi="Arial"/>
          <w:sz w:val="17"/>
          <w:szCs w:val="17"/>
          <w:color w:val="auto"/>
        </w:rPr>
        <w:t>The recognition and measurement of current taxes payable or refundable, and deferred tax assets and liabilities require that we make certain estimates and judgments. Changes to these estimates or judgments may have a material effect on our income tax provision in a future period.</w:t>
      </w:r>
    </w:p>
    <w:p>
      <w:pPr>
        <w:spacing w:after="0" w:line="38" w:lineRule="exact"/>
        <w:rPr>
          <w:sz w:val="20"/>
          <w:szCs w:val="20"/>
          <w:color w:val="auto"/>
        </w:rPr>
      </w:pPr>
    </w:p>
    <w:p>
      <w:pPr>
        <w:ind w:right="460" w:firstLine="405"/>
        <w:spacing w:after="0" w:line="263"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22" w:lineRule="exact"/>
        <w:rPr>
          <w:sz w:val="20"/>
          <w:szCs w:val="20"/>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63" w:lineRule="exact"/>
        <w:rPr>
          <w:rFonts w:ascii="Arial" w:cs="Arial" w:eastAsia="Arial" w:hAnsi="Arial"/>
          <w:sz w:val="18"/>
          <w:szCs w:val="18"/>
          <w:color w:val="auto"/>
        </w:rPr>
      </w:pPr>
    </w:p>
    <w:p>
      <w:pPr>
        <w:ind w:left="660" w:right="380" w:hanging="328"/>
        <w:spacing w:after="0" w:line="277" w:lineRule="auto"/>
        <w:tabs>
          <w:tab w:leader="none" w:pos="655" w:val="left"/>
        </w:tabs>
        <w:numPr>
          <w:ilvl w:val="0"/>
          <w:numId w:val="22"/>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8" w:lineRule="exact"/>
        <w:rPr>
          <w:rFonts w:ascii="Arial" w:cs="Arial" w:eastAsia="Arial" w:hAnsi="Arial"/>
          <w:sz w:val="18"/>
          <w:szCs w:val="18"/>
          <w:color w:val="auto"/>
        </w:rPr>
      </w:pPr>
    </w:p>
    <w:p>
      <w:pPr>
        <w:ind w:left="660" w:hanging="328"/>
        <w:spacing w:after="0"/>
        <w:tabs>
          <w:tab w:leader="none" w:pos="6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current expectation that the asset will more likely than not be sold or disposed of significantly before the end of its estimated useful life.</w:t>
      </w:r>
    </w:p>
    <w:p>
      <w:pPr>
        <w:spacing w:after="0" w:line="129" w:lineRule="exact"/>
        <w:rPr>
          <w:sz w:val="20"/>
          <w:szCs w:val="20"/>
          <w:color w:val="auto"/>
        </w:rPr>
      </w:pPr>
    </w:p>
    <w:p>
      <w:pPr>
        <w:jc w:val="both"/>
        <w:ind w:right="40" w:firstLine="405"/>
        <w:spacing w:after="0" w:line="287"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w:t>
      </w:r>
    </w:p>
    <w:p>
      <w:pPr>
        <w:spacing w:after="0" w:line="2" w:lineRule="exact"/>
        <w:rPr>
          <w:sz w:val="20"/>
          <w:szCs w:val="20"/>
          <w:color w:val="auto"/>
        </w:rPr>
      </w:pPr>
    </w:p>
    <w:p>
      <w:pPr>
        <w:ind w:right="380"/>
        <w:spacing w:after="0" w:line="255" w:lineRule="auto"/>
        <w:rPr>
          <w:sz w:val="20"/>
          <w:szCs w:val="20"/>
          <w:color w:val="auto"/>
        </w:rPr>
      </w:pPr>
      <w:r>
        <w:rPr>
          <w:rFonts w:ascii="Arial" w:cs="Arial" w:eastAsia="Arial" w:hAnsi="Arial"/>
          <w:sz w:val="18"/>
          <w:szCs w:val="18"/>
          <w:color w:val="auto"/>
        </w:rPr>
        <w:t>Significant management judgment is required in the forecasts of future operating results that are used in the discounted cash flow method of valuation. These significant judgments may include future expected revenue, expenses, capital expenditures and other costs, discount rates and whether or not alternative uses are available for impacted long-lived assets.</w:t>
      </w:r>
    </w:p>
    <w:p>
      <w:pPr>
        <w:spacing w:after="0" w:line="82"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i w:val="1"/>
          <w:iCs w:val="1"/>
          <w:color w:val="auto"/>
        </w:rPr>
        <w:t xml:space="preserve">Goodwill. </w:t>
      </w:r>
      <w:r>
        <w:rPr>
          <w:rFonts w:ascii="Arial" w:cs="Arial" w:eastAsia="Arial" w:hAnsi="Arial"/>
          <w:sz w:val="17"/>
          <w:szCs w:val="17"/>
          <w:color w:val="auto"/>
        </w:rPr>
        <w:t>We record goodwill when the consideration paid for a business acquisition exceeds the fair value of net tangible and intangible assets</w:t>
      </w:r>
      <w:r>
        <w:rPr>
          <w:rFonts w:ascii="Arial" w:cs="Arial" w:eastAsia="Arial" w:hAnsi="Arial"/>
          <w:sz w:val="17"/>
          <w:szCs w:val="17"/>
          <w:i w:val="1"/>
          <w:iCs w:val="1"/>
          <w:color w:val="auto"/>
        </w:rPr>
        <w:t xml:space="preserve"> </w:t>
      </w:r>
      <w:r>
        <w:rPr>
          <w:rFonts w:ascii="Arial" w:cs="Arial" w:eastAsia="Arial" w:hAnsi="Arial"/>
          <w:sz w:val="17"/>
          <w:szCs w:val="17"/>
          <w:color w:val="auto"/>
        </w:rPr>
        <w:t>acquired. We review goodwill for impairment annually on the last business day of our fiscal fourth quarter, and more frequently, if an event occurs or circumstances change that indicate the fair value of the reporting unit may be below its carrying amount. We have identified that our business operates as a single operating segment which can further be divided into two components; Networking and Storage. We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w:t>
      </w:r>
    </w:p>
    <w:p>
      <w:pPr>
        <w:spacing w:after="0" w:line="69" w:lineRule="exact"/>
        <w:rPr>
          <w:sz w:val="20"/>
          <w:szCs w:val="20"/>
          <w:color w:val="auto"/>
        </w:rPr>
      </w:pPr>
    </w:p>
    <w:p>
      <w:pPr>
        <w:ind w:right="560" w:firstLine="405"/>
        <w:spacing w:after="0" w:line="277" w:lineRule="auto"/>
        <w:rPr>
          <w:sz w:val="20"/>
          <w:szCs w:val="20"/>
          <w:color w:val="auto"/>
        </w:rPr>
      </w:pPr>
      <w:r>
        <w:rPr>
          <w:rFonts w:ascii="Arial" w:cs="Arial" w:eastAsia="Arial" w:hAnsi="Arial"/>
          <w:sz w:val="18"/>
          <w:szCs w:val="18"/>
          <w:color w:val="auto"/>
        </w:rPr>
        <w:t>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w:t>
      </w:r>
    </w:p>
    <w:p>
      <w:pPr>
        <w:spacing w:after="0" w:line="63" w:lineRule="exact"/>
        <w:rPr>
          <w:sz w:val="20"/>
          <w:szCs w:val="20"/>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17"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If we assess qualitative factors and conclude that it is more likely than not that the fair value of a reporting unit is less than its carrying amount, or if we determine not to use qualitative assessment, then a quantitative impairment test is performed. The quantitative impairment test requires comparing the fair value of the reporting unit to its carrying value, including goodwill. An impairment exists if the fair value of the reporting unit is lower than its carrying value. We would record an impairment loss in the fiscal quarter in which an impairment determination is made. Determining the fair value of a reporting unit involves the use of significant estimates and assumptions.</w:t>
      </w:r>
    </w:p>
    <w:p>
      <w:pPr>
        <w:spacing w:after="0" w:line="80"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color w:val="auto"/>
        </w:rPr>
        <w:t>As of the last day of the fourth quarter of fiscal 2021, we performed our annual impairment assessment for testing goodwill. A step one assessment was performed. Based on our assessment, we determined there was no goodwill impairment.</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47" w:name="page48"/>
    <w:bookmarkEnd w:id="47"/>
    <w:p>
      <w:pPr>
        <w:ind w:right="20" w:firstLine="405"/>
        <w:spacing w:after="0" w:line="269" w:lineRule="auto"/>
        <w:rPr>
          <w:sz w:val="20"/>
          <w:szCs w:val="20"/>
          <w:color w:val="auto"/>
        </w:rPr>
      </w:pPr>
      <w:r>
        <w:rPr>
          <w:rFonts w:ascii="Arial" w:cs="Arial" w:eastAsia="Arial" w:hAnsi="Arial"/>
          <w:sz w:val="17"/>
          <w:szCs w:val="17"/>
          <w:i w:val="1"/>
          <w:iCs w:val="1"/>
          <w:color w:val="auto"/>
        </w:rPr>
        <w:t xml:space="preserve">Business Combinations. </w:t>
      </w:r>
      <w:r>
        <w:rPr>
          <w:rFonts w:ascii="Arial" w:cs="Arial" w:eastAsia="Arial" w:hAnsi="Arial"/>
          <w:sz w:val="17"/>
          <w:szCs w:val="17"/>
          <w:color w:val="auto"/>
        </w:rPr>
        <w:t>We allocate the fair value of the purchase consideration of a business acquisition to the tangible assets, liabilities, and</w:t>
      </w:r>
      <w:r>
        <w:rPr>
          <w:rFonts w:ascii="Arial" w:cs="Arial" w:eastAsia="Arial" w:hAnsi="Arial"/>
          <w:sz w:val="17"/>
          <w:szCs w:val="17"/>
          <w:i w:val="1"/>
          <w:iCs w:val="1"/>
          <w:color w:val="auto"/>
        </w:rPr>
        <w:t xml:space="preserve"> </w:t>
      </w:r>
      <w:r>
        <w:rPr>
          <w:rFonts w:ascii="Arial" w:cs="Arial" w:eastAsia="Arial" w:hAnsi="Arial"/>
          <w:sz w:val="17"/>
          <w:szCs w:val="17"/>
          <w:color w:val="auto"/>
        </w:rPr>
        <w:t>intangible 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Our valuation of acquired assets and assumed liabilities requires significant estimates, especially with respect to intangible assets. The valuation of intangible assets, in particular, requires that we use valuation techniques such as the income approach. The income approach includes the use of a discounted cash flow model, which includes discounted cash flow scenarios and requires the following significant estimates: future expected revenue, expenses, capital expenditures and other costs, and discount rates. We estimate the fair value based upon assumptions we believe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expenses and related restructuring costs are recognized separately from the business combination and are expensed as incurred.</w:t>
      </w:r>
    </w:p>
    <w:p>
      <w:pPr>
        <w:spacing w:after="0" w:line="200" w:lineRule="exact"/>
        <w:rPr>
          <w:sz w:val="20"/>
          <w:szCs w:val="20"/>
          <w:color w:val="auto"/>
        </w:rPr>
      </w:pP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Years Ended January 30, 2021 and February 1, 2020</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4"/>
          </w:tcPr>
          <w:p>
            <w:pPr>
              <w:ind w:left="940"/>
              <w:spacing w:after="0"/>
              <w:rPr>
                <w:sz w:val="20"/>
                <w:szCs w:val="20"/>
                <w:color w:val="auto"/>
              </w:rPr>
            </w:pPr>
            <w:r>
              <w:rPr>
                <w:rFonts w:ascii="Arial" w:cs="Arial" w:eastAsia="Arial" w:hAnsi="Arial"/>
                <w:sz w:val="14"/>
                <w:szCs w:val="14"/>
                <w:b w:val="1"/>
                <w:bCs w:val="1"/>
                <w:color w:val="auto"/>
                <w:w w:val="96"/>
              </w:rPr>
              <w:t>Year Ended</w:t>
            </w: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700" w:type="dxa"/>
            <w:vAlign w:val="bottom"/>
            <w:gridSpan w:val="4"/>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1200" w:type="dxa"/>
            <w:vAlign w:val="bottom"/>
          </w:tcPr>
          <w:p>
            <w:pPr>
              <w:jc w:val="center"/>
              <w:ind w:right="274"/>
              <w:spacing w:after="0" w:line="135" w:lineRule="exact"/>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88"/>
        </w:trPr>
        <w:tc>
          <w:tcPr>
            <w:tcW w:w="6620" w:type="dxa"/>
            <w:vAlign w:val="bottom"/>
            <w:tcBorders>
              <w:bottom w:val="single" w:sz="8" w:color="CCEEFF"/>
            </w:tcBorders>
          </w:tcPr>
          <w:p>
            <w:pPr>
              <w:spacing w:after="0"/>
              <w:rPr>
                <w:sz w:val="16"/>
                <w:szCs w:val="16"/>
                <w:color w:val="auto"/>
              </w:rPr>
            </w:pPr>
          </w:p>
        </w:tc>
        <w:tc>
          <w:tcPr>
            <w:tcW w:w="220" w:type="dxa"/>
            <w:vAlign w:val="bottom"/>
            <w:tcBorders>
              <w:bottom w:val="single" w:sz="8" w:color="CCEEFF"/>
            </w:tcBorders>
          </w:tcPr>
          <w:p>
            <w:pPr>
              <w:spacing w:after="0"/>
              <w:rPr>
                <w:sz w:val="16"/>
                <w:szCs w:val="16"/>
                <w:color w:val="auto"/>
              </w:rPr>
            </w:pPr>
          </w:p>
        </w:tc>
        <w:tc>
          <w:tcPr>
            <w:tcW w:w="118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2021</w:t>
            </w: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4"/>
              <w:spacing w:after="0"/>
              <w:rPr>
                <w:sz w:val="20"/>
                <w:szCs w:val="20"/>
                <w:color w:val="auto"/>
              </w:rPr>
            </w:pPr>
            <w:r>
              <w:rPr>
                <w:rFonts w:ascii="Arial" w:cs="Arial" w:eastAsia="Arial" w:hAnsi="Arial"/>
                <w:sz w:val="14"/>
                <w:szCs w:val="14"/>
                <w:b w:val="1"/>
                <w:bCs w:val="1"/>
                <w:color w:val="auto"/>
                <w:w w:val="89"/>
              </w:rPr>
              <w:t>2020</w:t>
            </w:r>
          </w:p>
        </w:tc>
        <w:tc>
          <w:tcPr>
            <w:tcW w:w="0" w:type="dxa"/>
            <w:vAlign w:val="bottom"/>
          </w:tcPr>
          <w:p>
            <w:pPr>
              <w:spacing w:after="0"/>
              <w:rPr>
                <w:sz w:val="1"/>
                <w:szCs w:val="1"/>
                <w:color w:val="auto"/>
              </w:rPr>
            </w:pPr>
          </w:p>
        </w:tc>
      </w:tr>
      <w:tr>
        <w:trPr>
          <w:trHeight w:val="224"/>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29"/>
        </w:trPr>
        <w:tc>
          <w:tcPr>
            <w:tcW w:w="6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tcBorders>
              <w:bottom w:val="single" w:sz="8" w:color="CCEEFF"/>
            </w:tcBorders>
          </w:tcPr>
          <w:p>
            <w:pPr>
              <w:spacing w:after="0"/>
              <w:rPr>
                <w:sz w:val="19"/>
                <w:szCs w:val="19"/>
                <w:color w:val="auto"/>
              </w:rPr>
            </w:pPr>
          </w:p>
        </w:tc>
        <w:tc>
          <w:tcPr>
            <w:tcW w:w="118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114"/>
              <w:spacing w:after="0"/>
              <w:rPr>
                <w:sz w:val="20"/>
                <w:szCs w:val="20"/>
                <w:color w:val="auto"/>
              </w:rPr>
            </w:pPr>
            <w:r>
              <w:rPr>
                <w:rFonts w:ascii="Arial" w:cs="Arial" w:eastAsia="Arial" w:hAnsi="Arial"/>
                <w:sz w:val="18"/>
                <w:szCs w:val="18"/>
                <w:color w:val="auto"/>
              </w:rPr>
              <w:t>49.9</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49.7</w:t>
            </w:r>
          </w:p>
        </w:tc>
        <w:tc>
          <w:tcPr>
            <w:tcW w:w="0" w:type="dxa"/>
            <w:vAlign w:val="bottom"/>
          </w:tcPr>
          <w:p>
            <w:pPr>
              <w:spacing w:after="0"/>
              <w:rPr>
                <w:sz w:val="1"/>
                <w:szCs w:val="1"/>
                <w:color w:val="auto"/>
              </w:rPr>
            </w:pPr>
          </w:p>
        </w:tc>
      </w:tr>
      <w:tr>
        <w:trPr>
          <w:trHeight w:val="223"/>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50.1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50.3</w:t>
            </w:r>
          </w:p>
        </w:tc>
        <w:tc>
          <w:tcPr>
            <w:tcW w:w="0" w:type="dxa"/>
            <w:vAlign w:val="bottom"/>
          </w:tcPr>
          <w:p>
            <w:pPr>
              <w:spacing w:after="0"/>
              <w:rPr>
                <w:sz w:val="1"/>
                <w:szCs w:val="1"/>
                <w:color w:val="auto"/>
              </w:rPr>
            </w:pPr>
          </w:p>
        </w:tc>
      </w:tr>
      <w:tr>
        <w:trPr>
          <w:trHeight w:val="229"/>
        </w:trPr>
        <w:tc>
          <w:tcPr>
            <w:tcW w:w="662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36.1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40.0</w:t>
            </w:r>
          </w:p>
        </w:tc>
        <w:tc>
          <w:tcPr>
            <w:tcW w:w="0" w:type="dxa"/>
            <w:vAlign w:val="bottom"/>
          </w:tcPr>
          <w:p>
            <w:pPr>
              <w:spacing w:after="0"/>
              <w:rPr>
                <w:sz w:val="1"/>
                <w:szCs w:val="1"/>
                <w:color w:val="auto"/>
              </w:rPr>
            </w:pPr>
          </w:p>
        </w:tc>
      </w:tr>
      <w:tr>
        <w:trPr>
          <w:trHeight w:val="229"/>
        </w:trPr>
        <w:tc>
          <w:tcPr>
            <w:tcW w:w="662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jc w:val="right"/>
              <w:ind w:right="114"/>
              <w:spacing w:after="0"/>
              <w:rPr>
                <w:sz w:val="20"/>
                <w:szCs w:val="20"/>
                <w:color w:val="auto"/>
              </w:rPr>
            </w:pPr>
            <w:r>
              <w:rPr>
                <w:rFonts w:ascii="Arial" w:cs="Arial" w:eastAsia="Arial" w:hAnsi="Arial"/>
                <w:sz w:val="18"/>
                <w:szCs w:val="18"/>
                <w:color w:val="auto"/>
              </w:rPr>
              <w:t>15.7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134"/>
              <w:spacing w:after="0"/>
              <w:rPr>
                <w:sz w:val="20"/>
                <w:szCs w:val="20"/>
                <w:color w:val="auto"/>
              </w:rPr>
            </w:pPr>
            <w:r>
              <w:rPr>
                <w:rFonts w:ascii="Arial" w:cs="Arial" w:eastAsia="Arial" w:hAnsi="Arial"/>
                <w:sz w:val="18"/>
                <w:szCs w:val="18"/>
                <w:color w:val="auto"/>
              </w:rPr>
              <w:t>17.3</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1.2</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CCEEFF"/>
            </w:tcBorders>
          </w:tcPr>
          <w:p>
            <w:pPr>
              <w:spacing w:after="0"/>
              <w:rPr>
                <w:sz w:val="19"/>
                <w:szCs w:val="19"/>
                <w:color w:val="auto"/>
              </w:rPr>
            </w:pPr>
          </w:p>
        </w:tc>
        <w:tc>
          <w:tcPr>
            <w:tcW w:w="118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114"/>
              <w:spacing w:after="0"/>
              <w:rPr>
                <w:sz w:val="20"/>
                <w:szCs w:val="20"/>
                <w:color w:val="auto"/>
              </w:rPr>
            </w:pPr>
            <w:r>
              <w:rPr>
                <w:rFonts w:ascii="Arial" w:cs="Arial" w:eastAsia="Arial" w:hAnsi="Arial"/>
                <w:sz w:val="18"/>
                <w:szCs w:val="18"/>
                <w:color w:val="auto"/>
              </w:rPr>
              <w:t>5.8</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23"/>
        </w:trPr>
        <w:tc>
          <w:tcPr>
            <w:tcW w:w="6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58.8</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59.3</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jc w:val="right"/>
              <w:ind w:right="74"/>
              <w:spacing w:after="0"/>
              <w:rPr>
                <w:sz w:val="20"/>
                <w:szCs w:val="20"/>
                <w:color w:val="auto"/>
              </w:rPr>
            </w:pPr>
            <w:r>
              <w:rPr>
                <w:rFonts w:ascii="Arial" w:cs="Arial" w:eastAsia="Arial" w:hAnsi="Arial"/>
                <w:sz w:val="18"/>
                <w:szCs w:val="18"/>
                <w:color w:val="auto"/>
              </w:rPr>
              <w:t>(8.7)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0.1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30"/>
        </w:trPr>
        <w:tc>
          <w:tcPr>
            <w:tcW w:w="6620" w:type="dxa"/>
            <w:vAlign w:val="bottom"/>
          </w:tcPr>
          <w:p>
            <w:pPr>
              <w:ind w:left="20"/>
              <w:spacing w:after="0"/>
              <w:rPr>
                <w:sz w:val="20"/>
                <w:szCs w:val="20"/>
                <w:color w:val="auto"/>
              </w:rPr>
            </w:pPr>
            <w:r>
              <w:rPr>
                <w:rFonts w:ascii="Arial" w:cs="Arial" w:eastAsia="Arial" w:hAnsi="Arial"/>
                <w:sz w:val="18"/>
                <w:szCs w:val="18"/>
                <w:color w:val="auto"/>
              </w:rPr>
              <w:t>Interest expense</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jc w:val="right"/>
              <w:ind w:right="74"/>
              <w:spacing w:after="0"/>
              <w:rPr>
                <w:sz w:val="20"/>
                <w:szCs w:val="20"/>
                <w:color w:val="auto"/>
              </w:rPr>
            </w:pPr>
            <w:r>
              <w:rPr>
                <w:rFonts w:ascii="Arial" w:cs="Arial" w:eastAsia="Arial" w:hAnsi="Arial"/>
                <w:sz w:val="18"/>
                <w:szCs w:val="18"/>
                <w:color w:val="auto"/>
              </w:rPr>
              <w:t>(2.3)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0.1</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41.6</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jc w:val="right"/>
              <w:ind w:right="74"/>
              <w:spacing w:after="0"/>
              <w:rPr>
                <w:sz w:val="20"/>
                <w:szCs w:val="20"/>
                <w:color w:val="auto"/>
              </w:rPr>
            </w:pPr>
            <w:r>
              <w:rPr>
                <w:rFonts w:ascii="Arial" w:cs="Arial" w:eastAsia="Arial" w:hAnsi="Arial"/>
                <w:sz w:val="18"/>
                <w:szCs w:val="18"/>
                <w:color w:val="auto"/>
              </w:rPr>
              <w:t>(10.8)</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134"/>
              <w:spacing w:after="0"/>
              <w:rPr>
                <w:sz w:val="20"/>
                <w:szCs w:val="20"/>
                <w:color w:val="auto"/>
              </w:rPr>
            </w:pPr>
            <w:r>
              <w:rPr>
                <w:rFonts w:ascii="Arial" w:cs="Arial" w:eastAsia="Arial" w:hAnsi="Arial"/>
                <w:sz w:val="18"/>
                <w:szCs w:val="18"/>
                <w:color w:val="auto"/>
              </w:rPr>
              <w:t>29.6</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(1.5)</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(29.0)</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Income (loss), net of tax</w:t>
            </w: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58.6 %</w:t>
            </w:r>
          </w:p>
        </w:tc>
        <w:tc>
          <w:tcPr>
            <w:tcW w:w="0" w:type="dxa"/>
            <w:vAlign w:val="bottom"/>
          </w:tcPr>
          <w:p>
            <w:pPr>
              <w:spacing w:after="0"/>
              <w:rPr>
                <w:sz w:val="1"/>
                <w:szCs w:val="1"/>
                <w:color w:val="auto"/>
              </w:rPr>
            </w:pPr>
          </w:p>
        </w:tc>
      </w:tr>
      <w:tr>
        <w:trPr>
          <w:trHeight w:val="20"/>
        </w:trPr>
        <w:tc>
          <w:tcPr>
            <w:tcW w:w="6620" w:type="dxa"/>
            <w:vAlign w:val="bottom"/>
            <w:vMerge w:val="restart"/>
          </w:tcPr>
          <w:p>
            <w:pPr>
              <w:ind w:left="420"/>
              <w:spacing w:after="0"/>
              <w:rPr>
                <w:sz w:val="20"/>
                <w:szCs w:val="20"/>
                <w:color w:val="auto"/>
              </w:rPr>
            </w:pPr>
            <w:r>
              <w:rPr>
                <w:rFonts w:ascii="Arial" w:cs="Arial" w:eastAsia="Arial" w:hAnsi="Arial"/>
                <w:sz w:val="18"/>
                <w:szCs w:val="18"/>
                <w:i w:val="1"/>
                <w:iCs w:val="1"/>
                <w:color w:val="auto"/>
              </w:rPr>
              <w:t>Net Revenue</w:t>
            </w:r>
          </w:p>
        </w:tc>
        <w:tc>
          <w:tcPr>
            <w:tcW w:w="2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560"/>
        </w:trPr>
        <w:tc>
          <w:tcPr>
            <w:tcW w:w="662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6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0" w:type="dxa"/>
            <w:vAlign w:val="bottom"/>
            <w:gridSpan w:val="6"/>
          </w:tcPr>
          <w:p>
            <w:pPr>
              <w:ind w:left="900"/>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662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124"/>
              <w:spacing w:after="0" w:line="135" w:lineRule="exact"/>
              <w:rPr>
                <w:sz w:val="20"/>
                <w:szCs w:val="20"/>
                <w:color w:val="auto"/>
              </w:rPr>
            </w:pPr>
            <w:r>
              <w:rPr>
                <w:rFonts w:ascii="Arial" w:cs="Arial" w:eastAsia="Arial" w:hAnsi="Arial"/>
                <w:sz w:val="14"/>
                <w:szCs w:val="14"/>
                <w:b w:val="1"/>
                <w:bCs w:val="1"/>
                <w:color w:val="auto"/>
                <w:w w:val="95"/>
              </w:rPr>
              <w:t>January 30,</w:t>
            </w:r>
          </w:p>
        </w:tc>
        <w:tc>
          <w:tcPr>
            <w:tcW w:w="3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54"/>
              <w:spacing w:after="0" w:line="135" w:lineRule="exact"/>
              <w:rPr>
                <w:sz w:val="20"/>
                <w:szCs w:val="20"/>
                <w:color w:val="auto"/>
              </w:rPr>
            </w:pPr>
            <w:r>
              <w:rPr>
                <w:rFonts w:ascii="Arial" w:cs="Arial" w:eastAsia="Arial" w:hAnsi="Arial"/>
                <w:sz w:val="14"/>
                <w:szCs w:val="14"/>
                <w:b w:val="1"/>
                <w:bCs w:val="1"/>
                <w:color w:val="auto"/>
              </w:rPr>
              <w:t>February 1,</w:t>
            </w:r>
          </w:p>
        </w:tc>
        <w:tc>
          <w:tcPr>
            <w:tcW w:w="480" w:type="dxa"/>
            <w:vAlign w:val="bottom"/>
            <w:gridSpan w:val="3"/>
          </w:tcPr>
          <w:p>
            <w:pPr>
              <w:spacing w:after="0"/>
              <w:rPr>
                <w:sz w:val="11"/>
                <w:szCs w:val="11"/>
                <w:color w:val="auto"/>
              </w:rPr>
            </w:pPr>
          </w:p>
        </w:tc>
        <w:tc>
          <w:tcPr>
            <w:tcW w:w="1200" w:type="dxa"/>
            <w:vAlign w:val="bottom"/>
          </w:tcPr>
          <w:p>
            <w:pPr>
              <w:jc w:val="center"/>
              <w:ind w:right="274"/>
              <w:spacing w:after="0" w:line="135" w:lineRule="exact"/>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88"/>
        </w:trPr>
        <w:tc>
          <w:tcPr>
            <w:tcW w:w="66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2021</w:t>
            </w:r>
          </w:p>
        </w:tc>
        <w:tc>
          <w:tcPr>
            <w:tcW w:w="3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2020</w:t>
            </w: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4"/>
              <w:spacing w:after="0"/>
              <w:rPr>
                <w:sz w:val="20"/>
                <w:szCs w:val="20"/>
                <w:color w:val="auto"/>
              </w:rPr>
            </w:pPr>
            <w:r>
              <w:rPr>
                <w:rFonts w:ascii="Arial" w:cs="Arial" w:eastAsia="Arial" w:hAnsi="Arial"/>
                <w:sz w:val="14"/>
                <w:szCs w:val="14"/>
                <w:b w:val="1"/>
                <w:bCs w:val="1"/>
                <w:color w:val="auto"/>
                <w:w w:val="92"/>
              </w:rPr>
              <w:t>in 2021</w:t>
            </w:r>
          </w:p>
        </w:tc>
        <w:tc>
          <w:tcPr>
            <w:tcW w:w="0" w:type="dxa"/>
            <w:vAlign w:val="bottom"/>
          </w:tcPr>
          <w:p>
            <w:pPr>
              <w:spacing w:after="0"/>
              <w:rPr>
                <w:sz w:val="1"/>
                <w:szCs w:val="1"/>
                <w:color w:val="auto"/>
              </w:rPr>
            </w:pPr>
          </w:p>
        </w:tc>
      </w:tr>
      <w:tr>
        <w:trPr>
          <w:trHeight w:val="183"/>
        </w:trPr>
        <w:tc>
          <w:tcPr>
            <w:tcW w:w="6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0" w:type="dxa"/>
            <w:vAlign w:val="bottom"/>
            <w:gridSpan w:val="6"/>
          </w:tcPr>
          <w:p>
            <w:pPr>
              <w:ind w:left="1080"/>
              <w:spacing w:after="0"/>
              <w:rPr>
                <w:sz w:val="20"/>
                <w:szCs w:val="20"/>
                <w:color w:val="auto"/>
              </w:rPr>
            </w:pPr>
            <w:r>
              <w:rPr>
                <w:rFonts w:ascii="Arial" w:cs="Arial" w:eastAsia="Arial" w:hAnsi="Arial"/>
                <w:sz w:val="14"/>
                <w:szCs w:val="14"/>
                <w:b w:val="1"/>
                <w:bCs w:val="1"/>
                <w:color w:val="auto"/>
                <w:w w:val="92"/>
              </w:rPr>
              <w:t>(in thousands, except percentage)</w:t>
            </w: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1"/>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2,968,900</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2,699,161</w:t>
            </w:r>
          </w:p>
        </w:tc>
        <w:tc>
          <w:tcPr>
            <w:tcW w:w="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20" w:firstLine="405"/>
        <w:spacing w:after="0" w:line="296" w:lineRule="auto"/>
        <w:rPr>
          <w:sz w:val="20"/>
          <w:szCs w:val="20"/>
          <w:color w:val="auto"/>
        </w:rPr>
      </w:pPr>
      <w:r>
        <w:rPr>
          <w:rFonts w:ascii="Arial" w:cs="Arial" w:eastAsia="Arial" w:hAnsi="Arial"/>
          <w:sz w:val="16"/>
          <w:szCs w:val="16"/>
          <w:color w:val="auto"/>
        </w:rPr>
        <w:t>Our net revenue for fiscal 2021 increased by $269.7 million compared to net revenue for fiscal 2020. This increase was primarily due to a 22% increase in sales of our networking products and a 1% increase in sales of our storage products, partially offset by a 27% decrease in sales of our other products. Average selling prices increased 30% compared to fiscal 2020, and unit shipments were 20% lower compared to fiscal 2020, for an overall increase in net revenue of 10%. This was primarily driven by our recent portfolio changes, including the acquisition of Avera ASIC business, which increased our average selling prices, and the divestiture of the Wi-Fi Connectivity business, which decreased our unit shipments.</w:t>
      </w:r>
    </w:p>
    <w:p>
      <w:pPr>
        <w:spacing w:after="0" w:line="2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8" w:name="page49"/>
    <w:bookmarkEnd w:id="48"/>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35"/>
        </w:trPr>
        <w:tc>
          <w:tcPr>
            <w:tcW w:w="6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tcPr>
          <w:p>
            <w:pPr>
              <w:jc w:val="right"/>
              <w:ind w:right="379"/>
              <w:spacing w:after="0" w:line="135" w:lineRule="exact"/>
              <w:rPr>
                <w:sz w:val="20"/>
                <w:szCs w:val="20"/>
                <w:color w:val="auto"/>
              </w:rPr>
            </w:pPr>
            <w:r>
              <w:rPr>
                <w:rFonts w:ascii="Arial" w:cs="Arial" w:eastAsia="Arial" w:hAnsi="Arial"/>
                <w:sz w:val="14"/>
                <w:szCs w:val="14"/>
                <w:b w:val="1"/>
                <w:bCs w:val="1"/>
                <w:color w:val="auto"/>
              </w:rPr>
              <w:t>January 30,</w:t>
            </w:r>
          </w:p>
        </w:tc>
        <w:tc>
          <w:tcPr>
            <w:tcW w:w="420" w:type="dxa"/>
            <w:vAlign w:val="bottom"/>
          </w:tcPr>
          <w:p>
            <w:pPr>
              <w:spacing w:after="0"/>
              <w:rPr>
                <w:sz w:val="11"/>
                <w:szCs w:val="11"/>
                <w:color w:val="auto"/>
              </w:rPr>
            </w:pPr>
          </w:p>
        </w:tc>
        <w:tc>
          <w:tcPr>
            <w:tcW w:w="1200" w:type="dxa"/>
            <w:vAlign w:val="bottom"/>
          </w:tcPr>
          <w:p>
            <w:pPr>
              <w:jc w:val="center"/>
              <w:ind w:right="276"/>
              <w:spacing w:after="0" w:line="135" w:lineRule="exact"/>
              <w:rPr>
                <w:sz w:val="20"/>
                <w:szCs w:val="20"/>
                <w:color w:val="auto"/>
              </w:rPr>
            </w:pPr>
            <w:r>
              <w:rPr>
                <w:rFonts w:ascii="Arial" w:cs="Arial" w:eastAsia="Arial" w:hAnsi="Arial"/>
                <w:sz w:val="14"/>
                <w:szCs w:val="14"/>
                <w:b w:val="1"/>
                <w:bCs w:val="1"/>
                <w:color w:val="auto"/>
                <w:w w:val="95"/>
              </w:rPr>
              <w:t>February 1,</w:t>
            </w:r>
          </w:p>
        </w:tc>
        <w:tc>
          <w:tcPr>
            <w:tcW w:w="400" w:type="dxa"/>
            <w:vAlign w:val="bottom"/>
          </w:tcPr>
          <w:p>
            <w:pPr>
              <w:spacing w:after="0"/>
              <w:rPr>
                <w:sz w:val="11"/>
                <w:szCs w:val="11"/>
                <w:color w:val="auto"/>
              </w:rPr>
            </w:pPr>
          </w:p>
        </w:tc>
        <w:tc>
          <w:tcPr>
            <w:tcW w:w="1240" w:type="dxa"/>
            <w:vAlign w:val="bottom"/>
          </w:tcPr>
          <w:p>
            <w:pPr>
              <w:jc w:val="right"/>
              <w:ind w:right="359"/>
              <w:spacing w:after="0" w:line="135" w:lineRule="exact"/>
              <w:rPr>
                <w:sz w:val="20"/>
                <w:szCs w:val="20"/>
                <w:color w:val="auto"/>
              </w:rPr>
            </w:pPr>
            <w:r>
              <w:rPr>
                <w:rFonts w:ascii="Arial" w:cs="Arial" w:eastAsia="Arial" w:hAnsi="Arial"/>
                <w:sz w:val="14"/>
                <w:szCs w:val="14"/>
                <w:b w:val="1"/>
                <w:bCs w:val="1"/>
                <w:color w:val="auto"/>
              </w:rPr>
              <w:t>% Change</w:t>
            </w:r>
          </w:p>
        </w:tc>
      </w:tr>
      <w:tr>
        <w:trPr>
          <w:trHeight w:val="188"/>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99"/>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6"/>
              <w:spacing w:after="0"/>
              <w:rPr>
                <w:sz w:val="20"/>
                <w:szCs w:val="20"/>
                <w:color w:val="auto"/>
              </w:rPr>
            </w:pPr>
            <w:r>
              <w:rPr>
                <w:rFonts w:ascii="Arial" w:cs="Arial" w:eastAsia="Arial" w:hAnsi="Arial"/>
                <w:sz w:val="14"/>
                <w:szCs w:val="14"/>
                <w:b w:val="1"/>
                <w:bCs w:val="1"/>
                <w:color w:val="auto"/>
                <w:w w:val="89"/>
              </w:rPr>
              <w:t>2020</w:t>
            </w:r>
          </w:p>
        </w:tc>
        <w:tc>
          <w:tcPr>
            <w:tcW w:w="4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in 2021</w:t>
            </w:r>
          </w:p>
        </w:tc>
      </w:tr>
      <w:tr>
        <w:trPr>
          <w:trHeight w:val="183"/>
        </w:trPr>
        <w:tc>
          <w:tcPr>
            <w:tcW w:w="63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360" w:type="dxa"/>
            <w:vAlign w:val="bottom"/>
            <w:gridSpan w:val="4"/>
          </w:tcPr>
          <w:p>
            <w:pPr>
              <w:jc w:val="center"/>
              <w:ind w:left="899"/>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15"/>
                <w:szCs w:val="15"/>
                <w:color w:val="auto"/>
              </w:rPr>
            </w:pPr>
          </w:p>
        </w:tc>
      </w:tr>
      <w:tr>
        <w:trPr>
          <w:trHeight w:val="231"/>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1,480,550</w:t>
            </w:r>
          </w:p>
        </w:tc>
        <w:tc>
          <w:tcPr>
            <w:tcW w:w="42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1,342,220</w:t>
            </w:r>
          </w:p>
        </w:tc>
        <w:tc>
          <w:tcPr>
            <w:tcW w:w="400" w:type="dxa"/>
            <w:vAlign w:val="bottom"/>
            <w:shd w:val="clear" w:color="auto" w:fill="CCEEFF"/>
          </w:tcPr>
          <w:p>
            <w:pPr>
              <w:spacing w:after="0"/>
              <w:rPr>
                <w:sz w:val="20"/>
                <w:szCs w:val="20"/>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10.3 %</w:t>
            </w:r>
          </w:p>
        </w:tc>
      </w:tr>
      <w:tr>
        <w:trPr>
          <w:trHeight w:val="230"/>
        </w:trPr>
        <w:tc>
          <w:tcPr>
            <w:tcW w:w="6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49.9 %</w:t>
            </w:r>
          </w:p>
        </w:tc>
        <w:tc>
          <w:tcPr>
            <w:tcW w:w="4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49.7 %</w:t>
            </w:r>
          </w:p>
        </w:tc>
        <w:tc>
          <w:tcPr>
            <w:tcW w:w="400" w:type="dxa"/>
            <w:vAlign w:val="bottom"/>
          </w:tcPr>
          <w:p>
            <w:pPr>
              <w:spacing w:after="0"/>
              <w:rPr>
                <w:sz w:val="19"/>
                <w:szCs w:val="19"/>
                <w:color w:val="auto"/>
              </w:rPr>
            </w:pPr>
          </w:p>
        </w:tc>
        <w:tc>
          <w:tcPr>
            <w:tcW w:w="1240" w:type="dxa"/>
            <w:vAlign w:val="bottom"/>
          </w:tcPr>
          <w:p>
            <w:pPr>
              <w:spacing w:after="0"/>
              <w:rPr>
                <w:sz w:val="19"/>
                <w:szCs w:val="19"/>
                <w:color w:val="auto"/>
              </w:rPr>
            </w:pPr>
          </w:p>
        </w:tc>
      </w:tr>
      <w:tr>
        <w:trPr>
          <w:trHeight w:val="229"/>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1,488,350</w:t>
            </w:r>
          </w:p>
        </w:tc>
        <w:tc>
          <w:tcPr>
            <w:tcW w:w="42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1,356,941</w:t>
            </w:r>
          </w:p>
        </w:tc>
        <w:tc>
          <w:tcPr>
            <w:tcW w:w="400" w:type="dxa"/>
            <w:vAlign w:val="bottom"/>
            <w:shd w:val="clear" w:color="auto" w:fill="CCEEFF"/>
          </w:tcPr>
          <w:p>
            <w:pPr>
              <w:spacing w:after="0"/>
              <w:rPr>
                <w:sz w:val="19"/>
                <w:szCs w:val="19"/>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9.7 %</w:t>
            </w:r>
          </w:p>
        </w:tc>
      </w:tr>
      <w:tr>
        <w:trPr>
          <w:trHeight w:val="230"/>
        </w:trPr>
        <w:tc>
          <w:tcPr>
            <w:tcW w:w="6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50.1 %</w:t>
            </w:r>
          </w:p>
        </w:tc>
        <w:tc>
          <w:tcPr>
            <w:tcW w:w="42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50.3 %</w:t>
            </w:r>
          </w:p>
        </w:tc>
        <w:tc>
          <w:tcPr>
            <w:tcW w:w="400" w:type="dxa"/>
            <w:vAlign w:val="bottom"/>
          </w:tcPr>
          <w:p>
            <w:pPr>
              <w:spacing w:after="0"/>
              <w:rPr>
                <w:sz w:val="20"/>
                <w:szCs w:val="20"/>
                <w:color w:val="auto"/>
              </w:rPr>
            </w:pPr>
          </w:p>
        </w:tc>
        <w:tc>
          <w:tcPr>
            <w:tcW w:w="1240" w:type="dxa"/>
            <w:vAlign w:val="bottom"/>
          </w:tcPr>
          <w:p>
            <w:pPr>
              <w:spacing w:after="0"/>
              <w:rPr>
                <w:sz w:val="20"/>
                <w:szCs w:val="20"/>
                <w:color w:val="auto"/>
              </w:rPr>
            </w:pPr>
          </w:p>
        </w:tc>
      </w:tr>
    </w:tbl>
    <w:p>
      <w:pPr>
        <w:spacing w:after="0" w:line="93" w:lineRule="exact"/>
        <w:rPr>
          <w:sz w:val="20"/>
          <w:szCs w:val="20"/>
          <w:color w:val="auto"/>
        </w:rPr>
      </w:pPr>
    </w:p>
    <w:p>
      <w:pPr>
        <w:ind w:firstLine="405"/>
        <w:spacing w:after="0" w:line="286" w:lineRule="auto"/>
        <w:rPr>
          <w:sz w:val="20"/>
          <w:szCs w:val="20"/>
          <w:color w:val="auto"/>
        </w:rPr>
      </w:pPr>
      <w:r>
        <w:rPr>
          <w:rFonts w:ascii="Arial" w:cs="Arial" w:eastAsia="Arial" w:hAnsi="Arial"/>
          <w:sz w:val="17"/>
          <w:szCs w:val="17"/>
          <w:color w:val="auto"/>
        </w:rPr>
        <w:t>The cost of goods sold as a percentage of net revenue was higher for fiscal 2021 primarily due to increased costs from higher amortization of acquired intangible assets related to the Aquantia and Avera acquisitions, partially offset by decreased costs from amortization of inventory fair value adjustment associated with the acquisitions. As a result, gross margin for fiscal 2021 decreased 0.2 percentage points compared to fiscal 2020.</w:t>
      </w:r>
    </w:p>
    <w:p>
      <w:pPr>
        <w:spacing w:after="0" w:line="30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35"/>
        </w:trPr>
        <w:tc>
          <w:tcPr>
            <w:tcW w:w="6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00" w:type="dxa"/>
            <w:vAlign w:val="bottom"/>
          </w:tcPr>
          <w:p>
            <w:pPr>
              <w:jc w:val="right"/>
              <w:ind w:right="141"/>
              <w:spacing w:after="0" w:line="135" w:lineRule="exact"/>
              <w:rPr>
                <w:sz w:val="20"/>
                <w:szCs w:val="20"/>
                <w:color w:val="auto"/>
              </w:rPr>
            </w:pPr>
            <w:r>
              <w:rPr>
                <w:rFonts w:ascii="Arial" w:cs="Arial" w:eastAsia="Arial" w:hAnsi="Arial"/>
                <w:sz w:val="14"/>
                <w:szCs w:val="14"/>
                <w:b w:val="1"/>
                <w:bCs w:val="1"/>
                <w:color w:val="auto"/>
              </w:rPr>
              <w:t>January 30,</w:t>
            </w:r>
          </w:p>
        </w:tc>
        <w:tc>
          <w:tcPr>
            <w:tcW w:w="660" w:type="dxa"/>
            <w:vAlign w:val="bottom"/>
          </w:tcPr>
          <w:p>
            <w:pPr>
              <w:spacing w:after="0"/>
              <w:rPr>
                <w:sz w:val="11"/>
                <w:szCs w:val="11"/>
                <w:color w:val="auto"/>
              </w:rPr>
            </w:pPr>
          </w:p>
        </w:tc>
        <w:tc>
          <w:tcPr>
            <w:tcW w:w="1200" w:type="dxa"/>
            <w:vAlign w:val="bottom"/>
          </w:tcPr>
          <w:p>
            <w:pPr>
              <w:jc w:val="center"/>
              <w:ind w:right="279"/>
              <w:spacing w:after="0" w:line="135" w:lineRule="exact"/>
              <w:rPr>
                <w:sz w:val="20"/>
                <w:szCs w:val="20"/>
                <w:color w:val="auto"/>
              </w:rPr>
            </w:pPr>
            <w:r>
              <w:rPr>
                <w:rFonts w:ascii="Arial" w:cs="Arial" w:eastAsia="Arial" w:hAnsi="Arial"/>
                <w:sz w:val="14"/>
                <w:szCs w:val="14"/>
                <w:b w:val="1"/>
                <w:bCs w:val="1"/>
                <w:color w:val="auto"/>
                <w:w w:val="95"/>
              </w:rPr>
              <w:t>February 1,</w:t>
            </w:r>
          </w:p>
        </w:tc>
        <w:tc>
          <w:tcPr>
            <w:tcW w:w="400" w:type="dxa"/>
            <w:vAlign w:val="bottom"/>
          </w:tcPr>
          <w:p>
            <w:pPr>
              <w:spacing w:after="0"/>
              <w:rPr>
                <w:sz w:val="11"/>
                <w:szCs w:val="11"/>
                <w:color w:val="auto"/>
              </w:rPr>
            </w:pPr>
          </w:p>
        </w:tc>
        <w:tc>
          <w:tcPr>
            <w:tcW w:w="1240" w:type="dxa"/>
            <w:vAlign w:val="bottom"/>
          </w:tcPr>
          <w:p>
            <w:pPr>
              <w:jc w:val="center"/>
              <w:ind w:right="222"/>
              <w:spacing w:after="0" w:line="135" w:lineRule="exact"/>
              <w:rPr>
                <w:sz w:val="20"/>
                <w:szCs w:val="20"/>
                <w:color w:val="auto"/>
              </w:rPr>
            </w:pPr>
            <w:r>
              <w:rPr>
                <w:rFonts w:ascii="Arial" w:cs="Arial" w:eastAsia="Arial" w:hAnsi="Arial"/>
                <w:sz w:val="14"/>
                <w:szCs w:val="14"/>
                <w:b w:val="1"/>
                <w:bCs w:val="1"/>
                <w:color w:val="auto"/>
                <w:w w:val="97"/>
              </w:rPr>
              <w:t>% Change</w:t>
            </w:r>
          </w:p>
        </w:tc>
      </w:tr>
      <w:tr>
        <w:trPr>
          <w:trHeight w:val="188"/>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2021</w:t>
            </w:r>
          </w:p>
        </w:tc>
        <w:tc>
          <w:tcPr>
            <w:tcW w:w="6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9"/>
              <w:spacing w:after="0"/>
              <w:rPr>
                <w:sz w:val="20"/>
                <w:szCs w:val="20"/>
                <w:color w:val="auto"/>
              </w:rPr>
            </w:pPr>
            <w:r>
              <w:rPr>
                <w:rFonts w:ascii="Arial" w:cs="Arial" w:eastAsia="Arial" w:hAnsi="Arial"/>
                <w:sz w:val="14"/>
                <w:szCs w:val="14"/>
                <w:b w:val="1"/>
                <w:bCs w:val="1"/>
                <w:color w:val="auto"/>
                <w:w w:val="89"/>
              </w:rPr>
              <w:t>2020</w:t>
            </w:r>
          </w:p>
        </w:tc>
        <w:tc>
          <w:tcPr>
            <w:tcW w:w="4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96"/>
              </w:rPr>
              <w:t>in 2021</w:t>
            </w:r>
          </w:p>
        </w:tc>
      </w:tr>
      <w:tr>
        <w:trPr>
          <w:trHeight w:val="183"/>
        </w:trPr>
        <w:tc>
          <w:tcPr>
            <w:tcW w:w="63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22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15"/>
                <w:szCs w:val="15"/>
                <w:color w:val="auto"/>
              </w:rPr>
            </w:pPr>
          </w:p>
        </w:tc>
      </w:tr>
      <w:tr>
        <w:trPr>
          <w:trHeight w:val="231"/>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1,072,740</w:t>
            </w:r>
          </w:p>
        </w:tc>
        <w:tc>
          <w:tcPr>
            <w:tcW w:w="66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1,080,391</w:t>
            </w:r>
          </w:p>
        </w:tc>
        <w:tc>
          <w:tcPr>
            <w:tcW w:w="400" w:type="dxa"/>
            <w:vAlign w:val="bottom"/>
            <w:shd w:val="clear" w:color="auto" w:fill="CCEEFF"/>
          </w:tcPr>
          <w:p>
            <w:pPr>
              <w:spacing w:after="0"/>
              <w:rPr>
                <w:sz w:val="20"/>
                <w:szCs w:val="20"/>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30"/>
        </w:trPr>
        <w:tc>
          <w:tcPr>
            <w:tcW w:w="6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760" w:type="dxa"/>
            <w:vAlign w:val="bottom"/>
            <w:gridSpan w:val="2"/>
          </w:tcPr>
          <w:p>
            <w:pPr>
              <w:jc w:val="right"/>
              <w:ind w:right="399"/>
              <w:spacing w:after="0"/>
              <w:rPr>
                <w:sz w:val="20"/>
                <w:szCs w:val="20"/>
                <w:color w:val="auto"/>
              </w:rPr>
            </w:pPr>
            <w:r>
              <w:rPr>
                <w:rFonts w:ascii="Arial" w:cs="Arial" w:eastAsia="Arial" w:hAnsi="Arial"/>
                <w:sz w:val="18"/>
                <w:szCs w:val="18"/>
                <w:color w:val="auto"/>
              </w:rPr>
              <w:t>36.1 %</w:t>
            </w:r>
          </w:p>
        </w:tc>
        <w:tc>
          <w:tcPr>
            <w:tcW w:w="1200" w:type="dxa"/>
            <w:vAlign w:val="bottom"/>
          </w:tcPr>
          <w:p>
            <w:pPr>
              <w:jc w:val="right"/>
              <w:spacing w:after="0"/>
              <w:rPr>
                <w:sz w:val="20"/>
                <w:szCs w:val="20"/>
                <w:color w:val="auto"/>
              </w:rPr>
            </w:pPr>
            <w:r>
              <w:rPr>
                <w:rFonts w:ascii="Arial" w:cs="Arial" w:eastAsia="Arial" w:hAnsi="Arial"/>
                <w:sz w:val="18"/>
                <w:szCs w:val="18"/>
                <w:color w:val="auto"/>
              </w:rPr>
              <w:t>40.0 %</w:t>
            </w:r>
          </w:p>
        </w:tc>
        <w:tc>
          <w:tcPr>
            <w:tcW w:w="400" w:type="dxa"/>
            <w:vAlign w:val="bottom"/>
          </w:tcPr>
          <w:p>
            <w:pPr>
              <w:spacing w:after="0"/>
              <w:rPr>
                <w:sz w:val="20"/>
                <w:szCs w:val="20"/>
                <w:color w:val="auto"/>
              </w:rPr>
            </w:pPr>
          </w:p>
        </w:tc>
        <w:tc>
          <w:tcPr>
            <w:tcW w:w="1240" w:type="dxa"/>
            <w:vAlign w:val="bottom"/>
          </w:tcPr>
          <w:p>
            <w:pPr>
              <w:spacing w:after="0"/>
              <w:rPr>
                <w:sz w:val="20"/>
                <w:szCs w:val="20"/>
                <w:color w:val="auto"/>
              </w:rPr>
            </w:pPr>
          </w:p>
        </w:tc>
      </w:tr>
    </w:tbl>
    <w:p>
      <w:pPr>
        <w:spacing w:after="0" w:line="93" w:lineRule="exact"/>
        <w:rPr>
          <w:sz w:val="20"/>
          <w:szCs w:val="20"/>
          <w:color w:val="auto"/>
        </w:rPr>
      </w:pPr>
    </w:p>
    <w:p>
      <w:pPr>
        <w:ind w:right="100" w:firstLine="405"/>
        <w:spacing w:after="0" w:line="301" w:lineRule="auto"/>
        <w:rPr>
          <w:sz w:val="20"/>
          <w:szCs w:val="20"/>
          <w:color w:val="auto"/>
        </w:rPr>
      </w:pPr>
      <w:r>
        <w:rPr>
          <w:rFonts w:ascii="Arial" w:cs="Arial" w:eastAsia="Arial" w:hAnsi="Arial"/>
          <w:sz w:val="16"/>
          <w:szCs w:val="16"/>
          <w:color w:val="auto"/>
        </w:rPr>
        <w:t>Research and development expense decreased by $7.7 million in fiscal 2021 compared to fiscal 2020. The decrease was due primarily to $43.4 million of higher non-recurring engineering credits recognized in the current year and $6.3 million lower travel expense due to the COVID-19 pandemic, partially offset by additional costs from our acquisitions of Aquantia and Avera, including $19.9 million of higher employee personnel-related costs, $13.4 million of higher depreciation and amortization expense and $7.3 million of higher computer-aided design software related costs.</w:t>
      </w:r>
    </w:p>
    <w:p>
      <w:pPr>
        <w:spacing w:after="0" w:line="29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35"/>
        </w:trPr>
        <w:tc>
          <w:tcPr>
            <w:tcW w:w="6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80" w:type="dxa"/>
            <w:vAlign w:val="bottom"/>
          </w:tcPr>
          <w:p>
            <w:pPr>
              <w:jc w:val="right"/>
              <w:ind w:right="121"/>
              <w:spacing w:after="0" w:line="135" w:lineRule="exact"/>
              <w:rPr>
                <w:sz w:val="20"/>
                <w:szCs w:val="20"/>
                <w:color w:val="auto"/>
              </w:rPr>
            </w:pPr>
            <w:r>
              <w:rPr>
                <w:rFonts w:ascii="Arial" w:cs="Arial" w:eastAsia="Arial" w:hAnsi="Arial"/>
                <w:sz w:val="14"/>
                <w:szCs w:val="14"/>
                <w:b w:val="1"/>
                <w:bCs w:val="1"/>
                <w:color w:val="auto"/>
              </w:rPr>
              <w:t>January 30,</w:t>
            </w:r>
          </w:p>
        </w:tc>
        <w:tc>
          <w:tcPr>
            <w:tcW w:w="680" w:type="dxa"/>
            <w:vAlign w:val="bottom"/>
          </w:tcPr>
          <w:p>
            <w:pPr>
              <w:spacing w:after="0"/>
              <w:rPr>
                <w:sz w:val="11"/>
                <w:szCs w:val="11"/>
                <w:color w:val="auto"/>
              </w:rPr>
            </w:pPr>
          </w:p>
        </w:tc>
        <w:tc>
          <w:tcPr>
            <w:tcW w:w="1180" w:type="dxa"/>
            <w:vAlign w:val="bottom"/>
          </w:tcPr>
          <w:p>
            <w:pPr>
              <w:jc w:val="center"/>
              <w:ind w:right="299"/>
              <w:spacing w:after="0" w:line="135" w:lineRule="exact"/>
              <w:rPr>
                <w:sz w:val="20"/>
                <w:szCs w:val="20"/>
                <w:color w:val="auto"/>
              </w:rPr>
            </w:pPr>
            <w:r>
              <w:rPr>
                <w:rFonts w:ascii="Arial" w:cs="Arial" w:eastAsia="Arial" w:hAnsi="Arial"/>
                <w:sz w:val="14"/>
                <w:szCs w:val="14"/>
                <w:b w:val="1"/>
                <w:bCs w:val="1"/>
                <w:color w:val="auto"/>
                <w:w w:val="95"/>
              </w:rPr>
              <w:t>February 1,</w:t>
            </w:r>
          </w:p>
        </w:tc>
        <w:tc>
          <w:tcPr>
            <w:tcW w:w="400" w:type="dxa"/>
            <w:vAlign w:val="bottom"/>
          </w:tcPr>
          <w:p>
            <w:pPr>
              <w:spacing w:after="0"/>
              <w:rPr>
                <w:sz w:val="11"/>
                <w:szCs w:val="11"/>
                <w:color w:val="auto"/>
              </w:rPr>
            </w:pPr>
          </w:p>
        </w:tc>
        <w:tc>
          <w:tcPr>
            <w:tcW w:w="1240" w:type="dxa"/>
            <w:vAlign w:val="bottom"/>
          </w:tcPr>
          <w:p>
            <w:pPr>
              <w:jc w:val="center"/>
              <w:ind w:right="222"/>
              <w:spacing w:after="0" w:line="135" w:lineRule="exact"/>
              <w:rPr>
                <w:sz w:val="20"/>
                <w:szCs w:val="20"/>
                <w:color w:val="auto"/>
              </w:rPr>
            </w:pPr>
            <w:r>
              <w:rPr>
                <w:rFonts w:ascii="Arial" w:cs="Arial" w:eastAsia="Arial" w:hAnsi="Arial"/>
                <w:sz w:val="14"/>
                <w:szCs w:val="14"/>
                <w:b w:val="1"/>
                <w:bCs w:val="1"/>
                <w:color w:val="auto"/>
                <w:w w:val="97"/>
              </w:rPr>
              <w:t>% Change</w:t>
            </w:r>
          </w:p>
        </w:tc>
      </w:tr>
      <w:tr>
        <w:trPr>
          <w:trHeight w:val="188"/>
        </w:trPr>
        <w:tc>
          <w:tcPr>
            <w:tcW w:w="64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41"/>
              <w:spacing w:after="0"/>
              <w:rPr>
                <w:sz w:val="20"/>
                <w:szCs w:val="20"/>
                <w:color w:val="auto"/>
              </w:rPr>
            </w:pPr>
            <w:r>
              <w:rPr>
                <w:rFonts w:ascii="Arial" w:cs="Arial" w:eastAsia="Arial" w:hAnsi="Arial"/>
                <w:sz w:val="14"/>
                <w:szCs w:val="14"/>
                <w:b w:val="1"/>
                <w:bCs w:val="1"/>
                <w:color w:val="auto"/>
              </w:rPr>
              <w:t>2021</w:t>
            </w:r>
          </w:p>
        </w:tc>
        <w:tc>
          <w:tcPr>
            <w:tcW w:w="6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99"/>
              <w:spacing w:after="0"/>
              <w:rPr>
                <w:sz w:val="20"/>
                <w:szCs w:val="20"/>
                <w:color w:val="auto"/>
              </w:rPr>
            </w:pPr>
            <w:r>
              <w:rPr>
                <w:rFonts w:ascii="Arial" w:cs="Arial" w:eastAsia="Arial" w:hAnsi="Arial"/>
                <w:sz w:val="14"/>
                <w:szCs w:val="14"/>
                <w:b w:val="1"/>
                <w:bCs w:val="1"/>
                <w:color w:val="auto"/>
                <w:w w:val="89"/>
              </w:rPr>
              <w:t>2020</w:t>
            </w:r>
          </w:p>
        </w:tc>
        <w:tc>
          <w:tcPr>
            <w:tcW w:w="4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96"/>
              </w:rPr>
              <w:t>in 2021</w:t>
            </w:r>
          </w:p>
        </w:tc>
      </w:tr>
      <w:tr>
        <w:trPr>
          <w:trHeight w:val="183"/>
        </w:trPr>
        <w:tc>
          <w:tcPr>
            <w:tcW w:w="64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22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15"/>
                <w:szCs w:val="15"/>
                <w:color w:val="auto"/>
              </w:rPr>
            </w:pPr>
          </w:p>
        </w:tc>
      </w:tr>
      <w:tr>
        <w:trPr>
          <w:trHeight w:val="231"/>
        </w:trPr>
        <w:tc>
          <w:tcPr>
            <w:tcW w:w="6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467,240</w:t>
            </w:r>
          </w:p>
        </w:tc>
        <w:tc>
          <w:tcPr>
            <w:tcW w:w="68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464,580</w:t>
            </w:r>
          </w:p>
        </w:tc>
        <w:tc>
          <w:tcPr>
            <w:tcW w:w="400" w:type="dxa"/>
            <w:vAlign w:val="bottom"/>
            <w:shd w:val="clear" w:color="auto" w:fill="CCEEFF"/>
          </w:tcPr>
          <w:p>
            <w:pPr>
              <w:spacing w:after="0"/>
              <w:rPr>
                <w:sz w:val="20"/>
                <w:szCs w:val="20"/>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0.6 %</w:t>
            </w:r>
          </w:p>
        </w:tc>
      </w:tr>
      <w:tr>
        <w:trPr>
          <w:trHeight w:val="230"/>
        </w:trPr>
        <w:tc>
          <w:tcPr>
            <w:tcW w:w="6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760" w:type="dxa"/>
            <w:vAlign w:val="bottom"/>
            <w:gridSpan w:val="2"/>
          </w:tcPr>
          <w:p>
            <w:pPr>
              <w:jc w:val="right"/>
              <w:ind w:right="419"/>
              <w:spacing w:after="0"/>
              <w:rPr>
                <w:sz w:val="20"/>
                <w:szCs w:val="20"/>
                <w:color w:val="auto"/>
              </w:rPr>
            </w:pPr>
            <w:r>
              <w:rPr>
                <w:rFonts w:ascii="Arial" w:cs="Arial" w:eastAsia="Arial" w:hAnsi="Arial"/>
                <w:sz w:val="18"/>
                <w:szCs w:val="18"/>
                <w:color w:val="auto"/>
              </w:rPr>
              <w:t>15.7 %</w:t>
            </w:r>
          </w:p>
        </w:tc>
        <w:tc>
          <w:tcPr>
            <w:tcW w:w="1180" w:type="dxa"/>
            <w:vAlign w:val="bottom"/>
          </w:tcPr>
          <w:p>
            <w:pPr>
              <w:jc w:val="right"/>
              <w:spacing w:after="0"/>
              <w:rPr>
                <w:sz w:val="20"/>
                <w:szCs w:val="20"/>
                <w:color w:val="auto"/>
              </w:rPr>
            </w:pPr>
            <w:r>
              <w:rPr>
                <w:rFonts w:ascii="Arial" w:cs="Arial" w:eastAsia="Arial" w:hAnsi="Arial"/>
                <w:sz w:val="18"/>
                <w:szCs w:val="18"/>
                <w:color w:val="auto"/>
              </w:rPr>
              <w:t>17.3 %</w:t>
            </w:r>
          </w:p>
        </w:tc>
        <w:tc>
          <w:tcPr>
            <w:tcW w:w="400" w:type="dxa"/>
            <w:vAlign w:val="bottom"/>
          </w:tcPr>
          <w:p>
            <w:pPr>
              <w:spacing w:after="0"/>
              <w:rPr>
                <w:sz w:val="20"/>
                <w:szCs w:val="20"/>
                <w:color w:val="auto"/>
              </w:rPr>
            </w:pPr>
          </w:p>
        </w:tc>
        <w:tc>
          <w:tcPr>
            <w:tcW w:w="1240" w:type="dxa"/>
            <w:vAlign w:val="bottom"/>
          </w:tcPr>
          <w:p>
            <w:pPr>
              <w:spacing w:after="0"/>
              <w:rPr>
                <w:sz w:val="20"/>
                <w:szCs w:val="20"/>
                <w:color w:val="auto"/>
              </w:rPr>
            </w:pPr>
          </w:p>
        </w:tc>
      </w:tr>
    </w:tbl>
    <w:p>
      <w:pPr>
        <w:spacing w:after="0" w:line="93" w:lineRule="exact"/>
        <w:rPr>
          <w:sz w:val="20"/>
          <w:szCs w:val="20"/>
          <w:color w:val="auto"/>
        </w:rPr>
      </w:pPr>
    </w:p>
    <w:p>
      <w:pPr>
        <w:ind w:right="40" w:firstLine="405"/>
        <w:spacing w:after="0" w:line="254" w:lineRule="auto"/>
        <w:rPr>
          <w:sz w:val="20"/>
          <w:szCs w:val="20"/>
          <w:color w:val="auto"/>
        </w:rPr>
      </w:pPr>
      <w:r>
        <w:rPr>
          <w:rFonts w:ascii="Arial" w:cs="Arial" w:eastAsia="Arial" w:hAnsi="Arial"/>
          <w:sz w:val="18"/>
          <w:szCs w:val="18"/>
          <w:color w:val="auto"/>
        </w:rPr>
        <w:t>Selling, general and administrative expense increased by $2.7 million in fiscal 2021 compared to fiscal 2020. The increase was due primarily to additional costs associated with our acquisitions of Aquantia and Avera, including $16.9 million of higher intangibles amortization expense, $9.7 million of higher employee personnel-related costs, $4.6 million of higher facility expense and $2.0 million of higher depreciation and amortization expense. These collective expense increases were partially offset by $17.0 million of lower Aquantia and Avera merger transaction costs and integration costs reflective of one-time non-recurring Aquantia and Avera merger transaction costs incurred in fiscal 2020 when the deals were closing and lower integration costs in fiscal 2021. In addition, lower travel and employee activity expenses of $13.8 million compared to fiscal 2020 were incurred in the current year due to the COVID-19 pandemic.</w:t>
      </w:r>
    </w:p>
    <w:p>
      <w:pPr>
        <w:spacing w:after="0" w:line="200" w:lineRule="exact"/>
        <w:rPr>
          <w:sz w:val="20"/>
          <w:szCs w:val="20"/>
          <w:color w:val="auto"/>
        </w:rPr>
      </w:pPr>
    </w:p>
    <w:p>
      <w:pPr>
        <w:spacing w:after="0" w:line="3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49" w:name="page50"/>
    <w:bookmarkEnd w:id="49"/>
    <w:p>
      <w:pPr>
        <w:ind w:left="420"/>
        <w:spacing w:after="0"/>
        <w:rPr>
          <w:sz w:val="20"/>
          <w:szCs w:val="20"/>
          <w:color w:val="auto"/>
        </w:rPr>
      </w:pPr>
      <w:r>
        <w:rPr>
          <w:rFonts w:ascii="Arial" w:cs="Arial" w:eastAsia="Arial" w:hAnsi="Arial"/>
          <w:sz w:val="18"/>
          <w:szCs w:val="18"/>
          <w:i w:val="1"/>
          <w:iCs w:val="1"/>
          <w:color w:val="auto"/>
        </w:rPr>
        <w:t>Share-Based Compensation Expense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r>
      <w:tr>
        <w:trPr>
          <w:trHeight w:val="135"/>
        </w:trPr>
        <w:tc>
          <w:tcPr>
            <w:tcW w:w="8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340" w:type="dxa"/>
            <w:vAlign w:val="bottom"/>
          </w:tcPr>
          <w:p>
            <w:pPr>
              <w:spacing w:after="0"/>
              <w:rPr>
                <w:sz w:val="11"/>
                <w:szCs w:val="11"/>
                <w:color w:val="auto"/>
              </w:rPr>
            </w:pPr>
          </w:p>
        </w:tc>
        <w:tc>
          <w:tcPr>
            <w:tcW w:w="1100" w:type="dxa"/>
            <w:vAlign w:val="bottom"/>
          </w:tcPr>
          <w:p>
            <w:pPr>
              <w:jc w:val="right"/>
              <w:ind w:right="276"/>
              <w:spacing w:after="0" w:line="135" w:lineRule="exact"/>
              <w:rPr>
                <w:sz w:val="20"/>
                <w:szCs w:val="20"/>
                <w:color w:val="auto"/>
              </w:rPr>
            </w:pPr>
            <w:r>
              <w:rPr>
                <w:rFonts w:ascii="Arial" w:cs="Arial" w:eastAsia="Arial" w:hAnsi="Arial"/>
                <w:sz w:val="14"/>
                <w:szCs w:val="14"/>
                <w:b w:val="1"/>
                <w:bCs w:val="1"/>
                <w:color w:val="auto"/>
                <w:w w:val="95"/>
              </w:rPr>
              <w:t>February 1,</w:t>
            </w:r>
          </w:p>
        </w:tc>
      </w:tr>
      <w:tr>
        <w:trPr>
          <w:trHeight w:val="188"/>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183"/>
        </w:trPr>
        <w:tc>
          <w:tcPr>
            <w:tcW w:w="8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740" w:type="dxa"/>
            <w:vAlign w:val="bottom"/>
            <w:gridSpan w:val="4"/>
          </w:tcPr>
          <w:p>
            <w:pPr>
              <w:jc w:val="right"/>
              <w:ind w:right="956"/>
              <w:spacing w:after="0"/>
              <w:rPr>
                <w:sz w:val="20"/>
                <w:szCs w:val="20"/>
                <w:color w:val="auto"/>
              </w:rPr>
            </w:pPr>
            <w:r>
              <w:rPr>
                <w:rFonts w:ascii="Arial" w:cs="Arial" w:eastAsia="Arial" w:hAnsi="Arial"/>
                <w:sz w:val="14"/>
                <w:szCs w:val="14"/>
                <w:b w:val="1"/>
                <w:bCs w:val="1"/>
                <w:color w:val="auto"/>
              </w:rPr>
              <w:t>(in thousands)</w:t>
            </w:r>
          </w:p>
        </w:tc>
      </w:tr>
      <w:tr>
        <w:trPr>
          <w:trHeight w:val="23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16,320</w:t>
            </w:r>
          </w:p>
        </w:tc>
        <w:tc>
          <w:tcPr>
            <w:tcW w:w="100" w:type="dxa"/>
            <w:vAlign w:val="bottom"/>
            <w:shd w:val="clear" w:color="auto" w:fill="CCEEFF"/>
          </w:tcPr>
          <w:p>
            <w:pPr>
              <w:spacing w:after="0"/>
              <w:rPr>
                <w:sz w:val="20"/>
                <w:szCs w:val="20"/>
                <w:color w:val="auto"/>
              </w:rPr>
            </w:pP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13,759</w:t>
            </w: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150,867</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157,054</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74,352</w:t>
            </w:r>
          </w:p>
        </w:tc>
        <w:tc>
          <w:tcPr>
            <w:tcW w:w="100" w:type="dxa"/>
            <w:vAlign w:val="bottom"/>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71,996</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241,539</w:t>
            </w:r>
          </w:p>
        </w:tc>
        <w:tc>
          <w:tcPr>
            <w:tcW w:w="100" w:type="dxa"/>
            <w:vAlign w:val="bottom"/>
          </w:tcPr>
          <w:p>
            <w:pPr>
              <w:spacing w:after="0"/>
              <w:rPr>
                <w:sz w:val="19"/>
                <w:szCs w:val="19"/>
                <w:color w:val="auto"/>
              </w:rPr>
            </w:pPr>
          </w:p>
        </w:tc>
        <w:tc>
          <w:tcPr>
            <w:tcW w:w="340" w:type="dxa"/>
            <w:vAlign w:val="bottom"/>
            <w:tcBorders>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242,809</w:t>
            </w: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Share-based compensation expense was relatively flat, decreasing by $1.3 million in fiscal 2021 compared to fiscal 2020.</w:t>
      </w:r>
    </w:p>
    <w:p>
      <w:pPr>
        <w:spacing w:after="0" w:line="36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Legal Settlement</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34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135"/>
        </w:trPr>
        <w:tc>
          <w:tcPr>
            <w:tcW w:w="64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60" w:type="dxa"/>
            <w:vAlign w:val="bottom"/>
          </w:tcPr>
          <w:p>
            <w:pPr>
              <w:jc w:val="right"/>
              <w:ind w:right="402"/>
              <w:spacing w:after="0" w:line="135" w:lineRule="exact"/>
              <w:rPr>
                <w:sz w:val="20"/>
                <w:szCs w:val="20"/>
                <w:color w:val="auto"/>
              </w:rPr>
            </w:pPr>
            <w:r>
              <w:rPr>
                <w:rFonts w:ascii="Arial" w:cs="Arial" w:eastAsia="Arial" w:hAnsi="Arial"/>
                <w:sz w:val="14"/>
                <w:szCs w:val="14"/>
                <w:b w:val="1"/>
                <w:bCs w:val="1"/>
                <w:color w:val="auto"/>
              </w:rPr>
              <w:t>January 30,</w:t>
            </w:r>
          </w:p>
        </w:tc>
        <w:tc>
          <w:tcPr>
            <w:tcW w:w="400" w:type="dxa"/>
            <w:vAlign w:val="bottom"/>
          </w:tcPr>
          <w:p>
            <w:pPr>
              <w:spacing w:after="0"/>
              <w:rPr>
                <w:sz w:val="11"/>
                <w:szCs w:val="11"/>
                <w:color w:val="auto"/>
              </w:rPr>
            </w:pPr>
          </w:p>
        </w:tc>
        <w:tc>
          <w:tcPr>
            <w:tcW w:w="1200" w:type="dxa"/>
            <w:vAlign w:val="bottom"/>
          </w:tcPr>
          <w:p>
            <w:pPr>
              <w:jc w:val="center"/>
              <w:ind w:right="279"/>
              <w:spacing w:after="0" w:line="135" w:lineRule="exact"/>
              <w:rPr>
                <w:sz w:val="20"/>
                <w:szCs w:val="20"/>
                <w:color w:val="auto"/>
              </w:rPr>
            </w:pPr>
            <w:r>
              <w:rPr>
                <w:rFonts w:ascii="Arial" w:cs="Arial" w:eastAsia="Arial" w:hAnsi="Arial"/>
                <w:sz w:val="14"/>
                <w:szCs w:val="14"/>
                <w:b w:val="1"/>
                <w:bCs w:val="1"/>
                <w:color w:val="auto"/>
                <w:w w:val="95"/>
              </w:rPr>
              <w:t>February 1,</w:t>
            </w:r>
          </w:p>
        </w:tc>
        <w:tc>
          <w:tcPr>
            <w:tcW w:w="340" w:type="dxa"/>
            <w:vAlign w:val="bottom"/>
          </w:tcPr>
          <w:p>
            <w:pPr>
              <w:spacing w:after="0"/>
              <w:rPr>
                <w:sz w:val="11"/>
                <w:szCs w:val="11"/>
                <w:color w:val="auto"/>
              </w:rPr>
            </w:pPr>
          </w:p>
        </w:tc>
        <w:tc>
          <w:tcPr>
            <w:tcW w:w="1180" w:type="dxa"/>
            <w:vAlign w:val="bottom"/>
          </w:tcPr>
          <w:p>
            <w:pPr>
              <w:jc w:val="center"/>
              <w:ind w:right="162"/>
              <w:spacing w:after="0" w:line="135" w:lineRule="exact"/>
              <w:rPr>
                <w:sz w:val="20"/>
                <w:szCs w:val="20"/>
                <w:color w:val="auto"/>
              </w:rPr>
            </w:pPr>
            <w:r>
              <w:rPr>
                <w:rFonts w:ascii="Arial" w:cs="Arial" w:eastAsia="Arial" w:hAnsi="Arial"/>
                <w:sz w:val="14"/>
                <w:szCs w:val="14"/>
                <w:b w:val="1"/>
                <w:bCs w:val="1"/>
                <w:color w:val="auto"/>
                <w:w w:val="97"/>
              </w:rPr>
              <w:t>% Change</w:t>
            </w:r>
          </w:p>
        </w:tc>
      </w:tr>
      <w:tr>
        <w:trPr>
          <w:trHeight w:val="188"/>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right"/>
              <w:ind w:right="622"/>
              <w:spacing w:after="0"/>
              <w:rPr>
                <w:sz w:val="20"/>
                <w:szCs w:val="20"/>
                <w:color w:val="auto"/>
              </w:rPr>
            </w:pPr>
            <w:r>
              <w:rPr>
                <w:rFonts w:ascii="Arial" w:cs="Arial" w:eastAsia="Arial" w:hAnsi="Arial"/>
                <w:sz w:val="14"/>
                <w:szCs w:val="14"/>
                <w:b w:val="1"/>
                <w:bCs w:val="1"/>
                <w:color w:val="auto"/>
              </w:rPr>
              <w:t>2021</w:t>
            </w:r>
          </w:p>
        </w:tc>
        <w:tc>
          <w:tcPr>
            <w:tcW w:w="4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2020</w:t>
            </w:r>
          </w:p>
        </w:tc>
        <w:tc>
          <w:tcPr>
            <w:tcW w:w="3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62"/>
              <w:spacing w:after="0"/>
              <w:rPr>
                <w:sz w:val="20"/>
                <w:szCs w:val="20"/>
                <w:color w:val="auto"/>
              </w:rPr>
            </w:pPr>
            <w:r>
              <w:rPr>
                <w:rFonts w:ascii="Arial" w:cs="Arial" w:eastAsia="Arial" w:hAnsi="Arial"/>
                <w:sz w:val="14"/>
                <w:szCs w:val="14"/>
                <w:b w:val="1"/>
                <w:bCs w:val="1"/>
                <w:color w:val="auto"/>
                <w:w w:val="96"/>
              </w:rPr>
              <w:t>in 2021</w:t>
            </w:r>
          </w:p>
        </w:tc>
      </w:tr>
      <w:tr>
        <w:trPr>
          <w:trHeight w:val="183"/>
        </w:trPr>
        <w:tc>
          <w:tcPr>
            <w:tcW w:w="64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300" w:type="dxa"/>
            <w:vAlign w:val="bottom"/>
            <w:gridSpan w:val="4"/>
          </w:tcPr>
          <w:p>
            <w:pPr>
              <w:ind w:left="1060"/>
              <w:spacing w:after="0"/>
              <w:rPr>
                <w:sz w:val="20"/>
                <w:szCs w:val="20"/>
                <w:color w:val="auto"/>
              </w:rPr>
            </w:pPr>
            <w:r>
              <w:rPr>
                <w:rFonts w:ascii="Arial" w:cs="Arial" w:eastAsia="Arial" w:hAnsi="Arial"/>
                <w:sz w:val="14"/>
                <w:szCs w:val="14"/>
                <w:b w:val="1"/>
                <w:bCs w:val="1"/>
                <w:color w:val="auto"/>
                <w:w w:val="94"/>
              </w:rPr>
              <w:t>(in thousands, except percentages)</w:t>
            </w:r>
          </w:p>
        </w:tc>
        <w:tc>
          <w:tcPr>
            <w:tcW w:w="1180" w:type="dxa"/>
            <w:vAlign w:val="bottom"/>
          </w:tcPr>
          <w:p>
            <w:pPr>
              <w:spacing w:after="0"/>
              <w:rPr>
                <w:sz w:val="15"/>
                <w:szCs w:val="15"/>
                <w:color w:val="auto"/>
              </w:rPr>
            </w:pPr>
          </w:p>
        </w:tc>
      </w:tr>
      <w:tr>
        <w:trPr>
          <w:trHeight w:val="231"/>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settlement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shd w:val="clear" w:color="auto" w:fill="CCEEFF"/>
          </w:tcPr>
          <w:p>
            <w:pPr>
              <w:jc w:val="right"/>
              <w:ind w:right="202"/>
              <w:spacing w:after="0"/>
              <w:rPr>
                <w:sz w:val="20"/>
                <w:szCs w:val="20"/>
                <w:color w:val="auto"/>
              </w:rPr>
            </w:pPr>
            <w:r>
              <w:rPr>
                <w:rFonts w:ascii="Arial" w:cs="Arial" w:eastAsia="Arial" w:hAnsi="Arial"/>
                <w:sz w:val="18"/>
                <w:szCs w:val="18"/>
                <w:color w:val="auto"/>
              </w:rPr>
              <w:t>36,000</w:t>
            </w:r>
          </w:p>
        </w:tc>
        <w:tc>
          <w:tcPr>
            <w:tcW w:w="40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54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center"/>
              <w:ind w:right="162"/>
              <w:spacing w:after="0"/>
              <w:rPr>
                <w:sz w:val="20"/>
                <w:szCs w:val="20"/>
                <w:color w:val="auto"/>
              </w:rPr>
            </w:pPr>
            <w:r>
              <w:rPr>
                <w:rFonts w:ascii="Arial" w:cs="Arial" w:eastAsia="Arial" w:hAnsi="Arial"/>
                <w:sz w:val="18"/>
                <w:szCs w:val="18"/>
                <w:color w:val="auto"/>
              </w:rPr>
              <w:t>*</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360" w:type="dxa"/>
            <w:vAlign w:val="bottom"/>
          </w:tcPr>
          <w:p>
            <w:pPr>
              <w:jc w:val="right"/>
              <w:ind w:right="2"/>
              <w:spacing w:after="0"/>
              <w:rPr>
                <w:sz w:val="20"/>
                <w:szCs w:val="20"/>
                <w:color w:val="auto"/>
              </w:rPr>
            </w:pPr>
            <w:r>
              <w:rPr>
                <w:rFonts w:ascii="Arial" w:cs="Arial" w:eastAsia="Arial" w:hAnsi="Arial"/>
                <w:sz w:val="18"/>
                <w:szCs w:val="18"/>
                <w:color w:val="auto"/>
              </w:rPr>
              <w:t>1.2 %</w:t>
            </w:r>
          </w:p>
        </w:tc>
        <w:tc>
          <w:tcPr>
            <w:tcW w:w="400" w:type="dxa"/>
            <w:vAlign w:val="bottom"/>
          </w:tcPr>
          <w:p>
            <w:pPr>
              <w:spacing w:after="0"/>
              <w:rPr>
                <w:sz w:val="20"/>
                <w:szCs w:val="20"/>
                <w:color w:val="auto"/>
              </w:rPr>
            </w:pPr>
          </w:p>
        </w:tc>
        <w:tc>
          <w:tcPr>
            <w:tcW w:w="1540" w:type="dxa"/>
            <w:vAlign w:val="bottom"/>
            <w:gridSpan w:val="2"/>
          </w:tcPr>
          <w:p>
            <w:pPr>
              <w:ind w:left="800"/>
              <w:spacing w:after="0"/>
              <w:rPr>
                <w:sz w:val="20"/>
                <w:szCs w:val="20"/>
                <w:color w:val="auto"/>
              </w:rPr>
            </w:pPr>
            <w:r>
              <w:rPr>
                <w:rFonts w:ascii="Arial" w:cs="Arial" w:eastAsia="Arial" w:hAnsi="Arial"/>
                <w:sz w:val="18"/>
                <w:szCs w:val="18"/>
                <w:color w:val="auto"/>
              </w:rPr>
              <w:t>— %</w:t>
            </w:r>
          </w:p>
        </w:tc>
        <w:tc>
          <w:tcPr>
            <w:tcW w:w="1180" w:type="dxa"/>
            <w:vAlign w:val="bottom"/>
          </w:tcPr>
          <w:p>
            <w:pPr>
              <w:spacing w:after="0"/>
              <w:rPr>
                <w:sz w:val="20"/>
                <w:szCs w:val="20"/>
                <w:color w:val="auto"/>
              </w:rPr>
            </w:pPr>
          </w:p>
        </w:tc>
      </w:tr>
    </w:tbl>
    <w:p>
      <w:pPr>
        <w:spacing w:after="0" w:line="93" w:lineRule="exact"/>
        <w:rPr>
          <w:sz w:val="20"/>
          <w:szCs w:val="20"/>
          <w:color w:val="auto"/>
        </w:rPr>
      </w:pPr>
    </w:p>
    <w:p>
      <w:pPr>
        <w:spacing w:after="0"/>
        <w:rPr>
          <w:sz w:val="20"/>
          <w:szCs w:val="20"/>
          <w:color w:val="auto"/>
        </w:rPr>
      </w:pPr>
      <w:r>
        <w:rPr>
          <w:rFonts w:ascii="Arial" w:cs="Arial" w:eastAsia="Arial" w:hAnsi="Arial"/>
          <w:sz w:val="18"/>
          <w:szCs w:val="18"/>
          <w:color w:val="auto"/>
        </w:rPr>
        <w:t>*Not meaningful</w:t>
      </w:r>
    </w:p>
    <w:p>
      <w:pPr>
        <w:spacing w:after="0" w:line="104" w:lineRule="exact"/>
        <w:rPr>
          <w:sz w:val="20"/>
          <w:szCs w:val="20"/>
          <w:color w:val="auto"/>
        </w:rPr>
      </w:pPr>
    </w:p>
    <w:p>
      <w:pPr>
        <w:ind w:right="360" w:firstLine="405"/>
        <w:spacing w:after="0" w:line="277" w:lineRule="auto"/>
        <w:rPr>
          <w:sz w:val="20"/>
          <w:szCs w:val="20"/>
          <w:color w:val="auto"/>
        </w:rPr>
      </w:pPr>
      <w:r>
        <w:rPr>
          <w:rFonts w:ascii="Arial" w:cs="Arial" w:eastAsia="Arial" w:hAnsi="Arial"/>
          <w:sz w:val="18"/>
          <w:szCs w:val="18"/>
          <w:color w:val="auto"/>
        </w:rPr>
        <w:t>In connection with a dispute, we recorded a charge of $36 million. Refer to "Note 12 - Commitments and Contingencies" for a discussion of such settlement.</w:t>
      </w:r>
    </w:p>
    <w:p>
      <w:pPr>
        <w:spacing w:after="0" w:line="200" w:lineRule="exact"/>
        <w:rPr>
          <w:sz w:val="20"/>
          <w:szCs w:val="20"/>
          <w:color w:val="auto"/>
        </w:rPr>
      </w:pP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jc w:val="center"/>
              <w:ind w:left="804"/>
              <w:spacing w:after="0"/>
              <w:rPr>
                <w:sz w:val="20"/>
                <w:szCs w:val="20"/>
                <w:color w:val="auto"/>
              </w:rPr>
            </w:pPr>
            <w:r>
              <w:rPr>
                <w:rFonts w:ascii="Arial" w:cs="Arial" w:eastAsia="Arial" w:hAnsi="Arial"/>
                <w:sz w:val="14"/>
                <w:szCs w:val="14"/>
                <w:b w:val="1"/>
                <w:bCs w:val="1"/>
                <w:color w:val="auto"/>
                <w:w w:val="93"/>
              </w:rPr>
              <w:t>Year Ended</w:t>
            </w:r>
          </w:p>
        </w:tc>
        <w:tc>
          <w:tcPr>
            <w:tcW w:w="1100" w:type="dxa"/>
            <w:vAlign w:val="bottom"/>
            <w:tcBorders>
              <w:bottom w:val="single" w:sz="8" w:color="auto"/>
            </w:tcBorders>
          </w:tcPr>
          <w:p>
            <w:pPr>
              <w:spacing w:after="0"/>
              <w:rPr>
                <w:sz w:val="16"/>
                <w:szCs w:val="16"/>
                <w:color w:val="auto"/>
              </w:rPr>
            </w:pPr>
          </w:p>
        </w:tc>
      </w:tr>
      <w:tr>
        <w:trPr>
          <w:trHeight w:val="135"/>
        </w:trPr>
        <w:tc>
          <w:tcPr>
            <w:tcW w:w="8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20" w:type="dxa"/>
            <w:vAlign w:val="bottom"/>
          </w:tcPr>
          <w:p>
            <w:pPr>
              <w:jc w:val="center"/>
              <w:ind w:right="184"/>
              <w:spacing w:after="0" w:line="135" w:lineRule="exact"/>
              <w:rPr>
                <w:sz w:val="20"/>
                <w:szCs w:val="20"/>
                <w:color w:val="auto"/>
              </w:rPr>
            </w:pPr>
            <w:r>
              <w:rPr>
                <w:rFonts w:ascii="Arial" w:cs="Arial" w:eastAsia="Arial" w:hAnsi="Arial"/>
                <w:sz w:val="14"/>
                <w:szCs w:val="14"/>
                <w:b w:val="1"/>
                <w:bCs w:val="1"/>
                <w:color w:val="auto"/>
                <w:w w:val="93"/>
              </w:rPr>
              <w:t>January 30,</w:t>
            </w:r>
          </w:p>
        </w:tc>
        <w:tc>
          <w:tcPr>
            <w:tcW w:w="420" w:type="dxa"/>
            <w:vAlign w:val="bottom"/>
          </w:tcPr>
          <w:p>
            <w:pPr>
              <w:spacing w:after="0"/>
              <w:rPr>
                <w:sz w:val="11"/>
                <w:szCs w:val="11"/>
                <w:color w:val="auto"/>
              </w:rPr>
            </w:pPr>
          </w:p>
        </w:tc>
        <w:tc>
          <w:tcPr>
            <w:tcW w:w="1100" w:type="dxa"/>
            <w:vAlign w:val="bottom"/>
          </w:tcPr>
          <w:p>
            <w:pPr>
              <w:jc w:val="center"/>
              <w:ind w:right="262"/>
              <w:spacing w:after="0" w:line="135" w:lineRule="exact"/>
              <w:rPr>
                <w:sz w:val="20"/>
                <w:szCs w:val="20"/>
                <w:color w:val="auto"/>
              </w:rPr>
            </w:pPr>
            <w:r>
              <w:rPr>
                <w:rFonts w:ascii="Arial" w:cs="Arial" w:eastAsia="Arial" w:hAnsi="Arial"/>
                <w:sz w:val="14"/>
                <w:szCs w:val="14"/>
                <w:b w:val="1"/>
                <w:bCs w:val="1"/>
                <w:color w:val="auto"/>
                <w:w w:val="95"/>
              </w:rPr>
              <w:t>February 1,</w:t>
            </w:r>
          </w:p>
        </w:tc>
      </w:tr>
      <w:tr>
        <w:trPr>
          <w:trHeight w:val="188"/>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2020</w:t>
            </w:r>
          </w:p>
        </w:tc>
      </w:tr>
      <w:tr>
        <w:trPr>
          <w:trHeight w:val="183"/>
        </w:trPr>
        <w:tc>
          <w:tcPr>
            <w:tcW w:w="8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740" w:type="dxa"/>
            <w:vAlign w:val="bottom"/>
            <w:gridSpan w:val="3"/>
          </w:tcPr>
          <w:p>
            <w:pPr>
              <w:jc w:val="center"/>
              <w:ind w:right="142"/>
              <w:spacing w:after="0"/>
              <w:rPr>
                <w:sz w:val="20"/>
                <w:szCs w:val="20"/>
                <w:color w:val="auto"/>
              </w:rPr>
            </w:pPr>
            <w:r>
              <w:rPr>
                <w:rFonts w:ascii="Arial" w:cs="Arial" w:eastAsia="Arial" w:hAnsi="Arial"/>
                <w:sz w:val="14"/>
                <w:szCs w:val="14"/>
                <w:b w:val="1"/>
                <w:bCs w:val="1"/>
                <w:color w:val="auto"/>
                <w:w w:val="91"/>
              </w:rPr>
              <w:t>(in thousands)</w:t>
            </w:r>
          </w:p>
        </w:tc>
      </w:tr>
      <w:tr>
        <w:trPr>
          <w:trHeight w:val="23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24"/>
              <w:spacing w:after="0"/>
              <w:rPr>
                <w:sz w:val="20"/>
                <w:szCs w:val="20"/>
                <w:color w:val="auto"/>
              </w:rPr>
            </w:pPr>
            <w:r>
              <w:rPr>
                <w:rFonts w:ascii="Arial" w:cs="Arial" w:eastAsia="Arial" w:hAnsi="Arial"/>
                <w:sz w:val="18"/>
                <w:szCs w:val="18"/>
                <w:color w:val="auto"/>
              </w:rPr>
              <w:t>170,759</w:t>
            </w:r>
          </w:p>
        </w:tc>
        <w:tc>
          <w:tcPr>
            <w:tcW w:w="4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55,328</w:t>
            </w:r>
          </w:p>
        </w:tc>
      </w:tr>
    </w:tbl>
    <w:p>
      <w:pPr>
        <w:spacing w:after="0" w:line="337" w:lineRule="exact"/>
        <w:rPr>
          <w:sz w:val="20"/>
          <w:szCs w:val="20"/>
          <w:color w:val="auto"/>
        </w:rPr>
      </w:pPr>
    </w:p>
    <w:p>
      <w:pPr>
        <w:ind w:right="20" w:firstLine="405"/>
        <w:spacing w:after="0" w:line="263" w:lineRule="auto"/>
        <w:rPr>
          <w:sz w:val="20"/>
          <w:szCs w:val="20"/>
          <w:color w:val="auto"/>
        </w:rPr>
      </w:pPr>
      <w:r>
        <w:rPr>
          <w:rFonts w:ascii="Arial" w:cs="Arial" w:eastAsia="Arial" w:hAnsi="Arial"/>
          <w:sz w:val="18"/>
          <w:szCs w:val="18"/>
          <w:color w:val="auto"/>
        </w:rPr>
        <w:t>We recorded total restructuring related charges of $170.8 million in fiscal 2021 as we integrated the acquired businesses and continued to evaluate our existing operations to increase operational efficiency, decrease costs and improve profitability. See “Note 6 - Restructuring and Other Related Charges” in the Notes to the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35"/>
        </w:trPr>
        <w:tc>
          <w:tcPr>
            <w:tcW w:w="63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00" w:type="dxa"/>
            <w:vAlign w:val="bottom"/>
          </w:tcPr>
          <w:p>
            <w:pPr>
              <w:jc w:val="right"/>
              <w:ind w:right="141"/>
              <w:spacing w:after="0" w:line="135" w:lineRule="exact"/>
              <w:rPr>
                <w:sz w:val="20"/>
                <w:szCs w:val="20"/>
                <w:color w:val="auto"/>
              </w:rPr>
            </w:pPr>
            <w:r>
              <w:rPr>
                <w:rFonts w:ascii="Arial" w:cs="Arial" w:eastAsia="Arial" w:hAnsi="Arial"/>
                <w:sz w:val="14"/>
                <w:szCs w:val="14"/>
                <w:b w:val="1"/>
                <w:bCs w:val="1"/>
                <w:color w:val="auto"/>
              </w:rPr>
              <w:t>January 30,</w:t>
            </w:r>
          </w:p>
        </w:tc>
        <w:tc>
          <w:tcPr>
            <w:tcW w:w="660" w:type="dxa"/>
            <w:vAlign w:val="bottom"/>
          </w:tcPr>
          <w:p>
            <w:pPr>
              <w:spacing w:after="0"/>
              <w:rPr>
                <w:sz w:val="11"/>
                <w:szCs w:val="11"/>
                <w:color w:val="auto"/>
              </w:rPr>
            </w:pPr>
          </w:p>
        </w:tc>
        <w:tc>
          <w:tcPr>
            <w:tcW w:w="1180" w:type="dxa"/>
            <w:vAlign w:val="bottom"/>
          </w:tcPr>
          <w:p>
            <w:pPr>
              <w:jc w:val="center"/>
              <w:ind w:right="299"/>
              <w:spacing w:after="0" w:line="135" w:lineRule="exact"/>
              <w:rPr>
                <w:sz w:val="20"/>
                <w:szCs w:val="20"/>
                <w:color w:val="auto"/>
              </w:rPr>
            </w:pPr>
            <w:r>
              <w:rPr>
                <w:rFonts w:ascii="Arial" w:cs="Arial" w:eastAsia="Arial" w:hAnsi="Arial"/>
                <w:sz w:val="14"/>
                <w:szCs w:val="14"/>
                <w:b w:val="1"/>
                <w:bCs w:val="1"/>
                <w:color w:val="auto"/>
                <w:w w:val="95"/>
              </w:rPr>
              <w:t>February 1,</w:t>
            </w:r>
          </w:p>
        </w:tc>
        <w:tc>
          <w:tcPr>
            <w:tcW w:w="420" w:type="dxa"/>
            <w:vAlign w:val="bottom"/>
          </w:tcPr>
          <w:p>
            <w:pPr>
              <w:spacing w:after="0"/>
              <w:rPr>
                <w:sz w:val="11"/>
                <w:szCs w:val="11"/>
                <w:color w:val="auto"/>
              </w:rPr>
            </w:pPr>
          </w:p>
        </w:tc>
        <w:tc>
          <w:tcPr>
            <w:tcW w:w="1240" w:type="dxa"/>
            <w:vAlign w:val="bottom"/>
          </w:tcPr>
          <w:p>
            <w:pPr>
              <w:jc w:val="center"/>
              <w:ind w:right="242"/>
              <w:spacing w:after="0" w:line="135" w:lineRule="exact"/>
              <w:rPr>
                <w:sz w:val="20"/>
                <w:szCs w:val="20"/>
                <w:color w:val="auto"/>
              </w:rPr>
            </w:pPr>
            <w:r>
              <w:rPr>
                <w:rFonts w:ascii="Arial" w:cs="Arial" w:eastAsia="Arial" w:hAnsi="Arial"/>
                <w:sz w:val="14"/>
                <w:szCs w:val="14"/>
                <w:b w:val="1"/>
                <w:bCs w:val="1"/>
                <w:color w:val="auto"/>
                <w:w w:val="94"/>
              </w:rPr>
              <w:t>% Change</w:t>
            </w:r>
          </w:p>
        </w:tc>
      </w:tr>
      <w:tr>
        <w:trPr>
          <w:trHeight w:val="188"/>
        </w:trPr>
        <w:tc>
          <w:tcPr>
            <w:tcW w:w="6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2021</w:t>
            </w:r>
          </w:p>
        </w:tc>
        <w:tc>
          <w:tcPr>
            <w:tcW w:w="6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99"/>
              <w:spacing w:after="0"/>
              <w:rPr>
                <w:sz w:val="20"/>
                <w:szCs w:val="20"/>
                <w:color w:val="auto"/>
              </w:rPr>
            </w:pPr>
            <w:r>
              <w:rPr>
                <w:rFonts w:ascii="Arial" w:cs="Arial" w:eastAsia="Arial" w:hAnsi="Arial"/>
                <w:sz w:val="14"/>
                <w:szCs w:val="14"/>
                <w:b w:val="1"/>
                <w:bCs w:val="1"/>
                <w:color w:val="auto"/>
                <w:w w:val="89"/>
              </w:rPr>
              <w:t>2020</w:t>
            </w:r>
          </w:p>
        </w:tc>
        <w:tc>
          <w:tcPr>
            <w:tcW w:w="4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2"/>
              </w:rPr>
              <w:t>in 2021</w:t>
            </w:r>
          </w:p>
        </w:tc>
      </w:tr>
      <w:tr>
        <w:trPr>
          <w:trHeight w:val="183"/>
        </w:trPr>
        <w:tc>
          <w:tcPr>
            <w:tcW w:w="6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22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15"/>
                <w:szCs w:val="15"/>
                <w:color w:val="auto"/>
              </w:rPr>
            </w:pPr>
          </w:p>
        </w:tc>
      </w:tr>
      <w:tr>
        <w:trPr>
          <w:trHeight w:val="231"/>
        </w:trPr>
        <w:tc>
          <w:tcPr>
            <w:tcW w:w="6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w:t>
            </w:r>
          </w:p>
        </w:tc>
        <w:tc>
          <w:tcPr>
            <w:tcW w:w="66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4,816</w:t>
            </w:r>
          </w:p>
        </w:tc>
        <w:tc>
          <w:tcPr>
            <w:tcW w:w="420" w:type="dxa"/>
            <w:vAlign w:val="bottom"/>
            <w:shd w:val="clear" w:color="auto" w:fill="CCEEFF"/>
          </w:tcPr>
          <w:p>
            <w:pPr>
              <w:spacing w:after="0"/>
              <w:rPr>
                <w:sz w:val="20"/>
                <w:szCs w:val="20"/>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w:t>
            </w:r>
          </w:p>
        </w:tc>
      </w:tr>
      <w:tr>
        <w:trPr>
          <w:trHeight w:val="230"/>
        </w:trPr>
        <w:tc>
          <w:tcPr>
            <w:tcW w:w="63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760" w:type="dxa"/>
            <w:vAlign w:val="bottom"/>
            <w:gridSpan w:val="2"/>
          </w:tcPr>
          <w:p>
            <w:pPr>
              <w:jc w:val="right"/>
              <w:ind w:right="419"/>
              <w:spacing w:after="0"/>
              <w:rPr>
                <w:sz w:val="20"/>
                <w:szCs w:val="20"/>
                <w:color w:val="auto"/>
              </w:rPr>
            </w:pPr>
            <w:r>
              <w:rPr>
                <w:rFonts w:ascii="Arial" w:cs="Arial" w:eastAsia="Arial" w:hAnsi="Arial"/>
                <w:sz w:val="18"/>
                <w:szCs w:val="18"/>
                <w:color w:val="auto"/>
              </w:rPr>
              <w:t>0.1 %</w:t>
            </w:r>
          </w:p>
        </w:tc>
        <w:tc>
          <w:tcPr>
            <w:tcW w:w="1180" w:type="dxa"/>
            <w:vAlign w:val="bottom"/>
          </w:tcPr>
          <w:p>
            <w:pPr>
              <w:jc w:val="right"/>
              <w:spacing w:after="0"/>
              <w:rPr>
                <w:sz w:val="20"/>
                <w:szCs w:val="20"/>
                <w:color w:val="auto"/>
              </w:rPr>
            </w:pPr>
            <w:r>
              <w:rPr>
                <w:rFonts w:ascii="Arial" w:cs="Arial" w:eastAsia="Arial" w:hAnsi="Arial"/>
                <w:sz w:val="18"/>
                <w:szCs w:val="18"/>
                <w:color w:val="auto"/>
              </w:rPr>
              <w:t>0.2 %</w:t>
            </w:r>
          </w:p>
        </w:tc>
        <w:tc>
          <w:tcPr>
            <w:tcW w:w="420" w:type="dxa"/>
            <w:vAlign w:val="bottom"/>
          </w:tcPr>
          <w:p>
            <w:pPr>
              <w:spacing w:after="0"/>
              <w:rPr>
                <w:sz w:val="20"/>
                <w:szCs w:val="20"/>
                <w:color w:val="auto"/>
              </w:rPr>
            </w:pPr>
          </w:p>
        </w:tc>
        <w:tc>
          <w:tcPr>
            <w:tcW w:w="1240" w:type="dxa"/>
            <w:vAlign w:val="bottom"/>
          </w:tcPr>
          <w:p>
            <w:pPr>
              <w:spacing w:after="0"/>
              <w:rPr>
                <w:sz w:val="20"/>
                <w:szCs w:val="20"/>
                <w:color w:val="auto"/>
              </w:rPr>
            </w:pPr>
          </w:p>
        </w:tc>
      </w:tr>
    </w:tbl>
    <w:p>
      <w:pPr>
        <w:spacing w:after="0" w:line="93" w:lineRule="exact"/>
        <w:rPr>
          <w:sz w:val="20"/>
          <w:szCs w:val="20"/>
          <w:color w:val="auto"/>
        </w:rPr>
      </w:pPr>
    </w:p>
    <w:p>
      <w:pPr>
        <w:jc w:val="both"/>
        <w:ind w:firstLine="405"/>
        <w:spacing w:after="0" w:line="277" w:lineRule="auto"/>
        <w:rPr>
          <w:sz w:val="20"/>
          <w:szCs w:val="20"/>
          <w:color w:val="auto"/>
        </w:rPr>
      </w:pPr>
      <w:r>
        <w:rPr>
          <w:rFonts w:ascii="Arial" w:cs="Arial" w:eastAsia="Arial" w:hAnsi="Arial"/>
          <w:sz w:val="18"/>
          <w:szCs w:val="18"/>
          <w:color w:val="auto"/>
        </w:rPr>
        <w:t>Interest income decreased by $2.2 million in fiscal 2021 compared to fiscal 2020. The decrease in fiscal 2021 was primarily due to lower interest rates on our invested cash.</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50" w:name="page51"/>
    <w:bookmarkEnd w:id="50"/>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35"/>
        </w:trPr>
        <w:tc>
          <w:tcPr>
            <w:tcW w:w="6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00" w:type="dxa"/>
            <w:vAlign w:val="bottom"/>
          </w:tcPr>
          <w:p>
            <w:pPr>
              <w:jc w:val="right"/>
              <w:ind w:right="141"/>
              <w:spacing w:after="0" w:line="135" w:lineRule="exact"/>
              <w:rPr>
                <w:sz w:val="20"/>
                <w:szCs w:val="20"/>
                <w:color w:val="auto"/>
              </w:rPr>
            </w:pPr>
            <w:r>
              <w:rPr>
                <w:rFonts w:ascii="Arial" w:cs="Arial" w:eastAsia="Arial" w:hAnsi="Arial"/>
                <w:sz w:val="14"/>
                <w:szCs w:val="14"/>
                <w:b w:val="1"/>
                <w:bCs w:val="1"/>
                <w:color w:val="auto"/>
              </w:rPr>
              <w:t>January 30,</w:t>
            </w:r>
          </w:p>
        </w:tc>
        <w:tc>
          <w:tcPr>
            <w:tcW w:w="640" w:type="dxa"/>
            <w:vAlign w:val="bottom"/>
          </w:tcPr>
          <w:p>
            <w:pPr>
              <w:spacing w:after="0"/>
              <w:rPr>
                <w:sz w:val="11"/>
                <w:szCs w:val="11"/>
                <w:color w:val="auto"/>
              </w:rPr>
            </w:pPr>
          </w:p>
        </w:tc>
        <w:tc>
          <w:tcPr>
            <w:tcW w:w="1180" w:type="dxa"/>
            <w:vAlign w:val="bottom"/>
          </w:tcPr>
          <w:p>
            <w:pPr>
              <w:jc w:val="center"/>
              <w:ind w:right="259"/>
              <w:spacing w:after="0" w:line="135" w:lineRule="exact"/>
              <w:rPr>
                <w:sz w:val="20"/>
                <w:szCs w:val="20"/>
                <w:color w:val="auto"/>
              </w:rPr>
            </w:pPr>
            <w:r>
              <w:rPr>
                <w:rFonts w:ascii="Arial" w:cs="Arial" w:eastAsia="Arial" w:hAnsi="Arial"/>
                <w:sz w:val="14"/>
                <w:szCs w:val="14"/>
                <w:b w:val="1"/>
                <w:bCs w:val="1"/>
                <w:color w:val="auto"/>
                <w:w w:val="95"/>
              </w:rPr>
              <w:t>February 1,</w:t>
            </w:r>
          </w:p>
        </w:tc>
        <w:tc>
          <w:tcPr>
            <w:tcW w:w="420" w:type="dxa"/>
            <w:vAlign w:val="bottom"/>
          </w:tcPr>
          <w:p>
            <w:pPr>
              <w:spacing w:after="0"/>
              <w:rPr>
                <w:sz w:val="11"/>
                <w:szCs w:val="11"/>
                <w:color w:val="auto"/>
              </w:rPr>
            </w:pPr>
          </w:p>
        </w:tc>
        <w:tc>
          <w:tcPr>
            <w:tcW w:w="1240" w:type="dxa"/>
            <w:vAlign w:val="bottom"/>
          </w:tcPr>
          <w:p>
            <w:pPr>
              <w:jc w:val="center"/>
              <w:ind w:right="242"/>
              <w:spacing w:after="0" w:line="135" w:lineRule="exact"/>
              <w:rPr>
                <w:sz w:val="20"/>
                <w:szCs w:val="20"/>
                <w:color w:val="auto"/>
              </w:rPr>
            </w:pPr>
            <w:r>
              <w:rPr>
                <w:rFonts w:ascii="Arial" w:cs="Arial" w:eastAsia="Arial" w:hAnsi="Arial"/>
                <w:sz w:val="14"/>
                <w:szCs w:val="14"/>
                <w:b w:val="1"/>
                <w:bCs w:val="1"/>
                <w:color w:val="auto"/>
                <w:w w:val="94"/>
              </w:rPr>
              <w:t>% Change</w:t>
            </w:r>
          </w:p>
        </w:tc>
      </w:tr>
      <w:tr>
        <w:trPr>
          <w:trHeight w:val="188"/>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2021</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59"/>
              <w:spacing w:after="0"/>
              <w:rPr>
                <w:sz w:val="20"/>
                <w:szCs w:val="20"/>
                <w:color w:val="auto"/>
              </w:rPr>
            </w:pPr>
            <w:r>
              <w:rPr>
                <w:rFonts w:ascii="Arial" w:cs="Arial" w:eastAsia="Arial" w:hAnsi="Arial"/>
                <w:sz w:val="14"/>
                <w:szCs w:val="14"/>
                <w:b w:val="1"/>
                <w:bCs w:val="1"/>
                <w:color w:val="auto"/>
                <w:w w:val="89"/>
              </w:rPr>
              <w:t>2020</w:t>
            </w:r>
          </w:p>
        </w:tc>
        <w:tc>
          <w:tcPr>
            <w:tcW w:w="4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2"/>
              </w:rPr>
              <w:t>in 2021</w:t>
            </w:r>
          </w:p>
        </w:tc>
      </w:tr>
      <w:tr>
        <w:trPr>
          <w:trHeight w:val="183"/>
        </w:trPr>
        <w:tc>
          <w:tcPr>
            <w:tcW w:w="63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15"/>
                <w:szCs w:val="15"/>
                <w:color w:val="auto"/>
              </w:rPr>
            </w:pPr>
          </w:p>
        </w:tc>
      </w:tr>
      <w:tr>
        <w:trPr>
          <w:trHeight w:val="231"/>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(69,264)</w:t>
            </w:r>
          </w:p>
        </w:tc>
        <w:tc>
          <w:tcPr>
            <w:tcW w:w="640" w:type="dxa"/>
            <w:vAlign w:val="bottom"/>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(85,631)</w:t>
            </w:r>
          </w:p>
        </w:tc>
        <w:tc>
          <w:tcPr>
            <w:tcW w:w="420" w:type="dxa"/>
            <w:vAlign w:val="bottom"/>
            <w:shd w:val="clear" w:color="auto" w:fill="CCEEFF"/>
          </w:tcPr>
          <w:p>
            <w:pPr>
              <w:spacing w:after="0"/>
              <w:rPr>
                <w:sz w:val="20"/>
                <w:szCs w:val="20"/>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w:t>
            </w:r>
          </w:p>
        </w:tc>
      </w:tr>
      <w:tr>
        <w:trPr>
          <w:trHeight w:val="230"/>
        </w:trPr>
        <w:tc>
          <w:tcPr>
            <w:tcW w:w="6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740" w:type="dxa"/>
            <w:vAlign w:val="bottom"/>
            <w:gridSpan w:val="2"/>
          </w:tcPr>
          <w:p>
            <w:pPr>
              <w:jc w:val="right"/>
              <w:ind w:right="399"/>
              <w:spacing w:after="0"/>
              <w:rPr>
                <w:sz w:val="20"/>
                <w:szCs w:val="20"/>
                <w:color w:val="auto"/>
              </w:rPr>
            </w:pPr>
            <w:r>
              <w:rPr>
                <w:rFonts w:ascii="Arial" w:cs="Arial" w:eastAsia="Arial" w:hAnsi="Arial"/>
                <w:sz w:val="18"/>
                <w:szCs w:val="18"/>
                <w:color w:val="auto"/>
              </w:rPr>
              <w:t>(2.3)%</w:t>
            </w:r>
          </w:p>
        </w:tc>
        <w:tc>
          <w:tcPr>
            <w:tcW w:w="1180" w:type="dxa"/>
            <w:vAlign w:val="bottom"/>
          </w:tcPr>
          <w:p>
            <w:pPr>
              <w:jc w:val="right"/>
              <w:spacing w:after="0"/>
              <w:rPr>
                <w:sz w:val="20"/>
                <w:szCs w:val="20"/>
                <w:color w:val="auto"/>
              </w:rPr>
            </w:pPr>
            <w:r>
              <w:rPr>
                <w:rFonts w:ascii="Arial" w:cs="Arial" w:eastAsia="Arial" w:hAnsi="Arial"/>
                <w:sz w:val="18"/>
                <w:szCs w:val="18"/>
                <w:color w:val="auto"/>
              </w:rPr>
              <w:t>(3.2)%</w:t>
            </w:r>
          </w:p>
        </w:tc>
        <w:tc>
          <w:tcPr>
            <w:tcW w:w="420" w:type="dxa"/>
            <w:vAlign w:val="bottom"/>
          </w:tcPr>
          <w:p>
            <w:pPr>
              <w:spacing w:after="0"/>
              <w:rPr>
                <w:sz w:val="20"/>
                <w:szCs w:val="20"/>
                <w:color w:val="auto"/>
              </w:rPr>
            </w:pPr>
          </w:p>
        </w:tc>
        <w:tc>
          <w:tcPr>
            <w:tcW w:w="1240" w:type="dxa"/>
            <w:vAlign w:val="bottom"/>
          </w:tcPr>
          <w:p>
            <w:pPr>
              <w:spacing w:after="0"/>
              <w:rPr>
                <w:sz w:val="20"/>
                <w:szCs w:val="20"/>
                <w:color w:val="auto"/>
              </w:rPr>
            </w:pPr>
          </w:p>
        </w:tc>
      </w:tr>
    </w:tbl>
    <w:p>
      <w:pPr>
        <w:spacing w:after="0" w:line="93" w:lineRule="exact"/>
        <w:rPr>
          <w:sz w:val="20"/>
          <w:szCs w:val="20"/>
          <w:color w:val="auto"/>
        </w:rPr>
      </w:pPr>
    </w:p>
    <w:p>
      <w:pPr>
        <w:ind w:right="820" w:firstLine="405"/>
        <w:spacing w:after="0" w:line="277" w:lineRule="auto"/>
        <w:rPr>
          <w:sz w:val="20"/>
          <w:szCs w:val="20"/>
          <w:color w:val="auto"/>
        </w:rPr>
      </w:pPr>
      <w:r>
        <w:rPr>
          <w:rFonts w:ascii="Arial" w:cs="Arial" w:eastAsia="Arial" w:hAnsi="Arial"/>
          <w:sz w:val="18"/>
          <w:szCs w:val="18"/>
          <w:color w:val="auto"/>
        </w:rPr>
        <w:t>Interest expense decreased by $16.4 million in fiscal 2021 compared to fiscal 2020. The decrease in fiscal 2021 was primarily due to lower outstanding term loan balances as well as lower borrowing rates.</w:t>
      </w:r>
    </w:p>
    <w:p>
      <w:pPr>
        <w:spacing w:after="0" w:line="200" w:lineRule="exact"/>
        <w:rPr>
          <w:sz w:val="20"/>
          <w:szCs w:val="20"/>
          <w:color w:val="auto"/>
        </w:rPr>
      </w:pP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34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135"/>
        </w:trPr>
        <w:tc>
          <w:tcPr>
            <w:tcW w:w="64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tcPr>
          <w:p>
            <w:pPr>
              <w:jc w:val="right"/>
              <w:ind w:right="382"/>
              <w:spacing w:after="0" w:line="135" w:lineRule="exact"/>
              <w:rPr>
                <w:sz w:val="20"/>
                <w:szCs w:val="20"/>
                <w:color w:val="auto"/>
              </w:rPr>
            </w:pPr>
            <w:r>
              <w:rPr>
                <w:rFonts w:ascii="Arial" w:cs="Arial" w:eastAsia="Arial" w:hAnsi="Arial"/>
                <w:sz w:val="14"/>
                <w:szCs w:val="14"/>
                <w:b w:val="1"/>
                <w:bCs w:val="1"/>
                <w:color w:val="auto"/>
              </w:rPr>
              <w:t>January 30,</w:t>
            </w:r>
          </w:p>
        </w:tc>
        <w:tc>
          <w:tcPr>
            <w:tcW w:w="420" w:type="dxa"/>
            <w:vAlign w:val="bottom"/>
          </w:tcPr>
          <w:p>
            <w:pPr>
              <w:spacing w:after="0"/>
              <w:rPr>
                <w:sz w:val="11"/>
                <w:szCs w:val="11"/>
                <w:color w:val="auto"/>
              </w:rPr>
            </w:pPr>
          </w:p>
        </w:tc>
        <w:tc>
          <w:tcPr>
            <w:tcW w:w="1200" w:type="dxa"/>
            <w:vAlign w:val="bottom"/>
          </w:tcPr>
          <w:p>
            <w:pPr>
              <w:jc w:val="right"/>
              <w:ind w:right="339"/>
              <w:spacing w:after="0" w:line="135" w:lineRule="exact"/>
              <w:rPr>
                <w:sz w:val="20"/>
                <w:szCs w:val="20"/>
                <w:color w:val="auto"/>
              </w:rPr>
            </w:pPr>
            <w:r>
              <w:rPr>
                <w:rFonts w:ascii="Arial" w:cs="Arial" w:eastAsia="Arial" w:hAnsi="Arial"/>
                <w:sz w:val="14"/>
                <w:szCs w:val="14"/>
                <w:b w:val="1"/>
                <w:bCs w:val="1"/>
                <w:color w:val="auto"/>
              </w:rPr>
              <w:t>February 1,</w:t>
            </w:r>
          </w:p>
        </w:tc>
        <w:tc>
          <w:tcPr>
            <w:tcW w:w="340" w:type="dxa"/>
            <w:vAlign w:val="bottom"/>
          </w:tcPr>
          <w:p>
            <w:pPr>
              <w:spacing w:after="0"/>
              <w:rPr>
                <w:sz w:val="11"/>
                <w:szCs w:val="11"/>
                <w:color w:val="auto"/>
              </w:rPr>
            </w:pPr>
          </w:p>
        </w:tc>
        <w:tc>
          <w:tcPr>
            <w:tcW w:w="1180" w:type="dxa"/>
            <w:vAlign w:val="bottom"/>
          </w:tcPr>
          <w:p>
            <w:pPr>
              <w:jc w:val="center"/>
              <w:ind w:right="162"/>
              <w:spacing w:after="0" w:line="135" w:lineRule="exact"/>
              <w:rPr>
                <w:sz w:val="20"/>
                <w:szCs w:val="20"/>
                <w:color w:val="auto"/>
              </w:rPr>
            </w:pPr>
            <w:r>
              <w:rPr>
                <w:rFonts w:ascii="Arial" w:cs="Arial" w:eastAsia="Arial" w:hAnsi="Arial"/>
                <w:sz w:val="14"/>
                <w:szCs w:val="14"/>
                <w:b w:val="1"/>
                <w:bCs w:val="1"/>
                <w:color w:val="auto"/>
                <w:w w:val="97"/>
              </w:rPr>
              <w:t>% Change</w:t>
            </w:r>
          </w:p>
        </w:tc>
      </w:tr>
      <w:tr>
        <w:trPr>
          <w:trHeight w:val="188"/>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602"/>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2020</w:t>
            </w:r>
          </w:p>
        </w:tc>
        <w:tc>
          <w:tcPr>
            <w:tcW w:w="3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62"/>
              <w:spacing w:after="0"/>
              <w:rPr>
                <w:sz w:val="20"/>
                <w:szCs w:val="20"/>
                <w:color w:val="auto"/>
              </w:rPr>
            </w:pPr>
            <w:r>
              <w:rPr>
                <w:rFonts w:ascii="Arial" w:cs="Arial" w:eastAsia="Arial" w:hAnsi="Arial"/>
                <w:sz w:val="14"/>
                <w:szCs w:val="14"/>
                <w:b w:val="1"/>
                <w:bCs w:val="1"/>
                <w:color w:val="auto"/>
                <w:w w:val="96"/>
              </w:rPr>
              <w:t>in 2021</w:t>
            </w:r>
          </w:p>
        </w:tc>
      </w:tr>
      <w:tr>
        <w:trPr>
          <w:trHeight w:val="183"/>
        </w:trPr>
        <w:tc>
          <w:tcPr>
            <w:tcW w:w="64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300" w:type="dxa"/>
            <w:vAlign w:val="bottom"/>
            <w:gridSpan w:val="4"/>
          </w:tcPr>
          <w:p>
            <w:pPr>
              <w:ind w:left="1060"/>
              <w:spacing w:after="0"/>
              <w:rPr>
                <w:sz w:val="20"/>
                <w:szCs w:val="20"/>
                <w:color w:val="auto"/>
              </w:rPr>
            </w:pPr>
            <w:r>
              <w:rPr>
                <w:rFonts w:ascii="Arial" w:cs="Arial" w:eastAsia="Arial" w:hAnsi="Arial"/>
                <w:sz w:val="14"/>
                <w:szCs w:val="14"/>
                <w:b w:val="1"/>
                <w:bCs w:val="1"/>
                <w:color w:val="auto"/>
                <w:w w:val="94"/>
              </w:rPr>
              <w:t>(in thousands, except percentages)</w:t>
            </w:r>
          </w:p>
        </w:tc>
        <w:tc>
          <w:tcPr>
            <w:tcW w:w="1180" w:type="dxa"/>
            <w:vAlign w:val="bottom"/>
          </w:tcPr>
          <w:p>
            <w:pPr>
              <w:spacing w:after="0"/>
              <w:rPr>
                <w:sz w:val="15"/>
                <w:szCs w:val="15"/>
                <w:color w:val="auto"/>
              </w:rPr>
            </w:pPr>
          </w:p>
        </w:tc>
      </w:tr>
      <w:tr>
        <w:trPr>
          <w:trHeight w:val="231"/>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ind w:right="202"/>
              <w:spacing w:after="0"/>
              <w:rPr>
                <w:sz w:val="20"/>
                <w:szCs w:val="20"/>
                <w:color w:val="auto"/>
              </w:rPr>
            </w:pPr>
            <w:r>
              <w:rPr>
                <w:rFonts w:ascii="Arial" w:cs="Arial" w:eastAsia="Arial" w:hAnsi="Arial"/>
                <w:sz w:val="18"/>
                <w:szCs w:val="18"/>
                <w:color w:val="auto"/>
              </w:rPr>
              <w:t>2,886</w:t>
            </w:r>
          </w:p>
        </w:tc>
        <w:tc>
          <w:tcPr>
            <w:tcW w:w="42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1,122,555</w:t>
            </w:r>
          </w:p>
        </w:tc>
        <w:tc>
          <w:tcPr>
            <w:tcW w:w="340" w:type="dxa"/>
            <w:vAlign w:val="bottom"/>
            <w:shd w:val="clear" w:color="auto" w:fill="CCEEFF"/>
          </w:tcPr>
          <w:p>
            <w:pPr>
              <w:spacing w:after="0"/>
              <w:rPr>
                <w:sz w:val="20"/>
                <w:szCs w:val="20"/>
                <w:color w:val="auto"/>
              </w:rPr>
            </w:pPr>
          </w:p>
        </w:tc>
        <w:tc>
          <w:tcPr>
            <w:tcW w:w="1180" w:type="dxa"/>
            <w:vAlign w:val="bottom"/>
            <w:shd w:val="clear" w:color="auto" w:fill="CCEEFF"/>
          </w:tcPr>
          <w:p>
            <w:pPr>
              <w:jc w:val="center"/>
              <w:ind w:right="162"/>
              <w:spacing w:after="0"/>
              <w:rPr>
                <w:sz w:val="20"/>
                <w:szCs w:val="20"/>
                <w:color w:val="auto"/>
              </w:rPr>
            </w:pPr>
            <w:r>
              <w:rPr>
                <w:rFonts w:ascii="Arial" w:cs="Arial" w:eastAsia="Arial" w:hAnsi="Arial"/>
                <w:sz w:val="18"/>
                <w:szCs w:val="18"/>
                <w:color w:val="auto"/>
              </w:rPr>
              <w:t>*</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340" w:type="dxa"/>
            <w:vAlign w:val="bottom"/>
          </w:tcPr>
          <w:p>
            <w:pPr>
              <w:jc w:val="right"/>
              <w:ind w:right="2"/>
              <w:spacing w:after="0"/>
              <w:rPr>
                <w:sz w:val="20"/>
                <w:szCs w:val="20"/>
                <w:color w:val="auto"/>
              </w:rPr>
            </w:pPr>
            <w:r>
              <w:rPr>
                <w:rFonts w:ascii="Arial" w:cs="Arial" w:eastAsia="Arial" w:hAnsi="Arial"/>
                <w:sz w:val="18"/>
                <w:szCs w:val="18"/>
                <w:color w:val="auto"/>
              </w:rPr>
              <w:t>0.1 %</w:t>
            </w:r>
          </w:p>
        </w:tc>
        <w:tc>
          <w:tcPr>
            <w:tcW w:w="42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41.6 %</w:t>
            </w:r>
          </w:p>
        </w:tc>
        <w:tc>
          <w:tcPr>
            <w:tcW w:w="340" w:type="dxa"/>
            <w:vAlign w:val="bottom"/>
          </w:tcPr>
          <w:p>
            <w:pPr>
              <w:spacing w:after="0"/>
              <w:rPr>
                <w:sz w:val="20"/>
                <w:szCs w:val="20"/>
                <w:color w:val="auto"/>
              </w:rPr>
            </w:pPr>
          </w:p>
        </w:tc>
        <w:tc>
          <w:tcPr>
            <w:tcW w:w="1180" w:type="dxa"/>
            <w:vAlign w:val="bottom"/>
          </w:tcPr>
          <w:p>
            <w:pPr>
              <w:spacing w:after="0"/>
              <w:rPr>
                <w:sz w:val="20"/>
                <w:szCs w:val="20"/>
                <w:color w:val="auto"/>
              </w:rPr>
            </w:pPr>
          </w:p>
        </w:tc>
      </w:tr>
    </w:tbl>
    <w:p>
      <w:pPr>
        <w:spacing w:after="0" w:line="93" w:lineRule="exact"/>
        <w:rPr>
          <w:sz w:val="20"/>
          <w:szCs w:val="20"/>
          <w:color w:val="auto"/>
        </w:rPr>
      </w:pPr>
    </w:p>
    <w:p>
      <w:pPr>
        <w:spacing w:after="0"/>
        <w:rPr>
          <w:sz w:val="20"/>
          <w:szCs w:val="20"/>
          <w:color w:val="auto"/>
        </w:rPr>
      </w:pPr>
      <w:r>
        <w:rPr>
          <w:rFonts w:ascii="Arial" w:cs="Arial" w:eastAsia="Arial" w:hAnsi="Arial"/>
          <w:sz w:val="18"/>
          <w:szCs w:val="18"/>
          <w:color w:val="auto"/>
        </w:rPr>
        <w:t>*Not meaningful</w:t>
      </w:r>
    </w:p>
    <w:p>
      <w:pPr>
        <w:spacing w:after="0" w:line="117"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Other income, net changed by $1.1 billion in fiscal 2021 compared to fiscal 2020. The change was primarily due to the gain on sale of the Wi-Fi Connectivity business in fiscal 2020.</w:t>
      </w:r>
    </w:p>
    <w:p>
      <w:pPr>
        <w:spacing w:after="0" w:line="200" w:lineRule="exact"/>
        <w:rPr>
          <w:sz w:val="20"/>
          <w:szCs w:val="20"/>
          <w:color w:val="auto"/>
        </w:rPr>
      </w:pP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35"/>
        </w:trPr>
        <w:tc>
          <w:tcPr>
            <w:tcW w:w="6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tcPr>
          <w:p>
            <w:pPr>
              <w:jc w:val="center"/>
              <w:ind w:right="204"/>
              <w:spacing w:after="0" w:line="135" w:lineRule="exact"/>
              <w:rPr>
                <w:sz w:val="20"/>
                <w:szCs w:val="20"/>
                <w:color w:val="auto"/>
              </w:rPr>
            </w:pPr>
            <w:r>
              <w:rPr>
                <w:rFonts w:ascii="Arial" w:cs="Arial" w:eastAsia="Arial" w:hAnsi="Arial"/>
                <w:sz w:val="14"/>
                <w:szCs w:val="14"/>
                <w:b w:val="1"/>
                <w:bCs w:val="1"/>
                <w:color w:val="auto"/>
                <w:w w:val="93"/>
              </w:rPr>
              <w:t>January 30,</w:t>
            </w:r>
          </w:p>
        </w:tc>
        <w:tc>
          <w:tcPr>
            <w:tcW w:w="380" w:type="dxa"/>
            <w:vAlign w:val="bottom"/>
          </w:tcPr>
          <w:p>
            <w:pPr>
              <w:spacing w:after="0"/>
              <w:rPr>
                <w:sz w:val="11"/>
                <w:szCs w:val="11"/>
                <w:color w:val="auto"/>
              </w:rPr>
            </w:pPr>
          </w:p>
        </w:tc>
        <w:tc>
          <w:tcPr>
            <w:tcW w:w="1100" w:type="dxa"/>
            <w:vAlign w:val="bottom"/>
          </w:tcPr>
          <w:p>
            <w:pPr>
              <w:jc w:val="center"/>
              <w:ind w:right="242"/>
              <w:spacing w:after="0" w:line="135" w:lineRule="exact"/>
              <w:rPr>
                <w:sz w:val="20"/>
                <w:szCs w:val="20"/>
                <w:color w:val="auto"/>
              </w:rPr>
            </w:pPr>
            <w:r>
              <w:rPr>
                <w:rFonts w:ascii="Arial" w:cs="Arial" w:eastAsia="Arial" w:hAnsi="Arial"/>
                <w:sz w:val="14"/>
                <w:szCs w:val="14"/>
                <w:b w:val="1"/>
                <w:bCs w:val="1"/>
                <w:color w:val="auto"/>
                <w:w w:val="97"/>
              </w:rPr>
              <w:t>February 1,</w:t>
            </w:r>
          </w:p>
        </w:tc>
        <w:tc>
          <w:tcPr>
            <w:tcW w:w="480" w:type="dxa"/>
            <w:vAlign w:val="bottom"/>
          </w:tcPr>
          <w:p>
            <w:pPr>
              <w:spacing w:after="0"/>
              <w:rPr>
                <w:sz w:val="11"/>
                <w:szCs w:val="11"/>
                <w:color w:val="auto"/>
              </w:rPr>
            </w:pPr>
          </w:p>
        </w:tc>
        <w:tc>
          <w:tcPr>
            <w:tcW w:w="1200" w:type="dxa"/>
            <w:vAlign w:val="bottom"/>
          </w:tcPr>
          <w:p>
            <w:pPr>
              <w:jc w:val="center"/>
              <w:ind w:right="302"/>
              <w:spacing w:after="0" w:line="135" w:lineRule="exact"/>
              <w:rPr>
                <w:sz w:val="20"/>
                <w:szCs w:val="20"/>
                <w:color w:val="auto"/>
              </w:rPr>
            </w:pPr>
            <w:r>
              <w:rPr>
                <w:rFonts w:ascii="Arial" w:cs="Arial" w:eastAsia="Arial" w:hAnsi="Arial"/>
                <w:sz w:val="14"/>
                <w:szCs w:val="14"/>
                <w:b w:val="1"/>
                <w:bCs w:val="1"/>
                <w:color w:val="auto"/>
                <w:w w:val="97"/>
              </w:rPr>
              <w:t>% Change</w:t>
            </w:r>
          </w:p>
        </w:tc>
      </w:tr>
      <w:tr>
        <w:trPr>
          <w:trHeight w:val="188"/>
        </w:trPr>
        <w:tc>
          <w:tcPr>
            <w:tcW w:w="66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44"/>
              <w:spacing w:after="0"/>
              <w:rPr>
                <w:sz w:val="20"/>
                <w:szCs w:val="20"/>
                <w:color w:val="auto"/>
              </w:rPr>
            </w:pPr>
            <w:r>
              <w:rPr>
                <w:rFonts w:ascii="Arial" w:cs="Arial" w:eastAsia="Arial" w:hAnsi="Arial"/>
                <w:sz w:val="14"/>
                <w:szCs w:val="14"/>
                <w:b w:val="1"/>
                <w:bCs w:val="1"/>
                <w:color w:val="auto"/>
              </w:rPr>
              <w:t>2021</w:t>
            </w:r>
          </w:p>
        </w:tc>
        <w:tc>
          <w:tcPr>
            <w:tcW w:w="3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4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302"/>
              <w:spacing w:after="0"/>
              <w:rPr>
                <w:sz w:val="20"/>
                <w:szCs w:val="20"/>
                <w:color w:val="auto"/>
              </w:rPr>
            </w:pPr>
            <w:r>
              <w:rPr>
                <w:rFonts w:ascii="Arial" w:cs="Arial" w:eastAsia="Arial" w:hAnsi="Arial"/>
                <w:sz w:val="14"/>
                <w:szCs w:val="14"/>
                <w:b w:val="1"/>
                <w:bCs w:val="1"/>
                <w:color w:val="auto"/>
                <w:w w:val="96"/>
              </w:rPr>
              <w:t>in 2021</w:t>
            </w:r>
          </w:p>
        </w:tc>
      </w:tr>
      <w:tr>
        <w:trPr>
          <w:trHeight w:val="183"/>
        </w:trPr>
        <w:tc>
          <w:tcPr>
            <w:tcW w:w="66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200" w:type="dxa"/>
            <w:vAlign w:val="bottom"/>
            <w:gridSpan w:val="4"/>
          </w:tcPr>
          <w:p>
            <w:pPr>
              <w:ind w:left="1060"/>
              <w:spacing w:after="0"/>
              <w:rPr>
                <w:sz w:val="20"/>
                <w:szCs w:val="20"/>
                <w:color w:val="auto"/>
              </w:rPr>
            </w:pPr>
            <w:r>
              <w:rPr>
                <w:rFonts w:ascii="Arial" w:cs="Arial" w:eastAsia="Arial" w:hAnsi="Arial"/>
                <w:sz w:val="14"/>
                <w:szCs w:val="14"/>
                <w:b w:val="1"/>
                <w:bCs w:val="1"/>
                <w:color w:val="auto"/>
                <w:w w:val="93"/>
              </w:rPr>
              <w:t>(in thousands, except percentage)</w:t>
            </w:r>
          </w:p>
        </w:tc>
        <w:tc>
          <w:tcPr>
            <w:tcW w:w="1200" w:type="dxa"/>
            <w:vAlign w:val="bottom"/>
          </w:tcPr>
          <w:p>
            <w:pPr>
              <w:spacing w:after="0"/>
              <w:rPr>
                <w:sz w:val="15"/>
                <w:szCs w:val="15"/>
                <w:color w:val="auto"/>
              </w:rPr>
            </w:pPr>
          </w:p>
        </w:tc>
      </w:tr>
      <w:tr>
        <w:trPr>
          <w:trHeight w:val="231"/>
        </w:trPr>
        <w:tc>
          <w:tcPr>
            <w:tcW w:w="66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(44,870)</w:t>
            </w:r>
          </w:p>
        </w:tc>
        <w:tc>
          <w:tcPr>
            <w:tcW w:w="38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(786,009)</w:t>
            </w:r>
          </w:p>
        </w:tc>
        <w:tc>
          <w:tcPr>
            <w:tcW w:w="480" w:type="dxa"/>
            <w:vAlign w:val="bottom"/>
            <w:shd w:val="clear" w:color="auto" w:fill="CCEEFF"/>
          </w:tcPr>
          <w:p>
            <w:pPr>
              <w:spacing w:after="0"/>
              <w:rPr>
                <w:sz w:val="20"/>
                <w:szCs w:val="20"/>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(94.3)%</w:t>
            </w:r>
          </w:p>
        </w:tc>
      </w:tr>
    </w:tbl>
    <w:p>
      <w:pPr>
        <w:spacing w:after="0" w:line="200" w:lineRule="exact"/>
        <w:rPr>
          <w:sz w:val="20"/>
          <w:szCs w:val="20"/>
          <w:color w:val="auto"/>
        </w:rPr>
      </w:pPr>
    </w:p>
    <w:p>
      <w:pPr>
        <w:spacing w:after="0" w:line="29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income tax benefit for fiscal 2021 is primarily attributable to the pretax losses of our subsidiaries with income tax rates that differ from the U.S. statutory tax rate, combined with a net reduction of unrecognized tax benefits inclusive of interest and penalties, offset by tax expense attributable to non-deductible compensation. The income tax benefit for fiscal 2020 was primarily related to the recognition of a $763.0 million tax benefit for the intra-entity transfer of the majority of our intellectual property to a subsidiary in Singapore. This resulted in the recognition of a deferred tax asset and tax benefit of $659.0 million related to the Singapore tax basis in the intellectual property. In addition, we recognized $104.0 million of income tax benefit from the reversal of deferred tax liabilities primarily related to previously acquired intangible assets. The prior period transaction aligned the global economic ownership of our intellectual property rights with our current and future business operations. We continue to evaluate potential changes to our legal entity structure in response to guidelines and requirements in various international tax jurisdictions where we conduct business, as well as changes to our business, and acquisitions and divestitures.</w:t>
      </w:r>
    </w:p>
    <w:p>
      <w:pPr>
        <w:spacing w:after="0" w:line="76" w:lineRule="exact"/>
        <w:rPr>
          <w:sz w:val="20"/>
          <w:szCs w:val="20"/>
          <w:color w:val="auto"/>
        </w:rPr>
      </w:pPr>
    </w:p>
    <w:p>
      <w:pPr>
        <w:ind w:right="140" w:firstLine="405"/>
        <w:spacing w:after="0" w:line="284" w:lineRule="auto"/>
        <w:rPr>
          <w:sz w:val="20"/>
          <w:szCs w:val="20"/>
          <w:color w:val="auto"/>
        </w:rPr>
      </w:pPr>
      <w:r>
        <w:rPr>
          <w:rFonts w:ascii="Arial" w:cs="Arial" w:eastAsia="Arial" w:hAnsi="Arial"/>
          <w:sz w:val="16"/>
          <w:szCs w:val="16"/>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 Additionally, please see the information in “Item 1A: Risk Factors” under the caption “</w:t>
      </w:r>
      <w:r>
        <w:rPr>
          <w:rFonts w:ascii="Arial" w:cs="Arial" w:eastAsia="Arial" w:hAnsi="Arial"/>
          <w:sz w:val="16"/>
          <w:szCs w:val="16"/>
          <w:i w:val="1"/>
          <w:iCs w:val="1"/>
          <w:color w:val="auto"/>
        </w:rPr>
        <w:t>Changes in existing taxation benefits, rules or</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practices may adversely affect our financial results</w:t>
      </w:r>
      <w:r>
        <w:rPr>
          <w:rFonts w:ascii="Arial" w:cs="Arial" w:eastAsia="Arial" w:hAnsi="Arial"/>
          <w:sz w:val="18"/>
          <w:szCs w:val="18"/>
          <w:color w:val="auto"/>
        </w:rPr>
        <w:t>.”</w:t>
      </w:r>
    </w:p>
    <w:p>
      <w:pPr>
        <w:spacing w:after="0" w:line="103"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Our Annual Report on Form 10-K for the year ended February 1, 2020 includes a discussion and analysis of our financial condition and results of operations for the year ended February 2, 2019 and year-to-year comparisons between the fiscal years ended February 1, 2020 and February 2, 2019 in Item 7 of Part II, “Management’s Discussion and Analysis of Financial Condition and Results of Operations.”</w:t>
      </w: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21" w:lineRule="exact"/>
        <w:rPr>
          <w:sz w:val="20"/>
          <w:szCs w:val="20"/>
          <w:color w:val="auto"/>
        </w:rPr>
      </w:pPr>
    </w:p>
    <w:p>
      <w:pPr>
        <w:ind w:right="320" w:firstLine="405"/>
        <w:spacing w:after="0" w:line="286" w:lineRule="auto"/>
        <w:rPr>
          <w:sz w:val="20"/>
          <w:szCs w:val="20"/>
          <w:color w:val="auto"/>
        </w:rPr>
      </w:pPr>
      <w:r>
        <w:rPr>
          <w:rFonts w:ascii="Arial" w:cs="Arial" w:eastAsia="Arial" w:hAnsi="Arial"/>
          <w:sz w:val="17"/>
          <w:szCs w:val="17"/>
          <w:color w:val="auto"/>
        </w:rPr>
        <w:t>Our principal source of liquidity as of January 30, 2021 consisted of approximately $748.5 million of cash and cash equivalents, of which approximately $618.1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5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(“2018 Revolving Credit Facility”). In October 2020, in order to fund the Inphi acquisition, we obtained commitments consisting of a $2.5 billion bridge loan commitment. In December 2020, we executed a debt agreement to obtain a $875 million 3-year term loan and a $875 million 5-year term loan. We also executed a debt agreement to obtain a $750 million revolving credit facility (“2020 Revolving Credit Facility”) which replaced the 2018 Revolving Credit Facility. See “Note 11 - Debt” in the Notes to the Consolidated Financial Statements for additional information.</w:t>
      </w:r>
    </w:p>
    <w:p>
      <w:pPr>
        <w:spacing w:after="0" w:line="70"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w:t>
      </w:r>
    </w:p>
    <w:p>
      <w:pPr>
        <w:spacing w:after="0" w:line="68" w:lineRule="exact"/>
        <w:rPr>
          <w:sz w:val="20"/>
          <w:szCs w:val="20"/>
          <w:color w:val="auto"/>
        </w:rPr>
      </w:pPr>
    </w:p>
    <w:p>
      <w:pPr>
        <w:ind w:right="40" w:firstLine="405"/>
        <w:spacing w:after="0" w:line="273" w:lineRule="auto"/>
        <w:rPr>
          <w:sz w:val="20"/>
          <w:szCs w:val="20"/>
          <w:color w:val="auto"/>
        </w:rPr>
      </w:pPr>
      <w:r>
        <w:rPr>
          <w:rFonts w:ascii="Arial" w:cs="Arial" w:eastAsia="Arial" w:hAnsi="Arial"/>
          <w:sz w:val="17"/>
          <w:szCs w:val="17"/>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70"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and remains temporarily suspended in anticipation of the funding of our acquisition of Inphi. We will continue to evaluate business conditions to decide when we can restart the share repurchase program.</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117" w:lineRule="exact"/>
        <w:rPr>
          <w:sz w:val="20"/>
          <w:szCs w:val="20"/>
          <w:color w:val="auto"/>
        </w:rPr>
      </w:pPr>
    </w:p>
    <w:p>
      <w:pPr>
        <w:ind w:right="40" w:firstLine="405"/>
        <w:spacing w:after="0" w:line="269" w:lineRule="auto"/>
        <w:rPr>
          <w:sz w:val="20"/>
          <w:szCs w:val="20"/>
          <w:color w:val="auto"/>
        </w:rPr>
      </w:pPr>
      <w:r>
        <w:rPr>
          <w:rFonts w:ascii="Arial" w:cs="Arial" w:eastAsia="Arial" w:hAnsi="Arial"/>
          <w:sz w:val="17"/>
          <w:szCs w:val="17"/>
          <w:color w:val="auto"/>
        </w:rPr>
        <w:t>Net cash provided by operating activities was $817.3 million for fiscal 2021 compared to net cash provided by operating activities of $360.3 million for fiscal 2020. The cash inflows from operations for fiscal 2021 were primarily due to $277.3 million of net loss adjusted for $1.0 billion of non-cash items and a net increase from changes in working capital of $67.9 million. The cash inflow from working capital for fiscal 2021 was primarily driven by an increase in accrued liabilities and other non-current liabilities, an increase in accounts payable and an increase in accrued employee compensation, as well as a decrease in inventories. Such increase was partially offset by cash outflows due to an increase in accounts receivable and an increase in prepaid expenses and other assets. The increase in accrued liabilities and other non-current liabilities was mainly due to an increase in legal reserves. The increase in accounts payable was mainly due to timing of payments. The increase in accrued employee compensations was due to increase in our bonus accrual and increase in employee contributions to the employee stock purchase plan. The decrease in inventories was due to improved supply chain management. The increase in accounts receivable was driven primarily by the increase in revenue and stable collections. The increase in prepaid expenses and other assets was due to an increase in ship and debit reserve.</w:t>
      </w:r>
    </w:p>
    <w:p>
      <w:pPr>
        <w:spacing w:after="0" w:line="77"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Net cash provided by operating activities was $360.3 million for fiscal 2020. The cash inflows from operations for fiscal 2020 were primarily due to $1.6 billion of net income adjusted for $1.0 billion of non-cash items and a net decrease from changes in working capital of $190.8 million. The cash outflow from working capital for fiscal 2020 was primarily driven by a decrease in accrued liabilities and other non-current liabilities due to payment of interest, deal cost and severance.</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52" w:name="page53"/>
    <w:bookmarkEnd w:id="52"/>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117" w:lineRule="exact"/>
        <w:rPr>
          <w:sz w:val="20"/>
          <w:szCs w:val="20"/>
          <w:color w:val="auto"/>
        </w:rPr>
      </w:pPr>
    </w:p>
    <w:p>
      <w:pPr>
        <w:ind w:right="900" w:firstLine="405"/>
        <w:spacing w:after="0" w:line="277" w:lineRule="auto"/>
        <w:rPr>
          <w:sz w:val="20"/>
          <w:szCs w:val="20"/>
          <w:color w:val="auto"/>
        </w:rPr>
      </w:pPr>
      <w:r>
        <w:rPr>
          <w:rFonts w:ascii="Arial" w:cs="Arial" w:eastAsia="Arial" w:hAnsi="Arial"/>
          <w:sz w:val="18"/>
          <w:szCs w:val="18"/>
          <w:color w:val="auto"/>
        </w:rPr>
        <w:t>Net cash used in investing activities of $119.6 million in fiscal year 2021 was primarily driven by purchases of property and equipment of $106.8 million, and purchases of technology licenses of $12.7 million.</w:t>
      </w:r>
    </w:p>
    <w:p>
      <w:pPr>
        <w:spacing w:after="0" w:line="62" w:lineRule="exact"/>
        <w:rPr>
          <w:sz w:val="20"/>
          <w:szCs w:val="20"/>
          <w:color w:val="auto"/>
        </w:rPr>
      </w:pPr>
    </w:p>
    <w:p>
      <w:pPr>
        <w:ind w:right="20" w:firstLine="405"/>
        <w:spacing w:after="0" w:line="263" w:lineRule="auto"/>
        <w:rPr>
          <w:sz w:val="20"/>
          <w:szCs w:val="20"/>
          <w:color w:val="auto"/>
        </w:rPr>
      </w:pPr>
      <w:r>
        <w:rPr>
          <w:rFonts w:ascii="Arial" w:cs="Arial" w:eastAsia="Arial" w:hAnsi="Arial"/>
          <w:sz w:val="18"/>
          <w:szCs w:val="18"/>
          <w:color w:val="auto"/>
        </w:rPr>
        <w:t>Net cash provided by investing activities of $558.8 million in fiscal year 2020 was primarily driven by proceeds from sale of business $1.7 billion and maturities of available-for-sale securities of $18.8 million, partially offset by net cash paid to acquire Aquantia and Avera of $1.1 billion and purchase of property and equipment of $81.9 million.</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117" w:lineRule="exact"/>
        <w:rPr>
          <w:sz w:val="20"/>
          <w:szCs w:val="20"/>
          <w:color w:val="auto"/>
        </w:rPr>
      </w:pPr>
    </w:p>
    <w:p>
      <w:pPr>
        <w:ind w:right="260" w:firstLine="405"/>
        <w:spacing w:after="0" w:line="263" w:lineRule="auto"/>
        <w:rPr>
          <w:sz w:val="20"/>
          <w:szCs w:val="20"/>
          <w:color w:val="auto"/>
        </w:rPr>
      </w:pPr>
      <w:r>
        <w:rPr>
          <w:rFonts w:ascii="Arial" w:cs="Arial" w:eastAsia="Arial" w:hAnsi="Arial"/>
          <w:sz w:val="18"/>
          <w:szCs w:val="18"/>
          <w:color w:val="auto"/>
        </w:rPr>
        <w:t>Net cash used in financing activities of $596.8 million in fiscal year 2021 was primarily attributable to $250.0 million repayment of debt principal, $160.6 million payment for our quarterly dividends, $100.0 million payments for technology license obligations and $38.0 million payments for debt financing and equity issuance costs associated with the Inphi acquisition.</w:t>
      </w:r>
    </w:p>
    <w:p>
      <w:pPr>
        <w:spacing w:after="0" w:line="76"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Net cash used in financing activities of $853.9 million in fiscal year 2020 was primarily attributable to $1.3 billion repayment of debt principal, $364.3 million payment for repurchase of our common stock and $159.6 million payment of our quarterly dividend. This cash outflow was partially offset by $1.0 billion proceeds from issuance of debt and $49.0 million net proceeds from the issuance of our common shares under our share-based plans, less the tax withholding on behalf of employees for net share settlements.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121"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or variable interest entities, which would have been established for the purpose of facilitating off-balance sheet arrangements or other contractually narrow or limited purposes. As of January 30, 2021, we did not have any off-balance sheet arrangements.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20" w:firstLine="405"/>
        <w:spacing w:after="0" w:line="263"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January 30, 2021, these foundries had incurred approximately $329.5 million of manufacturing costs and expenses relating to our outstanding purchase orders.</w:t>
      </w:r>
    </w:p>
    <w:p>
      <w:pPr>
        <w:spacing w:after="0" w:line="76" w:lineRule="exact"/>
        <w:rPr>
          <w:sz w:val="20"/>
          <w:szCs w:val="20"/>
          <w:color w:val="auto"/>
        </w:rPr>
      </w:pPr>
    </w:p>
    <w:p>
      <w:pPr>
        <w:ind w:right="280" w:firstLine="405"/>
        <w:spacing w:after="0" w:line="277" w:lineRule="auto"/>
        <w:rPr>
          <w:sz w:val="20"/>
          <w:szCs w:val="20"/>
          <w:color w:val="auto"/>
        </w:rPr>
      </w:pPr>
      <w:r>
        <w:rPr>
          <w:rFonts w:ascii="Arial" w:cs="Arial" w:eastAsia="Arial" w:hAnsi="Arial"/>
          <w:sz w:val="18"/>
          <w:szCs w:val="18"/>
          <w:color w:val="auto"/>
        </w:rPr>
        <w:t>The following table summarizes our contractual obligations as of January 30, 2021 and the effect that such obligations are expected to have on our liquidity and cash flow in future periods (in thousands):</w:t>
      </w:r>
    </w:p>
    <w:p>
      <w:pPr>
        <w:spacing w:after="0" w:line="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7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8"/>
          </w:tcPr>
          <w:p>
            <w:pPr>
              <w:ind w:left="320"/>
              <w:spacing w:after="0"/>
              <w:rPr>
                <w:sz w:val="20"/>
                <w:szCs w:val="20"/>
                <w:color w:val="auto"/>
              </w:rPr>
            </w:pPr>
            <w:r>
              <w:rPr>
                <w:rFonts w:ascii="Arial" w:cs="Arial" w:eastAsia="Arial" w:hAnsi="Arial"/>
                <w:sz w:val="14"/>
                <w:szCs w:val="14"/>
                <w:b w:val="1"/>
                <w:bCs w:val="1"/>
                <w:color w:val="auto"/>
              </w:rPr>
              <w:t>Payment Obligations by Fiscal Year</w:t>
            </w:r>
          </w:p>
        </w:tc>
        <w:tc>
          <w:tcPr>
            <w:tcW w:w="120" w:type="dxa"/>
            <w:vAlign w:val="bottom"/>
            <w:tcBorders>
              <w:bottom w:val="single" w:sz="8" w:color="auto"/>
            </w:tcBorders>
          </w:tcPr>
          <w:p>
            <w:pPr>
              <w:spacing w:after="0"/>
              <w:rPr>
                <w:sz w:val="16"/>
                <w:szCs w:val="16"/>
                <w:color w:val="auto"/>
              </w:rPr>
            </w:pPr>
          </w:p>
        </w:tc>
        <w:tc>
          <w:tcPr>
            <w:tcW w:w="8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r>
      <w:tr>
        <w:trPr>
          <w:trHeight w:val="187"/>
        </w:trPr>
        <w:tc>
          <w:tcPr>
            <w:tcW w:w="3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tcPr>
          <w:p>
            <w:pPr>
              <w:jc w:val="right"/>
              <w:ind w:right="232"/>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tcPr>
          <w:p>
            <w:pPr>
              <w:jc w:val="right"/>
              <w:ind w:right="232"/>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60" w:type="dxa"/>
            <w:vAlign w:val="bottom"/>
          </w:tcPr>
          <w:p>
            <w:pPr>
              <w:jc w:val="right"/>
              <w:ind w:right="254"/>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tcPr>
          <w:p>
            <w:pPr>
              <w:jc w:val="right"/>
              <w:ind w:right="252"/>
              <w:spacing w:after="0"/>
              <w:rPr>
                <w:sz w:val="20"/>
                <w:szCs w:val="20"/>
                <w:color w:val="auto"/>
              </w:rPr>
            </w:pPr>
            <w:r>
              <w:rPr>
                <w:rFonts w:ascii="Arial" w:cs="Arial" w:eastAsia="Arial" w:hAnsi="Arial"/>
                <w:sz w:val="14"/>
                <w:szCs w:val="14"/>
                <w:b w:val="1"/>
                <w:bCs w:val="1"/>
                <w:color w:val="auto"/>
              </w:rPr>
              <w:t>2025</w:t>
            </w: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tcPr>
          <w:p>
            <w:pPr>
              <w:jc w:val="right"/>
              <w:ind w:right="252"/>
              <w:spacing w:after="0"/>
              <w:rPr>
                <w:sz w:val="20"/>
                <w:szCs w:val="20"/>
                <w:color w:val="auto"/>
              </w:rPr>
            </w:pPr>
            <w:r>
              <w:rPr>
                <w:rFonts w:ascii="Arial" w:cs="Arial" w:eastAsia="Arial" w:hAnsi="Arial"/>
                <w:sz w:val="14"/>
                <w:szCs w:val="14"/>
                <w:b w:val="1"/>
                <w:bCs w:val="1"/>
                <w:color w:val="auto"/>
              </w:rPr>
              <w:t>2026</w:t>
            </w: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40" w:type="dxa"/>
            <w:vAlign w:val="bottom"/>
            <w:gridSpan w:val="2"/>
          </w:tcPr>
          <w:p>
            <w:pPr>
              <w:ind w:left="20"/>
              <w:spacing w:after="0"/>
              <w:rPr>
                <w:sz w:val="20"/>
                <w:szCs w:val="20"/>
                <w:color w:val="auto"/>
              </w:rPr>
            </w:pPr>
            <w:r>
              <w:rPr>
                <w:rFonts w:ascii="Arial" w:cs="Arial" w:eastAsia="Arial" w:hAnsi="Arial"/>
                <w:sz w:val="14"/>
                <w:szCs w:val="14"/>
                <w:b w:val="1"/>
                <w:bCs w:val="1"/>
                <w:color w:val="auto"/>
              </w:rPr>
              <w:t>Thereafter</w:t>
            </w:r>
          </w:p>
        </w:tc>
        <w:tc>
          <w:tcPr>
            <w:tcW w:w="240" w:type="dxa"/>
            <w:vAlign w:val="bottom"/>
          </w:tcPr>
          <w:p>
            <w:pPr>
              <w:spacing w:after="0"/>
              <w:rPr>
                <w:sz w:val="16"/>
                <w:szCs w:val="16"/>
                <w:color w:val="auto"/>
              </w:rPr>
            </w:pPr>
          </w:p>
        </w:tc>
        <w:tc>
          <w:tcPr>
            <w:tcW w:w="920" w:type="dxa"/>
            <w:vAlign w:val="bottom"/>
          </w:tcPr>
          <w:p>
            <w:pPr>
              <w:jc w:val="right"/>
              <w:ind w:right="352"/>
              <w:spacing w:after="0"/>
              <w:rPr>
                <w:sz w:val="20"/>
                <w:szCs w:val="20"/>
                <w:color w:val="auto"/>
              </w:rPr>
            </w:pPr>
            <w:r>
              <w:rPr>
                <w:rFonts w:ascii="Arial" w:cs="Arial" w:eastAsia="Arial" w:hAnsi="Arial"/>
                <w:sz w:val="14"/>
                <w:szCs w:val="14"/>
                <w:b w:val="1"/>
                <w:bCs w:val="1"/>
                <w:color w:val="auto"/>
              </w:rPr>
              <w:t>Total</w:t>
            </w:r>
          </w:p>
        </w:tc>
      </w:tr>
      <w:tr>
        <w:trPr>
          <w:trHeight w:val="211"/>
        </w:trPr>
        <w:tc>
          <w:tcPr>
            <w:tcW w:w="37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Contractual obligations:</w:t>
            </w: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r>
      <w:tr>
        <w:trPr>
          <w:trHeight w:val="229"/>
        </w:trPr>
        <w:tc>
          <w:tcPr>
            <w:tcW w:w="3760" w:type="dxa"/>
            <w:vAlign w:val="bottom"/>
          </w:tcPr>
          <w:p>
            <w:pPr>
              <w:ind w:left="20"/>
              <w:spacing w:after="0"/>
              <w:rPr>
                <w:sz w:val="20"/>
                <w:szCs w:val="20"/>
                <w:color w:val="auto"/>
              </w:rPr>
            </w:pPr>
            <w:r>
              <w:rPr>
                <w:rFonts w:ascii="Arial" w:cs="Arial" w:eastAsia="Arial" w:hAnsi="Arial"/>
                <w:sz w:val="18"/>
                <w:szCs w:val="18"/>
                <w:color w:val="auto"/>
              </w:rPr>
              <w:t>Principal payments on debt</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200,000</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500,000</w:t>
            </w:r>
          </w:p>
        </w:tc>
        <w:tc>
          <w:tcPr>
            <w:tcW w:w="10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500,000</w:t>
            </w:r>
          </w:p>
        </w:tc>
        <w:tc>
          <w:tcPr>
            <w:tcW w:w="12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1,200,000</w:t>
            </w:r>
          </w:p>
        </w:tc>
      </w:tr>
      <w:tr>
        <w:trPr>
          <w:trHeight w:val="230"/>
        </w:trPr>
        <w:tc>
          <w:tcPr>
            <w:tcW w:w="3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obligations on debt</w:t>
            </w: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48,882</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45,879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33,578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24,646</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24,646</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59,109</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236,740</w:t>
            </w:r>
          </w:p>
        </w:tc>
      </w:tr>
      <w:tr>
        <w:trPr>
          <w:trHeight w:val="230"/>
        </w:trPr>
        <w:tc>
          <w:tcPr>
            <w:tcW w:w="3760" w:type="dxa"/>
            <w:vAlign w:val="bottom"/>
          </w:tcPr>
          <w:p>
            <w:pPr>
              <w:ind w:left="20"/>
              <w:spacing w:after="0" w:line="230" w:lineRule="exact"/>
              <w:rPr>
                <w:sz w:val="20"/>
                <w:szCs w:val="20"/>
                <w:color w:val="auto"/>
              </w:rPr>
            </w:pPr>
            <w:r>
              <w:rPr>
                <w:rFonts w:ascii="Arial" w:cs="Arial" w:eastAsia="Arial" w:hAnsi="Arial"/>
                <w:sz w:val="18"/>
                <w:szCs w:val="18"/>
                <w:color w:val="auto"/>
              </w:rPr>
              <w:t xml:space="preserve">Facilities operating leases, net </w:t>
            </w:r>
            <w:r>
              <w:rPr>
                <w:rFonts w:ascii="Arial" w:cs="Arial" w:eastAsia="Arial" w:hAnsi="Arial"/>
                <w:sz w:val="23"/>
                <w:szCs w:val="23"/>
                <w:color w:val="auto"/>
                <w:vertAlign w:val="superscript"/>
              </w:rPr>
              <w:t>(1)</w:t>
            </w: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37,108</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33,015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23,931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15,782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14,765</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27,437</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152,038</w:t>
            </w:r>
          </w:p>
        </w:tc>
      </w:tr>
      <w:tr>
        <w:trPr>
          <w:trHeight w:val="230"/>
        </w:trPr>
        <w:tc>
          <w:tcPr>
            <w:tcW w:w="3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Purchase commitments to foundries</w:t>
            </w: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329,508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329,508</w:t>
            </w:r>
          </w:p>
        </w:tc>
      </w:tr>
      <w:tr>
        <w:trPr>
          <w:trHeight w:val="229"/>
        </w:trPr>
        <w:tc>
          <w:tcPr>
            <w:tcW w:w="3760" w:type="dxa"/>
            <w:vAlign w:val="bottom"/>
          </w:tcPr>
          <w:p>
            <w:pPr>
              <w:ind w:left="20"/>
              <w:spacing w:after="0"/>
              <w:rPr>
                <w:sz w:val="20"/>
                <w:szCs w:val="20"/>
                <w:color w:val="auto"/>
              </w:rPr>
            </w:pPr>
            <w:r>
              <w:rPr>
                <w:rFonts w:ascii="Arial" w:cs="Arial" w:eastAsia="Arial" w:hAnsi="Arial"/>
                <w:sz w:val="18"/>
                <w:szCs w:val="18"/>
                <w:color w:val="auto"/>
              </w:rPr>
              <w:t>Capital purchase obligations</w:t>
            </w: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20,951</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9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20,951</w:t>
            </w:r>
          </w:p>
        </w:tc>
      </w:tr>
      <w:tr>
        <w:trPr>
          <w:trHeight w:val="230"/>
        </w:trPr>
        <w:tc>
          <w:tcPr>
            <w:tcW w:w="376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Technology license obligations </w:t>
            </w:r>
            <w:r>
              <w:rPr>
                <w:rFonts w:ascii="Arial" w:cs="Arial" w:eastAsia="Arial" w:hAnsi="Arial"/>
                <w:sz w:val="23"/>
                <w:szCs w:val="23"/>
                <w:color w:val="auto"/>
                <w:vertAlign w:val="superscript"/>
              </w:rPr>
              <w:t>(2)</w:t>
            </w: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83,919</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61,876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49,147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195,560</w:t>
            </w:r>
          </w:p>
        </w:tc>
      </w:tr>
      <w:tr>
        <w:trPr>
          <w:trHeight w:val="230"/>
        </w:trPr>
        <w:tc>
          <w:tcPr>
            <w:tcW w:w="3760" w:type="dxa"/>
            <w:vAlign w:val="bottom"/>
          </w:tcPr>
          <w:p>
            <w:pPr>
              <w:ind w:left="20"/>
              <w:spacing w:after="0"/>
              <w:rPr>
                <w:sz w:val="20"/>
                <w:szCs w:val="20"/>
                <w:color w:val="auto"/>
              </w:rPr>
            </w:pPr>
            <w:r>
              <w:rPr>
                <w:rFonts w:ascii="Arial" w:cs="Arial" w:eastAsia="Arial" w:hAnsi="Arial"/>
                <w:sz w:val="18"/>
                <w:szCs w:val="18"/>
                <w:color w:val="auto"/>
              </w:rPr>
              <w:t>Other contractual commitments</w:t>
            </w: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9,876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669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150</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4,013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14,722</w:t>
            </w:r>
          </w:p>
        </w:tc>
      </w:tr>
      <w:tr>
        <w:trPr>
          <w:trHeight w:val="248"/>
        </w:trPr>
        <w:tc>
          <w:tcPr>
            <w:tcW w:w="37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contractual cash obligations</w:t>
            </w: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720,368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150,646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607,325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40,751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39,870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590,559</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2,149,519</w:t>
            </w:r>
          </w:p>
        </w:tc>
      </w:tr>
      <w:tr>
        <w:trPr>
          <w:trHeight w:val="20"/>
        </w:trPr>
        <w:tc>
          <w:tcPr>
            <w:tcW w:w="37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660" w:right="180" w:hanging="652"/>
        <w:spacing w:after="0" w:line="274" w:lineRule="auto"/>
        <w:tabs>
          <w:tab w:leader="none" w:pos="654" w:val="left"/>
        </w:tabs>
        <w:numPr>
          <w:ilvl w:val="0"/>
          <w:numId w:val="24"/>
        </w:numPr>
        <w:rPr>
          <w:rFonts w:ascii="Arial" w:cs="Arial" w:eastAsia="Arial" w:hAnsi="Arial"/>
          <w:sz w:val="17"/>
          <w:szCs w:val="17"/>
          <w:color w:val="auto"/>
        </w:rPr>
      </w:pPr>
      <w:r>
        <w:rPr>
          <w:rFonts w:ascii="Arial" w:cs="Arial" w:eastAsia="Arial" w:hAnsi="Arial"/>
          <w:sz w:val="17"/>
          <w:szCs w:val="17"/>
          <w:color w:val="auto"/>
        </w:rPr>
        <w:t>Amounts exclude contractual sublease proceeds of $23.0 million to be received through fiscal 2028. Refer to “Note 10 - Leases” in our Notes to the Consolidated Financial Statements set forth in Part II, Item 8 of this Annual Report on Form 10-K for more information.</w:t>
      </w:r>
    </w:p>
    <w:p>
      <w:pPr>
        <w:ind w:left="640" w:hanging="632"/>
        <w:spacing w:after="0"/>
        <w:tabs>
          <w:tab w:leader="none" w:pos="640" w:val="left"/>
        </w:tabs>
        <w:numPr>
          <w:ilvl w:val="0"/>
          <w:numId w:val="24"/>
        </w:numPr>
        <w:rPr>
          <w:rFonts w:ascii="Arial" w:cs="Arial" w:eastAsia="Arial" w:hAnsi="Arial"/>
          <w:sz w:val="16"/>
          <w:szCs w:val="16"/>
          <w:color w:val="auto"/>
        </w:rPr>
      </w:pPr>
      <w:r>
        <w:rPr>
          <w:rFonts w:ascii="Arial" w:cs="Arial" w:eastAsia="Arial" w:hAnsi="Arial"/>
          <w:sz w:val="16"/>
          <w:szCs w:val="16"/>
          <w:color w:val="auto"/>
        </w:rPr>
        <w:t>Amounts represent anticipated future cash payments, including anticipated interest payments not recorded in the consolidated balance sheet.</w:t>
      </w: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53" w:name="page54"/>
    <w:bookmarkEnd w:id="53"/>
    <w:p>
      <w:pPr>
        <w:ind w:right="20" w:firstLine="405"/>
        <w:spacing w:after="0" w:line="272" w:lineRule="auto"/>
        <w:rPr>
          <w:sz w:val="20"/>
          <w:szCs w:val="20"/>
          <w:color w:val="auto"/>
        </w:rPr>
      </w:pPr>
      <w:r>
        <w:rPr>
          <w:rFonts w:ascii="Arial" w:cs="Arial" w:eastAsia="Arial" w:hAnsi="Arial"/>
          <w:sz w:val="17"/>
          <w:szCs w:val="17"/>
          <w:color w:val="auto"/>
        </w:rPr>
        <w:t>In addition to the above commitments and contingencies, as of January 30, 2021, we have $20.4 million of unrecognized tax benefits as liabilities. We also have a liability for potential interest and penalties of $4.0 million as of January 30, 2021.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$5.4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color w:val="auto"/>
        </w:rPr>
        <w:t>Please see “Note 2 - Significant Accounting Policies - Recent Accounting Pronouncements” in our Notes to the Consolidated Financial Statements set forth in Part II, Item 8 of this Annual Report on Form 10-K.</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64"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121"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Term Loan, including changes that may result from implementation of new benchmark rates that replace LIBOR. See “Note 11 - Debt” for further information. A hypothetical increase or decrease in the interest rate by 1% would result in an increase or decrease in annual interest expense by approximately $0.9 million.</w:t>
      </w:r>
    </w:p>
    <w:p>
      <w:pPr>
        <w:spacing w:after="0" w:line="79"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January 30, 2021, our investment portfolio balance was $0.</w:t>
      </w:r>
    </w:p>
    <w:p>
      <w:pPr>
        <w:spacing w:after="0" w:line="84" w:lineRule="exact"/>
        <w:rPr>
          <w:sz w:val="20"/>
          <w:szCs w:val="20"/>
          <w:color w:val="auto"/>
        </w:rPr>
      </w:pPr>
    </w:p>
    <w:p>
      <w:pPr>
        <w:ind w:right="140" w:firstLine="405"/>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58"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79"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54" w:name="page55"/>
    <w:bookmarkEnd w:id="54"/>
    <w:tbl>
      <w:tblPr>
        <w:tblLayout w:type="fixed"/>
        <w:tblInd w:w="0" w:type="dxa"/>
        <w:tblCellMar>
          <w:top w:w="0" w:type="dxa"/>
          <w:left w:w="0" w:type="dxa"/>
          <w:bottom w:w="0" w:type="dxa"/>
          <w:right w:w="0" w:type="dxa"/>
        </w:tblCellMar>
      </w:tblPr>
      <w:tr>
        <w:trPr>
          <w:trHeight w:val="234"/>
        </w:trPr>
        <w:tc>
          <w:tcPr>
            <w:tcW w:w="72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9460" w:type="dxa"/>
            <w:vAlign w:val="bottom"/>
          </w:tcPr>
          <w:p>
            <w:pPr>
              <w:ind w:left="18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10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78"/>
        </w:trPr>
        <w:tc>
          <w:tcPr>
            <w:tcW w:w="720" w:type="dxa"/>
            <w:vAlign w:val="bottom"/>
          </w:tcPr>
          <w:p>
            <w:pPr>
              <w:spacing w:after="0"/>
              <w:rPr>
                <w:sz w:val="24"/>
                <w:szCs w:val="24"/>
                <w:color w:val="auto"/>
              </w:rPr>
            </w:pPr>
          </w:p>
        </w:tc>
        <w:tc>
          <w:tcPr>
            <w:tcW w:w="9460" w:type="dxa"/>
            <w:vAlign w:val="bottom"/>
          </w:tcPr>
          <w:p>
            <w:pPr>
              <w:jc w:val="center"/>
              <w:ind w:left="270"/>
              <w:spacing w:after="0"/>
              <w:rPr>
                <w:sz w:val="20"/>
                <w:szCs w:val="20"/>
                <w:color w:val="auto"/>
              </w:rPr>
            </w:pPr>
            <w:r>
              <w:rPr>
                <w:rFonts w:ascii="Arial" w:cs="Arial" w:eastAsia="Arial" w:hAnsi="Arial"/>
                <w:sz w:val="18"/>
                <w:szCs w:val="18"/>
                <w:b w:val="1"/>
                <w:bCs w:val="1"/>
                <w:color w:val="auto"/>
              </w:rPr>
              <w:t>INDEX</w:t>
            </w:r>
          </w:p>
        </w:tc>
        <w:tc>
          <w:tcPr>
            <w:tcW w:w="10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09"/>
        </w:trPr>
        <w:tc>
          <w:tcPr>
            <w:tcW w:w="720" w:type="dxa"/>
            <w:vAlign w:val="bottom"/>
          </w:tcPr>
          <w:p>
            <w:pPr>
              <w:spacing w:after="0"/>
              <w:rPr>
                <w:sz w:val="18"/>
                <w:szCs w:val="18"/>
                <w:color w:val="auto"/>
              </w:rPr>
            </w:pPr>
          </w:p>
        </w:tc>
        <w:tc>
          <w:tcPr>
            <w:tcW w:w="9460" w:type="dxa"/>
            <w:vAlign w:val="bottom"/>
          </w:tcPr>
          <w:p>
            <w:pPr>
              <w:spacing w:after="0"/>
              <w:rPr>
                <w:sz w:val="18"/>
                <w:szCs w:val="18"/>
                <w:color w:val="auto"/>
              </w:rPr>
            </w:pPr>
          </w:p>
        </w:tc>
        <w:tc>
          <w:tcPr>
            <w:tcW w:w="1060" w:type="dxa"/>
            <w:vAlign w:val="bottom"/>
            <w:gridSpan w:val="2"/>
          </w:tcPr>
          <w:p>
            <w:pPr>
              <w:ind w:left="360"/>
              <w:spacing w:after="0"/>
              <w:rPr>
                <w:sz w:val="20"/>
                <w:szCs w:val="20"/>
                <w:color w:val="auto"/>
              </w:rPr>
            </w:pPr>
            <w:r>
              <w:rPr>
                <w:rFonts w:ascii="Arial" w:cs="Arial" w:eastAsia="Arial" w:hAnsi="Arial"/>
                <w:sz w:val="14"/>
                <w:szCs w:val="14"/>
                <w:b w:val="1"/>
                <w:bCs w:val="1"/>
                <w:color w:val="auto"/>
              </w:rPr>
              <w:t>Page</w:t>
            </w:r>
          </w:p>
        </w:tc>
      </w:tr>
      <w:tr>
        <w:trPr>
          <w:trHeight w:val="229"/>
        </w:trPr>
        <w:tc>
          <w:tcPr>
            <w:tcW w:w="10180" w:type="dxa"/>
            <w:vAlign w:val="bottom"/>
            <w:gridSpan w:val="2"/>
          </w:tcPr>
          <w:p>
            <w:pPr>
              <w:ind w:left="20"/>
              <w:spacing w:after="0"/>
              <w:rPr>
                <w:rFonts w:ascii="Arial" w:cs="Arial" w:eastAsia="Arial" w:hAnsi="Arial"/>
                <w:sz w:val="18"/>
                <w:szCs w:val="18"/>
                <w:u w:val="single" w:color="auto"/>
                <w:color w:val="0000FF"/>
              </w:rPr>
            </w:pPr>
            <w:hyperlink w:anchor="page55">
              <w:r>
                <w:rPr>
                  <w:rFonts w:ascii="Arial" w:cs="Arial" w:eastAsia="Arial" w:hAnsi="Arial"/>
                  <w:sz w:val="18"/>
                  <w:szCs w:val="18"/>
                  <w:u w:val="single" w:color="auto"/>
                  <w:color w:val="0000FF"/>
                </w:rPr>
                <w:t>Report of Independent Registered Public Accounting Firm</w:t>
              </w:r>
            </w:hyperlink>
          </w:p>
        </w:tc>
        <w:tc>
          <w:tcPr>
            <w:tcW w:w="1040" w:type="dxa"/>
            <w:vAlign w:val="bottom"/>
            <w:tcBorders>
              <w:top w:val="single" w:sz="8" w:color="auto"/>
            </w:tcBorders>
          </w:tcPr>
          <w:p>
            <w:pPr>
              <w:jc w:val="right"/>
              <w:spacing w:after="0"/>
              <w:rPr>
                <w:rFonts w:ascii="Arial" w:cs="Arial" w:eastAsia="Arial" w:hAnsi="Arial"/>
                <w:sz w:val="18"/>
                <w:szCs w:val="18"/>
                <w:u w:val="single" w:color="auto"/>
                <w:color w:val="0000FF"/>
              </w:rPr>
            </w:pPr>
            <w:hyperlink w:anchor="page55">
              <w:r>
                <w:rPr>
                  <w:rFonts w:ascii="Arial" w:cs="Arial" w:eastAsia="Arial" w:hAnsi="Arial"/>
                  <w:sz w:val="18"/>
                  <w:szCs w:val="18"/>
                  <w:u w:val="single" w:color="auto"/>
                  <w:color w:val="0000FF"/>
                </w:rPr>
                <w:t>53</w:t>
              </w:r>
            </w:hyperlink>
          </w:p>
        </w:tc>
        <w:tc>
          <w:tcPr>
            <w:tcW w:w="20" w:type="dxa"/>
            <w:vAlign w:val="bottom"/>
          </w:tcPr>
          <w:p>
            <w:pPr>
              <w:spacing w:after="0"/>
              <w:rPr>
                <w:sz w:val="19"/>
                <w:szCs w:val="19"/>
                <w:color w:val="auto"/>
              </w:rPr>
            </w:pPr>
          </w:p>
        </w:tc>
      </w:tr>
      <w:tr>
        <w:trPr>
          <w:trHeight w:val="230"/>
        </w:trPr>
        <w:tc>
          <w:tcPr>
            <w:tcW w:w="10180" w:type="dxa"/>
            <w:vAlign w:val="bottom"/>
            <w:gridSpan w:val="2"/>
          </w:tcPr>
          <w:p>
            <w:pPr>
              <w:ind w:left="20"/>
              <w:spacing w:after="0"/>
              <w:rPr>
                <w:rFonts w:ascii="Arial" w:cs="Arial" w:eastAsia="Arial" w:hAnsi="Arial"/>
                <w:sz w:val="18"/>
                <w:szCs w:val="18"/>
                <w:u w:val="single" w:color="auto"/>
                <w:color w:val="0000FF"/>
              </w:rPr>
            </w:pPr>
            <w:hyperlink w:anchor="page57">
              <w:r>
                <w:rPr>
                  <w:rFonts w:ascii="Arial" w:cs="Arial" w:eastAsia="Arial" w:hAnsi="Arial"/>
                  <w:sz w:val="18"/>
                  <w:szCs w:val="18"/>
                  <w:u w:val="single" w:color="auto"/>
                  <w:color w:val="0000FF"/>
                </w:rPr>
                <w:t>Consolidated Balance Sheets as of January 30, 2021 and February 1, 2020</w:t>
              </w:r>
            </w:hyperlink>
          </w:p>
        </w:tc>
        <w:tc>
          <w:tcPr>
            <w:tcW w:w="1040" w:type="dxa"/>
            <w:vAlign w:val="bottom"/>
          </w:tcPr>
          <w:p>
            <w:pPr>
              <w:jc w:val="right"/>
              <w:spacing w:after="0"/>
              <w:rPr>
                <w:rFonts w:ascii="Arial" w:cs="Arial" w:eastAsia="Arial" w:hAnsi="Arial"/>
                <w:sz w:val="18"/>
                <w:szCs w:val="18"/>
                <w:u w:val="single" w:color="auto"/>
                <w:color w:val="0000FF"/>
              </w:rPr>
            </w:pPr>
            <w:hyperlink w:anchor="page57">
              <w:r>
                <w:rPr>
                  <w:rFonts w:ascii="Arial" w:cs="Arial" w:eastAsia="Arial" w:hAnsi="Arial"/>
                  <w:sz w:val="18"/>
                  <w:szCs w:val="18"/>
                  <w:u w:val="single" w:color="auto"/>
                  <w:color w:val="0000FF"/>
                </w:rPr>
                <w:t>55</w:t>
              </w:r>
            </w:hyperlink>
          </w:p>
        </w:tc>
        <w:tc>
          <w:tcPr>
            <w:tcW w:w="20" w:type="dxa"/>
            <w:vAlign w:val="bottom"/>
          </w:tcPr>
          <w:p>
            <w:pPr>
              <w:spacing w:after="0"/>
              <w:rPr>
                <w:sz w:val="19"/>
                <w:szCs w:val="19"/>
                <w:color w:val="auto"/>
              </w:rPr>
            </w:pPr>
          </w:p>
        </w:tc>
      </w:tr>
      <w:tr>
        <w:trPr>
          <w:trHeight w:val="229"/>
        </w:trPr>
        <w:tc>
          <w:tcPr>
            <w:tcW w:w="10180" w:type="dxa"/>
            <w:vAlign w:val="bottom"/>
            <w:gridSpan w:val="2"/>
          </w:tcPr>
          <w:p>
            <w:pPr>
              <w:ind w:left="20"/>
              <w:spacing w:after="0"/>
              <w:rPr>
                <w:rFonts w:ascii="Arial" w:cs="Arial" w:eastAsia="Arial" w:hAnsi="Arial"/>
                <w:sz w:val="18"/>
                <w:szCs w:val="18"/>
                <w:u w:val="single" w:color="auto"/>
                <w:color w:val="0000FF"/>
              </w:rPr>
            </w:pPr>
            <w:hyperlink w:anchor="page58">
              <w:r>
                <w:rPr>
                  <w:rFonts w:ascii="Arial" w:cs="Arial" w:eastAsia="Arial" w:hAnsi="Arial"/>
                  <w:sz w:val="18"/>
                  <w:szCs w:val="18"/>
                  <w:u w:val="single" w:color="auto"/>
                  <w:color w:val="0000FF"/>
                </w:rPr>
                <w:t>Consolidated Statements of Operations for the years ended January 30, 2021, February 1, 2020 and February 2, 2019</w:t>
              </w:r>
            </w:hyperlink>
          </w:p>
        </w:tc>
        <w:tc>
          <w:tcPr>
            <w:tcW w:w="1040" w:type="dxa"/>
            <w:vAlign w:val="bottom"/>
          </w:tcPr>
          <w:p>
            <w:pPr>
              <w:jc w:val="right"/>
              <w:spacing w:after="0"/>
              <w:rPr>
                <w:rFonts w:ascii="Arial" w:cs="Arial" w:eastAsia="Arial" w:hAnsi="Arial"/>
                <w:sz w:val="18"/>
                <w:szCs w:val="18"/>
                <w:u w:val="single" w:color="auto"/>
                <w:color w:val="0000FF"/>
              </w:rPr>
            </w:pPr>
            <w:hyperlink w:anchor="page58">
              <w:r>
                <w:rPr>
                  <w:rFonts w:ascii="Arial" w:cs="Arial" w:eastAsia="Arial" w:hAnsi="Arial"/>
                  <w:sz w:val="18"/>
                  <w:szCs w:val="18"/>
                  <w:u w:val="single" w:color="auto"/>
                  <w:color w:val="0000FF"/>
                </w:rPr>
                <w:t>56</w:t>
              </w:r>
            </w:hyperlink>
          </w:p>
        </w:tc>
        <w:tc>
          <w:tcPr>
            <w:tcW w:w="20" w:type="dxa"/>
            <w:vAlign w:val="bottom"/>
          </w:tcPr>
          <w:p>
            <w:pPr>
              <w:spacing w:after="0"/>
              <w:rPr>
                <w:sz w:val="19"/>
                <w:szCs w:val="19"/>
                <w:color w:val="auto"/>
              </w:rPr>
            </w:pPr>
          </w:p>
        </w:tc>
      </w:tr>
      <w:tr>
        <w:trPr>
          <w:trHeight w:val="230"/>
        </w:trPr>
        <w:tc>
          <w:tcPr>
            <w:tcW w:w="10180" w:type="dxa"/>
            <w:vAlign w:val="bottom"/>
            <w:gridSpan w:val="2"/>
          </w:tcPr>
          <w:p>
            <w:pPr>
              <w:ind w:left="20"/>
              <w:spacing w:after="0"/>
              <w:rPr>
                <w:rFonts w:ascii="Arial" w:cs="Arial" w:eastAsia="Arial" w:hAnsi="Arial"/>
                <w:sz w:val="18"/>
                <w:szCs w:val="18"/>
                <w:u w:val="single" w:color="auto"/>
                <w:color w:val="0000FF"/>
                <w:w w:val="92"/>
              </w:rPr>
            </w:pPr>
            <w:hyperlink w:anchor="page59">
              <w:r>
                <w:rPr>
                  <w:rFonts w:ascii="Arial" w:cs="Arial" w:eastAsia="Arial" w:hAnsi="Arial"/>
                  <w:sz w:val="18"/>
                  <w:szCs w:val="18"/>
                  <w:u w:val="single" w:color="auto"/>
                  <w:color w:val="0000FF"/>
                  <w:w w:val="92"/>
                </w:rPr>
                <w:t>Consolidated Statements of Comprehensive Income (Loss) for the years ended January 30, 2021, February 1, 2020 and February 2, 2019</w:t>
              </w:r>
            </w:hyperlink>
          </w:p>
        </w:tc>
        <w:tc>
          <w:tcPr>
            <w:tcW w:w="1040" w:type="dxa"/>
            <w:vAlign w:val="bottom"/>
          </w:tcPr>
          <w:p>
            <w:pPr>
              <w:jc w:val="right"/>
              <w:spacing w:after="0"/>
              <w:rPr>
                <w:rFonts w:ascii="Arial" w:cs="Arial" w:eastAsia="Arial" w:hAnsi="Arial"/>
                <w:sz w:val="18"/>
                <w:szCs w:val="18"/>
                <w:u w:val="single" w:color="auto"/>
                <w:color w:val="0000FF"/>
              </w:rPr>
            </w:pPr>
            <w:hyperlink w:anchor="page59">
              <w:r>
                <w:rPr>
                  <w:rFonts w:ascii="Arial" w:cs="Arial" w:eastAsia="Arial" w:hAnsi="Arial"/>
                  <w:sz w:val="18"/>
                  <w:szCs w:val="18"/>
                  <w:u w:val="single" w:color="auto"/>
                  <w:color w:val="0000FF"/>
                </w:rPr>
                <w:t>57</w:t>
              </w:r>
            </w:hyperlink>
          </w:p>
        </w:tc>
        <w:tc>
          <w:tcPr>
            <w:tcW w:w="20" w:type="dxa"/>
            <w:vAlign w:val="bottom"/>
          </w:tcPr>
          <w:p>
            <w:pPr>
              <w:spacing w:after="0"/>
              <w:rPr>
                <w:sz w:val="19"/>
                <w:szCs w:val="19"/>
                <w:color w:val="auto"/>
              </w:rPr>
            </w:pPr>
          </w:p>
        </w:tc>
      </w:tr>
      <w:tr>
        <w:trPr>
          <w:trHeight w:val="229"/>
        </w:trPr>
        <w:tc>
          <w:tcPr>
            <w:tcW w:w="10180" w:type="dxa"/>
            <w:vAlign w:val="bottom"/>
            <w:gridSpan w:val="2"/>
          </w:tcPr>
          <w:p>
            <w:pPr>
              <w:ind w:left="20"/>
              <w:spacing w:after="0"/>
              <w:rPr>
                <w:rFonts w:ascii="Arial" w:cs="Arial" w:eastAsia="Arial" w:hAnsi="Arial"/>
                <w:sz w:val="18"/>
                <w:szCs w:val="18"/>
                <w:u w:val="single" w:color="auto"/>
                <w:color w:val="0000FF"/>
                <w:w w:val="99"/>
              </w:rPr>
            </w:pPr>
            <w:hyperlink w:anchor="page60">
              <w:r>
                <w:rPr>
                  <w:rFonts w:ascii="Arial" w:cs="Arial" w:eastAsia="Arial" w:hAnsi="Arial"/>
                  <w:sz w:val="18"/>
                  <w:szCs w:val="18"/>
                  <w:u w:val="single" w:color="auto"/>
                  <w:color w:val="0000FF"/>
                  <w:w w:val="99"/>
                </w:rPr>
                <w:t>Consolidated Statements of Shareholders’ Equity for the years ended January 30, 2021, February 1, 2020 and February 2, 2019</w:t>
              </w:r>
            </w:hyperlink>
          </w:p>
        </w:tc>
        <w:tc>
          <w:tcPr>
            <w:tcW w:w="1040" w:type="dxa"/>
            <w:vAlign w:val="bottom"/>
          </w:tcPr>
          <w:p>
            <w:pPr>
              <w:jc w:val="right"/>
              <w:spacing w:after="0"/>
              <w:rPr>
                <w:rFonts w:ascii="Arial" w:cs="Arial" w:eastAsia="Arial" w:hAnsi="Arial"/>
                <w:sz w:val="18"/>
                <w:szCs w:val="18"/>
                <w:u w:val="single" w:color="auto"/>
                <w:color w:val="0000FF"/>
              </w:rPr>
            </w:pPr>
            <w:hyperlink w:anchor="page60">
              <w:r>
                <w:rPr>
                  <w:rFonts w:ascii="Arial" w:cs="Arial" w:eastAsia="Arial" w:hAnsi="Arial"/>
                  <w:sz w:val="18"/>
                  <w:szCs w:val="18"/>
                  <w:u w:val="single" w:color="auto"/>
                  <w:color w:val="0000FF"/>
                </w:rPr>
                <w:t>58</w:t>
              </w:r>
            </w:hyperlink>
          </w:p>
        </w:tc>
        <w:tc>
          <w:tcPr>
            <w:tcW w:w="20" w:type="dxa"/>
            <w:vAlign w:val="bottom"/>
          </w:tcPr>
          <w:p>
            <w:pPr>
              <w:spacing w:after="0"/>
              <w:rPr>
                <w:sz w:val="19"/>
                <w:szCs w:val="19"/>
                <w:color w:val="auto"/>
              </w:rPr>
            </w:pPr>
          </w:p>
        </w:tc>
      </w:tr>
      <w:tr>
        <w:trPr>
          <w:trHeight w:val="229"/>
        </w:trPr>
        <w:tc>
          <w:tcPr>
            <w:tcW w:w="10180" w:type="dxa"/>
            <w:vAlign w:val="bottom"/>
            <w:gridSpan w:val="2"/>
          </w:tcPr>
          <w:p>
            <w:pPr>
              <w:ind w:left="20"/>
              <w:spacing w:after="0"/>
              <w:rPr>
                <w:rFonts w:ascii="Arial" w:cs="Arial" w:eastAsia="Arial" w:hAnsi="Arial"/>
                <w:sz w:val="18"/>
                <w:szCs w:val="18"/>
                <w:u w:val="single" w:color="auto"/>
                <w:color w:val="0000FF"/>
              </w:rPr>
            </w:pPr>
            <w:hyperlink w:anchor="page61">
              <w:r>
                <w:rPr>
                  <w:rFonts w:ascii="Arial" w:cs="Arial" w:eastAsia="Arial" w:hAnsi="Arial"/>
                  <w:sz w:val="18"/>
                  <w:szCs w:val="18"/>
                  <w:u w:val="single" w:color="auto"/>
                  <w:color w:val="0000FF"/>
                </w:rPr>
                <w:t>Consolidated Statements of Cash Flows for the years ended January 30, 2021, February 1, 2020 and February 2, 2019</w:t>
              </w:r>
            </w:hyperlink>
          </w:p>
        </w:tc>
        <w:tc>
          <w:tcPr>
            <w:tcW w:w="1040" w:type="dxa"/>
            <w:vAlign w:val="bottom"/>
          </w:tcPr>
          <w:p>
            <w:pPr>
              <w:jc w:val="right"/>
              <w:spacing w:after="0"/>
              <w:rPr>
                <w:rFonts w:ascii="Arial" w:cs="Arial" w:eastAsia="Arial" w:hAnsi="Arial"/>
                <w:sz w:val="18"/>
                <w:szCs w:val="18"/>
                <w:u w:val="single" w:color="auto"/>
                <w:color w:val="0000FF"/>
              </w:rPr>
            </w:pPr>
            <w:hyperlink w:anchor="page61">
              <w:r>
                <w:rPr>
                  <w:rFonts w:ascii="Arial" w:cs="Arial" w:eastAsia="Arial" w:hAnsi="Arial"/>
                  <w:sz w:val="18"/>
                  <w:szCs w:val="18"/>
                  <w:u w:val="single" w:color="auto"/>
                  <w:color w:val="0000FF"/>
                </w:rPr>
                <w:t>59</w:t>
              </w:r>
            </w:hyperlink>
          </w:p>
        </w:tc>
        <w:tc>
          <w:tcPr>
            <w:tcW w:w="20" w:type="dxa"/>
            <w:vAlign w:val="bottom"/>
          </w:tcPr>
          <w:p>
            <w:pPr>
              <w:spacing w:after="0"/>
              <w:rPr>
                <w:sz w:val="19"/>
                <w:szCs w:val="19"/>
                <w:color w:val="auto"/>
              </w:rPr>
            </w:pPr>
          </w:p>
        </w:tc>
      </w:tr>
      <w:tr>
        <w:trPr>
          <w:trHeight w:val="230"/>
        </w:trPr>
        <w:tc>
          <w:tcPr>
            <w:tcW w:w="10180" w:type="dxa"/>
            <w:vAlign w:val="bottom"/>
            <w:gridSpan w:val="2"/>
          </w:tcPr>
          <w:p>
            <w:pPr>
              <w:ind w:left="20"/>
              <w:spacing w:after="0"/>
              <w:rPr>
                <w:rFonts w:ascii="Arial" w:cs="Arial" w:eastAsia="Arial" w:hAnsi="Arial"/>
                <w:sz w:val="18"/>
                <w:szCs w:val="18"/>
                <w:u w:val="single" w:color="auto"/>
                <w:color w:val="0000FF"/>
              </w:rPr>
            </w:pPr>
            <w:hyperlink w:anchor="page62">
              <w:r>
                <w:rPr>
                  <w:rFonts w:ascii="Arial" w:cs="Arial" w:eastAsia="Arial" w:hAnsi="Arial"/>
                  <w:sz w:val="18"/>
                  <w:szCs w:val="18"/>
                  <w:u w:val="single" w:color="auto"/>
                  <w:color w:val="0000FF"/>
                </w:rPr>
                <w:t>Notes to Consolidated Financial Statements</w:t>
              </w:r>
            </w:hyperlink>
          </w:p>
        </w:tc>
        <w:tc>
          <w:tcPr>
            <w:tcW w:w="1040" w:type="dxa"/>
            <w:vAlign w:val="bottom"/>
          </w:tcPr>
          <w:p>
            <w:pPr>
              <w:jc w:val="right"/>
              <w:spacing w:after="0"/>
              <w:rPr>
                <w:rFonts w:ascii="Arial" w:cs="Arial" w:eastAsia="Arial" w:hAnsi="Arial"/>
                <w:sz w:val="18"/>
                <w:szCs w:val="18"/>
                <w:u w:val="single" w:color="auto"/>
                <w:color w:val="0000FF"/>
              </w:rPr>
            </w:pPr>
            <w:hyperlink w:anchor="page62">
              <w:r>
                <w:rPr>
                  <w:rFonts w:ascii="Arial" w:cs="Arial" w:eastAsia="Arial" w:hAnsi="Arial"/>
                  <w:sz w:val="18"/>
                  <w:szCs w:val="18"/>
                  <w:u w:val="single" w:color="auto"/>
                  <w:color w:val="0000FF"/>
                </w:rPr>
                <w:t>60</w:t>
              </w:r>
            </w:hyperlink>
          </w:p>
        </w:tc>
        <w:tc>
          <w:tcPr>
            <w:tcW w:w="20" w:type="dxa"/>
            <w:vAlign w:val="bottom"/>
          </w:tcPr>
          <w:p>
            <w:pPr>
              <w:spacing w:after="0"/>
              <w:rPr>
                <w:sz w:val="20"/>
                <w:szCs w:val="20"/>
                <w:color w:val="auto"/>
              </w:rPr>
            </w:pPr>
          </w:p>
        </w:tc>
      </w:tr>
      <w:tr>
        <w:trPr>
          <w:trHeight w:val="918"/>
        </w:trPr>
        <w:tc>
          <w:tcPr>
            <w:tcW w:w="720" w:type="dxa"/>
            <w:vAlign w:val="bottom"/>
          </w:tcPr>
          <w:p>
            <w:pPr>
              <w:spacing w:after="0"/>
              <w:rPr>
                <w:sz w:val="24"/>
                <w:szCs w:val="24"/>
                <w:color w:val="auto"/>
              </w:rPr>
            </w:pPr>
          </w:p>
        </w:tc>
        <w:tc>
          <w:tcPr>
            <w:tcW w:w="9460" w:type="dxa"/>
            <w:vAlign w:val="bottom"/>
          </w:tcPr>
          <w:p>
            <w:pPr>
              <w:jc w:val="right"/>
              <w:ind w:right="4370"/>
              <w:spacing w:after="0"/>
              <w:rPr>
                <w:sz w:val="20"/>
                <w:szCs w:val="20"/>
                <w:color w:val="auto"/>
              </w:rPr>
            </w:pPr>
            <w:r>
              <w:rPr>
                <w:rFonts w:ascii="Arial" w:cs="Arial" w:eastAsia="Arial" w:hAnsi="Arial"/>
                <w:sz w:val="18"/>
                <w:szCs w:val="18"/>
                <w:color w:val="auto"/>
              </w:rPr>
              <w:t>52</w:t>
            </w:r>
          </w:p>
        </w:tc>
        <w:tc>
          <w:tcPr>
            <w:tcW w:w="10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358"/>
        </w:trPr>
        <w:tc>
          <w:tcPr>
            <w:tcW w:w="720" w:type="dxa"/>
            <w:vAlign w:val="bottom"/>
            <w:tcBorders>
              <w:bottom w:val="single" w:sz="8" w:color="9A9A9A"/>
            </w:tcBorders>
          </w:tcPr>
          <w:p>
            <w:pPr>
              <w:spacing w:after="0"/>
              <w:rPr>
                <w:sz w:val="24"/>
                <w:szCs w:val="24"/>
                <w:color w:val="auto"/>
              </w:rPr>
            </w:pPr>
          </w:p>
        </w:tc>
        <w:tc>
          <w:tcPr>
            <w:tcW w:w="9460" w:type="dxa"/>
            <w:vAlign w:val="bottom"/>
            <w:tcBorders>
              <w:bottom w:val="single" w:sz="8" w:color="9A9A9A"/>
            </w:tcBorders>
          </w:tcPr>
          <w:p>
            <w:pPr>
              <w:spacing w:after="0"/>
              <w:rPr>
                <w:sz w:val="24"/>
                <w:szCs w:val="24"/>
                <w:color w:val="auto"/>
              </w:rPr>
            </w:pPr>
          </w:p>
        </w:tc>
        <w:tc>
          <w:tcPr>
            <w:tcW w:w="10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55" w:name="page56"/>
    <w:bookmarkEnd w:id="55"/>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the Financial Statements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color w:val="auto"/>
        </w:rPr>
        <w:t>We have audited the accompanying consolidated balance sheets of Marvell Technology Group Ltd. and subsidiaries (the “Company”) as of January 30,</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2021, and February 1, 2020, the related consolidated statements of operations, comprehensive income (loss), shareholders’ equity, and cash flows for each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the three years in the period ended January 30, 2021, and the related notes and the schedules listed in the Index at Item 15 (collectively referred to as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“financial statements”). In our opinion, the financial statements present fairly, in all material respects, the financial position of the Company as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January 30, 2021, and February 1, 2020, and the results of its operations and its cash flows for each of the three years in the period ended January 30, 2021,</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 conformity with accounting principles generally accepted in the United States of America.</w:t>
      </w:r>
    </w:p>
    <w:p>
      <w:pPr>
        <w:spacing w:after="0" w:line="103"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We have also audited, in accordance with the standards of the Public Company Accounting Oversight Board (United States) (PCAOB), the Company’s internal control over financial reporting as of January 30, 2021, based on criteria established in </w:t>
      </w:r>
      <w:r>
        <w:rPr>
          <w:rFonts w:ascii="Arial" w:cs="Arial" w:eastAsia="Arial" w:hAnsi="Arial"/>
          <w:sz w:val="18"/>
          <w:szCs w:val="18"/>
          <w:i w:val="1"/>
          <w:iCs w:val="1"/>
          <w:color w:val="auto"/>
        </w:rPr>
        <w:t>Internal Control-Integrated Framework (2013)</w:t>
      </w:r>
      <w:r>
        <w:rPr>
          <w:rFonts w:ascii="Arial" w:cs="Arial" w:eastAsia="Arial" w:hAnsi="Arial"/>
          <w:sz w:val="18"/>
          <w:szCs w:val="18"/>
          <w:color w:val="auto"/>
        </w:rPr>
        <w:t xml:space="preserve"> issued by the Committee of Sponsoring Organizations of the Treadway Commission and our report dated March 16, 2021, expressed an unqualified opinion on the Company’s internal control over financial reporting.</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2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These financial statements are the responsibility of the Company’s management. Our responsibility is to express an opinion on the Company’s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79"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We conducted our audits in accordance with the standards of the PCAOB. Those standards require that we plan and perform the audit to obtain reasonable assurance about whether the financial statements are free of material misstatement, whether due to error or fraud. Our audits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audits also included evaluating the accounting principles used and significant estimates made by management, as well as evaluating the overall presentation of the financial statements. We believe that our audits provide a reasonable basis for our opinion.</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Audit Matters</w:t>
      </w:r>
    </w:p>
    <w:p>
      <w:pPr>
        <w:spacing w:after="0" w:line="121"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The critical audit matters communicated below are matters arising from the current-period audit of the financial statements that were communicated or required to be communicated to the audit committee and that (1) relate to accounts or disclosures that are material to the financial statements and (2) involved our especially challenging, subjective, or complex judgments. The communication of critical audit matters does not alter in any way our opinion on the financial statements, taken as a whole, and we are not, by communicating the critical audit matters below, providing separate opinions on the critical audit matters or on the accounts or disclosures to which they relate.</w:t>
      </w:r>
    </w:p>
    <w:p>
      <w:pPr>
        <w:spacing w:after="0" w:line="80" w:lineRule="exact"/>
        <w:rPr>
          <w:sz w:val="20"/>
          <w:szCs w:val="20"/>
          <w:color w:val="auto"/>
        </w:rPr>
      </w:pPr>
    </w:p>
    <w:p>
      <w:pPr>
        <w:ind w:right="5280"/>
        <w:spacing w:after="0" w:line="375" w:lineRule="auto"/>
        <w:rPr>
          <w:sz w:val="20"/>
          <w:szCs w:val="20"/>
          <w:color w:val="auto"/>
        </w:rPr>
      </w:pPr>
      <w:r>
        <w:rPr>
          <w:rFonts w:ascii="Arial" w:cs="Arial" w:eastAsia="Arial" w:hAnsi="Arial"/>
          <w:sz w:val="18"/>
          <w:szCs w:val="18"/>
          <w:b w:val="1"/>
          <w:bCs w:val="1"/>
          <w:i w:val="1"/>
          <w:iCs w:val="1"/>
          <w:color w:val="auto"/>
        </w:rPr>
        <w:t xml:space="preserve">Acquired Intangible Assets — Refer to Notes 5 and 6 to the financial statements </w:t>
      </w:r>
      <w:r>
        <w:rPr>
          <w:rFonts w:ascii="Arial" w:cs="Arial" w:eastAsia="Arial" w:hAnsi="Arial"/>
          <w:sz w:val="18"/>
          <w:szCs w:val="18"/>
          <w:i w:val="1"/>
          <w:iCs w:val="1"/>
          <w:color w:val="auto"/>
        </w:rPr>
        <w:t>Description of the Matter</w:t>
      </w:r>
    </w:p>
    <w:p>
      <w:pPr>
        <w:spacing w:after="0" w:line="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Company regularly analyzes the results of its business to determine whether events or circumstances exist that indicate the carrying amount of long-lived assets and intangible assets may not be fully recoverable. During the quarter ended August 1, 2020, the Company recognized an impairment of acquired intangible assets as a result of the decision to change the scope of its server processor product line in response to changes in the associated market. As a result of such assessment, the Company determined the carrying amounts of certain acquired intangible assets were not recoverable and recorded an impairment for $86 million.</w:t>
      </w:r>
    </w:p>
    <w:p>
      <w:pPr>
        <w:spacing w:after="0" w:line="8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We identified the impairment of Acquired Intangible Assets as a critical audit matter because of the significant estimates and assumptions management made in determining that the carrying amounts of certain impacted assets were not recoverable. Specifically, performing audit procedures to evaluate the reasonableness of management’s assessment and the determination that the assets have no alternative future use, required a high degree of auditor judgment and an increased extent of effort.</w:t>
      </w:r>
    </w:p>
    <w:p>
      <w:pPr>
        <w:spacing w:after="0" w:line="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How the Critical Audit Matter Was Addressed in the Audit</w:t>
      </w:r>
    </w:p>
    <w:p>
      <w:pPr>
        <w:spacing w:after="0" w:line="117"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Our audit procedures related to acquired intangible assets impairment assessment, specifically as they relate to the assumption that the assets have no alternative future use included the following, among others:</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56" w:name="page57"/>
    <w:bookmarkEnd w:id="56"/>
    <w:p>
      <w:pPr>
        <w:spacing w:after="0" w:line="90" w:lineRule="exact"/>
        <w:rPr>
          <w:sz w:val="20"/>
          <w:szCs w:val="20"/>
          <w:color w:val="auto"/>
        </w:rPr>
      </w:pPr>
    </w:p>
    <w:p>
      <w:pPr>
        <w:ind w:left="660" w:hanging="328"/>
        <w:spacing w:after="0"/>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tested the effectiveness of internal controls over the intangible assets impairment assessment.</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5"/>
        </w:numPr>
        <w:rPr>
          <w:rFonts w:ascii="Arial" w:cs="Arial" w:eastAsia="Arial" w:hAnsi="Arial"/>
          <w:sz w:val="16"/>
          <w:szCs w:val="16"/>
          <w:color w:val="auto"/>
        </w:rPr>
      </w:pPr>
      <w:r>
        <w:rPr>
          <w:rFonts w:ascii="Arial" w:cs="Arial" w:eastAsia="Arial" w:hAnsi="Arial"/>
          <w:sz w:val="16"/>
          <w:szCs w:val="16"/>
          <w:color w:val="auto"/>
        </w:rPr>
        <w:t>We evaluated the reasonableness of management’s rationale used in developing their judgement that the assets did not have alternative future use.</w:t>
      </w:r>
    </w:p>
    <w:p>
      <w:pPr>
        <w:spacing w:after="0" w:line="32" w:lineRule="exact"/>
        <w:rPr>
          <w:rFonts w:ascii="Arial" w:cs="Arial" w:eastAsia="Arial" w:hAnsi="Arial"/>
          <w:sz w:val="16"/>
          <w:szCs w:val="16"/>
          <w:color w:val="auto"/>
        </w:rPr>
      </w:pPr>
    </w:p>
    <w:p>
      <w:pPr>
        <w:ind w:left="660" w:right="360" w:hanging="328"/>
        <w:spacing w:after="0" w:line="250" w:lineRule="auto"/>
        <w:tabs>
          <w:tab w:leader="none" w:pos="655"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held discussions with various engineers to understand how the impacted intangible assets were used in production and compared this with management’s assessment.</w:t>
      </w:r>
    </w:p>
    <w:p>
      <w:pPr>
        <w:ind w:left="660" w:right="160" w:hanging="328"/>
        <w:spacing w:after="0" w:line="250" w:lineRule="auto"/>
        <w:tabs>
          <w:tab w:leader="none" w:pos="655"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inspected management’s forecast to determine if the forecast was consistent with discussions held with management and engineers regarding the change in the scope of the server processor product line.</w:t>
      </w:r>
    </w:p>
    <w:p>
      <w:pPr>
        <w:ind w:left="660" w:hanging="328"/>
        <w:spacing w:after="0"/>
        <w:tabs>
          <w:tab w:leader="none" w:pos="660" w:val="left"/>
        </w:tabs>
        <w:numPr>
          <w:ilvl w:val="0"/>
          <w:numId w:val="25"/>
        </w:numPr>
        <w:rPr>
          <w:rFonts w:ascii="Arial" w:cs="Arial" w:eastAsia="Arial" w:hAnsi="Arial"/>
          <w:sz w:val="16"/>
          <w:szCs w:val="16"/>
          <w:color w:val="auto"/>
        </w:rPr>
      </w:pPr>
      <w:r>
        <w:rPr>
          <w:rFonts w:ascii="Arial" w:cs="Arial" w:eastAsia="Arial" w:hAnsi="Arial"/>
          <w:sz w:val="16"/>
          <w:szCs w:val="16"/>
          <w:color w:val="auto"/>
        </w:rPr>
        <w:t>We evaluated whether the audit evidence obtained through these procedures was consistent with evidence obtained in other areas of the audit.</w:t>
      </w:r>
    </w:p>
    <w:p>
      <w:pPr>
        <w:spacing w:after="0" w:line="261" w:lineRule="exact"/>
        <w:rPr>
          <w:sz w:val="20"/>
          <w:szCs w:val="20"/>
          <w:color w:val="auto"/>
        </w:rPr>
      </w:pPr>
    </w:p>
    <w:p>
      <w:pPr>
        <w:ind w:right="4340"/>
        <w:spacing w:after="0" w:line="375" w:lineRule="auto"/>
        <w:rPr>
          <w:sz w:val="20"/>
          <w:szCs w:val="20"/>
          <w:color w:val="auto"/>
        </w:rPr>
      </w:pPr>
      <w:r>
        <w:rPr>
          <w:rFonts w:ascii="Arial" w:cs="Arial" w:eastAsia="Arial" w:hAnsi="Arial"/>
          <w:sz w:val="18"/>
          <w:szCs w:val="18"/>
          <w:b w:val="1"/>
          <w:bCs w:val="1"/>
          <w:i w:val="1"/>
          <w:iCs w:val="1"/>
          <w:color w:val="auto"/>
        </w:rPr>
        <w:t xml:space="preserve">Inventories - Provisions for Excess Inventories — Refer to Note 2 to the financial statements </w:t>
      </w:r>
      <w:r>
        <w:rPr>
          <w:rFonts w:ascii="Arial" w:cs="Arial" w:eastAsia="Arial" w:hAnsi="Arial"/>
          <w:sz w:val="18"/>
          <w:szCs w:val="18"/>
          <w:i w:val="1"/>
          <w:iCs w:val="1"/>
          <w:color w:val="auto"/>
        </w:rPr>
        <w:t>Description of the Matter</w:t>
      </w:r>
    </w:p>
    <w:p>
      <w:pPr>
        <w:spacing w:after="0" w:line="1" w:lineRule="exact"/>
        <w:rPr>
          <w:sz w:val="20"/>
          <w:szCs w:val="20"/>
          <w:color w:val="auto"/>
        </w:rPr>
      </w:pPr>
    </w:p>
    <w:p>
      <w:pPr>
        <w:ind w:right="440"/>
        <w:spacing w:after="0" w:line="259" w:lineRule="auto"/>
        <w:rPr>
          <w:sz w:val="20"/>
          <w:szCs w:val="20"/>
          <w:color w:val="auto"/>
        </w:rPr>
      </w:pPr>
      <w:r>
        <w:rPr>
          <w:rFonts w:ascii="Arial" w:cs="Arial" w:eastAsia="Arial" w:hAnsi="Arial"/>
          <w:sz w:val="18"/>
          <w:szCs w:val="18"/>
          <w:color w:val="auto"/>
        </w:rPr>
        <w:t>Management writes down excess inventories based upon a regular analysis of inventory on hand compared to historical and forecasted demand. Management’s estimates of forecasted demand are based upon analysis and assumptions including, but not limited to, expected product lifecycles and development plans, expected customer orders, projected market conditions, and historical usage by product. As of January 30, 2021, the Company's consolidated inventories balance was $268 million.</w:t>
      </w:r>
    </w:p>
    <w:p>
      <w:pPr>
        <w:spacing w:after="0" w:line="79" w:lineRule="exact"/>
        <w:rPr>
          <w:sz w:val="20"/>
          <w:szCs w:val="20"/>
          <w:color w:val="auto"/>
        </w:rPr>
      </w:pPr>
    </w:p>
    <w:p>
      <w:pPr>
        <w:ind w:right="100"/>
        <w:spacing w:after="0" w:line="301" w:lineRule="auto"/>
        <w:rPr>
          <w:sz w:val="20"/>
          <w:szCs w:val="20"/>
          <w:color w:val="auto"/>
        </w:rPr>
      </w:pPr>
      <w:r>
        <w:rPr>
          <w:rFonts w:ascii="Arial" w:cs="Arial" w:eastAsia="Arial" w:hAnsi="Arial"/>
          <w:sz w:val="16"/>
          <w:szCs w:val="16"/>
          <w:color w:val="auto"/>
        </w:rPr>
        <w:t>We identified the valuation of inventory as a critical audit matter because of the significant assumptions management makes with regards to estimating the excess write downs and the potential amplification of those judgments in periods of market uncertainty, including the business impacts of COVID 19. Specifically, due to the ongoing market uncertainty, including the business impacts of COVID 19, performing audit procedures to evaluate the reasonableness of management’s estimates of forecasted demand, required a high degree of auditor judgment and an increased extent of effort.</w:t>
      </w:r>
    </w:p>
    <w:p>
      <w:pPr>
        <w:spacing w:after="0" w:line="4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How the Critical Audit Matter Was Addressed in the Audit</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Our audit procedures related to management’s estimates of forecasted demand used in the valuation of inventory included the following, among others:</w:t>
      </w:r>
    </w:p>
    <w:p>
      <w:pPr>
        <w:spacing w:after="0" w:line="275" w:lineRule="exact"/>
        <w:rPr>
          <w:sz w:val="20"/>
          <w:szCs w:val="20"/>
          <w:color w:val="auto"/>
        </w:rPr>
      </w:pPr>
    </w:p>
    <w:p>
      <w:pPr>
        <w:ind w:left="660" w:right="500" w:hanging="328"/>
        <w:spacing w:after="0" w:line="271" w:lineRule="auto"/>
        <w:tabs>
          <w:tab w:leader="none" w:pos="655" w:val="left"/>
        </w:tabs>
        <w:numPr>
          <w:ilvl w:val="0"/>
          <w:numId w:val="26"/>
        </w:numPr>
        <w:rPr>
          <w:rFonts w:ascii="Arial" w:cs="Arial" w:eastAsia="Arial" w:hAnsi="Arial"/>
          <w:sz w:val="17"/>
          <w:szCs w:val="17"/>
          <w:color w:val="auto"/>
        </w:rPr>
      </w:pPr>
      <w:r>
        <w:rPr>
          <w:rFonts w:ascii="Arial" w:cs="Arial" w:eastAsia="Arial" w:hAnsi="Arial"/>
          <w:sz w:val="17"/>
          <w:szCs w:val="17"/>
          <w:color w:val="auto"/>
        </w:rPr>
        <w:t>We tested the effectiveness of internal controls over management’s provisions for excess inventories, including internal controls designed to review and approve forecasted demand and the underlying assumptions regarding expected product lifecycles, product development plans, expected customer orders, projected market conditions, and historical usage by product.</w:t>
      </w:r>
    </w:p>
    <w:p>
      <w:pPr>
        <w:ind w:left="660" w:right="20" w:hanging="328"/>
        <w:spacing w:after="0" w:line="250" w:lineRule="auto"/>
        <w:tabs>
          <w:tab w:leader="none" w:pos="655" w:val="left"/>
        </w:tabs>
        <w:numPr>
          <w:ilvl w:val="0"/>
          <w:numId w:val="26"/>
        </w:numPr>
        <w:rPr>
          <w:rFonts w:ascii="Arial" w:cs="Arial" w:eastAsia="Arial" w:hAnsi="Arial"/>
          <w:sz w:val="18"/>
          <w:szCs w:val="18"/>
          <w:color w:val="auto"/>
        </w:rPr>
      </w:pPr>
      <w:r>
        <w:rPr>
          <w:rFonts w:ascii="Arial" w:cs="Arial" w:eastAsia="Arial" w:hAnsi="Arial"/>
          <w:sz w:val="18"/>
          <w:szCs w:val="18"/>
          <w:color w:val="auto"/>
        </w:rPr>
        <w:t>We evaluated management’s ability to accurately estimate forecasted demand by comparing estimates made in prior periods to the historical actual results for those same periods</w:t>
      </w:r>
    </w:p>
    <w:p>
      <w:pPr>
        <w:ind w:left="660" w:right="360" w:hanging="328"/>
        <w:spacing w:after="0" w:line="250" w:lineRule="auto"/>
        <w:tabs>
          <w:tab w:leader="none" w:pos="655" w:val="left"/>
        </w:tabs>
        <w:numPr>
          <w:ilvl w:val="0"/>
          <w:numId w:val="26"/>
        </w:numPr>
        <w:rPr>
          <w:rFonts w:ascii="Arial" w:cs="Arial" w:eastAsia="Arial" w:hAnsi="Arial"/>
          <w:sz w:val="18"/>
          <w:szCs w:val="18"/>
          <w:color w:val="auto"/>
        </w:rPr>
      </w:pPr>
      <w:r>
        <w:rPr>
          <w:rFonts w:ascii="Arial" w:cs="Arial" w:eastAsia="Arial" w:hAnsi="Arial"/>
          <w:sz w:val="18"/>
          <w:szCs w:val="18"/>
          <w:color w:val="auto"/>
        </w:rPr>
        <w:t>We made inquiries of business unit managers throughout the period as well as executives, sales, and operations personnel about the expected product lifecycles and product development plans and historical usage by product and compared expectations to actual developments over the period.</w:t>
      </w:r>
    </w:p>
    <w:p>
      <w:pPr>
        <w:spacing w:after="0" w:line="1" w:lineRule="exact"/>
        <w:rPr>
          <w:rFonts w:ascii="Arial" w:cs="Arial" w:eastAsia="Arial" w:hAnsi="Arial"/>
          <w:sz w:val="18"/>
          <w:szCs w:val="18"/>
          <w:color w:val="auto"/>
        </w:rPr>
      </w:pPr>
    </w:p>
    <w:p>
      <w:pPr>
        <w:ind w:left="660" w:right="460" w:hanging="328"/>
        <w:spacing w:after="0" w:line="265" w:lineRule="auto"/>
        <w:tabs>
          <w:tab w:leader="none" w:pos="655" w:val="left"/>
        </w:tabs>
        <w:numPr>
          <w:ilvl w:val="0"/>
          <w:numId w:val="26"/>
        </w:numPr>
        <w:rPr>
          <w:rFonts w:ascii="Arial" w:cs="Arial" w:eastAsia="Arial" w:hAnsi="Arial"/>
          <w:sz w:val="17"/>
          <w:szCs w:val="17"/>
          <w:color w:val="auto"/>
        </w:rPr>
      </w:pPr>
      <w:r>
        <w:rPr>
          <w:rFonts w:ascii="Arial" w:cs="Arial" w:eastAsia="Arial" w:hAnsi="Arial"/>
          <w:sz w:val="17"/>
          <w:szCs w:val="17"/>
          <w:color w:val="auto"/>
        </w:rPr>
        <w:t>We selected a sample of inventory products and tested the forecasted demand by comparing internal and external information (e.g. historical usage, contracts, communications with customers, macroeconomic conditions, etc.) with the Company’s forecasted demand.</w:t>
      </w:r>
    </w:p>
    <w:p>
      <w:pPr>
        <w:jc w:val="both"/>
        <w:ind w:left="660" w:hanging="328"/>
        <w:spacing w:after="0" w:line="255" w:lineRule="auto"/>
        <w:tabs>
          <w:tab w:leader="none" w:pos="655" w:val="left"/>
        </w:tabs>
        <w:numPr>
          <w:ilvl w:val="0"/>
          <w:numId w:val="26"/>
        </w:numPr>
        <w:rPr>
          <w:rFonts w:ascii="Arial" w:cs="Arial" w:eastAsia="Arial" w:hAnsi="Arial"/>
          <w:sz w:val="18"/>
          <w:szCs w:val="18"/>
          <w:color w:val="auto"/>
        </w:rPr>
      </w:pPr>
      <w:r>
        <w:rPr>
          <w:rFonts w:ascii="Arial" w:cs="Arial" w:eastAsia="Arial" w:hAnsi="Arial"/>
          <w:sz w:val="18"/>
          <w:szCs w:val="18"/>
          <w:color w:val="auto"/>
        </w:rPr>
        <w:t>We considered, when relevant, the existence of contradictory evidence based on reading of internal communications to management and the board of directors, Company press releases, and analysts' reports, as well as our observations and inquires as to changes within the business and evidence obtained through other areas of the audit.</w:t>
      </w: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16, 2021</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2016.</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440" w:right="359" w:bottom="1440" w:gutter="0" w:footer="0" w:header="0"/>
        </w:sectPr>
      </w:pPr>
    </w:p>
    <w:bookmarkStart w:id="57" w:name="page58"/>
    <w:bookmarkEnd w:id="57"/>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CONSOLIDATED BALANCE SHEETS</w:t>
      </w:r>
    </w:p>
    <w:p>
      <w:pPr>
        <w:spacing w:after="0" w:line="27" w:lineRule="exact"/>
        <w:rPr>
          <w:sz w:val="20"/>
          <w:szCs w:val="20"/>
          <w:color w:val="auto"/>
        </w:rPr>
      </w:pPr>
    </w:p>
    <w:p>
      <w:pPr>
        <w:ind w:left="400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11"/>
        </w:trPr>
        <w:tc>
          <w:tcPr>
            <w:tcW w:w="8240" w:type="dxa"/>
            <w:vAlign w:val="bottom"/>
            <w:shd w:val="clear" w:color="auto" w:fill="CCEEFF"/>
          </w:tcPr>
          <w:p>
            <w:pPr>
              <w:ind w:left="3800"/>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647,604</w:t>
            </w:r>
          </w:p>
        </w:tc>
        <w:tc>
          <w:tcPr>
            <w:tcW w:w="0" w:type="dxa"/>
            <w:vAlign w:val="bottom"/>
          </w:tcPr>
          <w:p>
            <w:pPr>
              <w:spacing w:after="0"/>
              <w:rPr>
                <w:sz w:val="1"/>
                <w:szCs w:val="1"/>
                <w:color w:val="auto"/>
              </w:rPr>
            </w:pP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536,668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492,346</w:t>
            </w: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322,980</w:t>
            </w:r>
          </w:p>
        </w:tc>
        <w:tc>
          <w:tcPr>
            <w:tcW w:w="0" w:type="dxa"/>
            <w:vAlign w:val="bottom"/>
          </w:tcPr>
          <w:p>
            <w:pPr>
              <w:spacing w:after="0"/>
              <w:rPr>
                <w:sz w:val="1"/>
                <w:szCs w:val="1"/>
                <w:color w:val="auto"/>
              </w:rPr>
            </w:pPr>
          </w:p>
        </w:tc>
      </w:tr>
      <w:tr>
        <w:trPr>
          <w:trHeight w:val="229"/>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74,567</w:t>
            </w:r>
          </w:p>
        </w:tc>
        <w:tc>
          <w:tcPr>
            <w:tcW w:w="0" w:type="dxa"/>
            <w:vAlign w:val="bottom"/>
          </w:tcPr>
          <w:p>
            <w:pPr>
              <w:spacing w:after="0"/>
              <w:rPr>
                <w:sz w:val="1"/>
                <w:szCs w:val="1"/>
                <w:color w:val="auto"/>
              </w:rPr>
            </w:pPr>
          </w:p>
        </w:tc>
      </w:tr>
      <w:tr>
        <w:trPr>
          <w:trHeight w:val="223"/>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1,537,497</w:t>
            </w:r>
          </w:p>
        </w:tc>
        <w:tc>
          <w:tcPr>
            <w:tcW w:w="0" w:type="dxa"/>
            <w:vAlign w:val="bottom"/>
          </w:tcPr>
          <w:p>
            <w:pPr>
              <w:spacing w:after="0"/>
              <w:rPr>
                <w:sz w:val="1"/>
                <w:szCs w:val="1"/>
                <w:color w:val="auto"/>
              </w:rPr>
            </w:pPr>
          </w:p>
        </w:tc>
      </w:tr>
      <w:tr>
        <w:trPr>
          <w:trHeight w:val="229"/>
        </w:trPr>
        <w:tc>
          <w:tcPr>
            <w:tcW w:w="824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326,125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357,092</w:t>
            </w: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5,337,405</w:t>
            </w:r>
          </w:p>
        </w:tc>
        <w:tc>
          <w:tcPr>
            <w:tcW w:w="0" w:type="dxa"/>
            <w:vAlign w:val="bottom"/>
          </w:tcPr>
          <w:p>
            <w:pPr>
              <w:spacing w:after="0"/>
              <w:rPr>
                <w:sz w:val="1"/>
                <w:szCs w:val="1"/>
                <w:color w:val="auto"/>
              </w:rPr>
            </w:pP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2,270,700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2,764,600</w:t>
            </w: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639,791</w:t>
            </w:r>
          </w:p>
        </w:tc>
        <w:tc>
          <w:tcPr>
            <w:tcW w:w="0" w:type="dxa"/>
            <w:vAlign w:val="bottom"/>
          </w:tcPr>
          <w:p>
            <w:pPr>
              <w:spacing w:after="0"/>
              <w:rPr>
                <w:sz w:val="1"/>
                <w:szCs w:val="1"/>
                <w:color w:val="auto"/>
              </w:rPr>
            </w:pPr>
          </w:p>
        </w:tc>
      </w:tr>
      <w:tr>
        <w:trPr>
          <w:trHeight w:val="229"/>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496,850</w:t>
            </w:r>
          </w:p>
        </w:tc>
        <w:tc>
          <w:tcPr>
            <w:tcW w:w="0" w:type="dxa"/>
            <w:vAlign w:val="bottom"/>
          </w:tcPr>
          <w:p>
            <w:pPr>
              <w:spacing w:after="0"/>
              <w:rPr>
                <w:sz w:val="1"/>
                <w:szCs w:val="1"/>
                <w:color w:val="auto"/>
              </w:rPr>
            </w:pPr>
          </w:p>
        </w:tc>
      </w:tr>
      <w:tr>
        <w:trPr>
          <w:trHeight w:val="248"/>
        </w:trPr>
        <w:tc>
          <w:tcPr>
            <w:tcW w:w="82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c>
          <w:tcPr>
            <w:tcW w:w="0" w:type="dxa"/>
            <w:vAlign w:val="bottom"/>
          </w:tcPr>
          <w:p>
            <w:pPr>
              <w:spacing w:after="0"/>
              <w:rPr>
                <w:sz w:val="1"/>
                <w:szCs w:val="1"/>
                <w:color w:val="auto"/>
              </w:rPr>
            </w:pPr>
          </w:p>
        </w:tc>
      </w:tr>
      <w:tr>
        <w:trPr>
          <w:trHeight w:val="20"/>
        </w:trPr>
        <w:tc>
          <w:tcPr>
            <w:tcW w:w="8240" w:type="dxa"/>
            <w:vAlign w:val="bottom"/>
            <w:tcBorders>
              <w:top w:val="single" w:sz="8" w:color="CCEEFF"/>
              <w:bottom w:val="single" w:sz="8" w:color="CCEEFF"/>
            </w:tcBorders>
            <w:vMerge w:val="restart"/>
          </w:tcPr>
          <w:p>
            <w:pPr>
              <w:ind w:left="218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8240" w:type="dxa"/>
            <w:vAlign w:val="bottom"/>
            <w:vMerge w:val="continue"/>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Current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252,419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213,747</w:t>
            </w: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435,616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346,639</w:t>
            </w:r>
          </w:p>
        </w:tc>
        <w:tc>
          <w:tcPr>
            <w:tcW w:w="0" w:type="dxa"/>
            <w:vAlign w:val="bottom"/>
          </w:tcPr>
          <w:p>
            <w:pPr>
              <w:spacing w:after="0"/>
              <w:rPr>
                <w:sz w:val="1"/>
                <w:szCs w:val="1"/>
                <w:color w:val="auto"/>
              </w:rPr>
            </w:pP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189,421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149,780</w:t>
            </w: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Short-term debt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199,641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8240" w:type="dxa"/>
            <w:vAlign w:val="bottom"/>
          </w:tcPr>
          <w:p>
            <w:pPr>
              <w:ind w:left="680"/>
              <w:spacing w:after="0"/>
              <w:rPr>
                <w:sz w:val="20"/>
                <w:szCs w:val="20"/>
                <w:color w:val="auto"/>
              </w:rPr>
            </w:pPr>
            <w:r>
              <w:rPr>
                <w:rFonts w:ascii="Arial" w:cs="Arial" w:eastAsia="Arial" w:hAnsi="Arial"/>
                <w:sz w:val="18"/>
                <w:szCs w:val="18"/>
                <w:color w:val="auto"/>
              </w:rPr>
              <w:t>Total current liabilities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1,077,097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710,166</w:t>
            </w:r>
          </w:p>
        </w:tc>
        <w:tc>
          <w:tcPr>
            <w:tcW w:w="0" w:type="dxa"/>
            <w:vAlign w:val="bottom"/>
          </w:tcPr>
          <w:p>
            <w:pPr>
              <w:spacing w:after="0"/>
              <w:rPr>
                <w:sz w:val="1"/>
                <w:szCs w:val="1"/>
                <w:color w:val="auto"/>
              </w:rPr>
            </w:pP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Long-term debt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993,170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1,439,024</w:t>
            </w:r>
          </w:p>
        </w:tc>
        <w:tc>
          <w:tcPr>
            <w:tcW w:w="0" w:type="dxa"/>
            <w:vAlign w:val="bottom"/>
          </w:tcPr>
          <w:p>
            <w:pPr>
              <w:spacing w:after="0"/>
              <w:rPr>
                <w:sz w:val="1"/>
                <w:szCs w:val="1"/>
                <w:color w:val="auto"/>
              </w:rPr>
            </w:pPr>
          </w:p>
        </w:tc>
      </w:tr>
      <w:tr>
        <w:trPr>
          <w:trHeight w:val="230"/>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liabilities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258,853</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305,465</w:t>
            </w:r>
          </w:p>
        </w:tc>
        <w:tc>
          <w:tcPr>
            <w:tcW w:w="0" w:type="dxa"/>
            <w:vAlign w:val="bottom"/>
          </w:tcPr>
          <w:p>
            <w:pPr>
              <w:spacing w:after="0"/>
              <w:rPr>
                <w:sz w:val="1"/>
                <w:szCs w:val="1"/>
                <w:color w:val="auto"/>
              </w:rPr>
            </w:pPr>
          </w:p>
        </w:tc>
      </w:tr>
      <w:tr>
        <w:trPr>
          <w:trHeight w:val="223"/>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2,329,120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2,454,655</w:t>
            </w:r>
          </w:p>
        </w:tc>
        <w:tc>
          <w:tcPr>
            <w:tcW w:w="0" w:type="dxa"/>
            <w:vAlign w:val="bottom"/>
          </w:tcPr>
          <w:p>
            <w:pPr>
              <w:spacing w:after="0"/>
              <w:rPr>
                <w:sz w:val="1"/>
                <w:szCs w:val="1"/>
                <w:color w:val="auto"/>
              </w:rPr>
            </w:pP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color w:val="auto"/>
              </w:rPr>
              <w:t>Commitments and contingencies (Note 12)</w:t>
            </w: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24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75"/>
        </w:trPr>
        <w:tc>
          <w:tcPr>
            <w:tcW w:w="8240" w:type="dxa"/>
            <w:vAlign w:val="bottom"/>
            <w:shd w:val="clear" w:color="auto" w:fill="CCEEFF"/>
          </w:tcPr>
          <w:p>
            <w:pPr>
              <w:ind w:left="360"/>
              <w:spacing w:after="0" w:line="176" w:lineRule="exact"/>
              <w:rPr>
                <w:sz w:val="20"/>
                <w:szCs w:val="20"/>
                <w:color w:val="auto"/>
              </w:rPr>
            </w:pPr>
            <w:r>
              <w:rPr>
                <w:rFonts w:ascii="Arial" w:cs="Arial" w:eastAsia="Arial" w:hAnsi="Arial"/>
                <w:sz w:val="18"/>
                <w:szCs w:val="18"/>
                <w:color w:val="auto"/>
                <w:w w:val="96"/>
              </w:rPr>
              <w:t>Common stock, $0.002 par value; 992,000 shares authorized; 675,402 and 663,481 shares issued and</w:t>
            </w:r>
          </w:p>
        </w:tc>
        <w:tc>
          <w:tcPr>
            <w:tcW w:w="240" w:type="dxa"/>
            <w:vAlign w:val="bottom"/>
            <w:shd w:val="clear" w:color="auto" w:fill="CCEEFF"/>
          </w:tcPr>
          <w:p>
            <w:pPr>
              <w:spacing w:after="0"/>
              <w:rPr>
                <w:sz w:val="15"/>
                <w:szCs w:val="15"/>
                <w:color w:val="auto"/>
              </w:rPr>
            </w:pPr>
          </w:p>
        </w:tc>
        <w:tc>
          <w:tcPr>
            <w:tcW w:w="12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1,350</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outstanding in fiscal 2021 and 2020, respectively</w:t>
            </w:r>
          </w:p>
        </w:tc>
        <w:tc>
          <w:tcPr>
            <w:tcW w:w="240" w:type="dxa"/>
            <w:vAlign w:val="bottom"/>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6,331,013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6,135,939</w:t>
            </w: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c>
          <w:tcPr>
            <w:tcW w:w="0" w:type="dxa"/>
            <w:vAlign w:val="bottom"/>
          </w:tcPr>
          <w:p>
            <w:pPr>
              <w:spacing w:after="0"/>
              <w:rPr>
                <w:sz w:val="1"/>
                <w:szCs w:val="1"/>
                <w:color w:val="auto"/>
              </w:rPr>
            </w:pPr>
          </w:p>
        </w:tc>
      </w:tr>
      <w:tr>
        <w:trPr>
          <w:trHeight w:val="223"/>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248"/>
        </w:trPr>
        <w:tc>
          <w:tcPr>
            <w:tcW w:w="82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c>
          <w:tcPr>
            <w:tcW w:w="0" w:type="dxa"/>
            <w:vAlign w:val="bottom"/>
          </w:tcPr>
          <w:p>
            <w:pPr>
              <w:spacing w:after="0"/>
              <w:rPr>
                <w:sz w:val="1"/>
                <w:szCs w:val="1"/>
                <w:color w:val="auto"/>
              </w:rPr>
            </w:pP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58" w:name="page59"/>
    <w:bookmarkEnd w:id="58"/>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35"/>
        </w:trPr>
        <w:tc>
          <w:tcPr>
            <w:tcW w:w="6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right"/>
              <w:ind w:right="272"/>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7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r>
      <w:tr>
        <w:trPr>
          <w:trHeight w:val="224"/>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2,968,900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2,699,161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2,865,791</w:t>
            </w:r>
          </w:p>
        </w:tc>
      </w:tr>
      <w:tr>
        <w:trPr>
          <w:trHeight w:val="230"/>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1,480,550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1,342,220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1,407,399</w:t>
            </w:r>
          </w:p>
        </w:tc>
      </w:tr>
      <w:tr>
        <w:trPr>
          <w:trHeight w:val="223"/>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1,488,350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1,458,392</w:t>
            </w:r>
          </w:p>
        </w:tc>
      </w:tr>
      <w:tr>
        <w:trPr>
          <w:trHeight w:val="210"/>
        </w:trPr>
        <w:tc>
          <w:tcPr>
            <w:tcW w:w="67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1,072,740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1,080,391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914,009</w:t>
            </w:r>
          </w:p>
        </w:tc>
      </w:tr>
      <w:tr>
        <w:trPr>
          <w:trHeight w:val="229"/>
        </w:trPr>
        <w:tc>
          <w:tcPr>
            <w:tcW w:w="67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467,240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464,580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424,360</w:t>
            </w:r>
          </w:p>
        </w:tc>
      </w:tr>
      <w:tr>
        <w:trPr>
          <w:trHeight w:val="230"/>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7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170,759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55,328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76,753</w:t>
            </w:r>
          </w:p>
        </w:tc>
      </w:tr>
      <w:tr>
        <w:trPr>
          <w:trHeight w:val="223"/>
        </w:trPr>
        <w:tc>
          <w:tcPr>
            <w:tcW w:w="6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1,746,739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1,600,299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1,415,122</w:t>
            </w:r>
          </w:p>
        </w:tc>
      </w:tr>
      <w:tr>
        <w:trPr>
          <w:trHeight w:val="223"/>
        </w:trPr>
        <w:tc>
          <w:tcPr>
            <w:tcW w:w="670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(258,389)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(243,358)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43,270</w:t>
            </w:r>
          </w:p>
        </w:tc>
      </w:tr>
      <w:tr>
        <w:trPr>
          <w:trHeight w:val="230"/>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11,926</w:t>
            </w:r>
          </w:p>
        </w:tc>
      </w:tr>
      <w:tr>
        <w:trPr>
          <w:trHeight w:val="229"/>
        </w:trPr>
        <w:tc>
          <w:tcPr>
            <w:tcW w:w="6700" w:type="dxa"/>
            <w:vAlign w:val="bottom"/>
          </w:tcPr>
          <w:p>
            <w:pPr>
              <w:ind w:left="36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(69,264)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(85,631)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(60,362)</w:t>
            </w:r>
          </w:p>
        </w:tc>
      </w:tr>
      <w:tr>
        <w:trPr>
          <w:trHeight w:val="229"/>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1,122,555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w:t>
            </w:r>
          </w:p>
        </w:tc>
      </w:tr>
      <w:tr>
        <w:trPr>
          <w:trHeight w:val="223"/>
        </w:trPr>
        <w:tc>
          <w:tcPr>
            <w:tcW w:w="67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(63,779)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1,041,740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(47,917)</w:t>
            </w:r>
          </w:p>
        </w:tc>
      </w:tr>
      <w:tr>
        <w:trPr>
          <w:trHeight w:val="223"/>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(322,168)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798,382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(4,647)</w:t>
            </w:r>
          </w:p>
        </w:tc>
      </w:tr>
      <w:tr>
        <w:trPr>
          <w:trHeight w:val="229"/>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(44,870)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(786,009)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174,447</w:t>
            </w:r>
          </w:p>
        </w:tc>
      </w:tr>
      <w:tr>
        <w:trPr>
          <w:trHeight w:val="248"/>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(277,298)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1,584,391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(179,094)</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6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54"/>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(0.30)</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04"/>
        </w:trPr>
        <w:tc>
          <w:tcPr>
            <w:tcW w:w="6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54"/>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(0.30)</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04"/>
        </w:trPr>
        <w:tc>
          <w:tcPr>
            <w:tcW w:w="6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30"/>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6700" w:type="dxa"/>
            <w:vAlign w:val="bottom"/>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668,772</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664,709</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591,232</w:t>
            </w:r>
          </w:p>
        </w:tc>
      </w:tr>
      <w:tr>
        <w:trPr>
          <w:trHeight w:val="20"/>
        </w:trPr>
        <w:tc>
          <w:tcPr>
            <w:tcW w:w="67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49"/>
        </w:trPr>
        <w:tc>
          <w:tcPr>
            <w:tcW w:w="67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668,772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676,094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591,232</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59" w:name="page60"/>
    <w:bookmarkEnd w:id="59"/>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34"/>
        </w:trPr>
        <w:tc>
          <w:tcPr>
            <w:tcW w:w="6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right"/>
              <w:ind w:right="276"/>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7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8"/>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224"/>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(277,298)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1,584,391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(179,094)</w:t>
            </w:r>
          </w:p>
        </w:tc>
      </w:tr>
      <w:tr>
        <w:trPr>
          <w:trHeight w:val="230"/>
        </w:trPr>
        <w:tc>
          <w:tcPr>
            <w:tcW w:w="670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marketable securities</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2,322</w:t>
            </w:r>
          </w:p>
        </w:tc>
      </w:tr>
      <w:tr>
        <w:trPr>
          <w:trHeight w:val="223"/>
        </w:trPr>
        <w:tc>
          <w:tcPr>
            <w:tcW w:w="67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ind w:left="94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2,322</w:t>
            </w:r>
          </w:p>
        </w:tc>
      </w:tr>
      <w:tr>
        <w:trPr>
          <w:trHeight w:val="248"/>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income (loss), net of tax</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(277,298)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1,584,391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(176,772)</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60" w:name="page61"/>
    <w:bookmarkEnd w:id="60"/>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3"/>
              </w:rPr>
              <w:t>Additional</w:t>
            </w:r>
          </w:p>
        </w:tc>
        <w:tc>
          <w:tcPr>
            <w:tcW w:w="180" w:type="dxa"/>
            <w:vAlign w:val="bottom"/>
          </w:tcPr>
          <w:p>
            <w:pPr>
              <w:spacing w:after="0"/>
              <w:rPr>
                <w:sz w:val="14"/>
                <w:szCs w:val="14"/>
                <w:color w:val="auto"/>
              </w:rPr>
            </w:pPr>
          </w:p>
        </w:tc>
        <w:tc>
          <w:tcPr>
            <w:tcW w:w="13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Accumulated</w:t>
            </w: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3300" w:type="dxa"/>
            <w:vAlign w:val="bottom"/>
          </w:tcPr>
          <w:p>
            <w:pPr>
              <w:spacing w:after="0"/>
              <w:rPr>
                <w:sz w:val="11"/>
                <w:szCs w:val="11"/>
                <w:color w:val="auto"/>
              </w:rPr>
            </w:pPr>
          </w:p>
        </w:tc>
        <w:tc>
          <w:tcPr>
            <w:tcW w:w="2440" w:type="dxa"/>
            <w:vAlign w:val="bottom"/>
            <w:gridSpan w:val="4"/>
            <w:vMerge w:val="restart"/>
          </w:tcPr>
          <w:p>
            <w:pPr>
              <w:jc w:val="right"/>
              <w:ind w:right="659"/>
              <w:spacing w:after="0"/>
              <w:rPr>
                <w:sz w:val="20"/>
                <w:szCs w:val="20"/>
                <w:color w:val="auto"/>
              </w:rPr>
            </w:pPr>
            <w:r>
              <w:rPr>
                <w:rFonts w:ascii="Arial" w:cs="Arial" w:eastAsia="Arial" w:hAnsi="Arial"/>
                <w:sz w:val="14"/>
                <w:szCs w:val="14"/>
                <w:b w:val="1"/>
                <w:bCs w:val="1"/>
                <w:color w:val="auto"/>
              </w:rPr>
              <w:t>Common Stock</w:t>
            </w:r>
          </w:p>
        </w:tc>
        <w:tc>
          <w:tcPr>
            <w:tcW w:w="100" w:type="dxa"/>
            <w:vAlign w:val="bottom"/>
            <w:vMerge w:val="restart"/>
          </w:tcPr>
          <w:p>
            <w:pPr>
              <w:spacing w:after="0"/>
              <w:rPr>
                <w:sz w:val="11"/>
                <w:szCs w:val="11"/>
                <w:color w:val="auto"/>
              </w:rPr>
            </w:pPr>
          </w:p>
        </w:tc>
        <w:tc>
          <w:tcPr>
            <w:tcW w:w="20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34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rPr>
              <w:t>Other</w:t>
            </w:r>
          </w:p>
        </w:tc>
        <w:tc>
          <w:tcPr>
            <w:tcW w:w="2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7"/>
        </w:trPr>
        <w:tc>
          <w:tcPr>
            <w:tcW w:w="3300" w:type="dxa"/>
            <w:vAlign w:val="bottom"/>
          </w:tcPr>
          <w:p>
            <w:pPr>
              <w:spacing w:after="0"/>
              <w:rPr>
                <w:sz w:val="8"/>
                <w:szCs w:val="8"/>
                <w:color w:val="auto"/>
              </w:rPr>
            </w:pPr>
          </w:p>
        </w:tc>
        <w:tc>
          <w:tcPr>
            <w:tcW w:w="2440" w:type="dxa"/>
            <w:vAlign w:val="bottom"/>
            <w:tcBorders>
              <w:bottom w:val="single" w:sz="8" w:color="auto"/>
            </w:tcBorders>
            <w:gridSpan w:val="4"/>
            <w:vMerge w:val="continue"/>
          </w:tcPr>
          <w:p>
            <w:pPr>
              <w:spacing w:after="0"/>
              <w:rPr>
                <w:sz w:val="8"/>
                <w:szCs w:val="8"/>
                <w:color w:val="auto"/>
              </w:rPr>
            </w:pPr>
          </w:p>
        </w:tc>
        <w:tc>
          <w:tcPr>
            <w:tcW w:w="10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14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Paid-in</w:t>
            </w:r>
          </w:p>
        </w:tc>
        <w:tc>
          <w:tcPr>
            <w:tcW w:w="180" w:type="dxa"/>
            <w:vAlign w:val="bottom"/>
          </w:tcPr>
          <w:p>
            <w:pPr>
              <w:spacing w:after="0"/>
              <w:rPr>
                <w:sz w:val="8"/>
                <w:szCs w:val="8"/>
                <w:color w:val="auto"/>
              </w:rPr>
            </w:pPr>
          </w:p>
        </w:tc>
        <w:tc>
          <w:tcPr>
            <w:tcW w:w="134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Comprehensive</w:t>
            </w:r>
          </w:p>
        </w:tc>
        <w:tc>
          <w:tcPr>
            <w:tcW w:w="200" w:type="dxa"/>
            <w:vAlign w:val="bottom"/>
          </w:tcPr>
          <w:p>
            <w:pPr>
              <w:spacing w:after="0"/>
              <w:rPr>
                <w:sz w:val="8"/>
                <w:szCs w:val="8"/>
                <w:color w:val="auto"/>
              </w:rPr>
            </w:pPr>
          </w:p>
        </w:tc>
        <w:tc>
          <w:tcPr>
            <w:tcW w:w="1100" w:type="dxa"/>
            <w:vAlign w:val="bottom"/>
            <w:gridSpan w:val="2"/>
          </w:tcPr>
          <w:p>
            <w:pPr>
              <w:ind w:left="120"/>
              <w:spacing w:after="0" w:line="102" w:lineRule="exact"/>
              <w:rPr>
                <w:sz w:val="20"/>
                <w:szCs w:val="20"/>
                <w:color w:val="auto"/>
              </w:rPr>
            </w:pPr>
            <w:r>
              <w:rPr>
                <w:rFonts w:ascii="Arial" w:cs="Arial" w:eastAsia="Arial" w:hAnsi="Arial"/>
                <w:sz w:val="11"/>
                <w:szCs w:val="11"/>
                <w:b w:val="1"/>
                <w:bCs w:val="1"/>
                <w:color w:val="auto"/>
              </w:rPr>
              <w:t>Retained</w:t>
            </w:r>
          </w:p>
        </w:tc>
        <w:tc>
          <w:tcPr>
            <w:tcW w:w="260" w:type="dxa"/>
            <w:vAlign w:val="bottom"/>
          </w:tcPr>
          <w:p>
            <w:pPr>
              <w:spacing w:after="0"/>
              <w:rPr>
                <w:sz w:val="8"/>
                <w:szCs w:val="8"/>
                <w:color w:val="auto"/>
              </w:rPr>
            </w:pPr>
          </w:p>
        </w:tc>
        <w:tc>
          <w:tcPr>
            <w:tcW w:w="9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1"/>
        </w:trPr>
        <w:tc>
          <w:tcPr>
            <w:tcW w:w="3300" w:type="dxa"/>
            <w:vAlign w:val="bottom"/>
          </w:tcPr>
          <w:p>
            <w:pPr>
              <w:spacing w:after="0"/>
              <w:rPr>
                <w:sz w:val="17"/>
                <w:szCs w:val="17"/>
                <w:color w:val="auto"/>
              </w:rPr>
            </w:pPr>
          </w:p>
        </w:tc>
        <w:tc>
          <w:tcPr>
            <w:tcW w:w="1280" w:type="dxa"/>
            <w:vAlign w:val="bottom"/>
            <w:gridSpan w:val="2"/>
          </w:tcPr>
          <w:p>
            <w:pPr>
              <w:ind w:left="380"/>
              <w:spacing w:after="0"/>
              <w:rPr>
                <w:sz w:val="20"/>
                <w:szCs w:val="20"/>
                <w:color w:val="auto"/>
              </w:rPr>
            </w:pPr>
            <w:r>
              <w:rPr>
                <w:rFonts w:ascii="Arial" w:cs="Arial" w:eastAsia="Arial" w:hAnsi="Arial"/>
                <w:sz w:val="14"/>
                <w:szCs w:val="14"/>
                <w:b w:val="1"/>
                <w:bCs w:val="1"/>
                <w:color w:val="auto"/>
              </w:rPr>
              <w:t>Shares</w:t>
            </w:r>
          </w:p>
        </w:tc>
        <w:tc>
          <w:tcPr>
            <w:tcW w:w="200" w:type="dxa"/>
            <w:vAlign w:val="bottom"/>
          </w:tcPr>
          <w:p>
            <w:pPr>
              <w:spacing w:after="0"/>
              <w:rPr>
                <w:sz w:val="17"/>
                <w:szCs w:val="17"/>
                <w:color w:val="auto"/>
              </w:rPr>
            </w:pPr>
          </w:p>
        </w:tc>
        <w:tc>
          <w:tcPr>
            <w:tcW w:w="1060" w:type="dxa"/>
            <w:vAlign w:val="bottom"/>
            <w:gridSpan w:val="2"/>
          </w:tcPr>
          <w:p>
            <w:pPr>
              <w:ind w:left="120"/>
              <w:spacing w:after="0"/>
              <w:rPr>
                <w:sz w:val="20"/>
                <w:szCs w:val="20"/>
                <w:color w:val="auto"/>
              </w:rPr>
            </w:pPr>
            <w:r>
              <w:rPr>
                <w:rFonts w:ascii="Arial" w:cs="Arial" w:eastAsia="Arial" w:hAnsi="Arial"/>
                <w:sz w:val="14"/>
                <w:szCs w:val="14"/>
                <w:b w:val="1"/>
                <w:bCs w:val="1"/>
                <w:color w:val="auto"/>
              </w:rPr>
              <w:t>Amount</w:t>
            </w:r>
          </w:p>
        </w:tc>
        <w:tc>
          <w:tcPr>
            <w:tcW w:w="200" w:type="dxa"/>
            <w:vAlign w:val="bottom"/>
          </w:tcPr>
          <w:p>
            <w:pPr>
              <w:spacing w:after="0"/>
              <w:rPr>
                <w:sz w:val="17"/>
                <w:szCs w:val="17"/>
                <w:color w:val="auto"/>
              </w:rPr>
            </w:pPr>
          </w:p>
        </w:tc>
        <w:tc>
          <w:tcPr>
            <w:tcW w:w="11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Capital</w:t>
            </w:r>
          </w:p>
        </w:tc>
        <w:tc>
          <w:tcPr>
            <w:tcW w:w="180" w:type="dxa"/>
            <w:vAlign w:val="bottom"/>
          </w:tcPr>
          <w:p>
            <w:pPr>
              <w:spacing w:after="0"/>
              <w:rPr>
                <w:sz w:val="17"/>
                <w:szCs w:val="17"/>
                <w:color w:val="auto"/>
              </w:rPr>
            </w:pPr>
          </w:p>
        </w:tc>
        <w:tc>
          <w:tcPr>
            <w:tcW w:w="13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Income (Loss)</w:t>
            </w:r>
          </w:p>
        </w:tc>
        <w:tc>
          <w:tcPr>
            <w:tcW w:w="200" w:type="dxa"/>
            <w:vAlign w:val="bottom"/>
          </w:tcPr>
          <w:p>
            <w:pPr>
              <w:spacing w:after="0"/>
              <w:rPr>
                <w:sz w:val="17"/>
                <w:szCs w:val="17"/>
                <w:color w:val="auto"/>
              </w:rPr>
            </w:pPr>
          </w:p>
        </w:tc>
        <w:tc>
          <w:tcPr>
            <w:tcW w:w="1100" w:type="dxa"/>
            <w:vAlign w:val="bottom"/>
            <w:gridSpan w:val="2"/>
          </w:tcPr>
          <w:p>
            <w:pPr>
              <w:ind w:left="120"/>
              <w:spacing w:after="0"/>
              <w:rPr>
                <w:sz w:val="20"/>
                <w:szCs w:val="20"/>
                <w:color w:val="auto"/>
              </w:rPr>
            </w:pPr>
            <w:r>
              <w:rPr>
                <w:rFonts w:ascii="Arial" w:cs="Arial" w:eastAsia="Arial" w:hAnsi="Arial"/>
                <w:sz w:val="14"/>
                <w:szCs w:val="14"/>
                <w:b w:val="1"/>
                <w:bCs w:val="1"/>
                <w:color w:val="auto"/>
              </w:rPr>
              <w:t>Earnings</w:t>
            </w:r>
          </w:p>
        </w:tc>
        <w:tc>
          <w:tcPr>
            <w:tcW w:w="260" w:type="dxa"/>
            <w:vAlign w:val="bottom"/>
          </w:tcPr>
          <w:p>
            <w:pPr>
              <w:spacing w:after="0"/>
              <w:rPr>
                <w:sz w:val="17"/>
                <w:szCs w:val="17"/>
                <w:color w:val="auto"/>
              </w:rPr>
            </w:pPr>
          </w:p>
        </w:tc>
        <w:tc>
          <w:tcPr>
            <w:tcW w:w="920" w:type="dxa"/>
            <w:vAlign w:val="bottom"/>
          </w:tcPr>
          <w:p>
            <w:pPr>
              <w:jc w:val="right"/>
              <w:ind w:right="359"/>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1"/>
        </w:trPr>
        <w:tc>
          <w:tcPr>
            <w:tcW w:w="33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February 3, 2018</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495,913</w:t>
            </w: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991</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2,733,292</w:t>
            </w: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(2,322)</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1,409,452</w:t>
            </w:r>
          </w:p>
        </w:tc>
        <w:tc>
          <w:tcPr>
            <w:tcW w:w="1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4,141,413</w:t>
            </w: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w w:val="95"/>
              </w:rPr>
              <w:t>Effect of revenue recognition accounting change</w:t>
            </w:r>
          </w:p>
        </w:tc>
        <w:tc>
          <w:tcPr>
            <w:tcW w:w="12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6"/>
                <w:szCs w:val="16"/>
                <w:color w:val="auto"/>
              </w:rPr>
              <w:t>34,218</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34,218</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9"/>
              </w:rPr>
              <w:t>Issuance of ordinary shares in connection with</w:t>
            </w:r>
          </w:p>
        </w:tc>
        <w:tc>
          <w:tcPr>
            <w:tcW w:w="1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14,164</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29</w:t>
            </w: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101,140</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101,169</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equity incentive plans</w:t>
            </w:r>
          </w:p>
        </w:tc>
        <w:tc>
          <w:tcPr>
            <w:tcW w:w="116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66"/>
        </w:trPr>
        <w:tc>
          <w:tcPr>
            <w:tcW w:w="3300" w:type="dxa"/>
            <w:vAlign w:val="bottom"/>
          </w:tcPr>
          <w:p>
            <w:pPr>
              <w:ind w:left="20"/>
              <w:spacing w:after="0" w:line="166" w:lineRule="exact"/>
              <w:rPr>
                <w:sz w:val="20"/>
                <w:szCs w:val="20"/>
                <w:color w:val="auto"/>
              </w:rPr>
            </w:pPr>
            <w:r>
              <w:rPr>
                <w:rFonts w:ascii="Arial" w:cs="Arial" w:eastAsia="Arial" w:hAnsi="Arial"/>
                <w:sz w:val="16"/>
                <w:szCs w:val="16"/>
                <w:color w:val="auto"/>
                <w:w w:val="95"/>
              </w:rPr>
              <w:t>Tax withholdings related to net share settlement</w:t>
            </w:r>
          </w:p>
        </w:tc>
        <w:tc>
          <w:tcPr>
            <w:tcW w:w="128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06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040" w:type="dxa"/>
            <w:vAlign w:val="bottom"/>
            <w:vMerge w:val="restart"/>
          </w:tcPr>
          <w:p>
            <w:pPr>
              <w:jc w:val="right"/>
              <w:spacing w:after="0"/>
              <w:rPr>
                <w:sz w:val="20"/>
                <w:szCs w:val="20"/>
                <w:color w:val="auto"/>
              </w:rPr>
            </w:pPr>
            <w:r>
              <w:rPr>
                <w:rFonts w:ascii="Arial" w:cs="Arial" w:eastAsia="Arial" w:hAnsi="Arial"/>
                <w:sz w:val="16"/>
                <w:szCs w:val="16"/>
                <w:color w:val="auto"/>
              </w:rPr>
              <w:t>(54,934)</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4"/>
                <w:szCs w:val="14"/>
                <w:color w:val="auto"/>
              </w:rPr>
            </w:pPr>
          </w:p>
        </w:tc>
        <w:tc>
          <w:tcPr>
            <w:tcW w:w="920" w:type="dxa"/>
            <w:vAlign w:val="bottom"/>
            <w:vMerge w:val="restart"/>
          </w:tcPr>
          <w:p>
            <w:pPr>
              <w:jc w:val="right"/>
              <w:spacing w:after="0"/>
              <w:rPr>
                <w:sz w:val="20"/>
                <w:szCs w:val="20"/>
                <w:color w:val="auto"/>
              </w:rPr>
            </w:pPr>
            <w:r>
              <w:rPr>
                <w:rFonts w:ascii="Arial" w:cs="Arial" w:eastAsia="Arial" w:hAnsi="Arial"/>
                <w:sz w:val="16"/>
                <w:szCs w:val="16"/>
                <w:color w:val="auto"/>
              </w:rPr>
              <w:t>(54,934)</w:t>
            </w:r>
          </w:p>
        </w:tc>
        <w:tc>
          <w:tcPr>
            <w:tcW w:w="0" w:type="dxa"/>
            <w:vAlign w:val="bottom"/>
          </w:tcPr>
          <w:p>
            <w:pPr>
              <w:spacing w:after="0"/>
              <w:rPr>
                <w:sz w:val="1"/>
                <w:szCs w:val="1"/>
                <w:color w:val="auto"/>
              </w:rPr>
            </w:pPr>
          </w:p>
        </w:tc>
      </w:tr>
      <w:tr>
        <w:trPr>
          <w:trHeight w:val="209"/>
        </w:trPr>
        <w:tc>
          <w:tcPr>
            <w:tcW w:w="3300" w:type="dxa"/>
            <w:vAlign w:val="bottom"/>
          </w:tcPr>
          <w:p>
            <w:pPr>
              <w:ind w:left="20"/>
              <w:spacing w:after="0"/>
              <w:rPr>
                <w:sz w:val="20"/>
                <w:szCs w:val="20"/>
                <w:color w:val="auto"/>
              </w:rPr>
            </w:pPr>
            <w:r>
              <w:rPr>
                <w:rFonts w:ascii="Arial" w:cs="Arial" w:eastAsia="Arial" w:hAnsi="Arial"/>
                <w:sz w:val="16"/>
                <w:szCs w:val="16"/>
                <w:color w:val="auto"/>
              </w:rPr>
              <w:t>of restricted stock units</w:t>
            </w:r>
          </w:p>
        </w:tc>
        <w:tc>
          <w:tcPr>
            <w:tcW w:w="128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9"/>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Share-based compensation</w:t>
            </w: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184,956</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184,956</w:t>
            </w:r>
          </w:p>
        </w:tc>
        <w:tc>
          <w:tcPr>
            <w:tcW w:w="0" w:type="dxa"/>
            <w:vAlign w:val="bottom"/>
          </w:tcPr>
          <w:p>
            <w:pPr>
              <w:spacing w:after="0"/>
              <w:rPr>
                <w:sz w:val="1"/>
                <w:szCs w:val="1"/>
                <w:color w:val="auto"/>
              </w:rPr>
            </w:pPr>
          </w:p>
        </w:tc>
      </w:tr>
      <w:tr>
        <w:trPr>
          <w:trHeight w:val="166"/>
        </w:trPr>
        <w:tc>
          <w:tcPr>
            <w:tcW w:w="3300" w:type="dxa"/>
            <w:vAlign w:val="bottom"/>
          </w:tcPr>
          <w:p>
            <w:pPr>
              <w:ind w:left="20"/>
              <w:spacing w:after="0" w:line="166" w:lineRule="exact"/>
              <w:rPr>
                <w:sz w:val="20"/>
                <w:szCs w:val="20"/>
                <w:color w:val="auto"/>
              </w:rPr>
            </w:pPr>
            <w:r>
              <w:rPr>
                <w:rFonts w:ascii="Arial" w:cs="Arial" w:eastAsia="Arial" w:hAnsi="Arial"/>
                <w:sz w:val="16"/>
                <w:szCs w:val="16"/>
                <w:color w:val="auto"/>
              </w:rPr>
              <w:t>Common stock issued to Cavium common</w:t>
            </w:r>
          </w:p>
        </w:tc>
        <w:tc>
          <w:tcPr>
            <w:tcW w:w="1160" w:type="dxa"/>
            <w:vAlign w:val="bottom"/>
            <w:vMerge w:val="restart"/>
          </w:tcPr>
          <w:p>
            <w:pPr>
              <w:jc w:val="right"/>
              <w:spacing w:after="0"/>
              <w:rPr>
                <w:sz w:val="20"/>
                <w:szCs w:val="20"/>
                <w:color w:val="auto"/>
              </w:rPr>
            </w:pPr>
            <w:r>
              <w:rPr>
                <w:rFonts w:ascii="Arial" w:cs="Arial" w:eastAsia="Arial" w:hAnsi="Arial"/>
                <w:sz w:val="16"/>
                <w:szCs w:val="16"/>
                <w:color w:val="auto"/>
              </w:rPr>
              <w:t>153,376</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vMerge w:val="restart"/>
          </w:tcPr>
          <w:p>
            <w:pPr>
              <w:jc w:val="right"/>
              <w:spacing w:after="0"/>
              <w:rPr>
                <w:sz w:val="20"/>
                <w:szCs w:val="20"/>
                <w:color w:val="auto"/>
              </w:rPr>
            </w:pPr>
            <w:r>
              <w:rPr>
                <w:rFonts w:ascii="Arial" w:cs="Arial" w:eastAsia="Arial" w:hAnsi="Arial"/>
                <w:sz w:val="16"/>
                <w:szCs w:val="16"/>
                <w:color w:val="auto"/>
              </w:rPr>
              <w:t>307</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vMerge w:val="restart"/>
          </w:tcPr>
          <w:p>
            <w:pPr>
              <w:jc w:val="right"/>
              <w:spacing w:after="0"/>
              <w:rPr>
                <w:sz w:val="20"/>
                <w:szCs w:val="20"/>
                <w:color w:val="auto"/>
              </w:rPr>
            </w:pPr>
            <w:r>
              <w:rPr>
                <w:rFonts w:ascii="Arial" w:cs="Arial" w:eastAsia="Arial" w:hAnsi="Arial"/>
                <w:sz w:val="16"/>
                <w:szCs w:val="16"/>
                <w:color w:val="auto"/>
              </w:rPr>
              <w:t>3,272,746</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4"/>
                <w:szCs w:val="14"/>
                <w:color w:val="auto"/>
              </w:rPr>
            </w:pPr>
          </w:p>
        </w:tc>
        <w:tc>
          <w:tcPr>
            <w:tcW w:w="920" w:type="dxa"/>
            <w:vAlign w:val="bottom"/>
            <w:vMerge w:val="restart"/>
          </w:tcPr>
          <w:p>
            <w:pPr>
              <w:jc w:val="right"/>
              <w:spacing w:after="0"/>
              <w:rPr>
                <w:sz w:val="20"/>
                <w:szCs w:val="20"/>
                <w:color w:val="auto"/>
              </w:rPr>
            </w:pPr>
            <w:r>
              <w:rPr>
                <w:rFonts w:ascii="Arial" w:cs="Arial" w:eastAsia="Arial" w:hAnsi="Arial"/>
                <w:sz w:val="16"/>
                <w:szCs w:val="16"/>
                <w:color w:val="auto"/>
              </w:rPr>
              <w:t>3,273,053</w:t>
            </w:r>
          </w:p>
        </w:tc>
        <w:tc>
          <w:tcPr>
            <w:tcW w:w="0" w:type="dxa"/>
            <w:vAlign w:val="bottom"/>
          </w:tcPr>
          <w:p>
            <w:pPr>
              <w:spacing w:after="0"/>
              <w:rPr>
                <w:sz w:val="1"/>
                <w:szCs w:val="1"/>
                <w:color w:val="auto"/>
              </w:rPr>
            </w:pPr>
          </w:p>
        </w:tc>
      </w:tr>
      <w:tr>
        <w:trPr>
          <w:trHeight w:val="209"/>
        </w:trPr>
        <w:tc>
          <w:tcPr>
            <w:tcW w:w="3300" w:type="dxa"/>
            <w:vAlign w:val="bottom"/>
          </w:tcPr>
          <w:p>
            <w:pPr>
              <w:ind w:left="20"/>
              <w:spacing w:after="0"/>
              <w:rPr>
                <w:sz w:val="20"/>
                <w:szCs w:val="20"/>
                <w:color w:val="auto"/>
              </w:rPr>
            </w:pPr>
            <w:r>
              <w:rPr>
                <w:rFonts w:ascii="Arial" w:cs="Arial" w:eastAsia="Arial" w:hAnsi="Arial"/>
                <w:sz w:val="16"/>
                <w:szCs w:val="16"/>
                <w:color w:val="auto"/>
              </w:rPr>
              <w:t>stockholders</w:t>
            </w:r>
          </w:p>
        </w:tc>
        <w:tc>
          <w:tcPr>
            <w:tcW w:w="116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rPr>
              <w:t>Stock consideration for Cavium accelerated</w:t>
            </w:r>
          </w:p>
        </w:tc>
        <w:tc>
          <w:tcPr>
            <w:tcW w:w="1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1,102</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w:t>
            </w: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7,802</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7,804</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awards</w:t>
            </w:r>
          </w:p>
        </w:tc>
        <w:tc>
          <w:tcPr>
            <w:tcW w:w="116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Equity related issuance cost</w:t>
            </w:r>
          </w:p>
        </w:tc>
        <w:tc>
          <w:tcPr>
            <w:tcW w:w="12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(2,927)</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(2,927)</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8"/>
              </w:rPr>
              <w:t>Replacement equity awards attributable to pre-</w:t>
            </w:r>
          </w:p>
        </w:tc>
        <w:tc>
          <w:tcPr>
            <w:tcW w:w="12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50,485</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50,485</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acquisition service</w:t>
            </w:r>
          </w:p>
        </w:tc>
        <w:tc>
          <w:tcPr>
            <w:tcW w:w="128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Repurchase of common stock</w:t>
            </w:r>
          </w:p>
        </w:tc>
        <w:tc>
          <w:tcPr>
            <w:tcW w:w="1160" w:type="dxa"/>
            <w:vAlign w:val="bottom"/>
          </w:tcPr>
          <w:p>
            <w:pPr>
              <w:jc w:val="right"/>
              <w:spacing w:after="0"/>
              <w:rPr>
                <w:sz w:val="20"/>
                <w:szCs w:val="20"/>
                <w:color w:val="auto"/>
              </w:rPr>
            </w:pPr>
            <w:r>
              <w:rPr>
                <w:rFonts w:ascii="Arial" w:cs="Arial" w:eastAsia="Arial" w:hAnsi="Arial"/>
                <w:sz w:val="16"/>
                <w:szCs w:val="16"/>
                <w:color w:val="auto"/>
              </w:rPr>
              <w:t>(6,041)</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(12)</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(103,962)</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(103,974)</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6"/>
              </w:rPr>
              <w:t>Cash dividends declared and paid (cumulatively</w:t>
            </w:r>
          </w:p>
        </w:tc>
        <w:tc>
          <w:tcPr>
            <w:tcW w:w="12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(148,081)</w:t>
            </w: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(148,081)</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$0.24 per share)</w:t>
            </w:r>
          </w:p>
        </w:tc>
        <w:tc>
          <w:tcPr>
            <w:tcW w:w="128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Net loss</w:t>
            </w:r>
          </w:p>
        </w:tc>
        <w:tc>
          <w:tcPr>
            <w:tcW w:w="12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6"/>
                <w:szCs w:val="16"/>
                <w:color w:val="auto"/>
              </w:rPr>
              <w:t>(179,094)</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(179,094)</w:t>
            </w:r>
          </w:p>
        </w:tc>
        <w:tc>
          <w:tcPr>
            <w:tcW w:w="0" w:type="dxa"/>
            <w:vAlign w:val="bottom"/>
          </w:tcPr>
          <w:p>
            <w:pPr>
              <w:spacing w:after="0"/>
              <w:rPr>
                <w:sz w:val="1"/>
                <w:szCs w:val="1"/>
                <w:color w:val="auto"/>
              </w:rPr>
            </w:pPr>
          </w:p>
        </w:tc>
      </w:tr>
      <w:tr>
        <w:trPr>
          <w:trHeight w:val="219"/>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Other comprehensive loss</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ind w:right="1"/>
              <w:spacing w:after="0"/>
              <w:rPr>
                <w:sz w:val="20"/>
                <w:szCs w:val="20"/>
                <w:color w:val="auto"/>
              </w:rPr>
            </w:pPr>
            <w:r>
              <w:rPr>
                <w:rFonts w:ascii="Arial" w:cs="Arial" w:eastAsia="Arial" w:hAnsi="Arial"/>
                <w:sz w:val="16"/>
                <w:szCs w:val="16"/>
                <w:color w:val="auto"/>
              </w:rPr>
              <w:t>2,322</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2,322</w:t>
            </w:r>
          </w:p>
        </w:tc>
        <w:tc>
          <w:tcPr>
            <w:tcW w:w="0" w:type="dxa"/>
            <w:vAlign w:val="bottom"/>
          </w:tcPr>
          <w:p>
            <w:pPr>
              <w:spacing w:after="0"/>
              <w:rPr>
                <w:sz w:val="1"/>
                <w:szCs w:val="1"/>
                <w:color w:val="auto"/>
              </w:rPr>
            </w:pPr>
          </w:p>
        </w:tc>
      </w:tr>
      <w:tr>
        <w:trPr>
          <w:trHeight w:val="207"/>
        </w:trPr>
        <w:tc>
          <w:tcPr>
            <w:tcW w:w="3300" w:type="dxa"/>
            <w:vAlign w:val="bottom"/>
          </w:tcPr>
          <w:p>
            <w:pPr>
              <w:ind w:left="20"/>
              <w:spacing w:after="0"/>
              <w:rPr>
                <w:sz w:val="20"/>
                <w:szCs w:val="20"/>
                <w:color w:val="auto"/>
              </w:rPr>
            </w:pPr>
            <w:r>
              <w:rPr>
                <w:rFonts w:ascii="Arial" w:cs="Arial" w:eastAsia="Arial" w:hAnsi="Arial"/>
                <w:sz w:val="16"/>
                <w:szCs w:val="16"/>
                <w:b w:val="1"/>
                <w:bCs w:val="1"/>
                <w:color w:val="auto"/>
              </w:rPr>
              <w:t>Balance at February 2, 2019</w:t>
            </w:r>
          </w:p>
        </w:tc>
        <w:tc>
          <w:tcPr>
            <w:tcW w:w="1160" w:type="dxa"/>
            <w:vAlign w:val="bottom"/>
          </w:tcPr>
          <w:p>
            <w:pPr>
              <w:jc w:val="right"/>
              <w:spacing w:after="0"/>
              <w:rPr>
                <w:sz w:val="20"/>
                <w:szCs w:val="20"/>
                <w:color w:val="auto"/>
              </w:rPr>
            </w:pPr>
            <w:r>
              <w:rPr>
                <w:rFonts w:ascii="Arial" w:cs="Arial" w:eastAsia="Arial" w:hAnsi="Arial"/>
                <w:sz w:val="16"/>
                <w:szCs w:val="16"/>
                <w:color w:val="auto"/>
              </w:rPr>
              <w:t>658,514</w:t>
            </w: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1,317</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6,188,598</w:t>
            </w: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980" w:type="dxa"/>
            <w:vAlign w:val="bottom"/>
          </w:tcPr>
          <w:p>
            <w:pPr>
              <w:jc w:val="right"/>
              <w:spacing w:after="0"/>
              <w:rPr>
                <w:sz w:val="20"/>
                <w:szCs w:val="20"/>
                <w:color w:val="auto"/>
              </w:rPr>
            </w:pPr>
            <w:r>
              <w:rPr>
                <w:rFonts w:ascii="Arial" w:cs="Arial" w:eastAsia="Arial" w:hAnsi="Arial"/>
                <w:sz w:val="16"/>
                <w:szCs w:val="16"/>
                <w:color w:val="auto"/>
              </w:rPr>
              <w:t>1,116,495</w:t>
            </w:r>
          </w:p>
        </w:tc>
        <w:tc>
          <w:tcPr>
            <w:tcW w:w="1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7,306,410</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9"/>
              </w:rPr>
              <w:t>Issuance of ordinary shares in connection with</w:t>
            </w:r>
          </w:p>
        </w:tc>
        <w:tc>
          <w:tcPr>
            <w:tcW w:w="1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19,453</w:t>
            </w: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40</w:t>
            </w: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147,013</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147,053</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equity incentive plans</w:t>
            </w:r>
          </w:p>
        </w:tc>
        <w:tc>
          <w:tcPr>
            <w:tcW w:w="116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66"/>
        </w:trPr>
        <w:tc>
          <w:tcPr>
            <w:tcW w:w="3300" w:type="dxa"/>
            <w:vAlign w:val="bottom"/>
          </w:tcPr>
          <w:p>
            <w:pPr>
              <w:ind w:left="20"/>
              <w:spacing w:after="0" w:line="166" w:lineRule="exact"/>
              <w:rPr>
                <w:sz w:val="20"/>
                <w:szCs w:val="20"/>
                <w:color w:val="auto"/>
              </w:rPr>
            </w:pPr>
            <w:r>
              <w:rPr>
                <w:rFonts w:ascii="Arial" w:cs="Arial" w:eastAsia="Arial" w:hAnsi="Arial"/>
                <w:sz w:val="16"/>
                <w:szCs w:val="16"/>
                <w:color w:val="auto"/>
                <w:w w:val="95"/>
              </w:rPr>
              <w:t>Tax withholdings related to net share settlement</w:t>
            </w:r>
          </w:p>
        </w:tc>
        <w:tc>
          <w:tcPr>
            <w:tcW w:w="128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06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040" w:type="dxa"/>
            <w:vAlign w:val="bottom"/>
            <w:vMerge w:val="restart"/>
          </w:tcPr>
          <w:p>
            <w:pPr>
              <w:jc w:val="right"/>
              <w:spacing w:after="0"/>
              <w:rPr>
                <w:sz w:val="20"/>
                <w:szCs w:val="20"/>
                <w:color w:val="auto"/>
              </w:rPr>
            </w:pPr>
            <w:r>
              <w:rPr>
                <w:rFonts w:ascii="Arial" w:cs="Arial" w:eastAsia="Arial" w:hAnsi="Arial"/>
                <w:sz w:val="16"/>
                <w:szCs w:val="16"/>
                <w:color w:val="auto"/>
              </w:rPr>
              <w:t>(98,293)</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4"/>
                <w:szCs w:val="14"/>
                <w:color w:val="auto"/>
              </w:rPr>
            </w:pPr>
          </w:p>
        </w:tc>
        <w:tc>
          <w:tcPr>
            <w:tcW w:w="920" w:type="dxa"/>
            <w:vAlign w:val="bottom"/>
            <w:vMerge w:val="restart"/>
          </w:tcPr>
          <w:p>
            <w:pPr>
              <w:jc w:val="right"/>
              <w:spacing w:after="0"/>
              <w:rPr>
                <w:sz w:val="20"/>
                <w:szCs w:val="20"/>
                <w:color w:val="auto"/>
              </w:rPr>
            </w:pPr>
            <w:r>
              <w:rPr>
                <w:rFonts w:ascii="Arial" w:cs="Arial" w:eastAsia="Arial" w:hAnsi="Arial"/>
                <w:sz w:val="16"/>
                <w:szCs w:val="16"/>
                <w:color w:val="auto"/>
              </w:rPr>
              <w:t>(98,293)</w:t>
            </w:r>
          </w:p>
        </w:tc>
        <w:tc>
          <w:tcPr>
            <w:tcW w:w="0" w:type="dxa"/>
            <w:vAlign w:val="bottom"/>
          </w:tcPr>
          <w:p>
            <w:pPr>
              <w:spacing w:after="0"/>
              <w:rPr>
                <w:sz w:val="1"/>
                <w:szCs w:val="1"/>
                <w:color w:val="auto"/>
              </w:rPr>
            </w:pPr>
          </w:p>
        </w:tc>
      </w:tr>
      <w:tr>
        <w:trPr>
          <w:trHeight w:val="209"/>
        </w:trPr>
        <w:tc>
          <w:tcPr>
            <w:tcW w:w="3300" w:type="dxa"/>
            <w:vAlign w:val="bottom"/>
          </w:tcPr>
          <w:p>
            <w:pPr>
              <w:ind w:left="20"/>
              <w:spacing w:after="0"/>
              <w:rPr>
                <w:sz w:val="20"/>
                <w:szCs w:val="20"/>
                <w:color w:val="auto"/>
              </w:rPr>
            </w:pPr>
            <w:r>
              <w:rPr>
                <w:rFonts w:ascii="Arial" w:cs="Arial" w:eastAsia="Arial" w:hAnsi="Arial"/>
                <w:sz w:val="16"/>
                <w:szCs w:val="16"/>
                <w:color w:val="auto"/>
              </w:rPr>
              <w:t>of restricted stock units</w:t>
            </w:r>
          </w:p>
        </w:tc>
        <w:tc>
          <w:tcPr>
            <w:tcW w:w="128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9"/>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Share-based compensation</w:t>
            </w: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243,937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243,937</w:t>
            </w: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Issuance of warrant for common stock</w:t>
            </w:r>
          </w:p>
        </w:tc>
        <w:tc>
          <w:tcPr>
            <w:tcW w:w="12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3,407</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3,407</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8"/>
              </w:rPr>
              <w:t>Replacement equity awards attributable to pre-</w:t>
            </w:r>
          </w:p>
        </w:tc>
        <w:tc>
          <w:tcPr>
            <w:tcW w:w="12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15,520</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15,520</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acquisition service</w:t>
            </w:r>
          </w:p>
        </w:tc>
        <w:tc>
          <w:tcPr>
            <w:tcW w:w="128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Repurchase of common stock</w:t>
            </w:r>
          </w:p>
        </w:tc>
        <w:tc>
          <w:tcPr>
            <w:tcW w:w="1160" w:type="dxa"/>
            <w:vAlign w:val="bottom"/>
          </w:tcPr>
          <w:p>
            <w:pPr>
              <w:jc w:val="right"/>
              <w:spacing w:after="0"/>
              <w:rPr>
                <w:sz w:val="20"/>
                <w:szCs w:val="20"/>
                <w:color w:val="auto"/>
              </w:rPr>
            </w:pPr>
            <w:r>
              <w:rPr>
                <w:rFonts w:ascii="Arial" w:cs="Arial" w:eastAsia="Arial" w:hAnsi="Arial"/>
                <w:sz w:val="16"/>
                <w:szCs w:val="16"/>
                <w:color w:val="auto"/>
              </w:rPr>
              <w:t>(14,486)</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(29)</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(364,243)</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(364,272)</w:t>
            </w: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6"/>
              </w:rPr>
              <w:t>Cash dividends declared and paid (cumulatively</w:t>
            </w:r>
          </w:p>
        </w:tc>
        <w:tc>
          <w:tcPr>
            <w:tcW w:w="12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(159,573)</w:t>
            </w: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(159,573)</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$0.24 per share)</w:t>
            </w:r>
          </w:p>
        </w:tc>
        <w:tc>
          <w:tcPr>
            <w:tcW w:w="128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Net income</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ind w:right="1"/>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1,584,391</w:t>
            </w:r>
          </w:p>
        </w:tc>
        <w:tc>
          <w:tcPr>
            <w:tcW w:w="1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1,584,391</w:t>
            </w:r>
          </w:p>
        </w:tc>
        <w:tc>
          <w:tcPr>
            <w:tcW w:w="0" w:type="dxa"/>
            <w:vAlign w:val="bottom"/>
          </w:tcPr>
          <w:p>
            <w:pPr>
              <w:spacing w:after="0"/>
              <w:rPr>
                <w:sz w:val="1"/>
                <w:szCs w:val="1"/>
                <w:color w:val="auto"/>
              </w:rPr>
            </w:pPr>
          </w:p>
        </w:tc>
      </w:tr>
      <w:tr>
        <w:trPr>
          <w:trHeight w:val="213"/>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February 1, 2020</w:t>
            </w:r>
          </w:p>
        </w:tc>
        <w:tc>
          <w:tcPr>
            <w:tcW w:w="11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663,481</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1,328</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6,135,939</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2,541,313</w:t>
            </w: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8,678,580</w:t>
            </w:r>
          </w:p>
        </w:tc>
        <w:tc>
          <w:tcPr>
            <w:tcW w:w="0" w:type="dxa"/>
            <w:vAlign w:val="bottom"/>
          </w:tcPr>
          <w:p>
            <w:pPr>
              <w:spacing w:after="0"/>
              <w:rPr>
                <w:sz w:val="1"/>
                <w:szCs w:val="1"/>
                <w:color w:val="auto"/>
              </w:rPr>
            </w:pPr>
          </w:p>
        </w:tc>
      </w:tr>
      <w:tr>
        <w:trPr>
          <w:trHeight w:val="166"/>
        </w:trPr>
        <w:tc>
          <w:tcPr>
            <w:tcW w:w="3300" w:type="dxa"/>
            <w:vAlign w:val="bottom"/>
          </w:tcPr>
          <w:p>
            <w:pPr>
              <w:ind w:left="20"/>
              <w:spacing w:after="0" w:line="166" w:lineRule="exact"/>
              <w:rPr>
                <w:sz w:val="20"/>
                <w:szCs w:val="20"/>
                <w:color w:val="auto"/>
              </w:rPr>
            </w:pPr>
            <w:r>
              <w:rPr>
                <w:rFonts w:ascii="Arial" w:cs="Arial" w:eastAsia="Arial" w:hAnsi="Arial"/>
                <w:sz w:val="16"/>
                <w:szCs w:val="16"/>
                <w:color w:val="auto"/>
                <w:w w:val="99"/>
              </w:rPr>
              <w:t>Issuance of ordinary shares in connection with</w:t>
            </w:r>
          </w:p>
        </w:tc>
        <w:tc>
          <w:tcPr>
            <w:tcW w:w="1160" w:type="dxa"/>
            <w:vAlign w:val="bottom"/>
            <w:vMerge w:val="restart"/>
          </w:tcPr>
          <w:p>
            <w:pPr>
              <w:jc w:val="right"/>
              <w:spacing w:after="0"/>
              <w:rPr>
                <w:sz w:val="20"/>
                <w:szCs w:val="20"/>
                <w:color w:val="auto"/>
              </w:rPr>
            </w:pPr>
            <w:r>
              <w:rPr>
                <w:rFonts w:ascii="Arial" w:cs="Arial" w:eastAsia="Arial" w:hAnsi="Arial"/>
                <w:sz w:val="16"/>
                <w:szCs w:val="16"/>
                <w:color w:val="auto"/>
              </w:rPr>
              <w:t>13,172</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vMerge w:val="restart"/>
          </w:tcPr>
          <w:p>
            <w:pPr>
              <w:jc w:val="right"/>
              <w:spacing w:after="0"/>
              <w:rPr>
                <w:sz w:val="20"/>
                <w:szCs w:val="20"/>
                <w:color w:val="auto"/>
              </w:rPr>
            </w:pPr>
            <w:r>
              <w:rPr>
                <w:rFonts w:ascii="Arial" w:cs="Arial" w:eastAsia="Arial" w:hAnsi="Arial"/>
                <w:sz w:val="16"/>
                <w:szCs w:val="16"/>
                <w:color w:val="auto"/>
              </w:rPr>
              <w:t>25</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vMerge w:val="restart"/>
          </w:tcPr>
          <w:p>
            <w:pPr>
              <w:jc w:val="right"/>
              <w:spacing w:after="0"/>
              <w:rPr>
                <w:sz w:val="20"/>
                <w:szCs w:val="20"/>
                <w:color w:val="auto"/>
              </w:rPr>
            </w:pPr>
            <w:r>
              <w:rPr>
                <w:rFonts w:ascii="Arial" w:cs="Arial" w:eastAsia="Arial" w:hAnsi="Arial"/>
                <w:sz w:val="16"/>
                <w:szCs w:val="16"/>
                <w:color w:val="auto"/>
              </w:rPr>
              <w:t>86,648</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4"/>
                <w:szCs w:val="14"/>
                <w:color w:val="auto"/>
              </w:rPr>
            </w:pPr>
          </w:p>
        </w:tc>
        <w:tc>
          <w:tcPr>
            <w:tcW w:w="920" w:type="dxa"/>
            <w:vAlign w:val="bottom"/>
            <w:vMerge w:val="restart"/>
          </w:tcPr>
          <w:p>
            <w:pPr>
              <w:jc w:val="right"/>
              <w:spacing w:after="0"/>
              <w:rPr>
                <w:sz w:val="20"/>
                <w:szCs w:val="20"/>
                <w:color w:val="auto"/>
              </w:rPr>
            </w:pPr>
            <w:r>
              <w:rPr>
                <w:rFonts w:ascii="Arial" w:cs="Arial" w:eastAsia="Arial" w:hAnsi="Arial"/>
                <w:sz w:val="16"/>
                <w:szCs w:val="16"/>
                <w:color w:val="auto"/>
              </w:rPr>
              <w:t>86,673</w:t>
            </w:r>
          </w:p>
        </w:tc>
        <w:tc>
          <w:tcPr>
            <w:tcW w:w="0" w:type="dxa"/>
            <w:vAlign w:val="bottom"/>
          </w:tcPr>
          <w:p>
            <w:pPr>
              <w:spacing w:after="0"/>
              <w:rPr>
                <w:sz w:val="1"/>
                <w:szCs w:val="1"/>
                <w:color w:val="auto"/>
              </w:rPr>
            </w:pPr>
          </w:p>
        </w:tc>
      </w:tr>
      <w:tr>
        <w:trPr>
          <w:trHeight w:val="209"/>
        </w:trPr>
        <w:tc>
          <w:tcPr>
            <w:tcW w:w="3300" w:type="dxa"/>
            <w:vAlign w:val="bottom"/>
          </w:tcPr>
          <w:p>
            <w:pPr>
              <w:ind w:left="20"/>
              <w:spacing w:after="0"/>
              <w:rPr>
                <w:sz w:val="20"/>
                <w:szCs w:val="20"/>
                <w:color w:val="auto"/>
              </w:rPr>
            </w:pPr>
            <w:r>
              <w:rPr>
                <w:rFonts w:ascii="Arial" w:cs="Arial" w:eastAsia="Arial" w:hAnsi="Arial"/>
                <w:sz w:val="16"/>
                <w:szCs w:val="16"/>
                <w:color w:val="auto"/>
              </w:rPr>
              <w:t>equity incentive plans</w:t>
            </w:r>
          </w:p>
        </w:tc>
        <w:tc>
          <w:tcPr>
            <w:tcW w:w="116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330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w w:val="95"/>
              </w:rPr>
              <w:t>Tax withholdings related to net share settlement</w:t>
            </w:r>
          </w:p>
        </w:tc>
        <w:tc>
          <w:tcPr>
            <w:tcW w:w="12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(108,089)</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3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4"/>
                <w:szCs w:val="14"/>
                <w:color w:val="auto"/>
              </w:rPr>
            </w:pPr>
          </w:p>
        </w:tc>
        <w:tc>
          <w:tcPr>
            <w:tcW w:w="11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(108,089)</w:t>
            </w:r>
          </w:p>
        </w:tc>
        <w:tc>
          <w:tcPr>
            <w:tcW w:w="0" w:type="dxa"/>
            <w:vAlign w:val="bottom"/>
          </w:tcPr>
          <w:p>
            <w:pPr>
              <w:spacing w:after="0"/>
              <w:rPr>
                <w:sz w:val="1"/>
                <w:szCs w:val="1"/>
                <w:color w:val="auto"/>
              </w:rPr>
            </w:pPr>
          </w:p>
        </w:tc>
      </w:tr>
      <w:tr>
        <w:trPr>
          <w:trHeight w:val="212"/>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of restricted stock units</w:t>
            </w:r>
          </w:p>
        </w:tc>
        <w:tc>
          <w:tcPr>
            <w:tcW w:w="128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3300" w:type="dxa"/>
            <w:vAlign w:val="bottom"/>
          </w:tcPr>
          <w:p>
            <w:pPr>
              <w:ind w:left="20"/>
              <w:spacing w:after="0"/>
              <w:rPr>
                <w:sz w:val="20"/>
                <w:szCs w:val="20"/>
                <w:color w:val="auto"/>
              </w:rPr>
            </w:pPr>
            <w:r>
              <w:rPr>
                <w:rFonts w:ascii="Arial" w:cs="Arial" w:eastAsia="Arial" w:hAnsi="Arial"/>
                <w:sz w:val="16"/>
                <w:szCs w:val="16"/>
                <w:color w:val="auto"/>
              </w:rPr>
              <w:t>Share-based compensation</w:t>
            </w:r>
          </w:p>
        </w:tc>
        <w:tc>
          <w:tcPr>
            <w:tcW w:w="12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6"/>
                <w:szCs w:val="16"/>
                <w:color w:val="auto"/>
              </w:rPr>
              <w:t>241,714</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241,714</w:t>
            </w:r>
          </w:p>
        </w:tc>
        <w:tc>
          <w:tcPr>
            <w:tcW w:w="0" w:type="dxa"/>
            <w:vAlign w:val="bottom"/>
          </w:tcPr>
          <w:p>
            <w:pPr>
              <w:spacing w:after="0"/>
              <w:rPr>
                <w:sz w:val="1"/>
                <w:szCs w:val="1"/>
                <w:color w:val="auto"/>
              </w:rPr>
            </w:pPr>
          </w:p>
        </w:tc>
      </w:tr>
      <w:tr>
        <w:trPr>
          <w:trHeight w:val="219"/>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Repurchase of common stock</w:t>
            </w:r>
          </w:p>
        </w:tc>
        <w:tc>
          <w:tcPr>
            <w:tcW w:w="11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(1,251)</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(25,199)</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(25,202)</w:t>
            </w:r>
          </w:p>
        </w:tc>
        <w:tc>
          <w:tcPr>
            <w:tcW w:w="0" w:type="dxa"/>
            <w:vAlign w:val="bottom"/>
          </w:tcPr>
          <w:p>
            <w:pPr>
              <w:spacing w:after="0"/>
              <w:rPr>
                <w:sz w:val="1"/>
                <w:szCs w:val="1"/>
                <w:color w:val="auto"/>
              </w:rPr>
            </w:pPr>
          </w:p>
        </w:tc>
      </w:tr>
      <w:tr>
        <w:trPr>
          <w:trHeight w:val="166"/>
        </w:trPr>
        <w:tc>
          <w:tcPr>
            <w:tcW w:w="3300" w:type="dxa"/>
            <w:vAlign w:val="bottom"/>
          </w:tcPr>
          <w:p>
            <w:pPr>
              <w:ind w:left="20"/>
              <w:spacing w:after="0" w:line="166" w:lineRule="exact"/>
              <w:rPr>
                <w:sz w:val="20"/>
                <w:szCs w:val="20"/>
                <w:color w:val="auto"/>
              </w:rPr>
            </w:pPr>
            <w:r>
              <w:rPr>
                <w:rFonts w:ascii="Arial" w:cs="Arial" w:eastAsia="Arial" w:hAnsi="Arial"/>
                <w:sz w:val="16"/>
                <w:szCs w:val="16"/>
                <w:color w:val="auto"/>
                <w:w w:val="96"/>
              </w:rPr>
              <w:t>Cash dividends declared and paid (cumulatively</w:t>
            </w:r>
          </w:p>
        </w:tc>
        <w:tc>
          <w:tcPr>
            <w:tcW w:w="128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06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4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4"/>
                <w:szCs w:val="14"/>
                <w:color w:val="auto"/>
              </w:rPr>
            </w:pPr>
          </w:p>
        </w:tc>
        <w:tc>
          <w:tcPr>
            <w:tcW w:w="134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980" w:type="dxa"/>
            <w:vAlign w:val="bottom"/>
            <w:vMerge w:val="restart"/>
          </w:tcPr>
          <w:p>
            <w:pPr>
              <w:jc w:val="right"/>
              <w:spacing w:after="0"/>
              <w:rPr>
                <w:sz w:val="20"/>
                <w:szCs w:val="20"/>
                <w:color w:val="auto"/>
              </w:rPr>
            </w:pPr>
            <w:r>
              <w:rPr>
                <w:rFonts w:ascii="Arial" w:cs="Arial" w:eastAsia="Arial" w:hAnsi="Arial"/>
                <w:sz w:val="16"/>
                <w:szCs w:val="16"/>
                <w:color w:val="auto"/>
              </w:rPr>
              <w:t>(160,574)</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20" w:type="dxa"/>
            <w:vAlign w:val="bottom"/>
            <w:vMerge w:val="restart"/>
          </w:tcPr>
          <w:p>
            <w:pPr>
              <w:jc w:val="right"/>
              <w:spacing w:after="0"/>
              <w:rPr>
                <w:sz w:val="20"/>
                <w:szCs w:val="20"/>
                <w:color w:val="auto"/>
              </w:rPr>
            </w:pPr>
            <w:r>
              <w:rPr>
                <w:rFonts w:ascii="Arial" w:cs="Arial" w:eastAsia="Arial" w:hAnsi="Arial"/>
                <w:sz w:val="16"/>
                <w:szCs w:val="16"/>
                <w:color w:val="auto"/>
              </w:rPr>
              <w:t>(160,574)</w:t>
            </w:r>
          </w:p>
        </w:tc>
        <w:tc>
          <w:tcPr>
            <w:tcW w:w="0" w:type="dxa"/>
            <w:vAlign w:val="bottom"/>
          </w:tcPr>
          <w:p>
            <w:pPr>
              <w:spacing w:after="0"/>
              <w:rPr>
                <w:sz w:val="1"/>
                <w:szCs w:val="1"/>
                <w:color w:val="auto"/>
              </w:rPr>
            </w:pPr>
          </w:p>
        </w:tc>
      </w:tr>
      <w:tr>
        <w:trPr>
          <w:trHeight w:val="209"/>
        </w:trPr>
        <w:tc>
          <w:tcPr>
            <w:tcW w:w="3300" w:type="dxa"/>
            <w:vAlign w:val="bottom"/>
          </w:tcPr>
          <w:p>
            <w:pPr>
              <w:ind w:left="20"/>
              <w:spacing w:after="0"/>
              <w:rPr>
                <w:sz w:val="20"/>
                <w:szCs w:val="20"/>
                <w:color w:val="auto"/>
              </w:rPr>
            </w:pPr>
            <w:r>
              <w:rPr>
                <w:rFonts w:ascii="Arial" w:cs="Arial" w:eastAsia="Arial" w:hAnsi="Arial"/>
                <w:sz w:val="16"/>
                <w:szCs w:val="16"/>
                <w:color w:val="auto"/>
              </w:rPr>
              <w:t>$0.24 per share)</w:t>
            </w:r>
          </w:p>
        </w:tc>
        <w:tc>
          <w:tcPr>
            <w:tcW w:w="128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2"/>
            <w:vMerge w:val="continue"/>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9"/>
        </w:trPr>
        <w:tc>
          <w:tcPr>
            <w:tcW w:w="3300" w:type="dxa"/>
            <w:vAlign w:val="bottom"/>
            <w:shd w:val="clear" w:color="auto" w:fill="CCEEFF"/>
          </w:tcPr>
          <w:p>
            <w:pPr>
              <w:ind w:left="20"/>
              <w:spacing w:after="0"/>
              <w:rPr>
                <w:sz w:val="20"/>
                <w:szCs w:val="20"/>
                <w:color w:val="auto"/>
              </w:rPr>
            </w:pPr>
            <w:r>
              <w:rPr>
                <w:rFonts w:ascii="Arial" w:cs="Arial" w:eastAsia="Arial" w:hAnsi="Arial"/>
                <w:sz w:val="16"/>
                <w:szCs w:val="16"/>
                <w:color w:val="auto"/>
              </w:rPr>
              <w:t>Net loss</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(277,298)</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(277,298)</w:t>
            </w:r>
          </w:p>
        </w:tc>
        <w:tc>
          <w:tcPr>
            <w:tcW w:w="0" w:type="dxa"/>
            <w:vAlign w:val="bottom"/>
          </w:tcPr>
          <w:p>
            <w:pPr>
              <w:spacing w:after="0"/>
              <w:rPr>
                <w:sz w:val="1"/>
                <w:szCs w:val="1"/>
                <w:color w:val="auto"/>
              </w:rPr>
            </w:pPr>
          </w:p>
        </w:tc>
      </w:tr>
      <w:tr>
        <w:trPr>
          <w:trHeight w:val="207"/>
        </w:trPr>
        <w:tc>
          <w:tcPr>
            <w:tcW w:w="3300" w:type="dxa"/>
            <w:vAlign w:val="bottom"/>
          </w:tcPr>
          <w:p>
            <w:pPr>
              <w:ind w:left="20"/>
              <w:spacing w:after="0"/>
              <w:rPr>
                <w:sz w:val="20"/>
                <w:szCs w:val="20"/>
                <w:color w:val="auto"/>
              </w:rPr>
            </w:pPr>
            <w:r>
              <w:rPr>
                <w:rFonts w:ascii="Arial" w:cs="Arial" w:eastAsia="Arial" w:hAnsi="Arial"/>
                <w:sz w:val="16"/>
                <w:szCs w:val="16"/>
                <w:b w:val="1"/>
                <w:bCs w:val="1"/>
                <w:color w:val="auto"/>
              </w:rPr>
              <w:t>Balance at January 30, 2021</w:t>
            </w:r>
          </w:p>
        </w:tc>
        <w:tc>
          <w:tcPr>
            <w:tcW w:w="1160" w:type="dxa"/>
            <w:vAlign w:val="bottom"/>
          </w:tcPr>
          <w:p>
            <w:pPr>
              <w:jc w:val="right"/>
              <w:spacing w:after="0"/>
              <w:rPr>
                <w:sz w:val="20"/>
                <w:szCs w:val="20"/>
                <w:color w:val="auto"/>
              </w:rPr>
            </w:pPr>
            <w:r>
              <w:rPr>
                <w:rFonts w:ascii="Arial" w:cs="Arial" w:eastAsia="Arial" w:hAnsi="Arial"/>
                <w:sz w:val="16"/>
                <w:szCs w:val="16"/>
                <w:color w:val="auto"/>
              </w:rPr>
              <w:t>675,402</w:t>
            </w:r>
          </w:p>
        </w:tc>
        <w:tc>
          <w:tcPr>
            <w:tcW w:w="120" w:type="dxa"/>
            <w:vAlign w:val="bottom"/>
          </w:tcPr>
          <w:p>
            <w:pPr>
              <w:spacing w:after="0"/>
              <w:rPr>
                <w:sz w:val="17"/>
                <w:szCs w:val="17"/>
                <w:color w:val="auto"/>
              </w:rPr>
            </w:pPr>
          </w:p>
        </w:tc>
        <w:tc>
          <w:tcPr>
            <w:tcW w:w="200" w:type="dxa"/>
            <w:vAlign w:val="bottom"/>
          </w:tcPr>
          <w:p>
            <w:pPr>
              <w:jc w:val="right"/>
              <w:ind w:right="19"/>
              <w:spacing w:after="0"/>
              <w:rPr>
                <w:sz w:val="20"/>
                <w:szCs w:val="20"/>
                <w:color w:val="auto"/>
              </w:rPr>
            </w:pPr>
            <w:r>
              <w:rPr>
                <w:rFonts w:ascii="Arial" w:cs="Arial" w:eastAsia="Arial" w:hAnsi="Arial"/>
                <w:sz w:val="16"/>
                <w:szCs w:val="16"/>
                <w:color w:val="auto"/>
                <w:w w:val="89"/>
              </w:rPr>
              <w:t>$</w:t>
            </w:r>
          </w:p>
        </w:tc>
        <w:tc>
          <w:tcPr>
            <w:tcW w:w="960" w:type="dxa"/>
            <w:vAlign w:val="bottom"/>
          </w:tcPr>
          <w:p>
            <w:pPr>
              <w:jc w:val="right"/>
              <w:spacing w:after="0"/>
              <w:rPr>
                <w:sz w:val="20"/>
                <w:szCs w:val="20"/>
                <w:color w:val="auto"/>
              </w:rPr>
            </w:pPr>
            <w:r>
              <w:rPr>
                <w:rFonts w:ascii="Arial" w:cs="Arial" w:eastAsia="Arial" w:hAnsi="Arial"/>
                <w:sz w:val="16"/>
                <w:szCs w:val="16"/>
                <w:color w:val="auto"/>
              </w:rPr>
              <w:t>1,350</w:t>
            </w:r>
          </w:p>
        </w:tc>
        <w:tc>
          <w:tcPr>
            <w:tcW w:w="100" w:type="dxa"/>
            <w:vAlign w:val="bottom"/>
          </w:tcPr>
          <w:p>
            <w:pPr>
              <w:spacing w:after="0"/>
              <w:rPr>
                <w:sz w:val="17"/>
                <w:szCs w:val="17"/>
                <w:color w:val="auto"/>
              </w:rPr>
            </w:pPr>
          </w:p>
        </w:tc>
        <w:tc>
          <w:tcPr>
            <w:tcW w:w="200" w:type="dxa"/>
            <w:vAlign w:val="bottom"/>
          </w:tcPr>
          <w:p>
            <w:pPr>
              <w:jc w:val="right"/>
              <w:ind w:right="19"/>
              <w:spacing w:after="0"/>
              <w:rPr>
                <w:sz w:val="20"/>
                <w:szCs w:val="20"/>
                <w:color w:val="auto"/>
              </w:rPr>
            </w:pPr>
            <w:r>
              <w:rPr>
                <w:rFonts w:ascii="Arial" w:cs="Arial" w:eastAsia="Arial" w:hAnsi="Arial"/>
                <w:sz w:val="16"/>
                <w:szCs w:val="16"/>
                <w:color w:val="auto"/>
                <w:w w:val="89"/>
              </w:rPr>
              <w:t>$</w:t>
            </w:r>
          </w:p>
        </w:tc>
        <w:tc>
          <w:tcPr>
            <w:tcW w:w="1040" w:type="dxa"/>
            <w:vAlign w:val="bottom"/>
          </w:tcPr>
          <w:p>
            <w:pPr>
              <w:jc w:val="right"/>
              <w:spacing w:after="0"/>
              <w:rPr>
                <w:sz w:val="20"/>
                <w:szCs w:val="20"/>
                <w:color w:val="auto"/>
              </w:rPr>
            </w:pPr>
            <w:r>
              <w:rPr>
                <w:rFonts w:ascii="Arial" w:cs="Arial" w:eastAsia="Arial" w:hAnsi="Arial"/>
                <w:sz w:val="16"/>
                <w:szCs w:val="16"/>
                <w:color w:val="auto"/>
              </w:rPr>
              <w:t>6,331,013</w:t>
            </w:r>
          </w:p>
        </w:tc>
        <w:tc>
          <w:tcPr>
            <w:tcW w:w="100" w:type="dxa"/>
            <w:vAlign w:val="bottom"/>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13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0" w:type="dxa"/>
            <w:vAlign w:val="bottom"/>
          </w:tcPr>
          <w:p>
            <w:pPr>
              <w:jc w:val="right"/>
              <w:ind w:right="19"/>
              <w:spacing w:after="0"/>
              <w:rPr>
                <w:sz w:val="20"/>
                <w:szCs w:val="20"/>
                <w:color w:val="auto"/>
              </w:rPr>
            </w:pPr>
            <w:r>
              <w:rPr>
                <w:rFonts w:ascii="Arial" w:cs="Arial" w:eastAsia="Arial" w:hAnsi="Arial"/>
                <w:sz w:val="16"/>
                <w:szCs w:val="16"/>
                <w:color w:val="auto"/>
                <w:w w:val="89"/>
              </w:rPr>
              <w:t>$</w:t>
            </w:r>
          </w:p>
        </w:tc>
        <w:tc>
          <w:tcPr>
            <w:tcW w:w="980" w:type="dxa"/>
            <w:vAlign w:val="bottom"/>
          </w:tcPr>
          <w:p>
            <w:pPr>
              <w:jc w:val="right"/>
              <w:spacing w:after="0"/>
              <w:rPr>
                <w:sz w:val="20"/>
                <w:szCs w:val="20"/>
                <w:color w:val="auto"/>
              </w:rPr>
            </w:pPr>
            <w:r>
              <w:rPr>
                <w:rFonts w:ascii="Arial" w:cs="Arial" w:eastAsia="Arial" w:hAnsi="Arial"/>
                <w:sz w:val="16"/>
                <w:szCs w:val="16"/>
                <w:color w:val="auto"/>
              </w:rPr>
              <w:t>2,103,441</w:t>
            </w:r>
          </w:p>
        </w:tc>
        <w:tc>
          <w:tcPr>
            <w:tcW w:w="120" w:type="dxa"/>
            <w:vAlign w:val="bottom"/>
          </w:tcPr>
          <w:p>
            <w:pPr>
              <w:spacing w:after="0"/>
              <w:rPr>
                <w:sz w:val="17"/>
                <w:szCs w:val="17"/>
                <w:color w:val="auto"/>
              </w:rPr>
            </w:pPr>
          </w:p>
        </w:tc>
        <w:tc>
          <w:tcPr>
            <w:tcW w:w="260" w:type="dxa"/>
            <w:vAlign w:val="bottom"/>
          </w:tcPr>
          <w:p>
            <w:pPr>
              <w:jc w:val="right"/>
              <w:ind w:right="79"/>
              <w:spacing w:after="0"/>
              <w:rPr>
                <w:sz w:val="20"/>
                <w:szCs w:val="20"/>
                <w:color w:val="auto"/>
              </w:rPr>
            </w:pPr>
            <w:r>
              <w:rPr>
                <w:rFonts w:ascii="Arial" w:cs="Arial" w:eastAsia="Arial" w:hAnsi="Arial"/>
                <w:sz w:val="16"/>
                <w:szCs w:val="16"/>
                <w:color w:val="auto"/>
                <w:w w:val="89"/>
              </w:rPr>
              <w:t>$</w:t>
            </w:r>
          </w:p>
        </w:tc>
        <w:tc>
          <w:tcPr>
            <w:tcW w:w="920" w:type="dxa"/>
            <w:vAlign w:val="bottom"/>
          </w:tcPr>
          <w:p>
            <w:pPr>
              <w:jc w:val="right"/>
              <w:spacing w:after="0"/>
              <w:rPr>
                <w:sz w:val="20"/>
                <w:szCs w:val="20"/>
                <w:color w:val="auto"/>
              </w:rPr>
            </w:pPr>
            <w:r>
              <w:rPr>
                <w:rFonts w:ascii="Arial" w:cs="Arial" w:eastAsia="Arial" w:hAnsi="Arial"/>
                <w:sz w:val="16"/>
                <w:szCs w:val="16"/>
                <w:color w:val="auto"/>
              </w:rPr>
              <w:t>8,435,804</w:t>
            </w:r>
          </w:p>
        </w:tc>
        <w:tc>
          <w:tcPr>
            <w:tcW w:w="0" w:type="dxa"/>
            <w:vAlign w:val="bottom"/>
          </w:tcPr>
          <w:p>
            <w:pPr>
              <w:spacing w:after="0"/>
              <w:rPr>
                <w:sz w:val="1"/>
                <w:szCs w:val="1"/>
                <w:color w:val="auto"/>
              </w:rPr>
            </w:pPr>
          </w:p>
        </w:tc>
      </w:tr>
      <w:tr>
        <w:trPr>
          <w:trHeight w:val="23"/>
        </w:trPr>
        <w:tc>
          <w:tcPr>
            <w:tcW w:w="3300" w:type="dxa"/>
            <w:vAlign w:val="bottom"/>
          </w:tcPr>
          <w:p>
            <w:pPr>
              <w:spacing w:after="0"/>
              <w:rPr>
                <w:sz w:val="2"/>
                <w:szCs w:val="2"/>
                <w:color w:val="auto"/>
              </w:rPr>
            </w:pPr>
          </w:p>
        </w:tc>
        <w:tc>
          <w:tcPr>
            <w:tcW w:w="1160" w:type="dxa"/>
            <w:vAlign w:val="bottom"/>
            <w:tcBorders>
              <w:top w:val="single" w:sz="8" w:color="auto"/>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top w:val="single" w:sz="8" w:color="auto"/>
              <w:bottom w:val="single" w:sz="8" w:color="auto"/>
            </w:tcBorders>
          </w:tcPr>
          <w:p>
            <w:pPr>
              <w:spacing w:after="0"/>
              <w:rPr>
                <w:sz w:val="2"/>
                <w:szCs w:val="2"/>
                <w:color w:val="auto"/>
              </w:rPr>
            </w:pPr>
          </w:p>
        </w:tc>
        <w:tc>
          <w:tcPr>
            <w:tcW w:w="960" w:type="dxa"/>
            <w:vAlign w:val="bottom"/>
            <w:tcBorders>
              <w:top w:val="single" w:sz="8" w:color="auto"/>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top w:val="single" w:sz="8" w:color="auto"/>
              <w:bottom w:val="single" w:sz="8" w:color="auto"/>
            </w:tcBorders>
          </w:tcPr>
          <w:p>
            <w:pPr>
              <w:spacing w:after="0"/>
              <w:rPr>
                <w:sz w:val="2"/>
                <w:szCs w:val="2"/>
                <w:color w:val="auto"/>
              </w:rPr>
            </w:pPr>
          </w:p>
        </w:tc>
        <w:tc>
          <w:tcPr>
            <w:tcW w:w="1040" w:type="dxa"/>
            <w:vAlign w:val="bottom"/>
            <w:tcBorders>
              <w:top w:val="single" w:sz="8" w:color="auto"/>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Borders>
              <w:top w:val="single" w:sz="8" w:color="auto"/>
              <w:bottom w:val="single" w:sz="8" w:color="auto"/>
            </w:tcBorders>
          </w:tcPr>
          <w:p>
            <w:pPr>
              <w:spacing w:after="0"/>
              <w:rPr>
                <w:sz w:val="2"/>
                <w:szCs w:val="2"/>
                <w:color w:val="auto"/>
              </w:rPr>
            </w:pPr>
          </w:p>
        </w:tc>
        <w:tc>
          <w:tcPr>
            <w:tcW w:w="1240" w:type="dxa"/>
            <w:vAlign w:val="bottom"/>
            <w:tcBorders>
              <w:top w:val="single" w:sz="8" w:color="auto"/>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top w:val="single" w:sz="8" w:color="auto"/>
              <w:bottom w:val="single" w:sz="8" w:color="auto"/>
            </w:tcBorders>
          </w:tcPr>
          <w:p>
            <w:pPr>
              <w:spacing w:after="0"/>
              <w:rPr>
                <w:sz w:val="2"/>
                <w:szCs w:val="2"/>
                <w:color w:val="auto"/>
              </w:rPr>
            </w:pPr>
          </w:p>
        </w:tc>
        <w:tc>
          <w:tcPr>
            <w:tcW w:w="980" w:type="dxa"/>
            <w:vAlign w:val="bottom"/>
            <w:tcBorders>
              <w:top w:val="single" w:sz="8" w:color="auto"/>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top w:val="single" w:sz="8" w:color="auto"/>
              <w:bottom w:val="single" w:sz="8" w:color="auto"/>
            </w:tcBorders>
          </w:tcPr>
          <w:p>
            <w:pPr>
              <w:spacing w:after="0"/>
              <w:rPr>
                <w:sz w:val="2"/>
                <w:szCs w:val="2"/>
                <w:color w:val="auto"/>
              </w:rPr>
            </w:pPr>
          </w:p>
        </w:tc>
        <w:tc>
          <w:tcPr>
            <w:tcW w:w="920" w:type="dxa"/>
            <w:vAlign w:val="bottom"/>
            <w:tcBorders>
              <w:top w:val="single" w:sz="8" w:color="auto"/>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225" w:right="399" w:bottom="1440" w:gutter="0" w:footer="0" w:header="0"/>
        </w:sectPr>
      </w:pPr>
    </w:p>
    <w:bookmarkStart w:id="61" w:name="page62"/>
    <w:bookmarkEnd w:id="61"/>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r>
      <w:tr>
        <w:trPr>
          <w:trHeight w:val="135"/>
        </w:trPr>
        <w:tc>
          <w:tcPr>
            <w:tcW w:w="67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January 30,</w:t>
            </w:r>
          </w:p>
        </w:tc>
        <w:tc>
          <w:tcPr>
            <w:tcW w:w="220" w:type="dxa"/>
            <w:vAlign w:val="bottom"/>
          </w:tcPr>
          <w:p>
            <w:pPr>
              <w:spacing w:after="0"/>
              <w:rPr>
                <w:sz w:val="11"/>
                <w:szCs w:val="11"/>
                <w:color w:val="auto"/>
              </w:rPr>
            </w:pPr>
          </w:p>
        </w:tc>
        <w:tc>
          <w:tcPr>
            <w:tcW w:w="132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20" w:type="dxa"/>
            <w:vAlign w:val="bottom"/>
          </w:tcPr>
          <w:p>
            <w:pPr>
              <w:spacing w:after="0"/>
              <w:rPr>
                <w:sz w:val="11"/>
                <w:szCs w:val="11"/>
                <w:color w:val="auto"/>
              </w:rPr>
            </w:pPr>
          </w:p>
        </w:tc>
        <w:tc>
          <w:tcPr>
            <w:tcW w:w="1220" w:type="dxa"/>
            <w:vAlign w:val="bottom"/>
          </w:tcPr>
          <w:p>
            <w:pPr>
              <w:jc w:val="right"/>
              <w:ind w:right="279"/>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7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40"/>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r>
      <w:tr>
        <w:trPr>
          <w:trHeight w:val="197"/>
        </w:trPr>
        <w:tc>
          <w:tcPr>
            <w:tcW w:w="6700" w:type="dxa"/>
            <w:vAlign w:val="bottom"/>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operating activities:</w:t>
            </w: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Net income (loss)</w:t>
            </w: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spacing w:after="0"/>
              <w:rPr>
                <w:sz w:val="20"/>
                <w:szCs w:val="20"/>
                <w:color w:val="auto"/>
              </w:rPr>
            </w:pPr>
            <w:r>
              <w:rPr>
                <w:rFonts w:ascii="Arial" w:cs="Arial" w:eastAsia="Arial" w:hAnsi="Arial"/>
                <w:sz w:val="16"/>
                <w:szCs w:val="16"/>
                <w:color w:val="auto"/>
              </w:rPr>
              <w:t>(277,298)</w:t>
            </w:r>
          </w:p>
        </w:tc>
        <w:tc>
          <w:tcPr>
            <w:tcW w:w="100" w:type="dxa"/>
            <w:vAlign w:val="bottom"/>
          </w:tcPr>
          <w:p>
            <w:pPr>
              <w:spacing w:after="0"/>
              <w:rPr>
                <w:sz w:val="18"/>
                <w:szCs w:val="18"/>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spacing w:after="0"/>
              <w:rPr>
                <w:sz w:val="20"/>
                <w:szCs w:val="20"/>
                <w:color w:val="auto"/>
              </w:rPr>
            </w:pPr>
            <w:r>
              <w:rPr>
                <w:rFonts w:ascii="Arial" w:cs="Arial" w:eastAsia="Arial" w:hAnsi="Arial"/>
                <w:sz w:val="16"/>
                <w:szCs w:val="16"/>
                <w:color w:val="auto"/>
              </w:rPr>
              <w:t>1,584,391</w:t>
            </w:r>
          </w:p>
        </w:tc>
        <w:tc>
          <w:tcPr>
            <w:tcW w:w="100" w:type="dxa"/>
            <w:vAlign w:val="bottom"/>
          </w:tcPr>
          <w:p>
            <w:pPr>
              <w:spacing w:after="0"/>
              <w:rPr>
                <w:sz w:val="18"/>
                <w:szCs w:val="18"/>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spacing w:after="0"/>
              <w:rPr>
                <w:sz w:val="20"/>
                <w:szCs w:val="20"/>
                <w:color w:val="auto"/>
              </w:rPr>
            </w:pPr>
            <w:r>
              <w:rPr>
                <w:rFonts w:ascii="Arial" w:cs="Arial" w:eastAsia="Arial" w:hAnsi="Arial"/>
                <w:sz w:val="16"/>
                <w:szCs w:val="16"/>
                <w:color w:val="auto"/>
              </w:rPr>
              <w:t>(179,094)</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Adjustments to reconcile net income (loss) to net cash provided by operating activities: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r>
      <w:tr>
        <w:trPr>
          <w:trHeight w:val="213"/>
        </w:trPr>
        <w:tc>
          <w:tcPr>
            <w:tcW w:w="6700" w:type="dxa"/>
            <w:vAlign w:val="bottom"/>
          </w:tcPr>
          <w:p>
            <w:pPr>
              <w:ind w:left="680"/>
              <w:spacing w:after="0"/>
              <w:rPr>
                <w:sz w:val="20"/>
                <w:szCs w:val="20"/>
                <w:color w:val="auto"/>
              </w:rPr>
            </w:pPr>
            <w:r>
              <w:rPr>
                <w:rFonts w:ascii="Arial" w:cs="Arial" w:eastAsia="Arial" w:hAnsi="Arial"/>
                <w:sz w:val="16"/>
                <w:szCs w:val="16"/>
                <w:color w:val="auto"/>
              </w:rPr>
              <w:t>Depreciation and amortization</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197,912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156,658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123,983</w:t>
            </w:r>
          </w:p>
        </w:tc>
      </w:tr>
      <w:tr>
        <w:trPr>
          <w:trHeight w:val="219"/>
        </w:trPr>
        <w:tc>
          <w:tcPr>
            <w:tcW w:w="6700" w:type="dxa"/>
            <w:vAlign w:val="bottom"/>
            <w:shd w:val="clear" w:color="auto" w:fill="CCEEFF"/>
          </w:tcPr>
          <w:p>
            <w:pPr>
              <w:ind w:left="680"/>
              <w:spacing w:after="0"/>
              <w:rPr>
                <w:sz w:val="20"/>
                <w:szCs w:val="20"/>
                <w:color w:val="auto"/>
              </w:rPr>
            </w:pPr>
            <w:r>
              <w:rPr>
                <w:rFonts w:ascii="Arial" w:cs="Arial" w:eastAsia="Arial" w:hAnsi="Arial"/>
                <w:sz w:val="16"/>
                <w:szCs w:val="16"/>
                <w:color w:val="auto"/>
              </w:rPr>
              <w:t>Share-based compensation</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241,539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242,207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184,064</w:t>
            </w:r>
          </w:p>
        </w:tc>
      </w:tr>
      <w:tr>
        <w:trPr>
          <w:trHeight w:val="213"/>
        </w:trPr>
        <w:tc>
          <w:tcPr>
            <w:tcW w:w="6700" w:type="dxa"/>
            <w:vAlign w:val="bottom"/>
          </w:tcPr>
          <w:p>
            <w:pPr>
              <w:ind w:left="680"/>
              <w:spacing w:after="0"/>
              <w:rPr>
                <w:sz w:val="20"/>
                <w:szCs w:val="20"/>
                <w:color w:val="auto"/>
              </w:rPr>
            </w:pPr>
            <w:r>
              <w:rPr>
                <w:rFonts w:ascii="Arial" w:cs="Arial" w:eastAsia="Arial" w:hAnsi="Arial"/>
                <w:sz w:val="16"/>
                <w:szCs w:val="16"/>
                <w:color w:val="auto"/>
              </w:rPr>
              <w:t>Amortization of acquired intangible assets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443,616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368,082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183,318</w:t>
            </w:r>
          </w:p>
        </w:tc>
      </w:tr>
      <w:tr>
        <w:trPr>
          <w:trHeight w:val="219"/>
        </w:trPr>
        <w:tc>
          <w:tcPr>
            <w:tcW w:w="6700" w:type="dxa"/>
            <w:vAlign w:val="bottom"/>
            <w:shd w:val="clear" w:color="auto" w:fill="CCEEFF"/>
          </w:tcPr>
          <w:p>
            <w:pPr>
              <w:ind w:left="680"/>
              <w:spacing w:after="0"/>
              <w:rPr>
                <w:sz w:val="20"/>
                <w:szCs w:val="20"/>
                <w:color w:val="auto"/>
              </w:rPr>
            </w:pPr>
            <w:r>
              <w:rPr>
                <w:rFonts w:ascii="Arial" w:cs="Arial" w:eastAsia="Arial" w:hAnsi="Arial"/>
                <w:sz w:val="16"/>
                <w:szCs w:val="16"/>
                <w:color w:val="auto"/>
              </w:rPr>
              <w:t>Amortization of inventory fair value adjustment associated with acquisitions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17,284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55,826</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223,372</w:t>
            </w:r>
          </w:p>
        </w:tc>
      </w:tr>
      <w:tr>
        <w:trPr>
          <w:trHeight w:val="213"/>
        </w:trPr>
        <w:tc>
          <w:tcPr>
            <w:tcW w:w="6700" w:type="dxa"/>
            <w:vAlign w:val="bottom"/>
          </w:tcPr>
          <w:p>
            <w:pPr>
              <w:ind w:left="680"/>
              <w:spacing w:after="0"/>
              <w:rPr>
                <w:sz w:val="20"/>
                <w:szCs w:val="20"/>
                <w:color w:val="auto"/>
              </w:rPr>
            </w:pPr>
            <w:r>
              <w:rPr>
                <w:rFonts w:ascii="Arial" w:cs="Arial" w:eastAsia="Arial" w:hAnsi="Arial"/>
                <w:sz w:val="16"/>
                <w:szCs w:val="16"/>
                <w:color w:val="auto"/>
              </w:rPr>
              <w:t>Amortization of deferred debt issuance costs and debt discounts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10,026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6,763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11,354</w:t>
            </w:r>
          </w:p>
        </w:tc>
      </w:tr>
      <w:tr>
        <w:trPr>
          <w:trHeight w:val="219"/>
        </w:trPr>
        <w:tc>
          <w:tcPr>
            <w:tcW w:w="6700" w:type="dxa"/>
            <w:vAlign w:val="bottom"/>
            <w:shd w:val="clear" w:color="auto" w:fill="CCEEFF"/>
          </w:tcPr>
          <w:p>
            <w:pPr>
              <w:ind w:left="680"/>
              <w:spacing w:after="0"/>
              <w:rPr>
                <w:sz w:val="20"/>
                <w:szCs w:val="20"/>
                <w:color w:val="auto"/>
              </w:rPr>
            </w:pPr>
            <w:r>
              <w:rPr>
                <w:rFonts w:ascii="Arial" w:cs="Arial" w:eastAsia="Arial" w:hAnsi="Arial"/>
                <w:sz w:val="16"/>
                <w:szCs w:val="16"/>
                <w:color w:val="auto"/>
              </w:rPr>
              <w:t>Restructuring related impairment charges (gain)</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130,903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17,571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(200)</w:t>
            </w:r>
          </w:p>
        </w:tc>
      </w:tr>
      <w:tr>
        <w:trPr>
          <w:trHeight w:val="213"/>
        </w:trPr>
        <w:tc>
          <w:tcPr>
            <w:tcW w:w="6700" w:type="dxa"/>
            <w:vAlign w:val="bottom"/>
          </w:tcPr>
          <w:p>
            <w:pPr>
              <w:ind w:left="680"/>
              <w:spacing w:after="0"/>
              <w:rPr>
                <w:sz w:val="20"/>
                <w:szCs w:val="20"/>
                <w:color w:val="auto"/>
              </w:rPr>
            </w:pPr>
            <w:r>
              <w:rPr>
                <w:rFonts w:ascii="Arial" w:cs="Arial" w:eastAsia="Arial" w:hAnsi="Arial"/>
                <w:sz w:val="16"/>
                <w:szCs w:val="16"/>
                <w:color w:val="auto"/>
              </w:rPr>
              <w:t>Deferred income taxes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(39,491)</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(785,158)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118,647</w:t>
            </w:r>
          </w:p>
        </w:tc>
      </w:tr>
      <w:tr>
        <w:trPr>
          <w:trHeight w:val="219"/>
        </w:trPr>
        <w:tc>
          <w:tcPr>
            <w:tcW w:w="6700" w:type="dxa"/>
            <w:vAlign w:val="bottom"/>
            <w:shd w:val="clear" w:color="auto" w:fill="CCEEFF"/>
          </w:tcPr>
          <w:p>
            <w:pPr>
              <w:ind w:left="680"/>
              <w:spacing w:after="0"/>
              <w:rPr>
                <w:sz w:val="20"/>
                <w:szCs w:val="20"/>
                <w:color w:val="auto"/>
              </w:rPr>
            </w:pPr>
            <w:r>
              <w:rPr>
                <w:rFonts w:ascii="Arial" w:cs="Arial" w:eastAsia="Arial" w:hAnsi="Arial"/>
                <w:sz w:val="16"/>
                <w:szCs w:val="16"/>
                <w:color w:val="auto"/>
              </w:rPr>
              <w:t>Loss (gain) on sale of business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(1,121,709)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1,592</w:t>
            </w:r>
          </w:p>
        </w:tc>
      </w:tr>
      <w:tr>
        <w:trPr>
          <w:trHeight w:val="213"/>
        </w:trPr>
        <w:tc>
          <w:tcPr>
            <w:tcW w:w="6700" w:type="dxa"/>
            <w:vAlign w:val="bottom"/>
          </w:tcPr>
          <w:p>
            <w:pPr>
              <w:ind w:left="680"/>
              <w:spacing w:after="0"/>
              <w:rPr>
                <w:sz w:val="20"/>
                <w:szCs w:val="20"/>
                <w:color w:val="auto"/>
              </w:rPr>
            </w:pPr>
            <w:r>
              <w:rPr>
                <w:rFonts w:ascii="Arial" w:cs="Arial" w:eastAsia="Arial" w:hAnsi="Arial"/>
                <w:sz w:val="16"/>
                <w:szCs w:val="16"/>
                <w:color w:val="auto"/>
              </w:rPr>
              <w:t>Other expense, net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24,923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26,448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4,154</w:t>
            </w:r>
          </w:p>
        </w:tc>
      </w:tr>
      <w:tr>
        <w:trPr>
          <w:trHeight w:val="219"/>
        </w:trPr>
        <w:tc>
          <w:tcPr>
            <w:tcW w:w="6700" w:type="dxa"/>
            <w:vAlign w:val="bottom"/>
            <w:shd w:val="clear" w:color="auto" w:fill="CCEEFF"/>
          </w:tcPr>
          <w:p>
            <w:pPr>
              <w:ind w:left="680"/>
              <w:spacing w:after="0"/>
              <w:rPr>
                <w:sz w:val="20"/>
                <w:szCs w:val="20"/>
                <w:color w:val="auto"/>
              </w:rPr>
            </w:pPr>
            <w:r>
              <w:rPr>
                <w:rFonts w:ascii="Arial" w:cs="Arial" w:eastAsia="Arial" w:hAnsi="Arial"/>
                <w:sz w:val="16"/>
                <w:szCs w:val="16"/>
                <w:color w:val="auto"/>
              </w:rPr>
              <w:t>Changes in assets and liabilities: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r>
      <w:tr>
        <w:trPr>
          <w:trHeight w:val="213"/>
        </w:trPr>
        <w:tc>
          <w:tcPr>
            <w:tcW w:w="6700" w:type="dxa"/>
            <w:vAlign w:val="bottom"/>
          </w:tcPr>
          <w:p>
            <w:pPr>
              <w:ind w:left="1120"/>
              <w:spacing w:after="0"/>
              <w:rPr>
                <w:sz w:val="20"/>
                <w:szCs w:val="20"/>
                <w:color w:val="auto"/>
              </w:rPr>
            </w:pPr>
            <w:r>
              <w:rPr>
                <w:rFonts w:ascii="Arial" w:cs="Arial" w:eastAsia="Arial" w:hAnsi="Arial"/>
                <w:sz w:val="16"/>
                <w:szCs w:val="16"/>
                <w:color w:val="auto"/>
              </w:rPr>
              <w:t>Accounts receivable</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(44,322)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11,244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(99,044)</w:t>
            </w: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Inventories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29,913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12,759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4,348</w:t>
            </w:r>
          </w:p>
        </w:tc>
      </w:tr>
      <w:tr>
        <w:trPr>
          <w:trHeight w:val="213"/>
        </w:trPr>
        <w:tc>
          <w:tcPr>
            <w:tcW w:w="6700" w:type="dxa"/>
            <w:vAlign w:val="bottom"/>
          </w:tcPr>
          <w:p>
            <w:pPr>
              <w:ind w:left="1120"/>
              <w:spacing w:after="0"/>
              <w:rPr>
                <w:sz w:val="20"/>
                <w:szCs w:val="20"/>
                <w:color w:val="auto"/>
              </w:rPr>
            </w:pPr>
            <w:r>
              <w:rPr>
                <w:rFonts w:ascii="Arial" w:cs="Arial" w:eastAsia="Arial" w:hAnsi="Arial"/>
                <w:sz w:val="16"/>
                <w:szCs w:val="16"/>
                <w:color w:val="auto"/>
              </w:rPr>
              <w:t>Prepaid expenses and other assets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(41,634)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(54,138)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(11,685)</w:t>
            </w: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Accounts payable</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39,663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1,658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(6,493)</w:t>
            </w:r>
          </w:p>
        </w:tc>
      </w:tr>
      <w:tr>
        <w:trPr>
          <w:trHeight w:val="213"/>
        </w:trPr>
        <w:tc>
          <w:tcPr>
            <w:tcW w:w="6700" w:type="dxa"/>
            <w:vAlign w:val="bottom"/>
          </w:tcPr>
          <w:p>
            <w:pPr>
              <w:ind w:left="1120"/>
              <w:spacing w:after="0"/>
              <w:rPr>
                <w:sz w:val="20"/>
                <w:szCs w:val="20"/>
                <w:color w:val="auto"/>
              </w:rPr>
            </w:pPr>
            <w:r>
              <w:rPr>
                <w:rFonts w:ascii="Arial" w:cs="Arial" w:eastAsia="Arial" w:hAnsi="Arial"/>
                <w:sz w:val="16"/>
                <w:szCs w:val="16"/>
                <w:color w:val="auto"/>
              </w:rPr>
              <w:t>Accrued liabilities and other non-current liabilities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44,612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(182,893)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85,027</w:t>
            </w: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Accrued employee compensation</w:t>
            </w: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39,641</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20,588</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(46,599)</w:t>
            </w:r>
          </w:p>
        </w:tc>
      </w:tr>
      <w:tr>
        <w:trPr>
          <w:trHeight w:val="206"/>
        </w:trPr>
        <w:tc>
          <w:tcPr>
            <w:tcW w:w="6700" w:type="dxa"/>
            <w:vAlign w:val="bottom"/>
            <w:tcBorders>
              <w:bottom w:val="single" w:sz="8" w:color="CCEEFF"/>
            </w:tcBorders>
          </w:tcPr>
          <w:p>
            <w:pPr>
              <w:ind w:left="1440"/>
              <w:spacing w:after="0"/>
              <w:rPr>
                <w:sz w:val="20"/>
                <w:szCs w:val="20"/>
                <w:color w:val="auto"/>
              </w:rPr>
            </w:pPr>
            <w:r>
              <w:rPr>
                <w:rFonts w:ascii="Arial" w:cs="Arial" w:eastAsia="Arial" w:hAnsi="Arial"/>
                <w:sz w:val="16"/>
                <w:szCs w:val="16"/>
                <w:color w:val="auto"/>
              </w:rPr>
              <w:t>Net cash provided by operating activities</w:t>
            </w: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817,287</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360,297</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596,744</w:t>
            </w:r>
          </w:p>
        </w:tc>
      </w:tr>
      <w:tr>
        <w:trPr>
          <w:trHeight w:val="199"/>
        </w:trPr>
        <w:tc>
          <w:tcPr>
            <w:tcW w:w="6700" w:type="dxa"/>
            <w:vAlign w:val="bottom"/>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investing activities:</w:t>
            </w: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Purchases of available-for-sale securities</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(14,956)</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Sales of available-for-sale securities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18,832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623,896</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Maturities of available-for-sale securities</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187,985</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Purchases of time deposits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(25,000)</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Maturities of time deposits</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175,000</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Purchases of technology licenses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(12,708)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(4,712)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(11,540)</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Purchases of property and equipment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(106,798)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(81,921)</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(75,921)</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Proceeds from sales of property and equipment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738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620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43,525</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Cash payment for acquisitions, net of cash and cash equivalents acquired</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(1,071,079)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(2,649,465)</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Net proceeds from sale of business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1,698,783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(3,352)</w:t>
            </w:r>
          </w:p>
        </w:tc>
      </w:tr>
      <w:tr>
        <w:trPr>
          <w:trHeight w:val="213"/>
        </w:trPr>
        <w:tc>
          <w:tcPr>
            <w:tcW w:w="6700" w:type="dxa"/>
            <w:vAlign w:val="bottom"/>
            <w:tcBorders>
              <w:bottom w:val="single" w:sz="8" w:color="CCEEFF"/>
            </w:tcBorders>
          </w:tcPr>
          <w:p>
            <w:pPr>
              <w:ind w:left="360"/>
              <w:spacing w:after="0"/>
              <w:rPr>
                <w:sz w:val="20"/>
                <w:szCs w:val="20"/>
                <w:color w:val="auto"/>
              </w:rPr>
            </w:pPr>
            <w:r>
              <w:rPr>
                <w:rFonts w:ascii="Arial" w:cs="Arial" w:eastAsia="Arial" w:hAnsi="Arial"/>
                <w:sz w:val="16"/>
                <w:szCs w:val="16"/>
                <w:color w:val="auto"/>
              </w:rPr>
              <w:t>Other, net</w:t>
            </w: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(876)</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(1,677)</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(2,725)</w:t>
            </w:r>
          </w:p>
        </w:tc>
      </w:tr>
      <w:tr>
        <w:trPr>
          <w:trHeight w:val="212"/>
        </w:trPr>
        <w:tc>
          <w:tcPr>
            <w:tcW w:w="6700" w:type="dxa"/>
            <w:vAlign w:val="bottom"/>
            <w:shd w:val="clear" w:color="auto" w:fill="CCEEFF"/>
          </w:tcPr>
          <w:p>
            <w:pPr>
              <w:ind w:left="1440"/>
              <w:spacing w:after="0"/>
              <w:rPr>
                <w:sz w:val="20"/>
                <w:szCs w:val="20"/>
                <w:color w:val="auto"/>
              </w:rPr>
            </w:pPr>
            <w:r>
              <w:rPr>
                <w:rFonts w:ascii="Arial" w:cs="Arial" w:eastAsia="Arial" w:hAnsi="Arial"/>
                <w:sz w:val="16"/>
                <w:szCs w:val="16"/>
                <w:color w:val="auto"/>
              </w:rPr>
              <w:t>Net cash provided by (used in) investing activities</w:t>
            </w:r>
          </w:p>
        </w:tc>
        <w:tc>
          <w:tcPr>
            <w:tcW w:w="220" w:type="dxa"/>
            <w:vAlign w:val="bottom"/>
            <w:tcBorders>
              <w:bottom w:val="single" w:sz="8" w:color="auto"/>
            </w:tcBorders>
            <w:shd w:val="clear" w:color="auto" w:fill="CCEEFF"/>
          </w:tcPr>
          <w:p>
            <w:pPr>
              <w:spacing w:after="0"/>
              <w:rPr>
                <w:sz w:val="18"/>
                <w:szCs w:val="18"/>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(119,644)</w:t>
            </w:r>
          </w:p>
        </w:tc>
        <w:tc>
          <w:tcPr>
            <w:tcW w:w="10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558,846</w:t>
            </w:r>
          </w:p>
        </w:tc>
        <w:tc>
          <w:tcPr>
            <w:tcW w:w="10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(1,752,553)</w:t>
            </w:r>
          </w:p>
        </w:tc>
      </w:tr>
      <w:tr>
        <w:trPr>
          <w:trHeight w:val="193"/>
        </w:trPr>
        <w:tc>
          <w:tcPr>
            <w:tcW w:w="6700" w:type="dxa"/>
            <w:vAlign w:val="bottom"/>
          </w:tcPr>
          <w:p>
            <w:pPr>
              <w:ind w:left="20"/>
              <w:spacing w:after="0"/>
              <w:rPr>
                <w:sz w:val="20"/>
                <w:szCs w:val="20"/>
                <w:color w:val="auto"/>
              </w:rPr>
            </w:pPr>
            <w:r>
              <w:rPr>
                <w:rFonts w:ascii="Arial" w:cs="Arial" w:eastAsia="Arial" w:hAnsi="Arial"/>
                <w:sz w:val="16"/>
                <w:szCs w:val="16"/>
                <w:b w:val="1"/>
                <w:bCs w:val="1"/>
                <w:color w:val="auto"/>
              </w:rPr>
              <w:t>Cash flows from financing activities:</w:t>
            </w:r>
          </w:p>
        </w:tc>
        <w:tc>
          <w:tcPr>
            <w:tcW w:w="2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Repurchases of common stock</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(25,202)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(364,272)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(103,974)</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Proceeds from employee stock plans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86,635</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147,276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100,961</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Tax withholding paid on behalf of employees for net share settlement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(108,094)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(98,302)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(54,939)</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Dividend payments to shareholders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(160,574)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(159,573)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(148,081)</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Payments on technology license obligations</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(100,018)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(72,266)</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(69,157)</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Proceeds from issuance of debt</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950,000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1,892,605</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Principal payments of debt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(250,000)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(1,250,000)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(756,128)</w:t>
            </w:r>
          </w:p>
        </w:tc>
      </w:tr>
      <w:tr>
        <w:trPr>
          <w:trHeight w:val="213"/>
        </w:trPr>
        <w:tc>
          <w:tcPr>
            <w:tcW w:w="6700" w:type="dxa"/>
            <w:vAlign w:val="bottom"/>
          </w:tcPr>
          <w:p>
            <w:pPr>
              <w:ind w:left="360"/>
              <w:spacing w:after="0"/>
              <w:rPr>
                <w:sz w:val="20"/>
                <w:szCs w:val="20"/>
                <w:color w:val="auto"/>
              </w:rPr>
            </w:pPr>
            <w:r>
              <w:rPr>
                <w:rFonts w:ascii="Arial" w:cs="Arial" w:eastAsia="Arial" w:hAnsi="Arial"/>
                <w:sz w:val="16"/>
                <w:szCs w:val="16"/>
                <w:color w:val="auto"/>
              </w:rPr>
              <w:t>Payment of equity and debt financing costs</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(38,023)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6"/>
                <w:szCs w:val="16"/>
                <w:color w:val="auto"/>
              </w:rPr>
              <w:t>(11,550)</w:t>
            </w:r>
          </w:p>
        </w:tc>
      </w:tr>
      <w:tr>
        <w:trPr>
          <w:trHeight w:val="219"/>
        </w:trPr>
        <w:tc>
          <w:tcPr>
            <w:tcW w:w="6700" w:type="dxa"/>
            <w:vAlign w:val="bottom"/>
            <w:shd w:val="clear" w:color="auto" w:fill="CCEEFF"/>
          </w:tcPr>
          <w:p>
            <w:pPr>
              <w:ind w:left="360"/>
              <w:spacing w:after="0"/>
              <w:rPr>
                <w:sz w:val="20"/>
                <w:szCs w:val="20"/>
                <w:color w:val="auto"/>
              </w:rPr>
            </w:pPr>
            <w:r>
              <w:rPr>
                <w:rFonts w:ascii="Arial" w:cs="Arial" w:eastAsia="Arial" w:hAnsi="Arial"/>
                <w:sz w:val="16"/>
                <w:szCs w:val="16"/>
                <w:color w:val="auto"/>
              </w:rPr>
              <w:t>Other, net</w:t>
            </w: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(1,504)</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(6,812)</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r>
      <w:tr>
        <w:trPr>
          <w:trHeight w:val="206"/>
        </w:trPr>
        <w:tc>
          <w:tcPr>
            <w:tcW w:w="6700" w:type="dxa"/>
            <w:vAlign w:val="bottom"/>
            <w:tcBorders>
              <w:bottom w:val="single" w:sz="8" w:color="CCEEFF"/>
            </w:tcBorders>
          </w:tcPr>
          <w:p>
            <w:pPr>
              <w:ind w:left="1440"/>
              <w:spacing w:after="0"/>
              <w:rPr>
                <w:sz w:val="20"/>
                <w:szCs w:val="20"/>
                <w:color w:val="auto"/>
              </w:rPr>
            </w:pPr>
            <w:r>
              <w:rPr>
                <w:rFonts w:ascii="Arial" w:cs="Arial" w:eastAsia="Arial" w:hAnsi="Arial"/>
                <w:sz w:val="16"/>
                <w:szCs w:val="16"/>
                <w:color w:val="auto"/>
              </w:rPr>
              <w:t>Net cash provided by (used in) in financing activities</w:t>
            </w: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(596,780)</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(853,949)</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849,737</w:t>
            </w:r>
          </w:p>
        </w:tc>
      </w:tr>
      <w:tr>
        <w:trPr>
          <w:trHeight w:val="213"/>
        </w:trPr>
        <w:tc>
          <w:tcPr>
            <w:tcW w:w="6700" w:type="dxa"/>
            <w:vAlign w:val="bottom"/>
            <w:shd w:val="clear" w:color="auto" w:fill="CCEEFF"/>
          </w:tcPr>
          <w:p>
            <w:pPr>
              <w:ind w:left="20"/>
              <w:spacing w:after="0"/>
              <w:rPr>
                <w:sz w:val="20"/>
                <w:szCs w:val="20"/>
                <w:color w:val="auto"/>
              </w:rPr>
            </w:pPr>
            <w:r>
              <w:rPr>
                <w:rFonts w:ascii="Arial" w:cs="Arial" w:eastAsia="Arial" w:hAnsi="Arial"/>
                <w:sz w:val="16"/>
                <w:szCs w:val="16"/>
                <w:color w:val="auto"/>
              </w:rPr>
              <w:t>Net increase (decrease) in cash and cash equivalents</w:t>
            </w: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100,863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65,194</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(306,072)</w:t>
            </w:r>
          </w:p>
        </w:tc>
      </w:tr>
      <w:tr>
        <w:trPr>
          <w:trHeight w:val="213"/>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Cash and cash equivalents at beginning of the year</w:t>
            </w: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647,604</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582,410</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888,482</w:t>
            </w:r>
          </w:p>
        </w:tc>
      </w:tr>
      <w:tr>
        <w:trPr>
          <w:trHeight w:val="235"/>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Cash and cash equivalents at end of the year</w:t>
            </w: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748,467</w:t>
            </w:r>
          </w:p>
        </w:tc>
        <w:tc>
          <w:tcPr>
            <w:tcW w:w="1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647,604</w:t>
            </w:r>
          </w:p>
        </w:tc>
        <w:tc>
          <w:tcPr>
            <w:tcW w:w="1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582,410</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220"/>
          </w:cols>
          <w:pgMar w:left="320" w:top="225" w:right="359" w:bottom="1440" w:gutter="0" w:footer="0" w:header="0"/>
        </w:sectPr>
      </w:pPr>
    </w:p>
    <w:p>
      <w:pPr>
        <w:spacing w:after="0" w:line="279"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type w:val="continuous"/>
        </w:sectPr>
      </w:pPr>
    </w:p>
    <w:bookmarkStart w:id="62" w:name="page63"/>
    <w:bookmarkEnd w:id="62"/>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Basis of Presentation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The Company</w:t>
      </w:r>
    </w:p>
    <w:p>
      <w:pPr>
        <w:spacing w:after="0" w:line="117"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Marvell Technology Group Ltd., a Bermuda exempted company, and its subsidiaries (the “Company”), is a fabless semiconductor provider of high-performance application-specific standard products. The Company’s core strength is the development of complex System-on-a-Chip devices, leveraging its extensive technology portfolio of intellectual property in the areas of analog, mixed-signal, digital signal processing, and embedded and standalone integrated circuits. The Company also develops platforms that it defines as integrated hardware along with software that incorporates digital computing technologies designed and configured to provide an optimized computing solution. The Company’s broad product portfolio includes devices for networking and storage.</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40" w:firstLine="405"/>
        <w:spacing w:after="0" w:line="311" w:lineRule="auto"/>
        <w:rPr>
          <w:sz w:val="20"/>
          <w:szCs w:val="20"/>
          <w:color w:val="auto"/>
        </w:rPr>
      </w:pPr>
      <w:r>
        <w:rPr>
          <w:rFonts w:ascii="Arial" w:cs="Arial" w:eastAsia="Arial" w:hAnsi="Arial"/>
          <w:sz w:val="16"/>
          <w:szCs w:val="16"/>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2021, fiscal 2020 and fiscal 2019 each had a 52-week period. Certain prior period amounts have been reclassified to conform to current year presentation.</w:t>
      </w:r>
    </w:p>
    <w:p>
      <w:pPr>
        <w:spacing w:after="0" w:line="41" w:lineRule="exact"/>
        <w:rPr>
          <w:sz w:val="20"/>
          <w:szCs w:val="20"/>
          <w:color w:val="auto"/>
        </w:rPr>
      </w:pPr>
    </w:p>
    <w:p>
      <w:pPr>
        <w:ind w:right="160" w:firstLine="405"/>
        <w:spacing w:after="0" w:line="271" w:lineRule="auto"/>
        <w:rPr>
          <w:sz w:val="20"/>
          <w:szCs w:val="20"/>
          <w:color w:val="auto"/>
        </w:rPr>
      </w:pPr>
      <w:r>
        <w:rPr>
          <w:rFonts w:ascii="Arial" w:cs="Arial" w:eastAsia="Arial" w:hAnsi="Arial"/>
          <w:sz w:val="17"/>
          <w:szCs w:val="17"/>
          <w:color w:val="auto"/>
        </w:rPr>
        <w:t>On October 29, 2020, the Company entered into a merger agreement (the “Merger Agreement”) with Inphi Corporation (“Inphi”), whereby the Company will pay Inphi's stockholders $66 per share in cash and 2.323 common shares for each Inphi share, which represented purchase consideration of approximately $10.0 billion as of that date. The Company intends to fund the cash consideration with $4.25 billion in debt financing, and has obtained commitments consisting of a $2.5 billion bridge loan commitment, a $875 million 3-year term loan facility commitment and a $875 million 5-year term loan facility commitment from JP Morgan Chase Bank, N.A., in each case subject to customary terms and conditions. The transaction is not subject to financing conditions. As of January 30, 2021, there was $33.4 million of associated deferred debt financing and equity issuance costs, of which $11.7 million is included in prepaid expenses and other current assets, and $21.7 million is included in other non-current assets on the accompanying consolidated balance sheet as of January 30, 2021.</w:t>
      </w:r>
    </w:p>
    <w:p>
      <w:pPr>
        <w:spacing w:after="0" w:line="70" w:lineRule="exact"/>
        <w:rPr>
          <w:sz w:val="20"/>
          <w:szCs w:val="20"/>
          <w:color w:val="auto"/>
        </w:rPr>
      </w:pPr>
    </w:p>
    <w:p>
      <w:pPr>
        <w:ind w:right="80" w:firstLine="405"/>
        <w:spacing w:after="0" w:line="254" w:lineRule="auto"/>
        <w:rPr>
          <w:sz w:val="20"/>
          <w:szCs w:val="20"/>
          <w:color w:val="auto"/>
        </w:rPr>
      </w:pPr>
      <w:r>
        <w:rPr>
          <w:rFonts w:ascii="Arial" w:cs="Arial" w:eastAsia="Arial" w:hAnsi="Arial"/>
          <w:sz w:val="18"/>
          <w:szCs w:val="18"/>
          <w:color w:val="auto"/>
        </w:rPr>
        <w:t>The transaction is expected to close in the second half of calendar 2021, pending approval by Inphi's and the Company's stockholders, as well as regulatory approval and satisfaction of other customary closing conditions. As a result of the transaction, the parent company will be domiciled in the United States upon closing of the transaction. For periods after closing, the combined company will be subject to taxation in the United States, which may adversely impact the Company's future effective tax rates and tax liabilities. A fee of up to $460.0 million may be payable by the Company or $300.0 million payable by Inphi upon termination of the transaction, as more fully described in the Merger Agreement. If the Merger Agreement is terminated due to failure to obtain stockholder approval, the party whose stockholders did not approve the transaction will be obligated to reimburse the other party up to $25.0 million for its merger related fees and costs.</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Significant Accounting Policies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The preparation of consolidated financial statements in conformity with accounting principles generally accepted in the United States of America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117"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225" w:right="339" w:bottom="1440" w:gutter="0" w:footer="0" w:header="0"/>
        </w:sectPr>
      </w:pPr>
    </w:p>
    <w:bookmarkStart w:id="63" w:name="page64"/>
    <w:bookmarkEnd w:id="6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ind w:right="780" w:firstLine="405"/>
        <w:spacing w:after="0" w:line="277" w:lineRule="auto"/>
        <w:rPr>
          <w:sz w:val="20"/>
          <w:szCs w:val="20"/>
          <w:color w:val="auto"/>
        </w:rPr>
      </w:pPr>
      <w:r>
        <w:rPr>
          <w:rFonts w:ascii="Arial" w:cs="Arial" w:eastAsia="Arial" w:hAnsi="Arial"/>
          <w:sz w:val="18"/>
          <w:szCs w:val="18"/>
          <w:color w:val="auto"/>
        </w:rPr>
        <w:t>The Company considers all highly liquid investments with an original maturity of three months or less from the date of purchase to be cash equivalents. Cash and cash equivalents consist of cash on deposit with banks and time deposits.</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117" w:lineRule="exact"/>
        <w:rPr>
          <w:sz w:val="20"/>
          <w:szCs w:val="20"/>
          <w:color w:val="auto"/>
        </w:rPr>
      </w:pPr>
    </w:p>
    <w:p>
      <w:pPr>
        <w:ind w:right="160" w:firstLine="405"/>
        <w:spacing w:after="0" w:line="271" w:lineRule="auto"/>
        <w:rPr>
          <w:sz w:val="20"/>
          <w:szCs w:val="20"/>
          <w:color w:val="auto"/>
        </w:rPr>
      </w:pPr>
      <w:r>
        <w:rPr>
          <w:rFonts w:ascii="Arial" w:cs="Arial" w:eastAsia="Arial" w:hAnsi="Arial"/>
          <w:sz w:val="17"/>
          <w:szCs w:val="17"/>
          <w:color w:val="auto"/>
        </w:rPr>
        <w:t>Financial instruments that potentially subject the Company to a significant concentration of credit risk consist principally of cash equivalents and accounts receivable. Cash and cash equivalents are maintained with high-quality financial institutions, the composition and maturities of which are regularly monitored by management. The Company believes that the concentration of credit risk in its trade receivables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reasonable and supportable forecasts, age of the accounts receivable balances and current economic conditions that may affect a customer’s ability to pay.</w:t>
      </w:r>
    </w:p>
    <w:p>
      <w:pPr>
        <w:spacing w:after="0" w:line="70"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The Company’s accounts receivable was concentrated with four customers at January 30, 2021, who comprise a total of 53% of gross accounts receivable, compared with four customers at February 1, 2020, who represented 38% of gross accounts receivable, respectively. This presentation is at the customer consolidated level.</w:t>
      </w:r>
    </w:p>
    <w:p>
      <w:pPr>
        <w:spacing w:after="0" w:line="76" w:lineRule="exact"/>
        <w:rPr>
          <w:sz w:val="20"/>
          <w:szCs w:val="20"/>
          <w:color w:val="auto"/>
        </w:rPr>
      </w:pPr>
    </w:p>
    <w:p>
      <w:pPr>
        <w:ind w:right="100" w:firstLine="405"/>
        <w:spacing w:after="0" w:line="31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During fiscal 2021, there was no net revenue attributable to one customer, other than one distributor, whose revenue was 10% or greater of total net revenues. Net revenue attributable to significant customers whose revenues as a percentage of net revenue was 10% or greater of total net revenues is presented in the following table:</w:t>
      </w:r>
    </w:p>
    <w:p>
      <w:pPr>
        <w:spacing w:after="0" w:line="7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80" w:type="dxa"/>
            <w:vAlign w:val="bottom"/>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2"/>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1540" w:type="dxa"/>
            <w:vAlign w:val="bottom"/>
            <w:tcBorders>
              <w:bottom w:val="single" w:sz="8" w:color="auto"/>
            </w:tcBorders>
          </w:tcPr>
          <w:p>
            <w:pPr>
              <w:spacing w:after="0"/>
              <w:rPr>
                <w:sz w:val="16"/>
                <w:szCs w:val="16"/>
                <w:color w:val="auto"/>
              </w:rPr>
            </w:pPr>
          </w:p>
        </w:tc>
      </w:tr>
      <w:tr>
        <w:trPr>
          <w:trHeight w:val="187"/>
        </w:trPr>
        <w:tc>
          <w:tcPr>
            <w:tcW w:w="6380" w:type="dxa"/>
            <w:vAlign w:val="bottom"/>
          </w:tcPr>
          <w:p>
            <w:pPr>
              <w:spacing w:after="0"/>
              <w:rPr>
                <w:sz w:val="16"/>
                <w:szCs w:val="16"/>
                <w:color w:val="auto"/>
              </w:rPr>
            </w:pPr>
          </w:p>
        </w:tc>
        <w:tc>
          <w:tcPr>
            <w:tcW w:w="1640" w:type="dxa"/>
            <w:vAlign w:val="bottom"/>
            <w:gridSpan w:val="2"/>
          </w:tcPr>
          <w:p>
            <w:pPr>
              <w:ind w:left="240"/>
              <w:spacing w:after="0"/>
              <w:rPr>
                <w:sz w:val="20"/>
                <w:szCs w:val="20"/>
                <w:color w:val="auto"/>
              </w:rPr>
            </w:pPr>
            <w:r>
              <w:rPr>
                <w:rFonts w:ascii="Arial" w:cs="Arial" w:eastAsia="Arial" w:hAnsi="Arial"/>
                <w:sz w:val="14"/>
                <w:szCs w:val="14"/>
                <w:b w:val="1"/>
                <w:bCs w:val="1"/>
                <w:color w:val="auto"/>
              </w:rPr>
              <w:t>January 30, 2021</w:t>
            </w:r>
          </w:p>
        </w:tc>
        <w:tc>
          <w:tcPr>
            <w:tcW w:w="16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4"/>
              </w:rPr>
              <w:t>February 1, 2020</w:t>
            </w:r>
          </w:p>
        </w:tc>
        <w:tc>
          <w:tcPr>
            <w:tcW w:w="1540" w:type="dxa"/>
            <w:vAlign w:val="bottom"/>
          </w:tcPr>
          <w:p>
            <w:pPr>
              <w:jc w:val="right"/>
              <w:ind w:right="174"/>
              <w:spacing w:after="0"/>
              <w:rPr>
                <w:sz w:val="20"/>
                <w:szCs w:val="20"/>
                <w:color w:val="auto"/>
              </w:rPr>
            </w:pPr>
            <w:r>
              <w:rPr>
                <w:rFonts w:ascii="Arial" w:cs="Arial" w:eastAsia="Arial" w:hAnsi="Arial"/>
                <w:sz w:val="14"/>
                <w:szCs w:val="14"/>
                <w:b w:val="1"/>
                <w:bCs w:val="1"/>
                <w:color w:val="auto"/>
              </w:rPr>
              <w:t>February 2, 2019</w:t>
            </w:r>
          </w:p>
        </w:tc>
      </w:tr>
      <w:tr>
        <w:trPr>
          <w:trHeight w:val="211"/>
        </w:trPr>
        <w:tc>
          <w:tcPr>
            <w:tcW w:w="6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Customer:</w:t>
            </w:r>
          </w:p>
        </w:tc>
        <w:tc>
          <w:tcPr>
            <w:tcW w:w="15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Western Digital</w:t>
            </w: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12 %</w:t>
            </w:r>
          </w:p>
        </w:tc>
      </w:tr>
      <w:tr>
        <w:trPr>
          <w:trHeight w:val="229"/>
        </w:trPr>
        <w:tc>
          <w:tcPr>
            <w:tcW w:w="63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Toshiba **</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11 %</w:t>
            </w: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Seagate</w:t>
            </w: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30"/>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5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spacing w:after="0"/>
              <w:rPr>
                <w:sz w:val="19"/>
                <w:szCs w:val="19"/>
                <w:color w:val="auto"/>
              </w:rPr>
            </w:pPr>
          </w:p>
        </w:tc>
      </w:tr>
      <w:tr>
        <w:trPr>
          <w:trHeight w:val="230"/>
        </w:trPr>
        <w:tc>
          <w:tcPr>
            <w:tcW w:w="6380" w:type="dxa"/>
            <w:vAlign w:val="bottom"/>
          </w:tcPr>
          <w:p>
            <w:pPr>
              <w:ind w:left="360"/>
              <w:spacing w:after="0"/>
              <w:rPr>
                <w:sz w:val="20"/>
                <w:szCs w:val="20"/>
                <w:color w:val="auto"/>
              </w:rPr>
            </w:pPr>
            <w:r>
              <w:rPr>
                <w:rFonts w:ascii="Arial" w:cs="Arial" w:eastAsia="Arial" w:hAnsi="Arial"/>
                <w:sz w:val="18"/>
                <w:szCs w:val="18"/>
                <w:color w:val="auto"/>
              </w:rPr>
              <w:t>Wintech</w:t>
            </w:r>
          </w:p>
        </w:tc>
        <w:tc>
          <w:tcPr>
            <w:tcW w:w="1540" w:type="dxa"/>
            <w:vAlign w:val="bottom"/>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23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Less than 10% of net</w:t>
      </w:r>
    </w:p>
    <w:p>
      <w:pPr>
        <w:ind w:left="360" w:right="580" w:hanging="10"/>
        <w:spacing w:after="0" w:line="226" w:lineRule="auto"/>
        <w:tabs>
          <w:tab w:leader="none" w:pos="585"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percentage of net revenue reported for Toshiba for fiscal year 2019 excludes net revenue of Toshiba Memory Corporation after Toshiba divested Toshiba Memory Corporation during fiscal year 2019.</w:t>
      </w:r>
    </w:p>
    <w:p>
      <w:pPr>
        <w:spacing w:after="0" w:line="94" w:lineRule="exact"/>
        <w:rPr>
          <w:sz w:val="20"/>
          <w:szCs w:val="20"/>
          <w:color w:val="auto"/>
        </w:rPr>
      </w:pPr>
    </w:p>
    <w:p>
      <w:pPr>
        <w:ind w:right="360" w:firstLine="405"/>
        <w:spacing w:after="0" w:line="277" w:lineRule="auto"/>
        <w:rPr>
          <w:sz w:val="20"/>
          <w:szCs w:val="20"/>
          <w:color w:val="auto"/>
        </w:rPr>
      </w:pPr>
      <w:r>
        <w:rPr>
          <w:rFonts w:ascii="Arial" w:cs="Arial" w:eastAsia="Arial" w:hAnsi="Arial"/>
          <w:sz w:val="18"/>
          <w:szCs w:val="18"/>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Inventories</w:t>
      </w:r>
    </w:p>
    <w:p>
      <w:pPr>
        <w:spacing w:after="0" w:line="117"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Inventory is stated at the lower of cost or net realizable value, cost being determined under the first-in, first-out method. The total carrying value of the Company’s inventory is reduced for any difference between cost and estimated net realizable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is sold or otherwise disposed. Inventoriable shipping and handling costs are classified as a component of cost of goods sold in the consolidated statements of operations.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117" w:lineRule="exact"/>
        <w:rPr>
          <w:sz w:val="20"/>
          <w:szCs w:val="20"/>
          <w:color w:val="auto"/>
        </w:rPr>
      </w:pPr>
    </w:p>
    <w:p>
      <w:pPr>
        <w:ind w:right="40" w:firstLine="405"/>
        <w:spacing w:after="0" w:line="301"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2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2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64" w:name="page65"/>
    <w:bookmarkEnd w:id="6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180" w:firstLine="405"/>
        <w:spacing w:after="0" w:line="257"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 or the Company may determine to proceed directly to the quantitative impairment test.</w:t>
      </w:r>
    </w:p>
    <w:p>
      <w:pPr>
        <w:spacing w:after="0" w:line="80" w:lineRule="exact"/>
        <w:rPr>
          <w:sz w:val="20"/>
          <w:szCs w:val="20"/>
          <w:color w:val="auto"/>
        </w:rPr>
      </w:pPr>
    </w:p>
    <w:p>
      <w:pPr>
        <w:ind w:right="100" w:firstLine="405"/>
        <w:spacing w:after="0" w:line="293" w:lineRule="auto"/>
        <w:rPr>
          <w:sz w:val="20"/>
          <w:szCs w:val="20"/>
          <w:color w:val="auto"/>
        </w:rPr>
      </w:pPr>
      <w:r>
        <w:rPr>
          <w:rFonts w:ascii="Arial" w:cs="Arial" w:eastAsia="Arial" w:hAnsi="Arial"/>
          <w:sz w:val="16"/>
          <w:szCs w:val="16"/>
          <w:color w:val="auto"/>
        </w:rPr>
        <w:t>If the Company assesses qualitative factors and concludes that it is more likely than not that the fair value of a reporting unit is less than its carrying amount or if the Company determines not to use the qualitative assessment, then a quantitative impairment test is performed. The quantitative impairment test requires comparing the fair value of the reporting unit to its carrying value, including goodwill. The Company has identified that its business operates as a single operating segment with two components (Networking and Storage), which it has concluded can be aggregated into a single reporting unit for purposes of testing goodwill impairment. An impairment exists if the fair value of the reporting unit is lower than its carrying value. If the fair value of the reporting unit is lower than its carrying value, the Company would record an impairment loss in the fiscal quarter in which the determination is made.</w:t>
      </w:r>
    </w:p>
    <w:p>
      <w:pPr>
        <w:spacing w:after="0" w:line="5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117" w:lineRule="exact"/>
        <w:rPr>
          <w:sz w:val="20"/>
          <w:szCs w:val="20"/>
          <w:color w:val="auto"/>
        </w:rPr>
      </w:pPr>
    </w:p>
    <w:p>
      <w:pPr>
        <w:ind w:right="200" w:firstLine="405"/>
        <w:spacing w:after="0" w:line="255" w:lineRule="auto"/>
        <w:rPr>
          <w:sz w:val="20"/>
          <w:szCs w:val="20"/>
          <w:color w:val="auto"/>
        </w:rPr>
      </w:pPr>
      <w:r>
        <w:rPr>
          <w:rFonts w:ascii="Arial" w:cs="Arial" w:eastAsia="Arial" w:hAnsi="Arial"/>
          <w:sz w:val="18"/>
          <w:szCs w:val="18"/>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5 - Goodwill and Acquired Intangible Assets, Net” for further details regarding impairment of acquisition-related identified intangible assets.</w:t>
      </w:r>
    </w:p>
    <w:p>
      <w:pPr>
        <w:spacing w:after="0" w:line="84"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except for certain customer contracts and related relationships, which are amortized using an accelerated method of amortization over the expected customer lives. In-process research and development (“IPR&amp;D”) is not amortized until the completion of the related development.</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Leases</w:t>
      </w:r>
    </w:p>
    <w:p>
      <w:pPr>
        <w:spacing w:after="0" w:line="11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The Company determines if an arrangement is a lease at inception. Operating lease right-of-use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117"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functional currency of all of the Company’s non-United States (“U.S.”)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117" w:lineRule="exact"/>
        <w:rPr>
          <w:sz w:val="20"/>
          <w:szCs w:val="20"/>
          <w:color w:val="auto"/>
        </w:rPr>
      </w:pPr>
    </w:p>
    <w:p>
      <w:pPr>
        <w:ind w:right="80" w:firstLine="405"/>
        <w:spacing w:after="0" w:line="289" w:lineRule="auto"/>
        <w:rPr>
          <w:sz w:val="20"/>
          <w:szCs w:val="20"/>
          <w:color w:val="auto"/>
        </w:rPr>
      </w:pPr>
      <w:r>
        <w:rPr>
          <w:rFonts w:ascii="Arial" w:cs="Arial" w:eastAsia="Arial" w:hAnsi="Arial"/>
          <w:sz w:val="16"/>
          <w:szCs w:val="16"/>
          <w:color w:val="auto"/>
        </w:rPr>
        <w:t>Product revenue is recognized at a point in time when control of the asset is transferred to the customer. Substantially all of the Company's revenue is derived from product sales.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and other known factors. The Company accounts for rebates by recording reductions to revenue for rebates in the same period that the related revenue is recorded. The amount of these reductions is based upon the terms agreed to with the customer. Product revenue on sales made to distributors with price protection, price discounts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w:t>
      </w: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5" w:name="page66"/>
    <w:bookmarkEnd w:id="65"/>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60" w:firstLine="405"/>
        <w:spacing w:after="0" w:line="263" w:lineRule="auto"/>
        <w:rPr>
          <w:sz w:val="20"/>
          <w:szCs w:val="20"/>
          <w:color w:val="auto"/>
        </w:rPr>
      </w:pPr>
      <w:r>
        <w:rPr>
          <w:rFonts w:ascii="Arial" w:cs="Arial" w:eastAsia="Arial" w:hAnsi="Arial"/>
          <w:sz w:val="18"/>
          <w:szCs w:val="18"/>
          <w:color w:val="auto"/>
        </w:rPr>
        <w:t>A portion of the Company's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76" w:lineRule="exact"/>
        <w:rPr>
          <w:sz w:val="20"/>
          <w:szCs w:val="20"/>
          <w:color w:val="auto"/>
        </w:rPr>
      </w:pPr>
    </w:p>
    <w:p>
      <w:pPr>
        <w:ind w:right="100" w:firstLine="405"/>
        <w:spacing w:after="0" w:line="275"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6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Business Combinations</w:t>
      </w:r>
    </w:p>
    <w:p>
      <w:pPr>
        <w:spacing w:after="0" w:line="117"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color w:val="auto"/>
        </w:rPr>
        <w:t>The Company allocates the fair value of the purchase consideration of its acquisitions to the tangible assets, liabilities, and intangible assets acquired, including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Acquisition-related expenses and related restructuring costs are recognized separately from the business combination and are expensed as incurred.</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Advertising costs are expensed as incurred. The Company recorded $0.6 million, $0.8 million and $0.2 million of advertising costs for fiscal 2021,</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2020 and 2019, respectively, included in selling, general and administrative expenses in the consolidated statements of operations.</w:t>
      </w:r>
    </w:p>
    <w:p>
      <w:pPr>
        <w:spacing w:after="0" w:line="10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117" w:lineRule="exact"/>
        <w:rPr>
          <w:sz w:val="20"/>
          <w:szCs w:val="20"/>
          <w:color w:val="auto"/>
        </w:rPr>
      </w:pPr>
    </w:p>
    <w:p>
      <w:pPr>
        <w:ind w:right="80" w:firstLine="405"/>
        <w:spacing w:after="0" w:line="301" w:lineRule="auto"/>
        <w:rPr>
          <w:sz w:val="20"/>
          <w:szCs w:val="20"/>
          <w:color w:val="auto"/>
        </w:rPr>
      </w:pPr>
      <w:r>
        <w:rPr>
          <w:rFonts w:ascii="Arial" w:cs="Arial" w:eastAsia="Arial" w:hAnsi="Arial"/>
          <w:sz w:val="16"/>
          <w:szCs w:val="16"/>
          <w:color w:val="auto"/>
        </w:rPr>
        <w:t>Share-based compensation is measured at the grant date, based on the fair value of the award, and is recognized as expense over the requisite service vesting period. The Company amortizes share-based compensation expense for time-based awards under the straight-line attribution method over the vesting period. Share-based compensation expense for performance-based awards is recognized when it becomes probable that the performance conditions will be met. The Company amortizes share-based compensation expense for performance-based awards using the accelerated method.</w:t>
      </w:r>
    </w:p>
    <w:p>
      <w:pPr>
        <w:spacing w:after="0" w:line="49" w:lineRule="exact"/>
        <w:rPr>
          <w:sz w:val="20"/>
          <w:szCs w:val="20"/>
          <w:color w:val="auto"/>
        </w:rPr>
      </w:pPr>
    </w:p>
    <w:p>
      <w:pPr>
        <w:ind w:right="480" w:firstLine="405"/>
        <w:spacing w:after="0" w:line="277"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62"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The Company estimates the fair value of stock purchase awards on the date of grant using the Black Scholes option-pricing model. The fair value of performance-based awards based on total shareholder return (“TSR”) and value creation (“VCA”) awards are estimated on the date of grant using a Monte Carlo simulation model.</w:t>
      </w:r>
    </w:p>
    <w:p>
      <w:pPr>
        <w:spacing w:after="0" w:line="76"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Forfeitures are recorded when they occur. Previously recognized expense is reversed for the portion of awards forfeited prior to vesting as and when forfeitures occur.</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117"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Comprehensive income (loss), net of tax is comprised of net income and net change in unrealized gains and losses, on available-for-sale securities and cash flow hedges.</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117" w:lineRule="exact"/>
        <w:rPr>
          <w:sz w:val="20"/>
          <w:szCs w:val="20"/>
          <w:color w:val="auto"/>
        </w:rPr>
      </w:pPr>
    </w:p>
    <w:p>
      <w:pPr>
        <w:jc w:val="both"/>
        <w:ind w:right="60" w:firstLine="405"/>
        <w:spacing w:after="0" w:line="286" w:lineRule="auto"/>
        <w:rPr>
          <w:sz w:val="20"/>
          <w:szCs w:val="20"/>
          <w:color w:val="auto"/>
        </w:rPr>
      </w:pPr>
      <w:r>
        <w:rPr>
          <w:rFonts w:ascii="Arial" w:cs="Arial" w:eastAsia="Arial" w:hAnsi="Arial"/>
          <w:sz w:val="17"/>
          <w:szCs w:val="17"/>
          <w:color w:val="auto"/>
        </w:rPr>
        <w:t>The Company estimates its income taxes in the jurisdictions in which it operates. This process involves estimating the Company's actual tax exposure together with assessing temporary differences resulting from the differing treatment of certain items for tax return and financial statement purposes. These differences result in deferred tax assets and liabilities, which are included in the Company's consolidated balance sheets.</w:t>
      </w:r>
    </w:p>
    <w:p>
      <w:pPr>
        <w:spacing w:after="0" w:line="57" w:lineRule="exact"/>
        <w:rPr>
          <w:sz w:val="20"/>
          <w:szCs w:val="20"/>
          <w:color w:val="auto"/>
        </w:rPr>
      </w:pPr>
    </w:p>
    <w:p>
      <w:pPr>
        <w:ind w:right="240" w:firstLine="405"/>
        <w:spacing w:after="0" w:line="259"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6" w:name="page67"/>
    <w:bookmarkEnd w:id="6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Evaluating the need for an amount of a valuation allowance for deferred tax assets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the Company establishes a valuation allowance for deferred tax assets, when it determines that it is more likely than not that they will not be realized. Valuation allowances have been provided primarily against the U.S. research and development credits. Valuation allowances have also been provided against certain acquired net operating losses and the deferred tax assets of foreign subsidiaries. A change in the assessment of the realizability of deferred tax assets may materially impact the Company's tax provision in the period in which a change occurs. Taxes due on future Global Intangible Low-Taxed Income (GILTI) inclusions in U.S. are recognized as a current period expense when incurred.</w:t>
      </w:r>
    </w:p>
    <w:p>
      <w:pPr>
        <w:spacing w:after="0" w:line="84" w:lineRule="exact"/>
        <w:rPr>
          <w:sz w:val="20"/>
          <w:szCs w:val="20"/>
          <w:color w:val="auto"/>
        </w:rPr>
      </w:pPr>
    </w:p>
    <w:p>
      <w:pPr>
        <w:ind w:right="60" w:firstLine="405"/>
        <w:spacing w:after="0" w:line="271" w:lineRule="auto"/>
        <w:rPr>
          <w:sz w:val="20"/>
          <w:szCs w:val="20"/>
          <w:color w:val="auto"/>
        </w:rPr>
      </w:pPr>
      <w:r>
        <w:rPr>
          <w:rFonts w:ascii="Arial" w:cs="Arial" w:eastAsia="Arial" w:hAnsi="Arial"/>
          <w:sz w:val="17"/>
          <w:szCs w:val="17"/>
          <w:color w:val="auto"/>
        </w:rPr>
        <w:t>As a multinational corporation, the Company conducts its business in many countries and is subject to taxation in many jurisdictions. The taxation of the business is subject to the application of various and sometimes conflicting tax laws and regulations as well as multinational tax conventions. The Company's effective tax rate is highly dependent upon the geographic distribution of the Company's worldwide earnings or losses, the tax laws and regulations in various localities, the availability of tax incentives, tax credits and loss carryforwards, and the effectiveness of the Company's tax planning strategies, including the Company's estimates of the fair value of its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affect the Company's tax liability and/or effective income tax rate.</w:t>
      </w:r>
    </w:p>
    <w:p>
      <w:pPr>
        <w:spacing w:after="0" w:line="70" w:lineRule="exact"/>
        <w:rPr>
          <w:sz w:val="20"/>
          <w:szCs w:val="20"/>
          <w:color w:val="auto"/>
        </w:rPr>
      </w:pPr>
    </w:p>
    <w:p>
      <w:pPr>
        <w:ind w:right="40" w:firstLine="405"/>
        <w:spacing w:after="0" w:line="269" w:lineRule="auto"/>
        <w:rPr>
          <w:sz w:val="20"/>
          <w:szCs w:val="20"/>
          <w:color w:val="auto"/>
        </w:rPr>
      </w:pPr>
      <w:r>
        <w:rPr>
          <w:rFonts w:ascii="Arial" w:cs="Arial" w:eastAsia="Arial" w:hAnsi="Arial"/>
          <w:sz w:val="17"/>
          <w:szCs w:val="17"/>
          <w:color w:val="auto"/>
        </w:rPr>
        <w:t>The Company is subject to income tax audits by tax authorities in the jurisdictions in which it operates. The Company recognizes the effect of income tax positions only if these positions are more likely than not to be sustained. Recognized income tax positions are measured at the largest amount that is more than 50% likely to be realized. Changes in judgment regarding the recognition or measurement of uncertain tax positions are reflected in the period in which the change occurs. The Company records interest and penalties related to unrecognized tax benefits in income tax expense. The calculation of the Company's tax liabilities involves the inherent uncertainty associated with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its accrued position. Unpaid tax liabilities, including the interest and penalties, are released pursuant to a final settlement with tax authorities, completion of audit or expiration of various statutes of limitation. The material jurisdictions in which the Company may be subject to potential examination by tax authorities throughout the world include China, India, Israel, Singapore, Germany, and the United States.</w:t>
      </w:r>
    </w:p>
    <w:p>
      <w:pPr>
        <w:spacing w:after="0" w:line="77"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the Company make certain estimates and judgments. Changes to these estimates or judgments may have a material effect on the Company's tax provision in a future period.</w:t>
      </w:r>
    </w:p>
    <w:p>
      <w:pPr>
        <w:spacing w:after="0" w:line="15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117" w:lineRule="exact"/>
        <w:rPr>
          <w:sz w:val="20"/>
          <w:szCs w:val="20"/>
          <w:color w:val="auto"/>
        </w:rPr>
      </w:pPr>
    </w:p>
    <w:p>
      <w:pPr>
        <w:ind w:right="40" w:firstLine="405"/>
        <w:spacing w:after="0" w:line="296" w:lineRule="auto"/>
        <w:rPr>
          <w:sz w:val="20"/>
          <w:szCs w:val="20"/>
          <w:color w:val="auto"/>
        </w:rPr>
      </w:pPr>
      <w:r>
        <w:rPr>
          <w:rFonts w:ascii="Arial" w:cs="Arial" w:eastAsia="Arial" w:hAnsi="Arial"/>
          <w:sz w:val="16"/>
          <w:szCs w:val="16"/>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new standard was adopted by the Company on February 2, 2020 and did not have a material effect on the Company's consolidated financial statements.</w:t>
      </w:r>
    </w:p>
    <w:p>
      <w:pPr>
        <w:spacing w:after="0" w:line="53" w:lineRule="exact"/>
        <w:rPr>
          <w:sz w:val="20"/>
          <w:szCs w:val="20"/>
          <w:color w:val="auto"/>
        </w:rPr>
      </w:pPr>
    </w:p>
    <w:p>
      <w:pPr>
        <w:ind w:firstLine="405"/>
        <w:spacing w:after="0" w:line="286" w:lineRule="auto"/>
        <w:rPr>
          <w:sz w:val="20"/>
          <w:szCs w:val="20"/>
          <w:color w:val="auto"/>
        </w:rPr>
      </w:pPr>
      <w:r>
        <w:rPr>
          <w:rFonts w:ascii="Arial" w:cs="Arial" w:eastAsia="Arial" w:hAnsi="Arial"/>
          <w:sz w:val="17"/>
          <w:szCs w:val="17"/>
          <w:color w:val="auto"/>
        </w:rPr>
        <w:t>In August 2018, the FASB issued an accounting standards update to align the requirements for capitalizing implementation costs incurred in a software hosting arrangement that is a service contract and costs to develop or obtain internal-use software. The new standard was adopted by the Company on February 2, 2020 on a prospective basis and did not have a material effect on the Company's consolidated financial statements.</w:t>
      </w:r>
    </w:p>
    <w:p>
      <w:pPr>
        <w:spacing w:after="0" w:line="57" w:lineRule="exact"/>
        <w:rPr>
          <w:sz w:val="20"/>
          <w:szCs w:val="20"/>
          <w:color w:val="auto"/>
        </w:rPr>
      </w:pPr>
    </w:p>
    <w:p>
      <w:pPr>
        <w:ind w:right="40" w:firstLine="405"/>
        <w:spacing w:after="0" w:line="263"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new standard was adopted by the Company on February 2, 2020 and did not have a material effect on the Company's consolidated financial statements.</w:t>
      </w: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7" w:name="page68"/>
    <w:bookmarkEnd w:id="6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new standard was adopted by the Company on February 2, 2020 and did not have a material effect on the Company's consolidated financial statements.</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117"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new standard was adopted by the Company on January 31, 2021 on a prospective basis and is not expected to have a material effect on the Company's consolidated financial statements.</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Revenue</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Disaggregation of Revenue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28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jc w:val="right"/>
              <w:ind w:right="196"/>
              <w:spacing w:after="0"/>
              <w:rPr>
                <w:sz w:val="20"/>
                <w:szCs w:val="20"/>
                <w:color w:val="auto"/>
              </w:rPr>
            </w:pPr>
            <w:r>
              <w:rPr>
                <w:rFonts w:ascii="Arial" w:cs="Arial" w:eastAsia="Arial" w:hAnsi="Arial"/>
                <w:sz w:val="14"/>
                <w:szCs w:val="14"/>
                <w:b w:val="1"/>
                <w:bCs w:val="1"/>
                <w:color w:val="auto"/>
              </w:rPr>
              <w:t>Year Ended</w:t>
            </w:r>
          </w:p>
        </w:tc>
        <w:tc>
          <w:tcPr>
            <w:tcW w:w="180" w:type="dxa"/>
            <w:vAlign w:val="bottom"/>
          </w:tcPr>
          <w:p>
            <w:pPr>
              <w:spacing w:after="0"/>
              <w:rPr>
                <w:sz w:val="14"/>
                <w:szCs w:val="14"/>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80" w:type="dxa"/>
            <w:vAlign w:val="bottom"/>
          </w:tcPr>
          <w:p>
            <w:pPr>
              <w:jc w:val="right"/>
              <w:ind w:right="1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60" w:type="dxa"/>
            <w:vAlign w:val="bottom"/>
          </w:tcPr>
          <w:p>
            <w:pPr>
              <w:jc w:val="right"/>
              <w:ind w:right="1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3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6"/>
              <w:spacing w:after="0"/>
              <w:rPr>
                <w:sz w:val="20"/>
                <w:szCs w:val="20"/>
                <w:color w:val="auto"/>
              </w:rPr>
            </w:pPr>
            <w:r>
              <w:rPr>
                <w:rFonts w:ascii="Arial" w:cs="Arial" w:eastAsia="Arial" w:hAnsi="Arial"/>
                <w:sz w:val="14"/>
                <w:szCs w:val="14"/>
                <w:b w:val="1"/>
                <w:bCs w:val="1"/>
                <w:color w:val="auto"/>
                <w:w w:val="92"/>
              </w:rPr>
              <w:t>January 30, 2021</w:t>
            </w:r>
          </w:p>
        </w:tc>
        <w:tc>
          <w:tcPr>
            <w:tcW w:w="180" w:type="dxa"/>
            <w:vAlign w:val="bottom"/>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6"/>
              <w:spacing w:after="0"/>
              <w:rPr>
                <w:sz w:val="20"/>
                <w:szCs w:val="20"/>
                <w:color w:val="auto"/>
              </w:rPr>
            </w:pPr>
            <w:r>
              <w:rPr>
                <w:rFonts w:ascii="Arial" w:cs="Arial" w:eastAsia="Arial" w:hAnsi="Arial"/>
                <w:sz w:val="14"/>
                <w:szCs w:val="14"/>
                <w:b w:val="1"/>
                <w:bCs w:val="1"/>
                <w:color w:val="auto"/>
                <w:w w:val="94"/>
              </w:rPr>
              <w:t>February 1, 2020</w:t>
            </w:r>
          </w:p>
        </w:tc>
        <w:tc>
          <w:tcPr>
            <w:tcW w:w="200" w:type="dxa"/>
            <w:vAlign w:val="bottom"/>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1160" w:type="dxa"/>
            <w:vAlign w:val="bottom"/>
          </w:tcPr>
          <w:p>
            <w:pPr>
              <w:jc w:val="right"/>
              <w:ind w:right="16"/>
              <w:spacing w:after="0"/>
              <w:rPr>
                <w:sz w:val="20"/>
                <w:szCs w:val="20"/>
                <w:color w:val="auto"/>
              </w:rPr>
            </w:pPr>
            <w:r>
              <w:rPr>
                <w:rFonts w:ascii="Arial" w:cs="Arial" w:eastAsia="Arial" w:hAnsi="Arial"/>
                <w:sz w:val="14"/>
                <w:szCs w:val="14"/>
                <w:b w:val="1"/>
                <w:bCs w:val="1"/>
                <w:color w:val="auto"/>
                <w:w w:val="94"/>
              </w:rPr>
              <w:t>February 2, 2019</w:t>
            </w:r>
          </w:p>
        </w:tc>
        <w:tc>
          <w:tcPr>
            <w:tcW w:w="2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5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product group:</w:t>
            </w:r>
          </w:p>
        </w:tc>
        <w:tc>
          <w:tcPr>
            <w:tcW w:w="1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520" w:type="dxa"/>
            <w:vAlign w:val="bottom"/>
          </w:tcPr>
          <w:p>
            <w:pPr>
              <w:ind w:left="360"/>
              <w:spacing w:after="0"/>
              <w:rPr>
                <w:sz w:val="20"/>
                <w:szCs w:val="20"/>
                <w:color w:val="auto"/>
              </w:rPr>
            </w:pPr>
            <w:r>
              <w:rPr>
                <w:rFonts w:ascii="Arial" w:cs="Arial" w:eastAsia="Arial" w:hAnsi="Arial"/>
                <w:sz w:val="18"/>
                <w:szCs w:val="18"/>
                <w:color w:val="auto"/>
              </w:rPr>
              <w:t>Networking (1)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1,683,294</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57 %</w:t>
            </w:r>
          </w:p>
        </w:tc>
        <w:tc>
          <w:tcPr>
            <w:tcW w:w="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1,377,635</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51 %</w:t>
            </w:r>
          </w:p>
        </w:tc>
        <w:tc>
          <w:tcPr>
            <w:tcW w:w="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1,313,439</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46 %</w:t>
            </w:r>
          </w:p>
        </w:tc>
        <w:tc>
          <w:tcPr>
            <w:tcW w:w="0" w:type="dxa"/>
            <w:vAlign w:val="bottom"/>
          </w:tcPr>
          <w:p>
            <w:pPr>
              <w:spacing w:after="0"/>
              <w:rPr>
                <w:sz w:val="1"/>
                <w:szCs w:val="1"/>
                <w:color w:val="auto"/>
              </w:rPr>
            </w:pPr>
          </w:p>
        </w:tc>
      </w:tr>
      <w:tr>
        <w:trPr>
          <w:trHeight w:val="229"/>
        </w:trPr>
        <w:tc>
          <w:tcPr>
            <w:tcW w:w="35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Storage (2)</w:t>
            </w: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1,151,874</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1,137,766</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1,376,697</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48 %</w:t>
            </w:r>
          </w:p>
        </w:tc>
        <w:tc>
          <w:tcPr>
            <w:tcW w:w="0" w:type="dxa"/>
            <w:vAlign w:val="bottom"/>
          </w:tcPr>
          <w:p>
            <w:pPr>
              <w:spacing w:after="0"/>
              <w:rPr>
                <w:sz w:val="1"/>
                <w:szCs w:val="1"/>
                <w:color w:val="auto"/>
              </w:rPr>
            </w:pPr>
          </w:p>
        </w:tc>
      </w:tr>
      <w:tr>
        <w:trPr>
          <w:trHeight w:val="230"/>
        </w:trPr>
        <w:tc>
          <w:tcPr>
            <w:tcW w:w="35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(3)</w:t>
            </w:r>
          </w:p>
        </w:tc>
        <w:tc>
          <w:tcPr>
            <w:tcW w:w="1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133,732</w:t>
            </w:r>
          </w:p>
        </w:tc>
        <w:tc>
          <w:tcPr>
            <w:tcW w:w="110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28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183,760</w:t>
            </w:r>
          </w:p>
        </w:tc>
        <w:tc>
          <w:tcPr>
            <w:tcW w:w="11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7 %</w:t>
            </w:r>
          </w:p>
        </w:tc>
        <w:tc>
          <w:tcPr>
            <w:tcW w:w="28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175,655</w:t>
            </w:r>
          </w:p>
        </w:tc>
        <w:tc>
          <w:tcPr>
            <w:tcW w:w="11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8"/>
        </w:trPr>
        <w:tc>
          <w:tcPr>
            <w:tcW w:w="35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2,968,900</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2,699,161</w:t>
            </w:r>
          </w:p>
        </w:tc>
        <w:tc>
          <w:tcPr>
            <w:tcW w:w="2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2,865,791</w:t>
            </w:r>
          </w:p>
        </w:tc>
        <w:tc>
          <w:tcPr>
            <w:tcW w:w="2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5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ind w:left="640" w:hanging="632"/>
        <w:spacing w:after="0"/>
        <w:tabs>
          <w:tab w:leader="none" w:pos="6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color w:val="auto"/>
        </w:rPr>
      </w:pPr>
    </w:p>
    <w:p>
      <w:pPr>
        <w:ind w:left="640" w:hanging="632"/>
        <w:spacing w:after="0"/>
        <w:tabs>
          <w:tab w:leader="none" w:pos="6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spacing w:after="0" w:line="9" w:lineRule="exact"/>
        <w:rPr>
          <w:rFonts w:ascii="Arial" w:cs="Arial" w:eastAsia="Arial" w:hAnsi="Arial"/>
          <w:sz w:val="18"/>
          <w:szCs w:val="18"/>
          <w:color w:val="auto"/>
        </w:rPr>
      </w:pPr>
    </w:p>
    <w:p>
      <w:pPr>
        <w:ind w:left="640" w:hanging="632"/>
        <w:spacing w:after="0"/>
        <w:tabs>
          <w:tab w:leader="none" w:pos="6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w:t>
      </w:r>
    </w:p>
    <w:p>
      <w:pPr>
        <w:spacing w:after="0" w:line="238" w:lineRule="exact"/>
        <w:rPr>
          <w:sz w:val="20"/>
          <w:szCs w:val="20"/>
          <w:color w:val="auto"/>
        </w:rPr>
      </w:pPr>
    </w:p>
    <w:p>
      <w:pPr>
        <w:ind w:right="240" w:firstLine="405"/>
        <w:spacing w:after="0" w:line="277"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180" w:type="dxa"/>
            <w:vAlign w:val="bottom"/>
          </w:tcPr>
          <w:p>
            <w:pPr>
              <w:spacing w:after="0"/>
              <w:rPr>
                <w:sz w:val="14"/>
                <w:szCs w:val="14"/>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8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6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3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January 30, 2021</w:t>
            </w:r>
          </w:p>
        </w:tc>
        <w:tc>
          <w:tcPr>
            <w:tcW w:w="180" w:type="dxa"/>
            <w:vAlign w:val="bottom"/>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4"/>
              <w:spacing w:after="0"/>
              <w:rPr>
                <w:sz w:val="20"/>
                <w:szCs w:val="20"/>
                <w:color w:val="auto"/>
              </w:rPr>
            </w:pPr>
            <w:r>
              <w:rPr>
                <w:rFonts w:ascii="Arial" w:cs="Arial" w:eastAsia="Arial" w:hAnsi="Arial"/>
                <w:sz w:val="14"/>
                <w:szCs w:val="14"/>
                <w:b w:val="1"/>
                <w:bCs w:val="1"/>
                <w:color w:val="auto"/>
                <w:w w:val="94"/>
              </w:rPr>
              <w:t>February 1, 2020</w:t>
            </w:r>
          </w:p>
        </w:tc>
        <w:tc>
          <w:tcPr>
            <w:tcW w:w="200" w:type="dxa"/>
            <w:vAlign w:val="bottom"/>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1160" w:type="dxa"/>
            <w:vAlign w:val="bottom"/>
          </w:tcPr>
          <w:p>
            <w:pPr>
              <w:jc w:val="right"/>
              <w:ind w:right="14"/>
              <w:spacing w:after="0"/>
              <w:rPr>
                <w:sz w:val="20"/>
                <w:szCs w:val="20"/>
                <w:color w:val="auto"/>
              </w:rPr>
            </w:pPr>
            <w:r>
              <w:rPr>
                <w:rFonts w:ascii="Arial" w:cs="Arial" w:eastAsia="Arial" w:hAnsi="Arial"/>
                <w:sz w:val="14"/>
                <w:szCs w:val="14"/>
                <w:b w:val="1"/>
                <w:bCs w:val="1"/>
                <w:color w:val="auto"/>
                <w:w w:val="94"/>
              </w:rPr>
              <w:t>February 2, 2019</w:t>
            </w:r>
          </w:p>
        </w:tc>
        <w:tc>
          <w:tcPr>
            <w:tcW w:w="2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352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based on destination of</w:t>
            </w:r>
          </w:p>
        </w:tc>
        <w:tc>
          <w:tcPr>
            <w:tcW w:w="100" w:type="dxa"/>
            <w:vAlign w:val="bottom"/>
            <w:tcBorders>
              <w:top w:val="single" w:sz="8" w:color="auto"/>
            </w:tcBorders>
            <w:shd w:val="clear" w:color="auto" w:fill="CCEEFF"/>
          </w:tcPr>
          <w:p>
            <w:pPr>
              <w:spacing w:after="0"/>
              <w:rPr>
                <w:sz w:val="13"/>
                <w:szCs w:val="13"/>
                <w:color w:val="auto"/>
              </w:rPr>
            </w:pPr>
          </w:p>
        </w:tc>
        <w:tc>
          <w:tcPr>
            <w:tcW w:w="118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2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118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280" w:type="dxa"/>
            <w:vAlign w:val="bottom"/>
            <w:tcBorders>
              <w:top w:val="single" w:sz="8" w:color="CCEEFF"/>
            </w:tcBorders>
            <w:shd w:val="clear" w:color="auto" w:fill="CCEEFF"/>
          </w:tcPr>
          <w:p>
            <w:pPr>
              <w:spacing w:after="0"/>
              <w:rPr>
                <w:sz w:val="13"/>
                <w:szCs w:val="13"/>
                <w:color w:val="auto"/>
              </w:rPr>
            </w:pPr>
          </w:p>
        </w:tc>
        <w:tc>
          <w:tcPr>
            <w:tcW w:w="100" w:type="dxa"/>
            <w:vAlign w:val="bottom"/>
            <w:tcBorders>
              <w:top w:val="single" w:sz="8" w:color="auto"/>
            </w:tcBorders>
            <w:shd w:val="clear" w:color="auto" w:fill="CCEEFF"/>
          </w:tcPr>
          <w:p>
            <w:pPr>
              <w:spacing w:after="0"/>
              <w:rPr>
                <w:sz w:val="13"/>
                <w:szCs w:val="13"/>
                <w:color w:val="auto"/>
              </w:rPr>
            </w:pPr>
          </w:p>
        </w:tc>
        <w:tc>
          <w:tcPr>
            <w:tcW w:w="116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29"/>
        </w:trPr>
        <w:tc>
          <w:tcPr>
            <w:tcW w:w="352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shipment:</w:t>
            </w: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20" w:type="dxa"/>
            <w:vAlign w:val="bottom"/>
          </w:tcPr>
          <w:p>
            <w:pPr>
              <w:ind w:left="360"/>
              <w:spacing w:after="0"/>
              <w:rPr>
                <w:sz w:val="20"/>
                <w:szCs w:val="20"/>
                <w:color w:val="auto"/>
              </w:rPr>
            </w:pPr>
            <w:r>
              <w:rPr>
                <w:rFonts w:ascii="Arial" w:cs="Arial" w:eastAsia="Arial" w:hAnsi="Arial"/>
                <w:sz w:val="18"/>
                <w:szCs w:val="18"/>
                <w:color w:val="auto"/>
              </w:rPr>
              <w:t>China</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1,268,820</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43 %</w:t>
            </w:r>
          </w:p>
        </w:tc>
        <w:tc>
          <w:tcPr>
            <w:tcW w:w="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1,071,028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1,189,928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42 %</w:t>
            </w:r>
          </w:p>
        </w:tc>
        <w:tc>
          <w:tcPr>
            <w:tcW w:w="0" w:type="dxa"/>
            <w:vAlign w:val="bottom"/>
          </w:tcPr>
          <w:p>
            <w:pPr>
              <w:spacing w:after="0"/>
              <w:rPr>
                <w:sz w:val="1"/>
                <w:szCs w:val="1"/>
                <w:color w:val="auto"/>
              </w:rPr>
            </w:pPr>
          </w:p>
        </w:tc>
      </w:tr>
      <w:tr>
        <w:trPr>
          <w:trHeight w:val="230"/>
        </w:trPr>
        <w:tc>
          <w:tcPr>
            <w:tcW w:w="35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321,448</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258,827</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251,905</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30"/>
        </w:trPr>
        <w:tc>
          <w:tcPr>
            <w:tcW w:w="3520" w:type="dxa"/>
            <w:vAlign w:val="bottom"/>
          </w:tcPr>
          <w:p>
            <w:pPr>
              <w:ind w:left="360"/>
              <w:spacing w:after="0"/>
              <w:rPr>
                <w:sz w:val="20"/>
                <w:szCs w:val="20"/>
                <w:color w:val="auto"/>
              </w:rPr>
            </w:pPr>
            <w:r>
              <w:rPr>
                <w:rFonts w:ascii="Arial" w:cs="Arial" w:eastAsia="Arial" w:hAnsi="Arial"/>
                <w:sz w:val="18"/>
                <w:szCs w:val="18"/>
                <w:color w:val="auto"/>
              </w:rPr>
              <w:t>Malaysia</w:t>
            </w:r>
          </w:p>
        </w:tc>
        <w:tc>
          <w:tcPr>
            <w:tcW w:w="1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254,053</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226,358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372,817</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13 %</w:t>
            </w:r>
          </w:p>
        </w:tc>
        <w:tc>
          <w:tcPr>
            <w:tcW w:w="0" w:type="dxa"/>
            <w:vAlign w:val="bottom"/>
          </w:tcPr>
          <w:p>
            <w:pPr>
              <w:spacing w:after="0"/>
              <w:rPr>
                <w:sz w:val="1"/>
                <w:szCs w:val="1"/>
                <w:color w:val="auto"/>
              </w:rPr>
            </w:pPr>
          </w:p>
        </w:tc>
      </w:tr>
      <w:tr>
        <w:trPr>
          <w:trHeight w:val="229"/>
        </w:trPr>
        <w:tc>
          <w:tcPr>
            <w:tcW w:w="35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Thailand</w:t>
            </w: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251,408</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230,218</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165,923</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3520" w:type="dxa"/>
            <w:vAlign w:val="bottom"/>
          </w:tcPr>
          <w:p>
            <w:pPr>
              <w:ind w:left="360"/>
              <w:spacing w:after="0"/>
              <w:rPr>
                <w:sz w:val="20"/>
                <w:szCs w:val="20"/>
                <w:color w:val="auto"/>
              </w:rPr>
            </w:pPr>
            <w:r>
              <w:rPr>
                <w:rFonts w:ascii="Arial" w:cs="Arial" w:eastAsia="Arial" w:hAnsi="Arial"/>
                <w:sz w:val="18"/>
                <w:szCs w:val="18"/>
                <w:color w:val="auto"/>
              </w:rPr>
              <w:t>Philippines</w:t>
            </w:r>
          </w:p>
        </w:tc>
        <w:tc>
          <w:tcPr>
            <w:tcW w:w="1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166,734</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221,566</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235,921</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30"/>
        </w:trPr>
        <w:tc>
          <w:tcPr>
            <w:tcW w:w="35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Japan</w:t>
            </w: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142,554</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162,399</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162,767</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35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Others</w:t>
            </w:r>
          </w:p>
        </w:tc>
        <w:tc>
          <w:tcPr>
            <w:tcW w:w="1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563,883</w:t>
            </w:r>
          </w:p>
        </w:tc>
        <w:tc>
          <w:tcPr>
            <w:tcW w:w="110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18 %</w:t>
            </w:r>
          </w:p>
        </w:tc>
        <w:tc>
          <w:tcPr>
            <w:tcW w:w="28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528,765</w:t>
            </w:r>
          </w:p>
        </w:tc>
        <w:tc>
          <w:tcPr>
            <w:tcW w:w="11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19 %</w:t>
            </w:r>
          </w:p>
        </w:tc>
        <w:tc>
          <w:tcPr>
            <w:tcW w:w="28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486,530</w:t>
            </w:r>
          </w:p>
        </w:tc>
        <w:tc>
          <w:tcPr>
            <w:tcW w:w="11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48"/>
        </w:trPr>
        <w:tc>
          <w:tcPr>
            <w:tcW w:w="35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2,968,900</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2,699,161</w:t>
            </w:r>
          </w:p>
        </w:tc>
        <w:tc>
          <w:tcPr>
            <w:tcW w:w="2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2,865,791</w:t>
            </w:r>
          </w:p>
        </w:tc>
        <w:tc>
          <w:tcPr>
            <w:tcW w:w="2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5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right="160" w:firstLine="405"/>
        <w:spacing w:after="0" w:line="286"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8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tcPr>
          <w:p>
            <w:pPr>
              <w:jc w:val="right"/>
              <w:ind w:right="197"/>
              <w:spacing w:after="0"/>
              <w:rPr>
                <w:sz w:val="20"/>
                <w:szCs w:val="20"/>
                <w:color w:val="auto"/>
              </w:rPr>
            </w:pPr>
            <w:r>
              <w:rPr>
                <w:rFonts w:ascii="Arial" w:cs="Arial" w:eastAsia="Arial" w:hAnsi="Arial"/>
                <w:sz w:val="14"/>
                <w:szCs w:val="14"/>
                <w:b w:val="1"/>
                <w:bCs w:val="1"/>
                <w:color w:val="auto"/>
              </w:rPr>
              <w:t>Year Ended</w:t>
            </w:r>
          </w:p>
        </w:tc>
        <w:tc>
          <w:tcPr>
            <w:tcW w:w="180" w:type="dxa"/>
            <w:vAlign w:val="bottom"/>
          </w:tcPr>
          <w:p>
            <w:pPr>
              <w:spacing w:after="0"/>
              <w:rPr>
                <w:sz w:val="14"/>
                <w:szCs w:val="14"/>
                <w:color w:val="auto"/>
              </w:rPr>
            </w:pP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 of Total</w:t>
            </w:r>
          </w:p>
        </w:tc>
        <w:tc>
          <w:tcPr>
            <w:tcW w:w="120" w:type="dxa"/>
            <w:vAlign w:val="bottom"/>
          </w:tcPr>
          <w:p>
            <w:pPr>
              <w:spacing w:after="0"/>
              <w:rPr>
                <w:sz w:val="14"/>
                <w:szCs w:val="14"/>
                <w:color w:val="auto"/>
              </w:rPr>
            </w:pPr>
          </w:p>
        </w:tc>
        <w:tc>
          <w:tcPr>
            <w:tcW w:w="1180" w:type="dxa"/>
            <w:vAlign w:val="bottom"/>
          </w:tcPr>
          <w:p>
            <w:pPr>
              <w:jc w:val="right"/>
              <w:ind w:right="19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20" w:type="dxa"/>
            <w:vAlign w:val="bottom"/>
          </w:tcPr>
          <w:p>
            <w:pPr>
              <w:spacing w:after="0"/>
              <w:rPr>
                <w:sz w:val="14"/>
                <w:szCs w:val="14"/>
                <w:color w:val="auto"/>
              </w:rPr>
            </w:pPr>
          </w:p>
        </w:tc>
        <w:tc>
          <w:tcPr>
            <w:tcW w:w="1160" w:type="dxa"/>
            <w:vAlign w:val="bottom"/>
          </w:tcPr>
          <w:p>
            <w:pPr>
              <w:jc w:val="right"/>
              <w:ind w:right="19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980" w:type="dxa"/>
            <w:vAlign w:val="bottom"/>
            <w:vMerge w:val="restart"/>
          </w:tcPr>
          <w:p>
            <w:pPr>
              <w:jc w:val="right"/>
              <w:ind w:right="8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33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tcPr>
          <w:p>
            <w:pPr>
              <w:jc w:val="right"/>
              <w:ind w:right="37"/>
              <w:spacing w:after="0"/>
              <w:rPr>
                <w:sz w:val="20"/>
                <w:szCs w:val="20"/>
                <w:color w:val="auto"/>
              </w:rPr>
            </w:pPr>
            <w:r>
              <w:rPr>
                <w:rFonts w:ascii="Arial" w:cs="Arial" w:eastAsia="Arial" w:hAnsi="Arial"/>
                <w:sz w:val="14"/>
                <w:szCs w:val="14"/>
                <w:b w:val="1"/>
                <w:bCs w:val="1"/>
                <w:color w:val="auto"/>
                <w:w w:val="92"/>
              </w:rPr>
              <w:t>January 30, 2021</w:t>
            </w:r>
          </w:p>
        </w:tc>
        <w:tc>
          <w:tcPr>
            <w:tcW w:w="180" w:type="dxa"/>
            <w:vAlign w:val="bottom"/>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tcPr>
          <w:p>
            <w:pPr>
              <w:jc w:val="right"/>
              <w:ind w:right="37"/>
              <w:spacing w:after="0"/>
              <w:rPr>
                <w:sz w:val="20"/>
                <w:szCs w:val="20"/>
                <w:color w:val="auto"/>
              </w:rPr>
            </w:pPr>
            <w:r>
              <w:rPr>
                <w:rFonts w:ascii="Arial" w:cs="Arial" w:eastAsia="Arial" w:hAnsi="Arial"/>
                <w:sz w:val="14"/>
                <w:szCs w:val="14"/>
                <w:b w:val="1"/>
                <w:bCs w:val="1"/>
                <w:color w:val="auto"/>
                <w:w w:val="94"/>
              </w:rPr>
              <w:t>February 1, 2020</w:t>
            </w:r>
          </w:p>
        </w:tc>
        <w:tc>
          <w:tcPr>
            <w:tcW w:w="200" w:type="dxa"/>
            <w:vAlign w:val="bottom"/>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20" w:type="dxa"/>
            <w:vAlign w:val="bottom"/>
          </w:tcPr>
          <w:p>
            <w:pPr>
              <w:spacing w:after="0"/>
              <w:rPr>
                <w:sz w:val="16"/>
                <w:szCs w:val="16"/>
                <w:color w:val="auto"/>
              </w:rPr>
            </w:pPr>
          </w:p>
        </w:tc>
        <w:tc>
          <w:tcPr>
            <w:tcW w:w="1160" w:type="dxa"/>
            <w:vAlign w:val="bottom"/>
          </w:tcPr>
          <w:p>
            <w:pPr>
              <w:jc w:val="right"/>
              <w:ind w:right="37"/>
              <w:spacing w:after="0"/>
              <w:rPr>
                <w:sz w:val="20"/>
                <w:szCs w:val="20"/>
                <w:color w:val="auto"/>
              </w:rPr>
            </w:pPr>
            <w:r>
              <w:rPr>
                <w:rFonts w:ascii="Arial" w:cs="Arial" w:eastAsia="Arial" w:hAnsi="Arial"/>
                <w:sz w:val="14"/>
                <w:szCs w:val="14"/>
                <w:b w:val="1"/>
                <w:bCs w:val="1"/>
                <w:color w:val="auto"/>
                <w:w w:val="92"/>
              </w:rPr>
              <w:t>February 2, 2019</w:t>
            </w:r>
          </w:p>
        </w:tc>
        <w:tc>
          <w:tcPr>
            <w:tcW w:w="20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36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customer type:</w:t>
            </w:r>
          </w:p>
        </w:tc>
        <w:tc>
          <w:tcPr>
            <w:tcW w:w="12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336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2,213,645</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75 %</w:t>
            </w:r>
          </w:p>
        </w:tc>
        <w:tc>
          <w:tcPr>
            <w:tcW w:w="26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2,041,089</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76 %</w:t>
            </w:r>
          </w:p>
        </w:tc>
        <w:tc>
          <w:tcPr>
            <w:tcW w:w="26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2,197,209</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77 %</w:t>
            </w:r>
          </w:p>
        </w:tc>
        <w:tc>
          <w:tcPr>
            <w:tcW w:w="0" w:type="dxa"/>
            <w:vAlign w:val="bottom"/>
          </w:tcPr>
          <w:p>
            <w:pPr>
              <w:spacing w:after="0"/>
              <w:rPr>
                <w:sz w:val="1"/>
                <w:szCs w:val="1"/>
                <w:color w:val="auto"/>
              </w:rPr>
            </w:pPr>
          </w:p>
        </w:tc>
      </w:tr>
      <w:tr>
        <w:trPr>
          <w:trHeight w:val="230"/>
        </w:trPr>
        <w:tc>
          <w:tcPr>
            <w:tcW w:w="3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1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755,255</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260" w:type="dxa"/>
            <w:vAlign w:val="bottom"/>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658,072</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260" w:type="dxa"/>
            <w:vAlign w:val="bottom"/>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668,582</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0" w:type="dxa"/>
            <w:vAlign w:val="bottom"/>
          </w:tcPr>
          <w:p>
            <w:pPr>
              <w:spacing w:after="0"/>
              <w:rPr>
                <w:sz w:val="1"/>
                <w:szCs w:val="1"/>
                <w:color w:val="auto"/>
              </w:rPr>
            </w:pPr>
          </w:p>
        </w:tc>
      </w:tr>
      <w:tr>
        <w:trPr>
          <w:trHeight w:val="223"/>
        </w:trPr>
        <w:tc>
          <w:tcPr>
            <w:tcW w:w="3360" w:type="dxa"/>
            <w:vAlign w:val="bottom"/>
          </w:tcPr>
          <w:p>
            <w:pPr>
              <w:spacing w:after="0"/>
              <w:rPr>
                <w:sz w:val="19"/>
                <w:szCs w:val="19"/>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2,968,900</w:t>
            </w: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2,699,161</w:t>
            </w:r>
          </w:p>
        </w:tc>
        <w:tc>
          <w:tcPr>
            <w:tcW w:w="2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2,865,791</w:t>
            </w: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33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1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January 30, 2021,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consolidated balance sheets.</w:t>
      </w:r>
    </w:p>
    <w:p>
      <w:pPr>
        <w:spacing w:after="0" w:line="58" w:lineRule="exact"/>
        <w:rPr>
          <w:sz w:val="20"/>
          <w:szCs w:val="20"/>
          <w:color w:val="auto"/>
        </w:rPr>
      </w:pPr>
    </w:p>
    <w:p>
      <w:pPr>
        <w:ind w:right="120" w:firstLine="405"/>
        <w:spacing w:after="0" w:line="301" w:lineRule="auto"/>
        <w:rPr>
          <w:sz w:val="20"/>
          <w:szCs w:val="20"/>
          <w:color w:val="auto"/>
        </w:rPr>
      </w:pPr>
      <w:r>
        <w:rPr>
          <w:rFonts w:ascii="Arial" w:cs="Arial" w:eastAsia="Arial" w:hAnsi="Arial"/>
          <w:sz w:val="16"/>
          <w:szCs w:val="16"/>
          <w:color w:val="auto"/>
        </w:rPr>
        <w:t>The opening balance of contract liabilities at the beginning of fiscal year 2021 was $111.5 million. During the year ended January 30, 2021, contract liabilities increased by $875.0 million associated with variable consideration estimates, offset by $805.5 million decrease in such reserves primarily due to credit memos issued to customers. The ending balance of contract liabilities at the end of fiscal year 2021 was $181.0 million. The amount of revenue recognized during the year ended January 30, 2021 that was included in the contract liabilities balance at February 1, 2020 was not material.</w:t>
      </w:r>
    </w:p>
    <w:p>
      <w:pPr>
        <w:spacing w:after="0" w:line="4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17" w:lineRule="exact"/>
        <w:rPr>
          <w:sz w:val="20"/>
          <w:szCs w:val="20"/>
          <w:color w:val="auto"/>
        </w:rPr>
      </w:pPr>
    </w:p>
    <w:p>
      <w:pPr>
        <w:ind w:right="180" w:firstLine="405"/>
        <w:spacing w:after="0" w:line="308" w:lineRule="auto"/>
        <w:rPr>
          <w:sz w:val="20"/>
          <w:szCs w:val="20"/>
          <w:color w:val="auto"/>
        </w:rPr>
      </w:pPr>
      <w:r>
        <w:rPr>
          <w:rFonts w:ascii="Arial" w:cs="Arial" w:eastAsia="Arial" w:hAnsi="Arial"/>
          <w:sz w:val="17"/>
          <w:szCs w:val="17"/>
          <w:color w:val="auto"/>
        </w:rPr>
        <w:t>The Company has elected to apply the practical expedient to expense commissions when incurred as the amortization period is typically one year or less. These costs are recorded in selling, general and administrative expenses in the consolidated statements of operations.</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Business Combinations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Avera</w:t>
      </w:r>
    </w:p>
    <w:p>
      <w:pPr>
        <w:spacing w:after="0" w:line="121"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An additional $90 million in cash would have been paid to acquire additional assets if certain conditions were satisfied. In July 2020, GlobalFoundries and the Company agreed to terminate this requirement to acquire the additional assets.</w:t>
      </w:r>
    </w:p>
    <w:p>
      <w:pPr>
        <w:spacing w:after="0" w:line="80"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A portion of the goodwill recorded for the Avera acquisition is deductible for tax purposes.</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9" w:name="page70"/>
    <w:bookmarkEnd w:id="6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22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w w:val="97"/>
              </w:rPr>
              <w:t>Previously Reported February 1,</w:t>
            </w:r>
          </w:p>
        </w:tc>
        <w:tc>
          <w:tcPr>
            <w:tcW w:w="240" w:type="dxa"/>
            <w:vAlign w:val="bottom"/>
          </w:tcPr>
          <w:p>
            <w:pPr>
              <w:spacing w:after="0"/>
              <w:rPr>
                <w:sz w:val="14"/>
                <w:szCs w:val="14"/>
                <w:color w:val="auto"/>
              </w:rPr>
            </w:pPr>
          </w:p>
        </w:tc>
        <w:tc>
          <w:tcPr>
            <w:tcW w:w="2100" w:type="dxa"/>
            <w:vAlign w:val="bottom"/>
          </w:tcPr>
          <w:p>
            <w:pPr>
              <w:ind w:left="120"/>
              <w:spacing w:after="0"/>
              <w:rPr>
                <w:sz w:val="20"/>
                <w:szCs w:val="20"/>
                <w:color w:val="auto"/>
              </w:rPr>
            </w:pPr>
            <w:r>
              <w:rPr>
                <w:rFonts w:ascii="Arial" w:cs="Arial" w:eastAsia="Arial" w:hAnsi="Arial"/>
                <w:sz w:val="14"/>
                <w:szCs w:val="14"/>
                <w:b w:val="1"/>
                <w:bCs w:val="1"/>
                <w:color w:val="auto"/>
              </w:rPr>
              <w:t>Measurement Period</w:t>
            </w:r>
          </w:p>
        </w:tc>
        <w:tc>
          <w:tcPr>
            <w:tcW w:w="1840" w:type="dxa"/>
            <w:vAlign w:val="bottom"/>
            <w:vMerge w:val="restart"/>
          </w:tcPr>
          <w:p>
            <w:pPr>
              <w:jc w:val="right"/>
              <w:ind w:right="472"/>
              <w:spacing w:after="0"/>
              <w:rPr>
                <w:sz w:val="20"/>
                <w:szCs w:val="20"/>
                <w:color w:val="auto"/>
              </w:rPr>
            </w:pPr>
            <w:r>
              <w:rPr>
                <w:rFonts w:ascii="Arial" w:cs="Arial" w:eastAsia="Arial" w:hAnsi="Arial"/>
                <w:sz w:val="14"/>
                <w:szCs w:val="14"/>
                <w:b w:val="1"/>
                <w:bCs w:val="1"/>
                <w:color w:val="auto"/>
              </w:rPr>
              <w:t>January 30, 2021</w:t>
            </w:r>
          </w:p>
        </w:tc>
        <w:tc>
          <w:tcPr>
            <w:tcW w:w="0" w:type="dxa"/>
            <w:vAlign w:val="bottom"/>
          </w:tcPr>
          <w:p>
            <w:pPr>
              <w:spacing w:after="0"/>
              <w:rPr>
                <w:sz w:val="1"/>
                <w:szCs w:val="1"/>
                <w:color w:val="auto"/>
              </w:rPr>
            </w:pPr>
          </w:p>
        </w:tc>
      </w:tr>
      <w:tr>
        <w:trPr>
          <w:trHeight w:val="188"/>
        </w:trPr>
        <w:tc>
          <w:tcPr>
            <w:tcW w:w="484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2020 (Provisional)</w:t>
            </w:r>
          </w:p>
        </w:tc>
        <w:tc>
          <w:tcPr>
            <w:tcW w:w="24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Adjustment</w:t>
            </w:r>
          </w:p>
        </w:tc>
        <w:tc>
          <w:tcPr>
            <w:tcW w:w="18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34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w w:val="79"/>
              </w:rPr>
              <w:t>$</w:t>
            </w: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106,465</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10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 $</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106,465</w:t>
            </w:r>
          </w:p>
        </w:tc>
        <w:tc>
          <w:tcPr>
            <w:tcW w:w="0" w:type="dxa"/>
            <w:vAlign w:val="bottom"/>
          </w:tcPr>
          <w:p>
            <w:pPr>
              <w:spacing w:after="0"/>
              <w:rPr>
                <w:sz w:val="1"/>
                <w:szCs w:val="1"/>
                <w:color w:val="auto"/>
              </w:rPr>
            </w:pPr>
          </w:p>
        </w:tc>
      </w:tr>
      <w:tr>
        <w:trPr>
          <w:trHeight w:val="230"/>
        </w:trPr>
        <w:tc>
          <w:tcPr>
            <w:tcW w:w="484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17,495</w:t>
            </w:r>
          </w:p>
        </w:tc>
        <w:tc>
          <w:tcPr>
            <w:tcW w:w="240" w:type="dxa"/>
            <w:vAlign w:val="bottom"/>
          </w:tcPr>
          <w:p>
            <w:pPr>
              <w:spacing w:after="0"/>
              <w:rPr>
                <w:sz w:val="19"/>
                <w:szCs w:val="19"/>
                <w:color w:val="auto"/>
              </w:rPr>
            </w:pPr>
          </w:p>
        </w:tc>
        <w:tc>
          <w:tcPr>
            <w:tcW w:w="2100" w:type="dxa"/>
            <w:vAlign w:val="bottom"/>
          </w:tcPr>
          <w:p>
            <w:pPr>
              <w:ind w:left="1520"/>
              <w:spacing w:after="0"/>
              <w:rPr>
                <w:sz w:val="20"/>
                <w:szCs w:val="20"/>
                <w:color w:val="auto"/>
              </w:rPr>
            </w:pPr>
            <w:r>
              <w:rPr>
                <w:rFonts w:ascii="Arial" w:cs="Arial" w:eastAsia="Arial" w:hAnsi="Arial"/>
                <w:sz w:val="18"/>
                <w:szCs w:val="18"/>
                <w:color w:val="auto"/>
              </w:rPr>
              <w:t>—</w:t>
            </w:r>
          </w:p>
        </w:tc>
        <w:tc>
          <w:tcPr>
            <w:tcW w:w="1840" w:type="dxa"/>
            <w:vAlign w:val="bottom"/>
          </w:tcPr>
          <w:p>
            <w:pPr>
              <w:jc w:val="right"/>
              <w:spacing w:after="0"/>
              <w:rPr>
                <w:sz w:val="20"/>
                <w:szCs w:val="20"/>
                <w:color w:val="auto"/>
              </w:rPr>
            </w:pPr>
            <w:r>
              <w:rPr>
                <w:rFonts w:ascii="Arial" w:cs="Arial" w:eastAsia="Arial" w:hAnsi="Arial"/>
                <w:sz w:val="18"/>
                <w:szCs w:val="18"/>
                <w:color w:val="auto"/>
              </w:rPr>
              <w:t>17,495</w:t>
            </w:r>
          </w:p>
        </w:tc>
        <w:tc>
          <w:tcPr>
            <w:tcW w:w="0" w:type="dxa"/>
            <w:vAlign w:val="bottom"/>
          </w:tcPr>
          <w:p>
            <w:pPr>
              <w:spacing w:after="0"/>
              <w:rPr>
                <w:sz w:val="1"/>
                <w:szCs w:val="1"/>
                <w:color w:val="auto"/>
              </w:rPr>
            </w:pPr>
          </w:p>
        </w:tc>
      </w:tr>
      <w:tr>
        <w:trPr>
          <w:trHeight w:val="229"/>
        </w:trPr>
        <w:tc>
          <w:tcPr>
            <w:tcW w:w="4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25,677</w:t>
            </w:r>
          </w:p>
        </w:tc>
        <w:tc>
          <w:tcPr>
            <w:tcW w:w="240" w:type="dxa"/>
            <w:vAlign w:val="bottom"/>
            <w:shd w:val="clear" w:color="auto" w:fill="CCEEFF"/>
          </w:tcPr>
          <w:p>
            <w:pPr>
              <w:spacing w:after="0"/>
              <w:rPr>
                <w:sz w:val="19"/>
                <w:szCs w:val="19"/>
                <w:color w:val="auto"/>
              </w:rPr>
            </w:pPr>
          </w:p>
        </w:tc>
        <w:tc>
          <w:tcPr>
            <w:tcW w:w="210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25,677</w:t>
            </w:r>
          </w:p>
        </w:tc>
        <w:tc>
          <w:tcPr>
            <w:tcW w:w="0" w:type="dxa"/>
            <w:vAlign w:val="bottom"/>
          </w:tcPr>
          <w:p>
            <w:pPr>
              <w:spacing w:after="0"/>
              <w:rPr>
                <w:sz w:val="1"/>
                <w:szCs w:val="1"/>
                <w:color w:val="auto"/>
              </w:rPr>
            </w:pPr>
          </w:p>
        </w:tc>
      </w:tr>
      <w:tr>
        <w:trPr>
          <w:trHeight w:val="229"/>
        </w:trPr>
        <w:tc>
          <w:tcPr>
            <w:tcW w:w="484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379,000</w:t>
            </w:r>
          </w:p>
        </w:tc>
        <w:tc>
          <w:tcPr>
            <w:tcW w:w="240" w:type="dxa"/>
            <w:vAlign w:val="bottom"/>
          </w:tcPr>
          <w:p>
            <w:pPr>
              <w:spacing w:after="0"/>
              <w:rPr>
                <w:sz w:val="19"/>
                <w:szCs w:val="19"/>
                <w:color w:val="auto"/>
              </w:rPr>
            </w:pPr>
          </w:p>
        </w:tc>
        <w:tc>
          <w:tcPr>
            <w:tcW w:w="2100" w:type="dxa"/>
            <w:vAlign w:val="bottom"/>
          </w:tcPr>
          <w:p>
            <w:pPr>
              <w:ind w:left="1520"/>
              <w:spacing w:after="0"/>
              <w:rPr>
                <w:sz w:val="20"/>
                <w:szCs w:val="20"/>
                <w:color w:val="auto"/>
              </w:rPr>
            </w:pPr>
            <w:r>
              <w:rPr>
                <w:rFonts w:ascii="Arial" w:cs="Arial" w:eastAsia="Arial" w:hAnsi="Arial"/>
                <w:sz w:val="18"/>
                <w:szCs w:val="18"/>
                <w:color w:val="auto"/>
              </w:rPr>
              <w:t>—</w:t>
            </w:r>
          </w:p>
        </w:tc>
        <w:tc>
          <w:tcPr>
            <w:tcW w:w="1840" w:type="dxa"/>
            <w:vAlign w:val="bottom"/>
          </w:tcPr>
          <w:p>
            <w:pPr>
              <w:jc w:val="right"/>
              <w:spacing w:after="0"/>
              <w:rPr>
                <w:sz w:val="20"/>
                <w:szCs w:val="20"/>
                <w:color w:val="auto"/>
              </w:rPr>
            </w:pPr>
            <w:r>
              <w:rPr>
                <w:rFonts w:ascii="Arial" w:cs="Arial" w:eastAsia="Arial" w:hAnsi="Arial"/>
                <w:sz w:val="18"/>
                <w:szCs w:val="18"/>
                <w:color w:val="auto"/>
              </w:rPr>
              <w:t>379,000</w:t>
            </w:r>
          </w:p>
        </w:tc>
        <w:tc>
          <w:tcPr>
            <w:tcW w:w="0" w:type="dxa"/>
            <w:vAlign w:val="bottom"/>
          </w:tcPr>
          <w:p>
            <w:pPr>
              <w:spacing w:after="0"/>
              <w:rPr>
                <w:sz w:val="1"/>
                <w:szCs w:val="1"/>
                <w:color w:val="auto"/>
              </w:rPr>
            </w:pPr>
          </w:p>
        </w:tc>
      </w:tr>
      <w:tr>
        <w:trPr>
          <w:trHeight w:val="230"/>
        </w:trPr>
        <w:tc>
          <w:tcPr>
            <w:tcW w:w="4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6,870</w:t>
            </w:r>
          </w:p>
        </w:tc>
        <w:tc>
          <w:tcPr>
            <w:tcW w:w="240" w:type="dxa"/>
            <w:vAlign w:val="bottom"/>
            <w:shd w:val="clear" w:color="auto" w:fill="CCEEFF"/>
          </w:tcPr>
          <w:p>
            <w:pPr>
              <w:spacing w:after="0"/>
              <w:rPr>
                <w:sz w:val="19"/>
                <w:szCs w:val="19"/>
                <w:color w:val="auto"/>
              </w:rPr>
            </w:pPr>
          </w:p>
        </w:tc>
        <w:tc>
          <w:tcPr>
            <w:tcW w:w="210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6,870</w:t>
            </w:r>
          </w:p>
        </w:tc>
        <w:tc>
          <w:tcPr>
            <w:tcW w:w="0" w:type="dxa"/>
            <w:vAlign w:val="bottom"/>
          </w:tcPr>
          <w:p>
            <w:pPr>
              <w:spacing w:after="0"/>
              <w:rPr>
                <w:sz w:val="1"/>
                <w:szCs w:val="1"/>
                <w:color w:val="auto"/>
              </w:rPr>
            </w:pPr>
          </w:p>
        </w:tc>
      </w:tr>
      <w:tr>
        <w:trPr>
          <w:trHeight w:val="229"/>
        </w:trPr>
        <w:tc>
          <w:tcPr>
            <w:tcW w:w="4840" w:type="dxa"/>
            <w:vAlign w:val="bottom"/>
          </w:tcPr>
          <w:p>
            <w:pPr>
              <w:ind w:left="20"/>
              <w:spacing w:after="0"/>
              <w:rPr>
                <w:sz w:val="20"/>
                <w:szCs w:val="20"/>
                <w:color w:val="auto"/>
              </w:rPr>
            </w:pPr>
            <w:r>
              <w:rPr>
                <w:rFonts w:ascii="Arial" w:cs="Arial" w:eastAsia="Arial" w:hAnsi="Arial"/>
                <w:sz w:val="18"/>
                <w:szCs w:val="18"/>
                <w:color w:val="auto"/>
              </w:rPr>
              <w:t>Goodwill</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129,392</w:t>
            </w:r>
          </w:p>
        </w:tc>
        <w:tc>
          <w:tcPr>
            <w:tcW w:w="240" w:type="dxa"/>
            <w:vAlign w:val="bottom"/>
          </w:tcPr>
          <w:p>
            <w:pPr>
              <w:spacing w:after="0"/>
              <w:rPr>
                <w:sz w:val="19"/>
                <w:szCs w:val="19"/>
                <w:color w:val="auto"/>
              </w:rPr>
            </w:pPr>
          </w:p>
        </w:tc>
        <w:tc>
          <w:tcPr>
            <w:tcW w:w="2100" w:type="dxa"/>
            <w:vAlign w:val="bottom"/>
          </w:tcPr>
          <w:p>
            <w:pPr>
              <w:ind w:left="1420"/>
              <w:spacing w:after="0"/>
              <w:rPr>
                <w:sz w:val="20"/>
                <w:szCs w:val="20"/>
                <w:color w:val="auto"/>
              </w:rPr>
            </w:pPr>
            <w:r>
              <w:rPr>
                <w:rFonts w:ascii="Arial" w:cs="Arial" w:eastAsia="Arial" w:hAnsi="Arial"/>
                <w:sz w:val="18"/>
                <w:szCs w:val="18"/>
                <w:color w:val="auto"/>
              </w:rPr>
              <w:t>606</w:t>
            </w:r>
          </w:p>
        </w:tc>
        <w:tc>
          <w:tcPr>
            <w:tcW w:w="1840" w:type="dxa"/>
            <w:vAlign w:val="bottom"/>
          </w:tcPr>
          <w:p>
            <w:pPr>
              <w:jc w:val="right"/>
              <w:spacing w:after="0"/>
              <w:rPr>
                <w:sz w:val="20"/>
                <w:szCs w:val="20"/>
                <w:color w:val="auto"/>
              </w:rPr>
            </w:pPr>
            <w:r>
              <w:rPr>
                <w:rFonts w:ascii="Arial" w:cs="Arial" w:eastAsia="Arial" w:hAnsi="Arial"/>
                <w:sz w:val="18"/>
                <w:szCs w:val="18"/>
                <w:color w:val="auto"/>
              </w:rPr>
              <w:t>129,998</w:t>
            </w:r>
          </w:p>
        </w:tc>
        <w:tc>
          <w:tcPr>
            <w:tcW w:w="0" w:type="dxa"/>
            <w:vAlign w:val="bottom"/>
          </w:tcPr>
          <w:p>
            <w:pPr>
              <w:spacing w:after="0"/>
              <w:rPr>
                <w:sz w:val="1"/>
                <w:szCs w:val="1"/>
                <w:color w:val="auto"/>
              </w:rPr>
            </w:pPr>
          </w:p>
        </w:tc>
      </w:tr>
      <w:tr>
        <w:trPr>
          <w:trHeight w:val="230"/>
        </w:trPr>
        <w:tc>
          <w:tcPr>
            <w:tcW w:w="4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(64,155)</w:t>
            </w:r>
          </w:p>
        </w:tc>
        <w:tc>
          <w:tcPr>
            <w:tcW w:w="240" w:type="dxa"/>
            <w:vAlign w:val="bottom"/>
            <w:shd w:val="clear" w:color="auto" w:fill="CCEEFF"/>
          </w:tcPr>
          <w:p>
            <w:pPr>
              <w:spacing w:after="0"/>
              <w:rPr>
                <w:sz w:val="19"/>
                <w:szCs w:val="19"/>
                <w:color w:val="auto"/>
              </w:rPr>
            </w:pPr>
          </w:p>
        </w:tc>
        <w:tc>
          <w:tcPr>
            <w:tcW w:w="210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(64,155)</w:t>
            </w:r>
          </w:p>
        </w:tc>
        <w:tc>
          <w:tcPr>
            <w:tcW w:w="0" w:type="dxa"/>
            <w:vAlign w:val="bottom"/>
          </w:tcPr>
          <w:p>
            <w:pPr>
              <w:spacing w:after="0"/>
              <w:rPr>
                <w:sz w:val="1"/>
                <w:szCs w:val="1"/>
                <w:color w:val="auto"/>
              </w:rPr>
            </w:pPr>
          </w:p>
        </w:tc>
      </w:tr>
      <w:tr>
        <w:trPr>
          <w:trHeight w:val="229"/>
        </w:trPr>
        <w:tc>
          <w:tcPr>
            <w:tcW w:w="484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(6,594)</w:t>
            </w:r>
          </w:p>
        </w:tc>
        <w:tc>
          <w:tcPr>
            <w:tcW w:w="240" w:type="dxa"/>
            <w:vAlign w:val="bottom"/>
          </w:tcPr>
          <w:p>
            <w:pPr>
              <w:spacing w:after="0"/>
              <w:rPr>
                <w:sz w:val="19"/>
                <w:szCs w:val="19"/>
                <w:color w:val="auto"/>
              </w:rPr>
            </w:pPr>
          </w:p>
        </w:tc>
        <w:tc>
          <w:tcPr>
            <w:tcW w:w="2100" w:type="dxa"/>
            <w:vAlign w:val="bottom"/>
          </w:tcPr>
          <w:p>
            <w:pPr>
              <w:ind w:left="1340"/>
              <w:spacing w:after="0"/>
              <w:rPr>
                <w:sz w:val="20"/>
                <w:szCs w:val="20"/>
                <w:color w:val="auto"/>
              </w:rPr>
            </w:pPr>
            <w:r>
              <w:rPr>
                <w:rFonts w:ascii="Arial" w:cs="Arial" w:eastAsia="Arial" w:hAnsi="Arial"/>
                <w:sz w:val="18"/>
                <w:szCs w:val="18"/>
                <w:color w:val="auto"/>
              </w:rPr>
              <w:t>(606)</w:t>
            </w:r>
          </w:p>
        </w:tc>
        <w:tc>
          <w:tcPr>
            <w:tcW w:w="1840" w:type="dxa"/>
            <w:vAlign w:val="bottom"/>
          </w:tcPr>
          <w:p>
            <w:pPr>
              <w:jc w:val="right"/>
              <w:spacing w:after="0"/>
              <w:rPr>
                <w:sz w:val="20"/>
                <w:szCs w:val="20"/>
                <w:color w:val="auto"/>
              </w:rPr>
            </w:pPr>
            <w:r>
              <w:rPr>
                <w:rFonts w:ascii="Arial" w:cs="Arial" w:eastAsia="Arial" w:hAnsi="Arial"/>
                <w:sz w:val="18"/>
                <w:szCs w:val="18"/>
                <w:color w:val="auto"/>
              </w:rPr>
              <w:t>(7,200)</w:t>
            </w:r>
          </w:p>
        </w:tc>
        <w:tc>
          <w:tcPr>
            <w:tcW w:w="0" w:type="dxa"/>
            <w:vAlign w:val="bottom"/>
          </w:tcPr>
          <w:p>
            <w:pPr>
              <w:spacing w:after="0"/>
              <w:rPr>
                <w:sz w:val="1"/>
                <w:szCs w:val="1"/>
                <w:color w:val="auto"/>
              </w:rPr>
            </w:pPr>
          </w:p>
        </w:tc>
      </w:tr>
      <w:tr>
        <w:trPr>
          <w:trHeight w:val="229"/>
        </w:trPr>
        <w:tc>
          <w:tcPr>
            <w:tcW w:w="4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340" w:type="dxa"/>
            <w:vAlign w:val="bottom"/>
            <w:tcBorders>
              <w:bottom w:val="single" w:sz="8" w:color="auto"/>
            </w:tcBorders>
            <w:shd w:val="clear" w:color="auto" w:fill="CCEEFF"/>
          </w:tcPr>
          <w:p>
            <w:pPr>
              <w:spacing w:after="0"/>
              <w:rPr>
                <w:sz w:val="19"/>
                <w:szCs w:val="19"/>
                <w:color w:val="auto"/>
              </w:rPr>
            </w:pPr>
          </w:p>
        </w:tc>
        <w:tc>
          <w:tcPr>
            <w:tcW w:w="1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(650)</w:t>
            </w:r>
          </w:p>
        </w:tc>
        <w:tc>
          <w:tcPr>
            <w:tcW w:w="240" w:type="dxa"/>
            <w:vAlign w:val="bottom"/>
            <w:tcBorders>
              <w:bottom w:val="single" w:sz="8" w:color="auto"/>
            </w:tcBorders>
            <w:shd w:val="clear" w:color="auto" w:fill="CCEEFF"/>
          </w:tcPr>
          <w:p>
            <w:pPr>
              <w:spacing w:after="0"/>
              <w:rPr>
                <w:sz w:val="19"/>
                <w:szCs w:val="19"/>
                <w:color w:val="auto"/>
              </w:rPr>
            </w:pPr>
          </w:p>
        </w:tc>
        <w:tc>
          <w:tcPr>
            <w:tcW w:w="2100" w:type="dxa"/>
            <w:vAlign w:val="bottom"/>
            <w:tcBorders>
              <w:bottom w:val="single" w:sz="8" w:color="auto"/>
            </w:tcBorders>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1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(650)</w:t>
            </w:r>
          </w:p>
        </w:tc>
        <w:tc>
          <w:tcPr>
            <w:tcW w:w="0" w:type="dxa"/>
            <w:vAlign w:val="bottom"/>
          </w:tcPr>
          <w:p>
            <w:pPr>
              <w:spacing w:after="0"/>
              <w:rPr>
                <w:sz w:val="1"/>
                <w:szCs w:val="1"/>
                <w:color w:val="auto"/>
              </w:rPr>
            </w:pPr>
          </w:p>
        </w:tc>
      </w:tr>
      <w:tr>
        <w:trPr>
          <w:trHeight w:val="223"/>
        </w:trPr>
        <w:tc>
          <w:tcPr>
            <w:tcW w:w="4840" w:type="dxa"/>
            <w:vAlign w:val="bottom"/>
          </w:tcPr>
          <w:p>
            <w:pPr>
              <w:spacing w:after="0"/>
              <w:rPr>
                <w:sz w:val="19"/>
                <w:szCs w:val="19"/>
                <w:color w:val="auto"/>
              </w:rPr>
            </w:pPr>
          </w:p>
        </w:tc>
        <w:tc>
          <w:tcPr>
            <w:tcW w:w="340" w:type="dxa"/>
            <w:vAlign w:val="bottom"/>
            <w:tcBorders>
              <w:bottom w:val="single" w:sz="8" w:color="auto"/>
            </w:tcBorders>
          </w:tcPr>
          <w:p>
            <w:pPr>
              <w:jc w:val="right"/>
              <w:ind w:right="156"/>
              <w:spacing w:after="0"/>
              <w:rPr>
                <w:sz w:val="20"/>
                <w:szCs w:val="20"/>
                <w:color w:val="auto"/>
              </w:rPr>
            </w:pPr>
            <w:r>
              <w:rPr>
                <w:rFonts w:ascii="Arial" w:cs="Arial" w:eastAsia="Arial" w:hAnsi="Arial"/>
                <w:sz w:val="18"/>
                <w:szCs w:val="18"/>
                <w:color w:val="auto"/>
                <w:w w:val="79"/>
              </w:rPr>
              <w:t>$</w:t>
            </w:r>
          </w:p>
        </w:tc>
        <w:tc>
          <w:tcPr>
            <w:tcW w:w="1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593,500</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210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 $</w:t>
            </w:r>
          </w:p>
        </w:tc>
        <w:tc>
          <w:tcPr>
            <w:tcW w:w="1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593,500</w:t>
            </w:r>
          </w:p>
        </w:tc>
        <w:tc>
          <w:tcPr>
            <w:tcW w:w="0" w:type="dxa"/>
            <w:vAlign w:val="bottom"/>
          </w:tcPr>
          <w:p>
            <w:pPr>
              <w:spacing w:after="0"/>
              <w:rPr>
                <w:sz w:val="1"/>
                <w:szCs w:val="1"/>
                <w:color w:val="auto"/>
              </w:rPr>
            </w:pPr>
          </w:p>
        </w:tc>
      </w:tr>
      <w:tr>
        <w:trPr>
          <w:trHeight w:val="21"/>
        </w:trPr>
        <w:tc>
          <w:tcPr>
            <w:tcW w:w="484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8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2100" w:type="dxa"/>
            <w:vAlign w:val="bottom"/>
            <w:tcBorders>
              <w:bottom w:val="single" w:sz="8" w:color="auto"/>
            </w:tcBorders>
          </w:tcPr>
          <w:p>
            <w:pPr>
              <w:spacing w:after="0" w:line="20" w:lineRule="exact"/>
              <w:rPr>
                <w:sz w:val="1"/>
                <w:szCs w:val="1"/>
                <w:color w:val="auto"/>
              </w:rPr>
            </w:pPr>
          </w:p>
        </w:tc>
        <w:tc>
          <w:tcPr>
            <w:tcW w:w="18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The previously reported provisional amounts presented in the table above pertained to the preliminary purchase price allocation reported in the Company's Form 10-K for the year ended February 1, 2020. The measurement period adjustments were primarily related to changes in estimates related to final agreement of tax-related purchase price allocations with the seller. The Company does not believe that the measurement period adjustments had a material impact on its consolidated statements of operations, balance sheets or cash flows in any periods reported.</w:t>
      </w:r>
    </w:p>
    <w:p>
      <w:pPr>
        <w:spacing w:after="0" w:line="198" w:lineRule="exact"/>
        <w:rPr>
          <w:sz w:val="20"/>
          <w:szCs w:val="20"/>
          <w:color w:val="auto"/>
        </w:rPr>
      </w:pPr>
    </w:p>
    <w:p>
      <w:pPr>
        <w:ind w:right="260" w:firstLine="405"/>
        <w:spacing w:after="0" w:line="277" w:lineRule="auto"/>
        <w:rPr>
          <w:sz w:val="20"/>
          <w:szCs w:val="20"/>
          <w:color w:val="auto"/>
        </w:rPr>
      </w:pPr>
      <w:r>
        <w:rPr>
          <w:rFonts w:ascii="Arial" w:cs="Arial" w:eastAsia="Arial" w:hAnsi="Arial"/>
          <w:sz w:val="18"/>
          <w:szCs w:val="18"/>
          <w:color w:val="auto"/>
        </w:rPr>
        <w:t>In fiscal year 2020, the Company incurred total acquisition related costs of $5.7 million which were recorded in selling, general and administrative expense in the consolidated statements of operations.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Aquantia Corp</w:t>
      </w:r>
    </w:p>
    <w:p>
      <w:pPr>
        <w:spacing w:after="0" w:line="121" w:lineRule="exact"/>
        <w:rPr>
          <w:sz w:val="20"/>
          <w:szCs w:val="20"/>
          <w:color w:val="auto"/>
        </w:rPr>
      </w:pPr>
    </w:p>
    <w:p>
      <w:pPr>
        <w:ind w:right="80" w:firstLine="405"/>
        <w:spacing w:after="0" w:line="293" w:lineRule="auto"/>
        <w:rPr>
          <w:sz w:val="20"/>
          <w:szCs w:val="20"/>
          <w:color w:val="auto"/>
        </w:rPr>
      </w:pPr>
      <w:r>
        <w:rPr>
          <w:rFonts w:ascii="Arial" w:cs="Arial" w:eastAsia="Arial" w:hAnsi="Arial"/>
          <w:sz w:val="16"/>
          <w:szCs w:val="16"/>
          <w:color w:val="auto"/>
        </w:rPr>
        <w:t>On September 19, 2019, the Company completed the acquisition of Aquantia. Aquantia is a manufacturer of high-speed transceivers which includes copper and optical physical layer products. The Company acquired Aquantia to further its position in automotive in-vehicle networking and strengthen its multi-gig ethernet PHY portfolio for enterprise infrastructure, data center and access applications. In accordance with the terms of the Agreement and Plan of Merger dated May 6, 2019, by and among the Company and Aquantia (the “Aquantia merger agreement”), the Company acquired all outstanding shares of common stock of Aquantia (the “Aquantia shares”) for $13.25 per share in cash. The merger consideration was funded with a combination of cash on hand and funds from the Company's revolving line of credit (“2018 Revolving Credit Facility”). See “Note 11 - Debt” for additional information.</w:t>
      </w:r>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20" w:type="dxa"/>
            <w:vAlign w:val="bottom"/>
          </w:tcPr>
          <w:p>
            <w:pPr>
              <w:ind w:left="420"/>
              <w:spacing w:after="0"/>
              <w:rPr>
                <w:sz w:val="20"/>
                <w:szCs w:val="20"/>
                <w:color w:val="auto"/>
              </w:rPr>
            </w:pPr>
            <w:r>
              <w:rPr>
                <w:rFonts w:ascii="Arial" w:cs="Arial" w:eastAsia="Arial" w:hAnsi="Arial"/>
                <w:sz w:val="18"/>
                <w:szCs w:val="18"/>
                <w:color w:val="auto"/>
              </w:rPr>
              <w:t>The following table summarizes the total merger consideration (in thousands):</w:t>
            </w:r>
          </w:p>
        </w:tc>
        <w:tc>
          <w:tcPr>
            <w:tcW w:w="158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732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2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Aquantia common stockholders</w:t>
            </w:r>
          </w:p>
        </w:tc>
        <w:tc>
          <w:tcPr>
            <w:tcW w:w="1580" w:type="dxa"/>
            <w:vAlign w:val="bottom"/>
            <w:shd w:val="clear" w:color="auto" w:fill="CCEEFF"/>
          </w:tcPr>
          <w:p>
            <w:pPr>
              <w:jc w:val="right"/>
              <w:ind w:right="1390"/>
              <w:spacing w:after="0"/>
              <w:rPr>
                <w:sz w:val="20"/>
                <w:szCs w:val="20"/>
                <w:color w:val="auto"/>
              </w:rPr>
            </w:pPr>
            <w:r>
              <w:rPr>
                <w:rFonts w:ascii="Arial" w:cs="Arial" w:eastAsia="Arial" w:hAnsi="Arial"/>
                <w:sz w:val="18"/>
                <w:szCs w:val="18"/>
                <w:color w:val="auto"/>
                <w:w w:val="79"/>
              </w:rPr>
              <w:t>$</w:t>
            </w:r>
          </w:p>
        </w:tc>
        <w:tc>
          <w:tcPr>
            <w:tcW w:w="2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479,547</w:t>
            </w:r>
          </w:p>
        </w:tc>
        <w:tc>
          <w:tcPr>
            <w:tcW w:w="0" w:type="dxa"/>
            <w:vAlign w:val="bottom"/>
          </w:tcPr>
          <w:p>
            <w:pPr>
              <w:spacing w:after="0"/>
              <w:rPr>
                <w:sz w:val="1"/>
                <w:szCs w:val="1"/>
                <w:color w:val="auto"/>
              </w:rPr>
            </w:pPr>
          </w:p>
        </w:tc>
      </w:tr>
      <w:tr>
        <w:trPr>
          <w:trHeight w:val="175"/>
        </w:trPr>
        <w:tc>
          <w:tcPr>
            <w:tcW w:w="7320" w:type="dxa"/>
            <w:vAlign w:val="bottom"/>
          </w:tcPr>
          <w:p>
            <w:pPr>
              <w:ind w:left="20"/>
              <w:spacing w:after="0" w:line="176" w:lineRule="exact"/>
              <w:rPr>
                <w:sz w:val="20"/>
                <w:szCs w:val="20"/>
                <w:color w:val="auto"/>
              </w:rPr>
            </w:pPr>
            <w:r>
              <w:rPr>
                <w:rFonts w:ascii="Arial" w:cs="Arial" w:eastAsia="Arial" w:hAnsi="Arial"/>
                <w:sz w:val="18"/>
                <w:szCs w:val="18"/>
                <w:color w:val="auto"/>
                <w:w w:val="93"/>
              </w:rPr>
              <w:t>Cash consideration - director, employee &amp; consultant grant accelerations and payout for employee</w:t>
            </w:r>
          </w:p>
        </w:tc>
        <w:tc>
          <w:tcPr>
            <w:tcW w:w="1580" w:type="dxa"/>
            <w:vAlign w:val="bottom"/>
          </w:tcPr>
          <w:p>
            <w:pPr>
              <w:spacing w:after="0"/>
              <w:rPr>
                <w:sz w:val="15"/>
                <w:szCs w:val="15"/>
                <w:color w:val="auto"/>
              </w:rPr>
            </w:pPr>
          </w:p>
        </w:tc>
        <w:tc>
          <w:tcPr>
            <w:tcW w:w="2140" w:type="dxa"/>
            <w:vAlign w:val="bottom"/>
            <w:vMerge w:val="restart"/>
          </w:tcPr>
          <w:p>
            <w:pPr>
              <w:jc w:val="right"/>
              <w:spacing w:after="0"/>
              <w:rPr>
                <w:sz w:val="20"/>
                <w:szCs w:val="20"/>
                <w:color w:val="auto"/>
              </w:rPr>
            </w:pPr>
            <w:r>
              <w:rPr>
                <w:rFonts w:ascii="Arial" w:cs="Arial" w:eastAsia="Arial" w:hAnsi="Arial"/>
                <w:sz w:val="18"/>
                <w:szCs w:val="18"/>
                <w:color w:val="auto"/>
              </w:rPr>
              <w:t>7,122</w:t>
            </w:r>
          </w:p>
        </w:tc>
        <w:tc>
          <w:tcPr>
            <w:tcW w:w="0" w:type="dxa"/>
            <w:vAlign w:val="bottom"/>
          </w:tcPr>
          <w:p>
            <w:pPr>
              <w:spacing w:after="0"/>
              <w:rPr>
                <w:sz w:val="1"/>
                <w:szCs w:val="1"/>
                <w:color w:val="auto"/>
              </w:rPr>
            </w:pPr>
          </w:p>
        </w:tc>
      </w:tr>
      <w:tr>
        <w:trPr>
          <w:trHeight w:val="230"/>
        </w:trPr>
        <w:tc>
          <w:tcPr>
            <w:tcW w:w="7320" w:type="dxa"/>
            <w:vAlign w:val="bottom"/>
          </w:tcPr>
          <w:p>
            <w:pPr>
              <w:ind w:left="20"/>
              <w:spacing w:after="0"/>
              <w:rPr>
                <w:sz w:val="20"/>
                <w:szCs w:val="20"/>
                <w:color w:val="auto"/>
              </w:rPr>
            </w:pPr>
            <w:r>
              <w:rPr>
                <w:rFonts w:ascii="Arial" w:cs="Arial" w:eastAsia="Arial" w:hAnsi="Arial"/>
                <w:sz w:val="18"/>
                <w:szCs w:val="18"/>
                <w:color w:val="auto"/>
              </w:rPr>
              <w:t>stock purchase plan</w:t>
            </w:r>
          </w:p>
        </w:tc>
        <w:tc>
          <w:tcPr>
            <w:tcW w:w="1580" w:type="dxa"/>
            <w:vAlign w:val="bottom"/>
          </w:tcPr>
          <w:p>
            <w:pPr>
              <w:spacing w:after="0"/>
              <w:rPr>
                <w:sz w:val="19"/>
                <w:szCs w:val="19"/>
                <w:color w:val="auto"/>
              </w:rPr>
            </w:pPr>
          </w:p>
        </w:tc>
        <w:tc>
          <w:tcPr>
            <w:tcW w:w="21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580" w:type="dxa"/>
            <w:vAlign w:val="bottom"/>
            <w:tcBorders>
              <w:bottom w:val="single" w:sz="8" w:color="auto"/>
            </w:tcBorders>
            <w:shd w:val="clear" w:color="auto" w:fill="CCEEFF"/>
          </w:tcPr>
          <w:p>
            <w:pPr>
              <w:spacing w:after="0"/>
              <w:rPr>
                <w:sz w:val="19"/>
                <w:szCs w:val="19"/>
                <w:color w:val="auto"/>
              </w:rPr>
            </w:pPr>
          </w:p>
        </w:tc>
        <w:tc>
          <w:tcPr>
            <w:tcW w:w="2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15,520</w:t>
            </w:r>
          </w:p>
        </w:tc>
        <w:tc>
          <w:tcPr>
            <w:tcW w:w="0" w:type="dxa"/>
            <w:vAlign w:val="bottom"/>
          </w:tcPr>
          <w:p>
            <w:pPr>
              <w:spacing w:after="0"/>
              <w:rPr>
                <w:sz w:val="1"/>
                <w:szCs w:val="1"/>
                <w:color w:val="auto"/>
              </w:rPr>
            </w:pPr>
          </w:p>
        </w:tc>
      </w:tr>
      <w:tr>
        <w:trPr>
          <w:trHeight w:val="223"/>
        </w:trPr>
        <w:tc>
          <w:tcPr>
            <w:tcW w:w="732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580" w:type="dxa"/>
            <w:vAlign w:val="bottom"/>
            <w:tcBorders>
              <w:bottom w:val="single" w:sz="8" w:color="auto"/>
            </w:tcBorders>
          </w:tcPr>
          <w:p>
            <w:pPr>
              <w:jc w:val="right"/>
              <w:ind w:right="1390"/>
              <w:spacing w:after="0"/>
              <w:rPr>
                <w:sz w:val="20"/>
                <w:szCs w:val="20"/>
                <w:color w:val="auto"/>
              </w:rPr>
            </w:pPr>
            <w:r>
              <w:rPr>
                <w:rFonts w:ascii="Arial" w:cs="Arial" w:eastAsia="Arial" w:hAnsi="Arial"/>
                <w:sz w:val="18"/>
                <w:szCs w:val="18"/>
                <w:color w:val="auto"/>
                <w:w w:val="79"/>
              </w:rPr>
              <w:t>$</w:t>
            </w:r>
          </w:p>
        </w:tc>
        <w:tc>
          <w:tcPr>
            <w:tcW w:w="2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502,189</w:t>
            </w:r>
          </w:p>
        </w:tc>
        <w:tc>
          <w:tcPr>
            <w:tcW w:w="0" w:type="dxa"/>
            <w:vAlign w:val="bottom"/>
          </w:tcPr>
          <w:p>
            <w:pPr>
              <w:spacing w:after="0"/>
              <w:rPr>
                <w:sz w:val="1"/>
                <w:szCs w:val="1"/>
                <w:color w:val="auto"/>
              </w:rPr>
            </w:pPr>
          </w:p>
        </w:tc>
      </w:tr>
      <w:tr>
        <w:trPr>
          <w:trHeight w:val="20"/>
        </w:trPr>
        <w:tc>
          <w:tcPr>
            <w:tcW w:w="732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2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Aquantia acquisition is not expected to be deductible for tax purposes.</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0" w:name="page71"/>
    <w:bookmarkEnd w:id="7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40" w:type="dxa"/>
            <w:vAlign w:val="bottom"/>
          </w:tcPr>
          <w:p>
            <w:pPr>
              <w:spacing w:after="0"/>
              <w:rPr>
                <w:sz w:val="14"/>
                <w:szCs w:val="14"/>
                <w:color w:val="auto"/>
              </w:rPr>
            </w:pPr>
          </w:p>
        </w:tc>
        <w:tc>
          <w:tcPr>
            <w:tcW w:w="21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Previously Reported February 1,</w:t>
            </w:r>
          </w:p>
        </w:tc>
        <w:tc>
          <w:tcPr>
            <w:tcW w:w="2540" w:type="dxa"/>
            <w:vAlign w:val="bottom"/>
            <w:gridSpan w:val="2"/>
            <w:vMerge w:val="restart"/>
          </w:tcPr>
          <w:p>
            <w:pPr>
              <w:jc w:val="right"/>
              <w:ind w:right="330"/>
              <w:spacing w:after="0"/>
              <w:rPr>
                <w:sz w:val="20"/>
                <w:szCs w:val="20"/>
                <w:color w:val="auto"/>
              </w:rPr>
            </w:pPr>
            <w:r>
              <w:rPr>
                <w:rFonts w:ascii="Arial" w:cs="Arial" w:eastAsia="Arial" w:hAnsi="Arial"/>
                <w:sz w:val="14"/>
                <w:szCs w:val="14"/>
                <w:b w:val="1"/>
                <w:bCs w:val="1"/>
                <w:color w:val="auto"/>
                <w:w w:val="96"/>
              </w:rPr>
              <w:t>Measurement Period Adjustment</w:t>
            </w:r>
          </w:p>
        </w:tc>
        <w:tc>
          <w:tcPr>
            <w:tcW w:w="1840" w:type="dxa"/>
            <w:vAlign w:val="bottom"/>
            <w:vMerge w:val="restart"/>
          </w:tcPr>
          <w:p>
            <w:pPr>
              <w:jc w:val="right"/>
              <w:ind w:right="472"/>
              <w:spacing w:after="0"/>
              <w:rPr>
                <w:sz w:val="20"/>
                <w:szCs w:val="20"/>
                <w:color w:val="auto"/>
              </w:rPr>
            </w:pPr>
            <w:r>
              <w:rPr>
                <w:rFonts w:ascii="Arial" w:cs="Arial" w:eastAsia="Arial" w:hAnsi="Arial"/>
                <w:sz w:val="14"/>
                <w:szCs w:val="14"/>
                <w:b w:val="1"/>
                <w:bCs w:val="1"/>
                <w:color w:val="auto"/>
              </w:rPr>
              <w:t>January 30, 2021</w:t>
            </w:r>
          </w:p>
        </w:tc>
        <w:tc>
          <w:tcPr>
            <w:tcW w:w="0" w:type="dxa"/>
            <w:vAlign w:val="bottom"/>
          </w:tcPr>
          <w:p>
            <w:pPr>
              <w:spacing w:after="0"/>
              <w:rPr>
                <w:sz w:val="1"/>
                <w:szCs w:val="1"/>
                <w:color w:val="auto"/>
              </w:rPr>
            </w:pPr>
          </w:p>
        </w:tc>
      </w:tr>
      <w:tr>
        <w:trPr>
          <w:trHeight w:val="188"/>
        </w:trPr>
        <w:tc>
          <w:tcPr>
            <w:tcW w:w="47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 (Provisional)</w:t>
            </w:r>
          </w:p>
        </w:tc>
        <w:tc>
          <w:tcPr>
            <w:tcW w:w="2540" w:type="dxa"/>
            <w:vAlign w:val="bottom"/>
            <w:tcBorders>
              <w:bottom w:val="single" w:sz="8" w:color="auto"/>
            </w:tcBorders>
            <w:gridSpan w:val="2"/>
            <w:vMerge w:val="continue"/>
          </w:tcPr>
          <w:p>
            <w:pPr>
              <w:spacing w:after="0"/>
              <w:rPr>
                <w:sz w:val="16"/>
                <w:szCs w:val="16"/>
                <w:color w:val="auto"/>
              </w:rPr>
            </w:pPr>
          </w:p>
        </w:tc>
        <w:tc>
          <w:tcPr>
            <w:tcW w:w="18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short-term investments</w:t>
            </w:r>
          </w:p>
        </w:tc>
        <w:tc>
          <w:tcPr>
            <w:tcW w:w="320" w:type="dxa"/>
            <w:vAlign w:val="bottom"/>
            <w:shd w:val="clear" w:color="auto" w:fill="CCEEFF"/>
          </w:tcPr>
          <w:p>
            <w:pPr>
              <w:jc w:val="right"/>
              <w:ind w:right="116"/>
              <w:spacing w:after="0"/>
              <w:rPr>
                <w:sz w:val="20"/>
                <w:szCs w:val="20"/>
                <w:color w:val="auto"/>
              </w:rPr>
            </w:pPr>
            <w:r>
              <w:rPr>
                <w:rFonts w:ascii="Arial" w:cs="Arial" w:eastAsia="Arial" w:hAnsi="Arial"/>
                <w:sz w:val="18"/>
                <w:szCs w:val="18"/>
                <w:color w:val="auto"/>
                <w:w w:val="99"/>
              </w:rPr>
              <w:t>$</w:t>
            </w: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27,914</w:t>
            </w:r>
          </w:p>
        </w:tc>
        <w:tc>
          <w:tcPr>
            <w:tcW w:w="880" w:type="dxa"/>
            <w:vAlign w:val="bottom"/>
            <w:shd w:val="clear" w:color="auto" w:fill="CCEEFF"/>
          </w:tcPr>
          <w:p>
            <w:pPr>
              <w:jc w:val="right"/>
              <w:ind w:right="676"/>
              <w:spacing w:after="0"/>
              <w:rPr>
                <w:sz w:val="20"/>
                <w:szCs w:val="20"/>
                <w:color w:val="auto"/>
              </w:rPr>
            </w:pPr>
            <w:r>
              <w:rPr>
                <w:rFonts w:ascii="Arial" w:cs="Arial" w:eastAsia="Arial" w:hAnsi="Arial"/>
                <w:sz w:val="18"/>
                <w:szCs w:val="18"/>
                <w:color w:val="auto"/>
                <w:w w:val="99"/>
              </w:rPr>
              <w:t>$</w:t>
            </w:r>
          </w:p>
        </w:tc>
        <w:tc>
          <w:tcPr>
            <w:tcW w:w="166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 $</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27,914</w:t>
            </w:r>
          </w:p>
        </w:tc>
        <w:tc>
          <w:tcPr>
            <w:tcW w:w="0" w:type="dxa"/>
            <w:vAlign w:val="bottom"/>
          </w:tcPr>
          <w:p>
            <w:pPr>
              <w:spacing w:after="0"/>
              <w:rPr>
                <w:sz w:val="1"/>
                <w:szCs w:val="1"/>
                <w:color w:val="auto"/>
              </w:rPr>
            </w:pPr>
          </w:p>
        </w:tc>
      </w:tr>
      <w:tr>
        <w:trPr>
          <w:trHeight w:val="230"/>
        </w:trPr>
        <w:tc>
          <w:tcPr>
            <w:tcW w:w="4740" w:type="dxa"/>
            <w:vAlign w:val="bottom"/>
          </w:tcPr>
          <w:p>
            <w:pPr>
              <w:ind w:left="20"/>
              <w:spacing w:after="0"/>
              <w:rPr>
                <w:sz w:val="20"/>
                <w:szCs w:val="20"/>
                <w:color w:val="auto"/>
              </w:rPr>
            </w:pPr>
            <w:r>
              <w:rPr>
                <w:rFonts w:ascii="Arial" w:cs="Arial" w:eastAsia="Arial" w:hAnsi="Arial"/>
                <w:sz w:val="18"/>
                <w:szCs w:val="18"/>
                <w:color w:val="auto"/>
              </w:rPr>
              <w:t>Inventory</w:t>
            </w:r>
          </w:p>
        </w:tc>
        <w:tc>
          <w:tcPr>
            <w:tcW w:w="3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33,900</w:t>
            </w:r>
          </w:p>
        </w:tc>
        <w:tc>
          <w:tcPr>
            <w:tcW w:w="880" w:type="dxa"/>
            <w:vAlign w:val="bottom"/>
          </w:tcPr>
          <w:p>
            <w:pPr>
              <w:spacing w:after="0"/>
              <w:rPr>
                <w:sz w:val="19"/>
                <w:szCs w:val="19"/>
                <w:color w:val="auto"/>
              </w:rPr>
            </w:pPr>
          </w:p>
        </w:tc>
        <w:tc>
          <w:tcPr>
            <w:tcW w:w="1660" w:type="dxa"/>
            <w:vAlign w:val="bottom"/>
          </w:tcPr>
          <w:p>
            <w:pPr>
              <w:ind w:left="1060"/>
              <w:spacing w:after="0"/>
              <w:rPr>
                <w:sz w:val="20"/>
                <w:szCs w:val="20"/>
                <w:color w:val="auto"/>
              </w:rPr>
            </w:pPr>
            <w:r>
              <w:rPr>
                <w:rFonts w:ascii="Arial" w:cs="Arial" w:eastAsia="Arial" w:hAnsi="Arial"/>
                <w:sz w:val="18"/>
                <w:szCs w:val="18"/>
                <w:color w:val="auto"/>
              </w:rPr>
              <w:t>—</w:t>
            </w:r>
          </w:p>
        </w:tc>
        <w:tc>
          <w:tcPr>
            <w:tcW w:w="1840" w:type="dxa"/>
            <w:vAlign w:val="bottom"/>
          </w:tcPr>
          <w:p>
            <w:pPr>
              <w:jc w:val="right"/>
              <w:spacing w:after="0"/>
              <w:rPr>
                <w:sz w:val="20"/>
                <w:szCs w:val="20"/>
                <w:color w:val="auto"/>
              </w:rPr>
            </w:pPr>
            <w:r>
              <w:rPr>
                <w:rFonts w:ascii="Arial" w:cs="Arial" w:eastAsia="Arial" w:hAnsi="Arial"/>
                <w:sz w:val="18"/>
                <w:szCs w:val="18"/>
                <w:color w:val="auto"/>
              </w:rPr>
              <w:t>33,900</w:t>
            </w:r>
          </w:p>
        </w:tc>
        <w:tc>
          <w:tcPr>
            <w:tcW w:w="0" w:type="dxa"/>
            <w:vAlign w:val="bottom"/>
          </w:tcPr>
          <w:p>
            <w:pPr>
              <w:spacing w:after="0"/>
              <w:rPr>
                <w:sz w:val="1"/>
                <w:szCs w:val="1"/>
                <w:color w:val="auto"/>
              </w:rPr>
            </w:pPr>
          </w:p>
        </w:tc>
      </w:tr>
      <w:tr>
        <w:trPr>
          <w:trHeight w:val="229"/>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320" w:type="dxa"/>
            <w:vAlign w:val="bottom"/>
            <w:shd w:val="clear" w:color="auto" w:fill="CCEEFF"/>
          </w:tcPr>
          <w:p>
            <w:pPr>
              <w:spacing w:after="0"/>
              <w:rPr>
                <w:sz w:val="19"/>
                <w:szCs w:val="19"/>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227,594</w:t>
            </w:r>
          </w:p>
        </w:tc>
        <w:tc>
          <w:tcPr>
            <w:tcW w:w="880" w:type="dxa"/>
            <w:vAlign w:val="bottom"/>
            <w:shd w:val="clear" w:color="auto" w:fill="CCEEFF"/>
          </w:tcPr>
          <w:p>
            <w:pPr>
              <w:spacing w:after="0"/>
              <w:rPr>
                <w:sz w:val="19"/>
                <w:szCs w:val="19"/>
                <w:color w:val="auto"/>
              </w:rPr>
            </w:pPr>
          </w:p>
        </w:tc>
        <w:tc>
          <w:tcPr>
            <w:tcW w:w="1660" w:type="dxa"/>
            <w:vAlign w:val="bottom"/>
            <w:shd w:val="clear" w:color="auto" w:fill="CCEEFF"/>
          </w:tcPr>
          <w:p>
            <w:pPr>
              <w:ind w:left="760"/>
              <w:spacing w:after="0"/>
              <w:rPr>
                <w:sz w:val="20"/>
                <w:szCs w:val="20"/>
                <w:color w:val="auto"/>
              </w:rPr>
            </w:pPr>
            <w:r>
              <w:rPr>
                <w:rFonts w:ascii="Arial" w:cs="Arial" w:eastAsia="Arial" w:hAnsi="Arial"/>
                <w:sz w:val="18"/>
                <w:szCs w:val="18"/>
                <w:color w:val="auto"/>
              </w:rPr>
              <w:t>(1,049)</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226,545</w:t>
            </w:r>
          </w:p>
        </w:tc>
        <w:tc>
          <w:tcPr>
            <w:tcW w:w="0" w:type="dxa"/>
            <w:vAlign w:val="bottom"/>
          </w:tcPr>
          <w:p>
            <w:pPr>
              <w:spacing w:after="0"/>
              <w:rPr>
                <w:sz w:val="1"/>
                <w:szCs w:val="1"/>
                <w:color w:val="auto"/>
              </w:rPr>
            </w:pPr>
          </w:p>
        </w:tc>
      </w:tr>
      <w:tr>
        <w:trPr>
          <w:trHeight w:val="230"/>
        </w:trPr>
        <w:tc>
          <w:tcPr>
            <w:tcW w:w="4740" w:type="dxa"/>
            <w:vAlign w:val="bottom"/>
          </w:tcPr>
          <w:p>
            <w:pPr>
              <w:ind w:left="20"/>
              <w:spacing w:after="0"/>
              <w:rPr>
                <w:sz w:val="20"/>
                <w:szCs w:val="20"/>
                <w:color w:val="auto"/>
              </w:rPr>
            </w:pPr>
            <w:r>
              <w:rPr>
                <w:rFonts w:ascii="Arial" w:cs="Arial" w:eastAsia="Arial" w:hAnsi="Arial"/>
                <w:sz w:val="18"/>
                <w:szCs w:val="18"/>
                <w:color w:val="auto"/>
              </w:rPr>
              <w:t>Acquired intangible assets</w:t>
            </w:r>
          </w:p>
        </w:tc>
        <w:tc>
          <w:tcPr>
            <w:tcW w:w="3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193,000</w:t>
            </w:r>
          </w:p>
        </w:tc>
        <w:tc>
          <w:tcPr>
            <w:tcW w:w="880" w:type="dxa"/>
            <w:vAlign w:val="bottom"/>
          </w:tcPr>
          <w:p>
            <w:pPr>
              <w:spacing w:after="0"/>
              <w:rPr>
                <w:sz w:val="19"/>
                <w:szCs w:val="19"/>
                <w:color w:val="auto"/>
              </w:rPr>
            </w:pPr>
          </w:p>
        </w:tc>
        <w:tc>
          <w:tcPr>
            <w:tcW w:w="1660" w:type="dxa"/>
            <w:vAlign w:val="bottom"/>
          </w:tcPr>
          <w:p>
            <w:pPr>
              <w:ind w:left="1060"/>
              <w:spacing w:after="0"/>
              <w:rPr>
                <w:sz w:val="20"/>
                <w:szCs w:val="20"/>
                <w:color w:val="auto"/>
              </w:rPr>
            </w:pPr>
            <w:r>
              <w:rPr>
                <w:rFonts w:ascii="Arial" w:cs="Arial" w:eastAsia="Arial" w:hAnsi="Arial"/>
                <w:sz w:val="18"/>
                <w:szCs w:val="18"/>
                <w:color w:val="auto"/>
              </w:rPr>
              <w:t>—</w:t>
            </w:r>
          </w:p>
        </w:tc>
        <w:tc>
          <w:tcPr>
            <w:tcW w:w="1840" w:type="dxa"/>
            <w:vAlign w:val="bottom"/>
          </w:tcPr>
          <w:p>
            <w:pPr>
              <w:jc w:val="right"/>
              <w:spacing w:after="0"/>
              <w:rPr>
                <w:sz w:val="20"/>
                <w:szCs w:val="20"/>
                <w:color w:val="auto"/>
              </w:rPr>
            </w:pPr>
            <w:r>
              <w:rPr>
                <w:rFonts w:ascii="Arial" w:cs="Arial" w:eastAsia="Arial" w:hAnsi="Arial"/>
                <w:sz w:val="18"/>
                <w:szCs w:val="18"/>
                <w:color w:val="auto"/>
              </w:rPr>
              <w:t>193,000</w:t>
            </w:r>
          </w:p>
        </w:tc>
        <w:tc>
          <w:tcPr>
            <w:tcW w:w="0" w:type="dxa"/>
            <w:vAlign w:val="bottom"/>
          </w:tcPr>
          <w:p>
            <w:pPr>
              <w:spacing w:after="0"/>
              <w:rPr>
                <w:sz w:val="1"/>
                <w:szCs w:val="1"/>
                <w:color w:val="auto"/>
              </w:rPr>
            </w:pPr>
          </w:p>
        </w:tc>
      </w:tr>
      <w:tr>
        <w:trPr>
          <w:trHeight w:val="229"/>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20" w:type="dxa"/>
            <w:vAlign w:val="bottom"/>
            <w:shd w:val="clear" w:color="auto" w:fill="CCEEFF"/>
          </w:tcPr>
          <w:p>
            <w:pPr>
              <w:spacing w:after="0"/>
              <w:rPr>
                <w:sz w:val="19"/>
                <w:szCs w:val="19"/>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35,123</w:t>
            </w:r>
          </w:p>
        </w:tc>
        <w:tc>
          <w:tcPr>
            <w:tcW w:w="880" w:type="dxa"/>
            <w:vAlign w:val="bottom"/>
            <w:shd w:val="clear" w:color="auto" w:fill="CCEEFF"/>
          </w:tcPr>
          <w:p>
            <w:pPr>
              <w:spacing w:after="0"/>
              <w:rPr>
                <w:sz w:val="19"/>
                <w:szCs w:val="19"/>
                <w:color w:val="auto"/>
              </w:rPr>
            </w:pPr>
          </w:p>
        </w:tc>
        <w:tc>
          <w:tcPr>
            <w:tcW w:w="166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rPr>
              <w:t>1,049</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36,172</w:t>
            </w:r>
          </w:p>
        </w:tc>
        <w:tc>
          <w:tcPr>
            <w:tcW w:w="0" w:type="dxa"/>
            <w:vAlign w:val="bottom"/>
          </w:tcPr>
          <w:p>
            <w:pPr>
              <w:spacing w:after="0"/>
              <w:rPr>
                <w:sz w:val="1"/>
                <w:szCs w:val="1"/>
                <w:color w:val="auto"/>
              </w:rPr>
            </w:pPr>
          </w:p>
        </w:tc>
      </w:tr>
      <w:tr>
        <w:trPr>
          <w:trHeight w:val="229"/>
        </w:trPr>
        <w:tc>
          <w:tcPr>
            <w:tcW w:w="474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(21,813)</w:t>
            </w:r>
          </w:p>
        </w:tc>
        <w:tc>
          <w:tcPr>
            <w:tcW w:w="880" w:type="dxa"/>
            <w:vAlign w:val="bottom"/>
          </w:tcPr>
          <w:p>
            <w:pPr>
              <w:spacing w:after="0"/>
              <w:rPr>
                <w:sz w:val="19"/>
                <w:szCs w:val="19"/>
                <w:color w:val="auto"/>
              </w:rPr>
            </w:pPr>
          </w:p>
        </w:tc>
        <w:tc>
          <w:tcPr>
            <w:tcW w:w="1660" w:type="dxa"/>
            <w:vAlign w:val="bottom"/>
          </w:tcPr>
          <w:p>
            <w:pPr>
              <w:ind w:left="1060"/>
              <w:spacing w:after="0"/>
              <w:rPr>
                <w:sz w:val="20"/>
                <w:szCs w:val="20"/>
                <w:color w:val="auto"/>
              </w:rPr>
            </w:pPr>
            <w:r>
              <w:rPr>
                <w:rFonts w:ascii="Arial" w:cs="Arial" w:eastAsia="Arial" w:hAnsi="Arial"/>
                <w:sz w:val="18"/>
                <w:szCs w:val="18"/>
                <w:color w:val="auto"/>
              </w:rPr>
              <w:t>—</w:t>
            </w:r>
          </w:p>
        </w:tc>
        <w:tc>
          <w:tcPr>
            <w:tcW w:w="1840" w:type="dxa"/>
            <w:vAlign w:val="bottom"/>
          </w:tcPr>
          <w:p>
            <w:pPr>
              <w:jc w:val="right"/>
              <w:spacing w:after="0"/>
              <w:rPr>
                <w:sz w:val="20"/>
                <w:szCs w:val="20"/>
                <w:color w:val="auto"/>
              </w:rPr>
            </w:pPr>
            <w:r>
              <w:rPr>
                <w:rFonts w:ascii="Arial" w:cs="Arial" w:eastAsia="Arial" w:hAnsi="Arial"/>
                <w:sz w:val="18"/>
                <w:szCs w:val="18"/>
                <w:color w:val="auto"/>
              </w:rPr>
              <w:t>(21,813)</w:t>
            </w:r>
          </w:p>
        </w:tc>
        <w:tc>
          <w:tcPr>
            <w:tcW w:w="0" w:type="dxa"/>
            <w:vAlign w:val="bottom"/>
          </w:tcPr>
          <w:p>
            <w:pPr>
              <w:spacing w:after="0"/>
              <w:rPr>
                <w:sz w:val="1"/>
                <w:szCs w:val="1"/>
                <w:color w:val="auto"/>
              </w:rPr>
            </w:pPr>
          </w:p>
        </w:tc>
      </w:tr>
      <w:tr>
        <w:trPr>
          <w:trHeight w:val="230"/>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320" w:type="dxa"/>
            <w:vAlign w:val="bottom"/>
            <w:tcBorders>
              <w:bottom w:val="single" w:sz="8" w:color="auto"/>
            </w:tcBorders>
            <w:shd w:val="clear" w:color="auto" w:fill="CCEEFF"/>
          </w:tcPr>
          <w:p>
            <w:pPr>
              <w:spacing w:after="0"/>
              <w:rPr>
                <w:sz w:val="19"/>
                <w:szCs w:val="19"/>
                <w:color w:val="auto"/>
              </w:rPr>
            </w:pP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6,471</w:t>
            </w:r>
          </w:p>
        </w:tc>
        <w:tc>
          <w:tcPr>
            <w:tcW w:w="880" w:type="dxa"/>
            <w:vAlign w:val="bottom"/>
            <w:tcBorders>
              <w:bottom w:val="single" w:sz="8" w:color="auto"/>
            </w:tcBorders>
            <w:shd w:val="clear" w:color="auto" w:fill="CCEEFF"/>
          </w:tcPr>
          <w:p>
            <w:pPr>
              <w:spacing w:after="0"/>
              <w:rPr>
                <w:sz w:val="19"/>
                <w:szCs w:val="19"/>
                <w:color w:val="auto"/>
              </w:rPr>
            </w:pPr>
          </w:p>
        </w:tc>
        <w:tc>
          <w:tcPr>
            <w:tcW w:w="1660" w:type="dxa"/>
            <w:vAlign w:val="bottom"/>
            <w:tcBorders>
              <w:bottom w:val="single" w:sz="8" w:color="auto"/>
            </w:tcBorders>
            <w:shd w:val="clear" w:color="auto" w:fill="CCEEFF"/>
          </w:tcPr>
          <w:p>
            <w:pPr>
              <w:ind w:left="1060"/>
              <w:spacing w:after="0"/>
              <w:rPr>
                <w:sz w:val="20"/>
                <w:szCs w:val="20"/>
                <w:color w:val="auto"/>
              </w:rPr>
            </w:pPr>
            <w:r>
              <w:rPr>
                <w:rFonts w:ascii="Arial" w:cs="Arial" w:eastAsia="Arial" w:hAnsi="Arial"/>
                <w:sz w:val="18"/>
                <w:szCs w:val="18"/>
                <w:color w:val="auto"/>
              </w:rPr>
              <w:t>—</w:t>
            </w:r>
          </w:p>
        </w:tc>
        <w:tc>
          <w:tcPr>
            <w:tcW w:w="1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6,471</w:t>
            </w:r>
          </w:p>
        </w:tc>
        <w:tc>
          <w:tcPr>
            <w:tcW w:w="0" w:type="dxa"/>
            <w:vAlign w:val="bottom"/>
          </w:tcPr>
          <w:p>
            <w:pPr>
              <w:spacing w:after="0"/>
              <w:rPr>
                <w:sz w:val="1"/>
                <w:szCs w:val="1"/>
                <w:color w:val="auto"/>
              </w:rPr>
            </w:pPr>
          </w:p>
        </w:tc>
      </w:tr>
      <w:tr>
        <w:trPr>
          <w:trHeight w:val="223"/>
        </w:trPr>
        <w:tc>
          <w:tcPr>
            <w:tcW w:w="4740" w:type="dxa"/>
            <w:vAlign w:val="bottom"/>
          </w:tcPr>
          <w:p>
            <w:pPr>
              <w:spacing w:after="0"/>
              <w:rPr>
                <w:sz w:val="19"/>
                <w:szCs w:val="19"/>
                <w:color w:val="auto"/>
              </w:rPr>
            </w:pPr>
          </w:p>
        </w:tc>
        <w:tc>
          <w:tcPr>
            <w:tcW w:w="320" w:type="dxa"/>
            <w:vAlign w:val="bottom"/>
            <w:tcBorders>
              <w:bottom w:val="single" w:sz="8" w:color="auto"/>
            </w:tcBorders>
          </w:tcPr>
          <w:p>
            <w:pPr>
              <w:jc w:val="right"/>
              <w:ind w:right="116"/>
              <w:spacing w:after="0"/>
              <w:rPr>
                <w:sz w:val="20"/>
                <w:szCs w:val="20"/>
                <w:color w:val="auto"/>
              </w:rPr>
            </w:pPr>
            <w:r>
              <w:rPr>
                <w:rFonts w:ascii="Arial" w:cs="Arial" w:eastAsia="Arial" w:hAnsi="Arial"/>
                <w:sz w:val="18"/>
                <w:szCs w:val="18"/>
                <w:color w:val="auto"/>
                <w:w w:val="99"/>
              </w:rPr>
              <w:t>$</w:t>
            </w: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502,189</w:t>
            </w:r>
          </w:p>
        </w:tc>
        <w:tc>
          <w:tcPr>
            <w:tcW w:w="880" w:type="dxa"/>
            <w:vAlign w:val="bottom"/>
            <w:tcBorders>
              <w:bottom w:val="single" w:sz="8" w:color="auto"/>
            </w:tcBorders>
          </w:tcPr>
          <w:p>
            <w:pPr>
              <w:jc w:val="right"/>
              <w:ind w:right="676"/>
              <w:spacing w:after="0"/>
              <w:rPr>
                <w:sz w:val="20"/>
                <w:szCs w:val="20"/>
                <w:color w:val="auto"/>
              </w:rPr>
            </w:pPr>
            <w:r>
              <w:rPr>
                <w:rFonts w:ascii="Arial" w:cs="Arial" w:eastAsia="Arial" w:hAnsi="Arial"/>
                <w:sz w:val="18"/>
                <w:szCs w:val="18"/>
                <w:color w:val="auto"/>
                <w:w w:val="99"/>
              </w:rPr>
              <w:t>$</w:t>
            </w:r>
          </w:p>
        </w:tc>
        <w:tc>
          <w:tcPr>
            <w:tcW w:w="1660" w:type="dxa"/>
            <w:vAlign w:val="bottom"/>
            <w:tcBorders>
              <w:bottom w:val="single" w:sz="8" w:color="auto"/>
            </w:tcBorders>
          </w:tcPr>
          <w:p>
            <w:pPr>
              <w:ind w:left="1060"/>
              <w:spacing w:after="0"/>
              <w:rPr>
                <w:sz w:val="20"/>
                <w:szCs w:val="20"/>
                <w:color w:val="auto"/>
              </w:rPr>
            </w:pPr>
            <w:r>
              <w:rPr>
                <w:rFonts w:ascii="Arial" w:cs="Arial" w:eastAsia="Arial" w:hAnsi="Arial"/>
                <w:sz w:val="18"/>
                <w:szCs w:val="18"/>
                <w:color w:val="auto"/>
              </w:rPr>
              <w:t>— $</w:t>
            </w:r>
          </w:p>
        </w:tc>
        <w:tc>
          <w:tcPr>
            <w:tcW w:w="1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502,189</w:t>
            </w:r>
          </w:p>
        </w:tc>
        <w:tc>
          <w:tcPr>
            <w:tcW w:w="0" w:type="dxa"/>
            <w:vAlign w:val="bottom"/>
          </w:tcPr>
          <w:p>
            <w:pPr>
              <w:spacing w:after="0"/>
              <w:rPr>
                <w:sz w:val="1"/>
                <w:szCs w:val="1"/>
                <w:color w:val="auto"/>
              </w:rPr>
            </w:pPr>
          </w:p>
        </w:tc>
      </w:tr>
      <w:tr>
        <w:trPr>
          <w:trHeight w:val="21"/>
        </w:trPr>
        <w:tc>
          <w:tcPr>
            <w:tcW w:w="47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8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The previously reported provisional amounts presented in the table above pertained to the preliminary purchase price allocation reported in the Company's Form 10-K for the year ended February 1, 2020. The measurement period adjustments were primarily related to changes in estimates related to finalizing Aquantia's U.S. tax return. The Company does not believe that the measurement period adjustments had a material impact on its consolidated statements of operations, balance sheets or cash flows in any periods reported.</w:t>
      </w:r>
    </w:p>
    <w:p>
      <w:pPr>
        <w:spacing w:after="0" w:line="79" w:lineRule="exact"/>
        <w:rPr>
          <w:sz w:val="20"/>
          <w:szCs w:val="20"/>
          <w:color w:val="auto"/>
        </w:rPr>
      </w:pPr>
    </w:p>
    <w:p>
      <w:pPr>
        <w:ind w:right="260" w:firstLine="405"/>
        <w:spacing w:after="0" w:line="277" w:lineRule="auto"/>
        <w:rPr>
          <w:sz w:val="20"/>
          <w:szCs w:val="20"/>
          <w:color w:val="auto"/>
        </w:rPr>
      </w:pPr>
      <w:r>
        <w:rPr>
          <w:rFonts w:ascii="Arial" w:cs="Arial" w:eastAsia="Arial" w:hAnsi="Arial"/>
          <w:sz w:val="18"/>
          <w:szCs w:val="18"/>
          <w:color w:val="auto"/>
        </w:rPr>
        <w:t>In fiscal year 2020, the Company incurred total acquisition related costs of $5.3 million which were recorded in selling, general and administrative expense in the consolidated statements of operations.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Cavium Inc</w:t>
      </w:r>
    </w:p>
    <w:p>
      <w:pPr>
        <w:spacing w:after="0" w:line="121"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Company also made cash payments for the fractional shares that resulted from conversion as specified in the Cavium merger agreement. The merger consideration was funded with a combination of cash on hand, new debt financing and issuance of the Company’s common shares. See “Note 11 - Debt” for discussion of the debt financing.</w:t>
      </w:r>
    </w:p>
    <w:p>
      <w:pPr>
        <w:spacing w:after="0" w:line="8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total merger consideration (in thousands, except share and per share data):</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Cavium common stockholders</w:t>
            </w:r>
          </w:p>
        </w:tc>
        <w:tc>
          <w:tcPr>
            <w:tcW w:w="1660" w:type="dxa"/>
            <w:vAlign w:val="bottom"/>
            <w:shd w:val="clear" w:color="auto" w:fill="CCEEFF"/>
          </w:tcPr>
          <w:p>
            <w:pPr>
              <w:jc w:val="right"/>
              <w:ind w:right="1450"/>
              <w:spacing w:after="0"/>
              <w:rPr>
                <w:sz w:val="20"/>
                <w:szCs w:val="20"/>
                <w:color w:val="auto"/>
              </w:rPr>
            </w:pPr>
            <w:r>
              <w:rPr>
                <w:rFonts w:ascii="Arial" w:cs="Arial" w:eastAsia="Arial" w:hAnsi="Arial"/>
                <w:sz w:val="18"/>
                <w:szCs w:val="18"/>
                <w:color w:val="auto"/>
                <w:w w:val="99"/>
              </w:rPr>
              <w:t>$</w:t>
            </w: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2,819,812</w:t>
            </w:r>
          </w:p>
        </w:tc>
        <w:tc>
          <w:tcPr>
            <w:tcW w:w="0" w:type="dxa"/>
            <w:vAlign w:val="bottom"/>
          </w:tcPr>
          <w:p>
            <w:pPr>
              <w:spacing w:after="0"/>
              <w:rPr>
                <w:sz w:val="1"/>
                <w:szCs w:val="1"/>
                <w:color w:val="auto"/>
              </w:rPr>
            </w:pPr>
          </w:p>
        </w:tc>
      </w:tr>
      <w:tr>
        <w:trPr>
          <w:trHeight w:val="229"/>
        </w:trPr>
        <w:tc>
          <w:tcPr>
            <w:tcW w:w="7240" w:type="dxa"/>
            <w:vAlign w:val="bottom"/>
          </w:tcPr>
          <w:p>
            <w:pPr>
              <w:ind w:left="20"/>
              <w:spacing w:after="0"/>
              <w:rPr>
                <w:sz w:val="20"/>
                <w:szCs w:val="20"/>
                <w:color w:val="auto"/>
              </w:rPr>
            </w:pPr>
            <w:r>
              <w:rPr>
                <w:rFonts w:ascii="Arial" w:cs="Arial" w:eastAsia="Arial" w:hAnsi="Arial"/>
                <w:sz w:val="18"/>
                <w:szCs w:val="18"/>
                <w:color w:val="auto"/>
                <w:w w:val="99"/>
              </w:rPr>
              <w:t>Common stock (153,376,408 shares of the Company's common stock at $21.34 per share)</w:t>
            </w:r>
          </w:p>
        </w:tc>
        <w:tc>
          <w:tcPr>
            <w:tcW w:w="166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3,273,053</w:t>
            </w:r>
          </w:p>
        </w:tc>
        <w:tc>
          <w:tcPr>
            <w:tcW w:w="0" w:type="dxa"/>
            <w:vAlign w:val="bottom"/>
          </w:tcPr>
          <w:p>
            <w:pPr>
              <w:spacing w:after="0"/>
              <w:rPr>
                <w:sz w:val="1"/>
                <w:szCs w:val="1"/>
                <w:color w:val="auto"/>
              </w:rPr>
            </w:pPr>
          </w:p>
        </w:tc>
      </w:tr>
      <w:tr>
        <w:trPr>
          <w:trHeight w:val="176"/>
        </w:trPr>
        <w:tc>
          <w:tcPr>
            <w:tcW w:w="724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rPr>
              <w:t>Cash consideration for intrinsic value of vested director stock options and employee</w:t>
            </w:r>
          </w:p>
        </w:tc>
        <w:tc>
          <w:tcPr>
            <w:tcW w:w="1660" w:type="dxa"/>
            <w:vAlign w:val="bottom"/>
            <w:shd w:val="clear" w:color="auto" w:fill="CCEEFF"/>
          </w:tcPr>
          <w:p>
            <w:pPr>
              <w:spacing w:after="0"/>
              <w:rPr>
                <w:sz w:val="15"/>
                <w:szCs w:val="15"/>
                <w:color w:val="auto"/>
              </w:rPr>
            </w:pPr>
          </w:p>
        </w:tc>
        <w:tc>
          <w:tcPr>
            <w:tcW w:w="23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10,642</w:t>
            </w:r>
          </w:p>
        </w:tc>
        <w:tc>
          <w:tcPr>
            <w:tcW w:w="0" w:type="dxa"/>
            <w:vAlign w:val="bottom"/>
          </w:tcPr>
          <w:p>
            <w:pPr>
              <w:spacing w:after="0"/>
              <w:rPr>
                <w:sz w:val="1"/>
                <w:szCs w:val="1"/>
                <w:color w:val="auto"/>
              </w:rPr>
            </w:pPr>
          </w:p>
        </w:tc>
      </w:tr>
      <w:tr>
        <w:trPr>
          <w:trHeight w:val="229"/>
        </w:trPr>
        <w:tc>
          <w:tcPr>
            <w:tcW w:w="7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accelerated awards attributable to pre-acquisition service</w:t>
            </w:r>
          </w:p>
        </w:tc>
        <w:tc>
          <w:tcPr>
            <w:tcW w:w="1660" w:type="dxa"/>
            <w:vAlign w:val="bottom"/>
            <w:shd w:val="clear" w:color="auto" w:fill="CCEEFF"/>
          </w:tcPr>
          <w:p>
            <w:pPr>
              <w:spacing w:after="0"/>
              <w:rPr>
                <w:sz w:val="19"/>
                <w:szCs w:val="19"/>
                <w:color w:val="auto"/>
              </w:rPr>
            </w:pPr>
          </w:p>
        </w:tc>
        <w:tc>
          <w:tcPr>
            <w:tcW w:w="23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7240" w:type="dxa"/>
            <w:vAlign w:val="bottom"/>
          </w:tcPr>
          <w:p>
            <w:pPr>
              <w:ind w:left="20"/>
              <w:spacing w:after="0"/>
              <w:rPr>
                <w:sz w:val="20"/>
                <w:szCs w:val="20"/>
                <w:color w:val="auto"/>
              </w:rPr>
            </w:pPr>
            <w:r>
              <w:rPr>
                <w:rFonts w:ascii="Arial" w:cs="Arial" w:eastAsia="Arial" w:hAnsi="Arial"/>
                <w:sz w:val="18"/>
                <w:szCs w:val="18"/>
                <w:color w:val="auto"/>
                <w:w w:val="99"/>
              </w:rPr>
              <w:t>Stock consideration for employee accelerated awards attributable to pre-acquisition service</w:t>
            </w:r>
          </w:p>
        </w:tc>
        <w:tc>
          <w:tcPr>
            <w:tcW w:w="166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7,804</w:t>
            </w:r>
          </w:p>
        </w:tc>
        <w:tc>
          <w:tcPr>
            <w:tcW w:w="0" w:type="dxa"/>
            <w:vAlign w:val="bottom"/>
          </w:tcPr>
          <w:p>
            <w:pPr>
              <w:spacing w:after="0"/>
              <w:rPr>
                <w:sz w:val="1"/>
                <w:szCs w:val="1"/>
                <w:color w:val="auto"/>
              </w:rPr>
            </w:pPr>
          </w:p>
        </w:tc>
      </w:tr>
      <w:tr>
        <w:trPr>
          <w:trHeight w:val="230"/>
        </w:trPr>
        <w:tc>
          <w:tcPr>
            <w:tcW w:w="7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Fair value of the replacement equity awards attributable to pre-acquisition service</w:t>
            </w:r>
          </w:p>
        </w:tc>
        <w:tc>
          <w:tcPr>
            <w:tcW w:w="1660" w:type="dxa"/>
            <w:vAlign w:val="bottom"/>
            <w:tcBorders>
              <w:bottom w:val="single" w:sz="8" w:color="auto"/>
            </w:tcBorders>
            <w:shd w:val="clear" w:color="auto" w:fill="CCEEFF"/>
          </w:tcPr>
          <w:p>
            <w:pPr>
              <w:spacing w:after="0"/>
              <w:rPr>
                <w:sz w:val="19"/>
                <w:szCs w:val="19"/>
                <w:color w:val="auto"/>
              </w:rPr>
            </w:pPr>
          </w:p>
        </w:tc>
        <w:tc>
          <w:tcPr>
            <w:tcW w:w="2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50,485</w:t>
            </w:r>
          </w:p>
        </w:tc>
        <w:tc>
          <w:tcPr>
            <w:tcW w:w="0" w:type="dxa"/>
            <w:vAlign w:val="bottom"/>
          </w:tcPr>
          <w:p>
            <w:pPr>
              <w:spacing w:after="0"/>
              <w:rPr>
                <w:sz w:val="1"/>
                <w:szCs w:val="1"/>
                <w:color w:val="auto"/>
              </w:rPr>
            </w:pPr>
          </w:p>
        </w:tc>
      </w:tr>
      <w:tr>
        <w:trPr>
          <w:trHeight w:val="223"/>
        </w:trPr>
        <w:tc>
          <w:tcPr>
            <w:tcW w:w="72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60" w:type="dxa"/>
            <w:vAlign w:val="bottom"/>
            <w:tcBorders>
              <w:bottom w:val="single" w:sz="8" w:color="auto"/>
            </w:tcBorders>
          </w:tcPr>
          <w:p>
            <w:pPr>
              <w:jc w:val="right"/>
              <w:ind w:right="1450"/>
              <w:spacing w:after="0"/>
              <w:rPr>
                <w:sz w:val="20"/>
                <w:szCs w:val="20"/>
                <w:color w:val="auto"/>
              </w:rPr>
            </w:pPr>
            <w:r>
              <w:rPr>
                <w:rFonts w:ascii="Arial" w:cs="Arial" w:eastAsia="Arial" w:hAnsi="Arial"/>
                <w:sz w:val="18"/>
                <w:szCs w:val="18"/>
                <w:color w:val="auto"/>
                <w:w w:val="99"/>
              </w:rPr>
              <w:t>$</w:t>
            </w:r>
          </w:p>
        </w:tc>
        <w:tc>
          <w:tcPr>
            <w:tcW w:w="2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6,161,796</w:t>
            </w: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3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jc w:val="both"/>
        <w:ind w:firstLine="405"/>
        <w:spacing w:after="0" w:line="263" w:lineRule="auto"/>
        <w:rPr>
          <w:sz w:val="20"/>
          <w:szCs w:val="20"/>
          <w:color w:val="auto"/>
        </w:rPr>
      </w:pPr>
      <w:r>
        <w:rPr>
          <w:rFonts w:ascii="Arial" w:cs="Arial" w:eastAsia="Arial" w:hAnsi="Arial"/>
          <w:sz w:val="18"/>
          <w:szCs w:val="18"/>
          <w:color w:val="auto"/>
        </w:rPr>
        <w:t>The factors contributing to the recognition of goodwill were based upon the Company's conclusion that there are strategic and synergistic benefits that are expected to be realized from the acquisition. Goodwill of $3.5 billion recorded for the Cavium acquisition is not expected to be deductible for tax purposes.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1" w:name="page72"/>
    <w:bookmarkEnd w:id="7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40" w:type="dxa"/>
            <w:vAlign w:val="bottom"/>
          </w:tcPr>
          <w:p>
            <w:pPr>
              <w:spacing w:after="0"/>
              <w:rPr>
                <w:sz w:val="20"/>
                <w:szCs w:val="20"/>
                <w:color w:val="auto"/>
              </w:rPr>
            </w:pPr>
          </w:p>
        </w:tc>
        <w:tc>
          <w:tcPr>
            <w:tcW w:w="2340" w:type="dxa"/>
            <w:vAlign w:val="bottom"/>
          </w:tcPr>
          <w:p>
            <w:pPr>
              <w:spacing w:after="0"/>
              <w:rPr>
                <w:sz w:val="20"/>
                <w:szCs w:val="20"/>
                <w:color w:val="auto"/>
              </w:rPr>
            </w:pPr>
          </w:p>
        </w:tc>
      </w:tr>
      <w:tr>
        <w:trPr>
          <w:trHeight w:val="270"/>
        </w:trPr>
        <w:tc>
          <w:tcPr>
            <w:tcW w:w="7260" w:type="dxa"/>
            <w:vAlign w:val="bottom"/>
          </w:tcPr>
          <w:p>
            <w:pPr>
              <w:spacing w:after="0"/>
              <w:rPr>
                <w:sz w:val="23"/>
                <w:szCs w:val="23"/>
                <w:color w:val="auto"/>
              </w:rPr>
            </w:pPr>
          </w:p>
        </w:tc>
        <w:tc>
          <w:tcPr>
            <w:tcW w:w="1640" w:type="dxa"/>
            <w:vAlign w:val="bottom"/>
          </w:tcPr>
          <w:p>
            <w:pPr>
              <w:spacing w:after="0"/>
              <w:rPr>
                <w:sz w:val="23"/>
                <w:szCs w:val="23"/>
                <w:color w:val="auto"/>
              </w:rPr>
            </w:pPr>
          </w:p>
        </w:tc>
        <w:tc>
          <w:tcPr>
            <w:tcW w:w="2340" w:type="dxa"/>
            <w:vAlign w:val="bottom"/>
          </w:tcPr>
          <w:p>
            <w:pPr>
              <w:spacing w:after="0"/>
              <w:rPr>
                <w:sz w:val="23"/>
                <w:szCs w:val="23"/>
                <w:color w:val="auto"/>
              </w:rPr>
            </w:pP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640" w:type="dxa"/>
            <w:vAlign w:val="bottom"/>
            <w:shd w:val="clear" w:color="auto" w:fill="CCEEFF"/>
          </w:tcPr>
          <w:p>
            <w:pPr>
              <w:jc w:val="right"/>
              <w:ind w:right="1450"/>
              <w:spacing w:after="0"/>
              <w:rPr>
                <w:sz w:val="20"/>
                <w:szCs w:val="20"/>
                <w:color w:val="auto"/>
              </w:rPr>
            </w:pPr>
            <w:r>
              <w:rPr>
                <w:rFonts w:ascii="Arial" w:cs="Arial" w:eastAsia="Arial" w:hAnsi="Arial"/>
                <w:sz w:val="18"/>
                <w:szCs w:val="18"/>
                <w:color w:val="auto"/>
                <w:w w:val="79"/>
              </w:rPr>
              <w:t>$</w:t>
            </w: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180,989</w:t>
            </w:r>
          </w:p>
        </w:tc>
      </w:tr>
      <w:tr>
        <w:trPr>
          <w:trHeight w:val="230"/>
        </w:trPr>
        <w:tc>
          <w:tcPr>
            <w:tcW w:w="7260" w:type="dxa"/>
            <w:vAlign w:val="bottom"/>
          </w:tcPr>
          <w:p>
            <w:pPr>
              <w:ind w:left="20"/>
              <w:spacing w:after="0"/>
              <w:rPr>
                <w:sz w:val="20"/>
                <w:szCs w:val="20"/>
                <w:color w:val="auto"/>
              </w:rPr>
            </w:pPr>
            <w:r>
              <w:rPr>
                <w:rFonts w:ascii="Arial" w:cs="Arial" w:eastAsia="Arial" w:hAnsi="Arial"/>
                <w:sz w:val="18"/>
                <w:szCs w:val="18"/>
                <w:color w:val="auto"/>
              </w:rPr>
              <w:t>Accounts receivable</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112,270</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330,778</w:t>
            </w:r>
          </w:p>
        </w:tc>
      </w:tr>
      <w:tr>
        <w:trPr>
          <w:trHeight w:val="230"/>
        </w:trPr>
        <w:tc>
          <w:tcPr>
            <w:tcW w:w="7260" w:type="dxa"/>
            <w:vAlign w:val="bottom"/>
          </w:tcPr>
          <w:p>
            <w:pPr>
              <w:ind w:left="20"/>
              <w:spacing w:after="0"/>
              <w:rPr>
                <w:sz w:val="20"/>
                <w:szCs w:val="20"/>
                <w:color w:val="auto"/>
              </w:rPr>
            </w:pPr>
            <w:r>
              <w:rPr>
                <w:rFonts w:ascii="Arial" w:cs="Arial" w:eastAsia="Arial" w:hAnsi="Arial"/>
                <w:sz w:val="18"/>
                <w:szCs w:val="18"/>
                <w:color w:val="auto"/>
              </w:rPr>
              <w:t>Prepaid expense and other current assets</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19,890</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Assets held for sale</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Property and equipment</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115,428</w:t>
            </w:r>
          </w:p>
        </w:tc>
      </w:tr>
      <w:tr>
        <w:trPr>
          <w:trHeight w:val="23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2,744,000</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89,139</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3,498,196</w:t>
            </w:r>
          </w:p>
        </w:tc>
      </w:tr>
      <w:tr>
        <w:trPr>
          <w:trHeight w:val="230"/>
        </w:trPr>
        <w:tc>
          <w:tcPr>
            <w:tcW w:w="7260" w:type="dxa"/>
            <w:vAlign w:val="bottom"/>
          </w:tcPr>
          <w:p>
            <w:pPr>
              <w:ind w:left="20"/>
              <w:spacing w:after="0"/>
              <w:rPr>
                <w:sz w:val="20"/>
                <w:szCs w:val="20"/>
                <w:color w:val="auto"/>
              </w:rPr>
            </w:pPr>
            <w:r>
              <w:rPr>
                <w:rFonts w:ascii="Arial" w:cs="Arial" w:eastAsia="Arial" w:hAnsi="Arial"/>
                <w:sz w:val="18"/>
                <w:szCs w:val="18"/>
                <w:color w:val="auto"/>
              </w:rPr>
              <w:t>Accounts payable</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(52,383)</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(126,007)</w:t>
            </w:r>
          </w:p>
        </w:tc>
      </w:tr>
      <w:tr>
        <w:trPr>
          <w:trHeight w:val="230"/>
        </w:trPr>
        <w:tc>
          <w:tcPr>
            <w:tcW w:w="7260" w:type="dxa"/>
            <w:vAlign w:val="bottom"/>
          </w:tcPr>
          <w:p>
            <w:pPr>
              <w:ind w:left="20"/>
              <w:spacing w:after="0"/>
              <w:rPr>
                <w:sz w:val="20"/>
                <w:szCs w:val="20"/>
                <w:color w:val="auto"/>
              </w:rPr>
            </w:pPr>
            <w:r>
              <w:rPr>
                <w:rFonts w:ascii="Arial" w:cs="Arial" w:eastAsia="Arial" w:hAnsi="Arial"/>
                <w:sz w:val="18"/>
                <w:szCs w:val="18"/>
                <w:color w:val="auto"/>
              </w:rPr>
              <w:t>Accrued employee compensation</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(34,813)</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income</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(2,466)</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Current portion of long-term debt</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(6,123)</w:t>
            </w:r>
          </w:p>
        </w:tc>
      </w:tr>
      <w:tr>
        <w:trPr>
          <w:trHeight w:val="23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(3,032)</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(600,005)</w:t>
            </w:r>
          </w:p>
        </w:tc>
      </w:tr>
      <w:tr>
        <w:trPr>
          <w:trHeight w:val="23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1640" w:type="dxa"/>
            <w:vAlign w:val="bottom"/>
            <w:shd w:val="clear" w:color="auto" w:fill="CCEEFF"/>
          </w:tcPr>
          <w:p>
            <w:pPr>
              <w:spacing w:after="0"/>
              <w:rPr>
                <w:sz w:val="19"/>
                <w:szCs w:val="19"/>
                <w:color w:val="auto"/>
              </w:rPr>
            </w:pPr>
          </w:p>
        </w:tc>
        <w:tc>
          <w:tcPr>
            <w:tcW w:w="2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(8,454)</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40" w:type="dxa"/>
            <w:vAlign w:val="bottom"/>
          </w:tcPr>
          <w:p>
            <w:pPr>
              <w:spacing w:after="0"/>
              <w:rPr>
                <w:sz w:val="19"/>
                <w:szCs w:val="19"/>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(79,995)</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40" w:type="dxa"/>
            <w:vAlign w:val="bottom"/>
            <w:tcBorders>
              <w:bottom w:val="single" w:sz="8" w:color="auto"/>
            </w:tcBorders>
            <w:shd w:val="clear" w:color="auto" w:fill="CCEEFF"/>
          </w:tcPr>
          <w:p>
            <w:pPr>
              <w:spacing w:after="0"/>
              <w:rPr>
                <w:sz w:val="19"/>
                <w:szCs w:val="19"/>
                <w:color w:val="auto"/>
              </w:rPr>
            </w:pPr>
          </w:p>
        </w:tc>
        <w:tc>
          <w:tcPr>
            <w:tcW w:w="2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r>
      <w:tr>
        <w:trPr>
          <w:trHeight w:val="223"/>
        </w:trPr>
        <w:tc>
          <w:tcPr>
            <w:tcW w:w="72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40" w:type="dxa"/>
            <w:vAlign w:val="bottom"/>
            <w:tcBorders>
              <w:bottom w:val="single" w:sz="8" w:color="auto"/>
            </w:tcBorders>
          </w:tcPr>
          <w:p>
            <w:pPr>
              <w:jc w:val="right"/>
              <w:ind w:right="1450"/>
              <w:spacing w:after="0"/>
              <w:rPr>
                <w:sz w:val="20"/>
                <w:szCs w:val="20"/>
                <w:color w:val="auto"/>
              </w:rPr>
            </w:pPr>
            <w:r>
              <w:rPr>
                <w:rFonts w:ascii="Arial" w:cs="Arial" w:eastAsia="Arial" w:hAnsi="Arial"/>
                <w:sz w:val="18"/>
                <w:szCs w:val="18"/>
                <w:color w:val="auto"/>
                <w:w w:val="79"/>
              </w:rPr>
              <w:t>$</w:t>
            </w:r>
          </w:p>
        </w:tc>
        <w:tc>
          <w:tcPr>
            <w:tcW w:w="2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6,161,796</w:t>
            </w:r>
          </w:p>
        </w:tc>
      </w:tr>
      <w:tr>
        <w:trPr>
          <w:trHeight w:val="20"/>
        </w:trPr>
        <w:tc>
          <w:tcPr>
            <w:tcW w:w="7260" w:type="dxa"/>
            <w:vAlign w:val="bottom"/>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234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180" w:firstLine="405"/>
        <w:spacing w:after="0" w:line="286" w:lineRule="auto"/>
        <w:rPr>
          <w:sz w:val="20"/>
          <w:szCs w:val="20"/>
          <w:color w:val="auto"/>
        </w:rPr>
      </w:pPr>
      <w:r>
        <w:rPr>
          <w:rFonts w:ascii="Arial" w:cs="Arial" w:eastAsia="Arial" w:hAnsi="Arial"/>
          <w:sz w:val="17"/>
          <w:szCs w:val="17"/>
          <w:color w:val="auto"/>
        </w:rPr>
        <w:t>In fiscal year 2019, the Company incurred total acquisition related costs of $53.7 million which were recorded in selling, general and administrative expense in the consolidated statements of operations. The Company also incurred $22.8 million of debt financing costs. Additionally, the Company incurred $2.9 million of equity issuance costs, which were recorded in additional paid-in capital in the consolidated balance sheet.</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63" w:lineRule="exact"/>
        <w:rPr>
          <w:sz w:val="20"/>
          <w:szCs w:val="20"/>
          <w:color w:val="auto"/>
        </w:rPr>
      </w:pPr>
    </w:p>
    <w:p>
      <w:pPr>
        <w:ind w:right="100" w:firstLine="405"/>
        <w:spacing w:after="0" w:line="269"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Avera and Aquantia had been acquired as of the beginning of fiscal year 2019 and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2019, nonrecurring pro forma adjustments directly attributable to the Avera and Aquantia acquisitions included (i) the purchase accounting effect of inventories acquired of $73.1 million for Avera and Aquantia (ii) transaction costs of $18.6 million for Avera and Aquantia and (iii) share-based compensation expense of $3.5 million. The unaudited supplemental pro forma information presented below is for informational purposes only and is not necessarily indicative of our consolidated results of operations of the combined business had the Avera and Aquantia acquisitions actually occurred at the beginning of fiscal year 2019 and the Cavium acquisition actually occurred at the beginning of fiscal year 2018 or of the results of our future operations of the combined business.</w:t>
      </w:r>
    </w:p>
    <w:p>
      <w:pPr>
        <w:spacing w:after="0" w:line="3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6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2"/>
          </w:tcPr>
          <w:p>
            <w:pPr>
              <w:jc w:val="right"/>
              <w:ind w:right="30"/>
              <w:spacing w:after="0"/>
              <w:rPr>
                <w:sz w:val="20"/>
                <w:szCs w:val="20"/>
                <w:color w:val="auto"/>
              </w:rPr>
            </w:pPr>
            <w:r>
              <w:rPr>
                <w:rFonts w:ascii="Arial" w:cs="Arial" w:eastAsia="Arial" w:hAnsi="Arial"/>
                <w:sz w:val="14"/>
                <w:szCs w:val="14"/>
                <w:b w:val="1"/>
                <w:bCs w:val="1"/>
                <w:color w:val="auto"/>
              </w:rPr>
              <w:t>Year Ended</w:t>
            </w:r>
          </w:p>
        </w:tc>
        <w:tc>
          <w:tcPr>
            <w:tcW w:w="1760" w:type="dxa"/>
            <w:vAlign w:val="bottom"/>
            <w:tcBorders>
              <w:bottom w:val="single" w:sz="8" w:color="auto"/>
            </w:tcBorders>
          </w:tcPr>
          <w:p>
            <w:pPr>
              <w:spacing w:after="0"/>
              <w:rPr>
                <w:sz w:val="16"/>
                <w:szCs w:val="16"/>
                <w:color w:val="auto"/>
              </w:rPr>
            </w:pPr>
          </w:p>
        </w:tc>
      </w:tr>
      <w:tr>
        <w:trPr>
          <w:trHeight w:val="187"/>
        </w:trPr>
        <w:tc>
          <w:tcPr>
            <w:tcW w:w="676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February 1, 2020</w:t>
            </w:r>
          </w:p>
        </w:tc>
        <w:tc>
          <w:tcPr>
            <w:tcW w:w="50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February 2, 2019</w:t>
            </w:r>
          </w:p>
        </w:tc>
      </w:tr>
      <w:tr>
        <w:trPr>
          <w:trHeight w:val="224"/>
        </w:trPr>
        <w:tc>
          <w:tcPr>
            <w:tcW w:w="6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3,011,550</w:t>
            </w:r>
          </w:p>
        </w:tc>
        <w:tc>
          <w:tcPr>
            <w:tcW w:w="5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3,638,086</w:t>
            </w:r>
          </w:p>
        </w:tc>
      </w:tr>
      <w:tr>
        <w:trPr>
          <w:trHeight w:val="230"/>
        </w:trPr>
        <w:tc>
          <w:tcPr>
            <w:tcW w:w="6760" w:type="dxa"/>
            <w:vAlign w:val="bottom"/>
          </w:tcPr>
          <w:p>
            <w:pPr>
              <w:ind w:left="20"/>
              <w:spacing w:after="0"/>
              <w:rPr>
                <w:sz w:val="20"/>
                <w:szCs w:val="20"/>
                <w:color w:val="auto"/>
              </w:rPr>
            </w:pPr>
            <w:r>
              <w:rPr>
                <w:rFonts w:ascii="Arial" w:cs="Arial" w:eastAsia="Arial" w:hAnsi="Arial"/>
                <w:sz w:val="18"/>
                <w:szCs w:val="18"/>
                <w:color w:val="auto"/>
              </w:rPr>
              <w:t>Pro forma net income</w:t>
            </w: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1880" w:type="dxa"/>
            <w:vAlign w:val="bottom"/>
          </w:tcPr>
          <w:p>
            <w:pPr>
              <w:jc w:val="right"/>
              <w:spacing w:after="0"/>
              <w:rPr>
                <w:sz w:val="20"/>
                <w:szCs w:val="20"/>
                <w:color w:val="auto"/>
              </w:rPr>
            </w:pPr>
            <w:r>
              <w:rPr>
                <w:rFonts w:ascii="Arial" w:cs="Arial" w:eastAsia="Arial" w:hAnsi="Arial"/>
                <w:sz w:val="18"/>
                <w:szCs w:val="18"/>
                <w:color w:val="auto"/>
              </w:rPr>
              <w:t>1,532,594</w:t>
            </w: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(334,133)</w:t>
            </w:r>
          </w:p>
        </w:tc>
      </w:tr>
    </w:tbl>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Goodwill and Acquired Intangible Assets, Net</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300" w:firstLine="405"/>
        <w:spacing w:after="0" w:line="263"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The carrying value of goodwill as of January 30, 2021 and February 1, 2020 is $5.3 billion. See “Note 4 - Business Combinations” for discussion of the acquisitions and changes to the carrying value of goodwill.</w:t>
      </w:r>
    </w:p>
    <w:p>
      <w:pPr>
        <w:spacing w:after="0" w:line="76" w:lineRule="exact"/>
        <w:rPr>
          <w:sz w:val="20"/>
          <w:szCs w:val="20"/>
          <w:color w:val="auto"/>
        </w:rPr>
      </w:pPr>
    </w:p>
    <w:p>
      <w:pPr>
        <w:ind w:right="180" w:firstLine="405"/>
        <w:spacing w:after="0" w:line="263" w:lineRule="auto"/>
        <w:rPr>
          <w:sz w:val="20"/>
          <w:szCs w:val="20"/>
          <w:color w:val="auto"/>
        </w:rPr>
      </w:pPr>
      <w:r>
        <w:rPr>
          <w:rFonts w:ascii="Arial" w:cs="Arial" w:eastAsia="Arial" w:hAnsi="Arial"/>
          <w:sz w:val="18"/>
          <w:szCs w:val="18"/>
          <w:color w:val="auto"/>
        </w:rPr>
        <w:t>The Company has identified that its business operates as a single operating segment with two components that it has concluded can be aggregated into a single reporting unit. The Company’s annual test for goodwill impairment as of the last day of the fourth quarter of fiscal 2021 did not result in any impairment charge.</w:t>
      </w:r>
    </w:p>
    <w:p>
      <w:pPr>
        <w:spacing w:after="0" w:line="76" w:lineRule="exact"/>
        <w:rPr>
          <w:sz w:val="20"/>
          <w:szCs w:val="20"/>
          <w:color w:val="auto"/>
        </w:rPr>
      </w:pPr>
    </w:p>
    <w:p>
      <w:pPr>
        <w:ind w:left="420" w:right="1180"/>
        <w:spacing w:after="0" w:line="375" w:lineRule="auto"/>
        <w:rPr>
          <w:sz w:val="20"/>
          <w:szCs w:val="20"/>
          <w:color w:val="auto"/>
        </w:rPr>
      </w:pPr>
      <w:r>
        <w:rPr>
          <w:rFonts w:ascii="Arial" w:cs="Arial" w:eastAsia="Arial" w:hAnsi="Arial"/>
          <w:sz w:val="18"/>
          <w:szCs w:val="18"/>
          <w:color w:val="auto"/>
        </w:rPr>
        <w:t xml:space="preserve">There was no activity from acquisitions or divestitures recorded to goodwill in fiscal 2021 and 2020 other than those described above. </w:t>
      </w:r>
      <w:r>
        <w:rPr>
          <w:rFonts w:ascii="Arial" w:cs="Arial" w:eastAsia="Arial" w:hAnsi="Arial"/>
          <w:sz w:val="18"/>
          <w:szCs w:val="18"/>
          <w:b w:val="1"/>
          <w:bCs w:val="1"/>
          <w:i w:val="1"/>
          <w:iCs w:val="1"/>
          <w:color w:val="auto"/>
        </w:rPr>
        <w:t>Acquired Intangible Assets, Net</w:t>
      </w:r>
    </w:p>
    <w:p>
      <w:pPr>
        <w:spacing w:after="0" w:line="1"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recognized $3.3 billion of intangible assets. As of January 30, 2021 and February 1, 2020, net carrying amounts are as follows (in thousands, except for weighted-average remaining amortization period):</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96"/>
              <w:spacing w:after="0"/>
              <w:rPr>
                <w:sz w:val="20"/>
                <w:szCs w:val="20"/>
                <w:color w:val="auto"/>
              </w:rPr>
            </w:pPr>
            <w:r>
              <w:rPr>
                <w:rFonts w:ascii="Arial" w:cs="Arial" w:eastAsia="Arial" w:hAnsi="Arial"/>
                <w:sz w:val="14"/>
                <w:szCs w:val="14"/>
                <w:b w:val="1"/>
                <w:bCs w:val="1"/>
                <w:color w:val="auto"/>
              </w:rPr>
              <w:t>January 30, 2021</w:t>
            </w:r>
          </w:p>
        </w:tc>
        <w:tc>
          <w:tcPr>
            <w:tcW w:w="1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5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88"/>
              </w:rPr>
              <w:t>Gross</w:t>
            </w: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3"/>
              </w:rPr>
              <w:t>Accumulated</w:t>
            </w:r>
          </w:p>
        </w:tc>
        <w:tc>
          <w:tcPr>
            <w:tcW w:w="280" w:type="dxa"/>
            <w:vAlign w:val="bottom"/>
          </w:tcPr>
          <w:p>
            <w:pPr>
              <w:spacing w:after="0"/>
              <w:rPr>
                <w:sz w:val="11"/>
                <w:szCs w:val="11"/>
                <w:color w:val="auto"/>
              </w:rPr>
            </w:pPr>
          </w:p>
        </w:tc>
        <w:tc>
          <w:tcPr>
            <w:tcW w:w="1140" w:type="dxa"/>
            <w:vAlign w:val="bottom"/>
            <w:vMerge w:val="restart"/>
          </w:tcPr>
          <w:p>
            <w:pPr>
              <w:jc w:val="right"/>
              <w:ind w:right="516"/>
              <w:spacing w:after="0"/>
              <w:rPr>
                <w:sz w:val="20"/>
                <w:szCs w:val="20"/>
                <w:color w:val="auto"/>
              </w:rPr>
            </w:pPr>
            <w:r>
              <w:rPr>
                <w:rFonts w:ascii="Arial" w:cs="Arial" w:eastAsia="Arial" w:hAnsi="Arial"/>
                <w:sz w:val="14"/>
                <w:szCs w:val="14"/>
                <w:b w:val="1"/>
                <w:bCs w:val="1"/>
                <w:color w:val="auto"/>
              </w:rPr>
              <w:t>Net</w:t>
            </w:r>
          </w:p>
        </w:tc>
        <w:tc>
          <w:tcPr>
            <w:tcW w:w="120" w:type="dxa"/>
            <w:vAlign w:val="bottom"/>
          </w:tcPr>
          <w:p>
            <w:pPr>
              <w:spacing w:after="0"/>
              <w:rPr>
                <w:sz w:val="11"/>
                <w:szCs w:val="11"/>
                <w:color w:val="auto"/>
              </w:rPr>
            </w:pPr>
          </w:p>
        </w:tc>
        <w:tc>
          <w:tcPr>
            <w:tcW w:w="15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35"/>
        </w:trPr>
        <w:tc>
          <w:tcPr>
            <w:tcW w:w="5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5"/>
              </w:rPr>
              <w:t>Amortization</w:t>
            </w:r>
          </w:p>
        </w:tc>
        <w:tc>
          <w:tcPr>
            <w:tcW w:w="280" w:type="dxa"/>
            <w:vAlign w:val="bottom"/>
          </w:tcPr>
          <w:p>
            <w:pPr>
              <w:spacing w:after="0"/>
              <w:rPr>
                <w:sz w:val="11"/>
                <w:szCs w:val="11"/>
                <w:color w:val="auto"/>
              </w:rPr>
            </w:pPr>
          </w:p>
        </w:tc>
        <w:tc>
          <w:tcPr>
            <w:tcW w:w="11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5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35"/>
        </w:trPr>
        <w:tc>
          <w:tcPr>
            <w:tcW w:w="5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rPr>
              <w:t>Carrying</w:t>
            </w: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88"/>
              </w:rPr>
              <w:t>and</w:t>
            </w:r>
          </w:p>
        </w:tc>
        <w:tc>
          <w:tcPr>
            <w:tcW w:w="280" w:type="dxa"/>
            <w:vAlign w:val="bottom"/>
          </w:tcPr>
          <w:p>
            <w:pPr>
              <w:spacing w:after="0"/>
              <w:rPr>
                <w:sz w:val="11"/>
                <w:szCs w:val="11"/>
                <w:color w:val="auto"/>
              </w:rPr>
            </w:pPr>
          </w:p>
        </w:tc>
        <w:tc>
          <w:tcPr>
            <w:tcW w:w="1140" w:type="dxa"/>
            <w:vAlign w:val="bottom"/>
          </w:tcPr>
          <w:p>
            <w:pPr>
              <w:jc w:val="right"/>
              <w:ind w:right="336"/>
              <w:spacing w:after="0" w:line="135" w:lineRule="exact"/>
              <w:rPr>
                <w:sz w:val="20"/>
                <w:szCs w:val="20"/>
                <w:color w:val="auto"/>
              </w:rPr>
            </w:pPr>
            <w:r>
              <w:rPr>
                <w:rFonts w:ascii="Arial" w:cs="Arial" w:eastAsia="Arial" w:hAnsi="Arial"/>
                <w:sz w:val="14"/>
                <w:szCs w:val="14"/>
                <w:b w:val="1"/>
                <w:bCs w:val="1"/>
                <w:color w:val="auto"/>
              </w:rPr>
              <w:t>Carrying</w:t>
            </w:r>
          </w:p>
        </w:tc>
        <w:tc>
          <w:tcPr>
            <w:tcW w:w="120" w:type="dxa"/>
            <w:vAlign w:val="bottom"/>
          </w:tcPr>
          <w:p>
            <w:pPr>
              <w:spacing w:after="0"/>
              <w:rPr>
                <w:sz w:val="11"/>
                <w:szCs w:val="11"/>
                <w:color w:val="auto"/>
              </w:rPr>
            </w:pPr>
          </w:p>
        </w:tc>
        <w:tc>
          <w:tcPr>
            <w:tcW w:w="15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6"/>
              </w:rPr>
              <w:t>Amortization Period</w:t>
            </w:r>
          </w:p>
        </w:tc>
        <w:tc>
          <w:tcPr>
            <w:tcW w:w="0" w:type="dxa"/>
            <w:vAlign w:val="bottom"/>
          </w:tcPr>
          <w:p>
            <w:pPr>
              <w:spacing w:after="0"/>
              <w:rPr>
                <w:sz w:val="1"/>
                <w:szCs w:val="1"/>
                <w:color w:val="auto"/>
              </w:rPr>
            </w:pPr>
          </w:p>
        </w:tc>
      </w:tr>
      <w:tr>
        <w:trPr>
          <w:trHeight w:val="188"/>
        </w:trPr>
        <w:tc>
          <w:tcPr>
            <w:tcW w:w="5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Amounts</w:t>
            </w:r>
          </w:p>
        </w:tc>
        <w:tc>
          <w:tcPr>
            <w:tcW w:w="200" w:type="dxa"/>
            <w:vAlign w:val="bottom"/>
          </w:tcPr>
          <w:p>
            <w:pPr>
              <w:spacing w:after="0"/>
              <w:rPr>
                <w:sz w:val="16"/>
                <w:szCs w:val="16"/>
                <w:color w:val="auto"/>
              </w:rPr>
            </w:pPr>
          </w:p>
        </w:tc>
        <w:tc>
          <w:tcPr>
            <w:tcW w:w="13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7"/>
              </w:rPr>
              <w:t>Write-Offs</w:t>
            </w:r>
          </w:p>
        </w:tc>
        <w:tc>
          <w:tcPr>
            <w:tcW w:w="280" w:type="dxa"/>
            <w:vAlign w:val="bottom"/>
          </w:tcPr>
          <w:p>
            <w:pPr>
              <w:spacing w:after="0"/>
              <w:rPr>
                <w:sz w:val="16"/>
                <w:szCs w:val="16"/>
                <w:color w:val="auto"/>
              </w:rPr>
            </w:pPr>
          </w:p>
        </w:tc>
        <w:tc>
          <w:tcPr>
            <w:tcW w:w="1140" w:type="dxa"/>
            <w:vAlign w:val="bottom"/>
          </w:tcPr>
          <w:p>
            <w:pPr>
              <w:jc w:val="right"/>
              <w:ind w:right="336"/>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520" w:type="dxa"/>
            <w:vAlign w:val="bottom"/>
          </w:tcPr>
          <w:p>
            <w:pPr>
              <w:jc w:val="center"/>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24"/>
        </w:trPr>
        <w:tc>
          <w:tcPr>
            <w:tcW w:w="51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26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2,454,000</w:t>
            </w:r>
          </w:p>
        </w:tc>
        <w:tc>
          <w:tcPr>
            <w:tcW w:w="10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(724,215)</w:t>
            </w:r>
          </w:p>
        </w:tc>
        <w:tc>
          <w:tcPr>
            <w:tcW w:w="10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1,729,785</w:t>
            </w:r>
          </w:p>
        </w:tc>
        <w:tc>
          <w:tcPr>
            <w:tcW w:w="120" w:type="dxa"/>
            <w:vAlign w:val="bottom"/>
            <w:tcBorders>
              <w:top w:val="single" w:sz="8" w:color="CCEEFF"/>
            </w:tcBorders>
            <w:shd w:val="clear" w:color="auto" w:fill="CCEEFF"/>
          </w:tcPr>
          <w:p>
            <w:pPr>
              <w:spacing w:after="0"/>
              <w:rPr>
                <w:sz w:val="19"/>
                <w:szCs w:val="19"/>
                <w:color w:val="auto"/>
              </w:rPr>
            </w:pPr>
          </w:p>
        </w:tc>
        <w:tc>
          <w:tcPr>
            <w:tcW w:w="1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5.54</w:t>
            </w:r>
          </w:p>
        </w:tc>
        <w:tc>
          <w:tcPr>
            <w:tcW w:w="0" w:type="dxa"/>
            <w:vAlign w:val="bottom"/>
          </w:tcPr>
          <w:p>
            <w:pPr>
              <w:spacing w:after="0"/>
              <w:rPr>
                <w:sz w:val="1"/>
                <w:szCs w:val="1"/>
                <w:color w:val="auto"/>
              </w:rPr>
            </w:pPr>
          </w:p>
        </w:tc>
      </w:tr>
      <w:tr>
        <w:trPr>
          <w:trHeight w:val="229"/>
        </w:trPr>
        <w:tc>
          <w:tcPr>
            <w:tcW w:w="51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(228,845)</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414,155</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5.62</w:t>
            </w:r>
          </w:p>
        </w:tc>
        <w:tc>
          <w:tcPr>
            <w:tcW w:w="0" w:type="dxa"/>
            <w:vAlign w:val="bottom"/>
          </w:tcPr>
          <w:p>
            <w:pPr>
              <w:spacing w:after="0"/>
              <w:rPr>
                <w:sz w:val="1"/>
                <w:szCs w:val="1"/>
                <w:color w:val="auto"/>
              </w:rPr>
            </w:pPr>
          </w:p>
        </w:tc>
      </w:tr>
      <w:tr>
        <w:trPr>
          <w:trHeight w:val="230"/>
        </w:trPr>
        <w:tc>
          <w:tcPr>
            <w:tcW w:w="5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(14,240)</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8,760</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2.20</w:t>
            </w:r>
          </w:p>
        </w:tc>
        <w:tc>
          <w:tcPr>
            <w:tcW w:w="0" w:type="dxa"/>
            <w:vAlign w:val="bottom"/>
          </w:tcPr>
          <w:p>
            <w:pPr>
              <w:spacing w:after="0"/>
              <w:rPr>
                <w:sz w:val="1"/>
                <w:szCs w:val="1"/>
                <w:color w:val="auto"/>
              </w:rPr>
            </w:pPr>
          </w:p>
        </w:tc>
      </w:tr>
      <w:tr>
        <w:trPr>
          <w:trHeight w:val="223"/>
        </w:trPr>
        <w:tc>
          <w:tcPr>
            <w:tcW w:w="514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3,120,000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2,152,700</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5.54</w:t>
            </w:r>
          </w:p>
        </w:tc>
        <w:tc>
          <w:tcPr>
            <w:tcW w:w="0" w:type="dxa"/>
            <w:vAlign w:val="bottom"/>
          </w:tcPr>
          <w:p>
            <w:pPr>
              <w:spacing w:after="0"/>
              <w:rPr>
                <w:sz w:val="1"/>
                <w:szCs w:val="1"/>
                <w:color w:val="auto"/>
              </w:rPr>
            </w:pPr>
          </w:p>
        </w:tc>
      </w:tr>
      <w:tr>
        <w:trPr>
          <w:trHeight w:val="230"/>
        </w:trPr>
        <w:tc>
          <w:tcPr>
            <w:tcW w:w="51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IPR&amp;D</w:t>
            </w: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ind w:left="9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23"/>
        </w:trPr>
        <w:tc>
          <w:tcPr>
            <w:tcW w:w="514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2,270,700</w:t>
            </w:r>
          </w:p>
        </w:tc>
        <w:tc>
          <w:tcPr>
            <w:tcW w:w="12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140" w:firstLine="405"/>
        <w:spacing w:after="0" w:line="301" w:lineRule="auto"/>
        <w:rPr>
          <w:sz w:val="20"/>
          <w:szCs w:val="20"/>
          <w:color w:val="auto"/>
        </w:rPr>
      </w:pPr>
      <w:r>
        <w:rPr>
          <w:rFonts w:ascii="Arial" w:cs="Arial" w:eastAsia="Arial" w:hAnsi="Arial"/>
          <w:sz w:val="16"/>
          <w:szCs w:val="16"/>
          <w:color w:val="auto"/>
        </w:rPr>
        <w:t>The Company regularly analyzes the results of its business to determine whether events or circumstances exist that indicate whether the carrying amount of the intangible assets may not be recoverable. During the second quarter of fiscal 2021, impairment charges of $50.3 million related to certain intangible assets acquired from Cavium were recognized as part of restructuring actions. The gross carrying amounts and the accumulated amortization of those impaired intangible assets were excluded from the table above. See “Note 6 - Restructuring” for additional information.</w:t>
      </w:r>
    </w:p>
    <w:p>
      <w:pPr>
        <w:spacing w:after="0" w:line="2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76"/>
              <w:spacing w:after="0"/>
              <w:rPr>
                <w:sz w:val="20"/>
                <w:szCs w:val="20"/>
                <w:color w:val="auto"/>
              </w:rPr>
            </w:pPr>
            <w:r>
              <w:rPr>
                <w:rFonts w:ascii="Arial" w:cs="Arial" w:eastAsia="Arial" w:hAnsi="Arial"/>
                <w:sz w:val="14"/>
                <w:szCs w:val="14"/>
                <w:b w:val="1"/>
                <w:bCs w:val="1"/>
                <w:color w:val="auto"/>
              </w:rPr>
              <w:t>February 1, 2020</w:t>
            </w:r>
          </w:p>
        </w:tc>
        <w:tc>
          <w:tcPr>
            <w:tcW w:w="10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8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88"/>
              </w:rPr>
              <w:t>Gross</w:t>
            </w: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3"/>
              </w:rPr>
              <w:t>Accumulated</w:t>
            </w:r>
          </w:p>
        </w:tc>
        <w:tc>
          <w:tcPr>
            <w:tcW w:w="280" w:type="dxa"/>
            <w:vAlign w:val="bottom"/>
          </w:tcPr>
          <w:p>
            <w:pPr>
              <w:spacing w:after="0"/>
              <w:rPr>
                <w:sz w:val="11"/>
                <w:szCs w:val="11"/>
                <w:color w:val="auto"/>
              </w:rPr>
            </w:pPr>
          </w:p>
        </w:tc>
        <w:tc>
          <w:tcPr>
            <w:tcW w:w="1160" w:type="dxa"/>
            <w:vAlign w:val="bottom"/>
            <w:vMerge w:val="restart"/>
          </w:tcPr>
          <w:p>
            <w:pPr>
              <w:jc w:val="right"/>
              <w:ind w:right="516"/>
              <w:spacing w:after="0"/>
              <w:rPr>
                <w:sz w:val="20"/>
                <w:szCs w:val="20"/>
                <w:color w:val="auto"/>
              </w:rPr>
            </w:pPr>
            <w:r>
              <w:rPr>
                <w:rFonts w:ascii="Arial" w:cs="Arial" w:eastAsia="Arial" w:hAnsi="Arial"/>
                <w:sz w:val="14"/>
                <w:szCs w:val="14"/>
                <w:b w:val="1"/>
                <w:bCs w:val="1"/>
                <w:color w:val="auto"/>
              </w:rPr>
              <w:t>Net</w:t>
            </w:r>
          </w:p>
        </w:tc>
        <w:tc>
          <w:tcPr>
            <w:tcW w:w="100" w:type="dxa"/>
            <w:vAlign w:val="bottom"/>
          </w:tcPr>
          <w:p>
            <w:pPr>
              <w:spacing w:after="0"/>
              <w:rPr>
                <w:sz w:val="11"/>
                <w:szCs w:val="11"/>
                <w:color w:val="auto"/>
              </w:rPr>
            </w:pPr>
          </w:p>
        </w:tc>
        <w:tc>
          <w:tcPr>
            <w:tcW w:w="14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Weighted-Average</w:t>
            </w: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8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5"/>
              </w:rPr>
              <w:t>Amortization</w:t>
            </w:r>
          </w:p>
        </w:tc>
        <w:tc>
          <w:tcPr>
            <w:tcW w:w="28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8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rPr>
              <w:t>Carrying</w:t>
            </w:r>
          </w:p>
        </w:tc>
        <w:tc>
          <w:tcPr>
            <w:tcW w:w="200" w:type="dxa"/>
            <w:vAlign w:val="bottom"/>
          </w:tcPr>
          <w:p>
            <w:pPr>
              <w:spacing w:after="0"/>
              <w:rPr>
                <w:sz w:val="11"/>
                <w:szCs w:val="11"/>
                <w:color w:val="auto"/>
              </w:rPr>
            </w:pPr>
          </w:p>
        </w:tc>
        <w:tc>
          <w:tcPr>
            <w:tcW w:w="13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88"/>
              </w:rPr>
              <w:t>and</w:t>
            </w:r>
          </w:p>
        </w:tc>
        <w:tc>
          <w:tcPr>
            <w:tcW w:w="280" w:type="dxa"/>
            <w:vAlign w:val="bottom"/>
          </w:tcPr>
          <w:p>
            <w:pPr>
              <w:spacing w:after="0"/>
              <w:rPr>
                <w:sz w:val="11"/>
                <w:szCs w:val="11"/>
                <w:color w:val="auto"/>
              </w:rPr>
            </w:pPr>
          </w:p>
        </w:tc>
        <w:tc>
          <w:tcPr>
            <w:tcW w:w="1160" w:type="dxa"/>
            <w:vAlign w:val="bottom"/>
          </w:tcPr>
          <w:p>
            <w:pPr>
              <w:jc w:val="right"/>
              <w:ind w:right="356"/>
              <w:spacing w:after="0" w:line="135"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1"/>
                <w:szCs w:val="11"/>
                <w:color w:val="auto"/>
              </w:rPr>
            </w:pPr>
          </w:p>
        </w:tc>
        <w:tc>
          <w:tcPr>
            <w:tcW w:w="14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Amortization Period</w:t>
            </w:r>
          </w:p>
        </w:tc>
        <w:tc>
          <w:tcPr>
            <w:tcW w:w="0" w:type="dxa"/>
            <w:vAlign w:val="bottom"/>
          </w:tcPr>
          <w:p>
            <w:pPr>
              <w:spacing w:after="0"/>
              <w:rPr>
                <w:sz w:val="1"/>
                <w:szCs w:val="1"/>
                <w:color w:val="auto"/>
              </w:rPr>
            </w:pPr>
          </w:p>
        </w:tc>
      </w:tr>
      <w:tr>
        <w:trPr>
          <w:trHeight w:val="188"/>
        </w:trPr>
        <w:tc>
          <w:tcPr>
            <w:tcW w:w="52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2"/>
              </w:rPr>
              <w:t>Amounts</w:t>
            </w:r>
          </w:p>
        </w:tc>
        <w:tc>
          <w:tcPr>
            <w:tcW w:w="200" w:type="dxa"/>
            <w:vAlign w:val="bottom"/>
          </w:tcPr>
          <w:p>
            <w:pPr>
              <w:spacing w:after="0"/>
              <w:rPr>
                <w:sz w:val="16"/>
                <w:szCs w:val="16"/>
                <w:color w:val="auto"/>
              </w:rPr>
            </w:pPr>
          </w:p>
        </w:tc>
        <w:tc>
          <w:tcPr>
            <w:tcW w:w="13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7"/>
              </w:rPr>
              <w:t>Write-Offs</w:t>
            </w:r>
          </w:p>
        </w:tc>
        <w:tc>
          <w:tcPr>
            <w:tcW w:w="280" w:type="dxa"/>
            <w:vAlign w:val="bottom"/>
          </w:tcPr>
          <w:p>
            <w:pPr>
              <w:spacing w:after="0"/>
              <w:rPr>
                <w:sz w:val="16"/>
                <w:szCs w:val="16"/>
                <w:color w:val="auto"/>
              </w:rPr>
            </w:pPr>
          </w:p>
        </w:tc>
        <w:tc>
          <w:tcPr>
            <w:tcW w:w="1160" w:type="dxa"/>
            <w:vAlign w:val="bottom"/>
          </w:tcPr>
          <w:p>
            <w:pPr>
              <w:jc w:val="right"/>
              <w:ind w:right="356"/>
              <w:spacing w:after="0"/>
              <w:rPr>
                <w:sz w:val="20"/>
                <w:szCs w:val="20"/>
                <w:color w:val="auto"/>
              </w:rPr>
            </w:pPr>
            <w:r>
              <w:rPr>
                <w:rFonts w:ascii="Arial" w:cs="Arial" w:eastAsia="Arial" w:hAnsi="Arial"/>
                <w:sz w:val="14"/>
                <w:szCs w:val="14"/>
                <w:b w:val="1"/>
                <w:bCs w:val="1"/>
                <w:color w:val="auto"/>
              </w:rPr>
              <w:t>Amounts</w:t>
            </w:r>
          </w:p>
        </w:tc>
        <w:tc>
          <w:tcPr>
            <w:tcW w:w="100" w:type="dxa"/>
            <w:vAlign w:val="bottom"/>
          </w:tcPr>
          <w:p>
            <w:pPr>
              <w:spacing w:after="0"/>
              <w:rPr>
                <w:sz w:val="16"/>
                <w:szCs w:val="16"/>
                <w:color w:val="auto"/>
              </w:rPr>
            </w:pP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24"/>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26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2,511,000</w:t>
            </w:r>
          </w:p>
        </w:tc>
        <w:tc>
          <w:tcPr>
            <w:tcW w:w="12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(413,735)</w:t>
            </w:r>
          </w:p>
        </w:tc>
        <w:tc>
          <w:tcPr>
            <w:tcW w:w="10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2,097,265</w:t>
            </w:r>
          </w:p>
        </w:tc>
        <w:tc>
          <w:tcPr>
            <w:tcW w:w="100" w:type="dxa"/>
            <w:vAlign w:val="bottom"/>
            <w:tcBorders>
              <w:top w:val="single" w:sz="8" w:color="CCEEFF"/>
            </w:tcBorders>
            <w:shd w:val="clear" w:color="auto" w:fill="CCEEFF"/>
          </w:tcPr>
          <w:p>
            <w:pPr>
              <w:spacing w:after="0"/>
              <w:rPr>
                <w:sz w:val="19"/>
                <w:szCs w:val="19"/>
                <w:color w:val="auto"/>
              </w:rPr>
            </w:pPr>
          </w:p>
        </w:tc>
        <w:tc>
          <w:tcPr>
            <w:tcW w:w="1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(128,939)</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514,061</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6.61</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(8,726)</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14,274</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2.96</w:t>
            </w:r>
          </w:p>
        </w:tc>
        <w:tc>
          <w:tcPr>
            <w:tcW w:w="0" w:type="dxa"/>
            <w:vAlign w:val="bottom"/>
          </w:tcPr>
          <w:p>
            <w:pPr>
              <w:spacing w:after="0"/>
              <w:rPr>
                <w:sz w:val="1"/>
                <w:szCs w:val="1"/>
                <w:color w:val="auto"/>
              </w:rPr>
            </w:pP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3,177,000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2,625,600</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6.43</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ind w:left="9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0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3,316,000</w:t>
            </w:r>
          </w:p>
        </w:tc>
        <w:tc>
          <w:tcPr>
            <w:tcW w:w="12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2,764,600</w:t>
            </w:r>
          </w:p>
        </w:tc>
        <w:tc>
          <w:tcPr>
            <w:tcW w:w="10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2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in order to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84" w:lineRule="exact"/>
        <w:rPr>
          <w:sz w:val="20"/>
          <w:szCs w:val="20"/>
          <w:color w:val="auto"/>
        </w:rPr>
      </w:pPr>
    </w:p>
    <w:p>
      <w:pPr>
        <w:ind w:right="720" w:firstLine="405"/>
        <w:spacing w:after="0" w:line="277" w:lineRule="auto"/>
        <w:rPr>
          <w:sz w:val="20"/>
          <w:szCs w:val="20"/>
          <w:color w:val="auto"/>
        </w:rPr>
      </w:pPr>
      <w:r>
        <w:rPr>
          <w:rFonts w:ascii="Arial" w:cs="Arial" w:eastAsia="Arial" w:hAnsi="Arial"/>
          <w:sz w:val="18"/>
          <w:szCs w:val="18"/>
          <w:color w:val="auto"/>
        </w:rPr>
        <w:t>Amortization for acquired intangible assets was $443.6 million, $368.1 million and $183.3 million during the years ended January 30, 2021, February 1, 2020 and February 2, 2019 respectively.</w:t>
      </w:r>
    </w:p>
    <w:p>
      <w:pPr>
        <w:spacing w:after="0" w:line="62" w:lineRule="exact"/>
        <w:rPr>
          <w:sz w:val="20"/>
          <w:szCs w:val="20"/>
          <w:color w:val="auto"/>
        </w:rPr>
      </w:pPr>
    </w:p>
    <w:p>
      <w:pPr>
        <w:ind w:right="820" w:firstLine="405"/>
        <w:spacing w:after="0" w:line="277" w:lineRule="auto"/>
        <w:rPr>
          <w:sz w:val="20"/>
          <w:szCs w:val="20"/>
          <w:color w:val="auto"/>
        </w:rPr>
      </w:pPr>
      <w:r>
        <w:rPr>
          <w:rFonts w:ascii="Arial" w:cs="Arial" w:eastAsia="Arial" w:hAnsi="Arial"/>
          <w:sz w:val="18"/>
          <w:szCs w:val="18"/>
          <w:color w:val="auto"/>
        </w:rPr>
        <w:t>The following table presents the estimated future amortization expense of acquired amortizable intangible assets as of January 30, 2021 (in thousands):</w:t>
      </w:r>
    </w:p>
    <w:p>
      <w:pPr>
        <w:spacing w:after="0" w:line="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980" w:type="dxa"/>
            <w:vAlign w:val="bottom"/>
          </w:tcPr>
          <w:p>
            <w:pPr>
              <w:spacing w:after="0"/>
              <w:rPr>
                <w:sz w:val="16"/>
                <w:szCs w:val="16"/>
                <w:color w:val="auto"/>
              </w:rPr>
            </w:pPr>
          </w:p>
        </w:tc>
        <w:tc>
          <w:tcPr>
            <w:tcW w:w="3240" w:type="dxa"/>
            <w:vAlign w:val="bottom"/>
          </w:tcPr>
          <w:p>
            <w:pPr>
              <w:jc w:val="right"/>
              <w:ind w:right="1772"/>
              <w:spacing w:after="0"/>
              <w:rPr>
                <w:sz w:val="20"/>
                <w:szCs w:val="20"/>
                <w:color w:val="auto"/>
              </w:rPr>
            </w:pPr>
            <w:r>
              <w:rPr>
                <w:rFonts w:ascii="Arial" w:cs="Arial" w:eastAsia="Arial" w:hAnsi="Arial"/>
                <w:sz w:val="14"/>
                <w:szCs w:val="14"/>
                <w:b w:val="1"/>
                <w:bCs w:val="1"/>
                <w:color w:val="auto"/>
              </w:rPr>
              <w:t>Amount</w:t>
            </w:r>
          </w:p>
        </w:tc>
      </w:tr>
      <w:tr>
        <w:trPr>
          <w:trHeight w:val="229"/>
        </w:trPr>
        <w:tc>
          <w:tcPr>
            <w:tcW w:w="68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Borders>
              <w:top w:val="single" w:sz="8" w:color="CCEEFF"/>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jc w:val="right"/>
              <w:ind w:right="790"/>
              <w:spacing w:after="0"/>
              <w:rPr>
                <w:sz w:val="20"/>
                <w:szCs w:val="20"/>
                <w:color w:val="auto"/>
              </w:rPr>
            </w:pPr>
            <w:r>
              <w:rPr>
                <w:rFonts w:ascii="Arial" w:cs="Arial" w:eastAsia="Arial" w:hAnsi="Arial"/>
                <w:sz w:val="18"/>
                <w:szCs w:val="18"/>
                <w:color w:val="auto"/>
                <w:w w:val="79"/>
              </w:rPr>
              <w:t>$</w:t>
            </w:r>
          </w:p>
        </w:tc>
        <w:tc>
          <w:tcPr>
            <w:tcW w:w="3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430,605</w:t>
            </w:r>
          </w:p>
        </w:tc>
      </w:tr>
      <w:tr>
        <w:trPr>
          <w:trHeight w:val="229"/>
        </w:trPr>
        <w:tc>
          <w:tcPr>
            <w:tcW w:w="682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3240" w:type="dxa"/>
            <w:vAlign w:val="bottom"/>
          </w:tcPr>
          <w:p>
            <w:pPr>
              <w:jc w:val="right"/>
              <w:spacing w:after="0"/>
              <w:rPr>
                <w:sz w:val="20"/>
                <w:szCs w:val="20"/>
                <w:color w:val="auto"/>
              </w:rPr>
            </w:pPr>
            <w:r>
              <w:rPr>
                <w:rFonts w:ascii="Arial" w:cs="Arial" w:eastAsia="Arial" w:hAnsi="Arial"/>
                <w:sz w:val="18"/>
                <w:szCs w:val="18"/>
                <w:color w:val="auto"/>
              </w:rPr>
              <w:t>417,527</w:t>
            </w:r>
          </w:p>
        </w:tc>
      </w:tr>
      <w:tr>
        <w:trPr>
          <w:trHeight w:val="230"/>
        </w:trPr>
        <w:tc>
          <w:tcPr>
            <w:tcW w:w="6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3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396,503</w:t>
            </w:r>
          </w:p>
        </w:tc>
      </w:tr>
      <w:tr>
        <w:trPr>
          <w:trHeight w:val="230"/>
        </w:trPr>
        <w:tc>
          <w:tcPr>
            <w:tcW w:w="682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3240" w:type="dxa"/>
            <w:vAlign w:val="bottom"/>
          </w:tcPr>
          <w:p>
            <w:pPr>
              <w:jc w:val="right"/>
              <w:spacing w:after="0"/>
              <w:rPr>
                <w:sz w:val="20"/>
                <w:szCs w:val="20"/>
                <w:color w:val="auto"/>
              </w:rPr>
            </w:pPr>
            <w:r>
              <w:rPr>
                <w:rFonts w:ascii="Arial" w:cs="Arial" w:eastAsia="Arial" w:hAnsi="Arial"/>
                <w:sz w:val="18"/>
                <w:szCs w:val="18"/>
                <w:color w:val="auto"/>
              </w:rPr>
              <w:t>356,602</w:t>
            </w:r>
          </w:p>
        </w:tc>
      </w:tr>
      <w:tr>
        <w:trPr>
          <w:trHeight w:val="230"/>
        </w:trPr>
        <w:tc>
          <w:tcPr>
            <w:tcW w:w="6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3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271,746</w:t>
            </w:r>
          </w:p>
        </w:tc>
      </w:tr>
      <w:tr>
        <w:trPr>
          <w:trHeight w:val="230"/>
        </w:trPr>
        <w:tc>
          <w:tcPr>
            <w:tcW w:w="70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980" w:type="dxa"/>
            <w:vAlign w:val="bottom"/>
            <w:tcBorders>
              <w:bottom w:val="single" w:sz="8" w:color="auto"/>
            </w:tcBorders>
          </w:tcPr>
          <w:p>
            <w:pPr>
              <w:spacing w:after="0"/>
              <w:rPr>
                <w:sz w:val="19"/>
                <w:szCs w:val="19"/>
                <w:color w:val="auto"/>
              </w:rPr>
            </w:pPr>
          </w:p>
        </w:tc>
        <w:tc>
          <w:tcPr>
            <w:tcW w:w="3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279,717</w:t>
            </w:r>
          </w:p>
        </w:tc>
      </w:tr>
      <w:tr>
        <w:trPr>
          <w:trHeight w:val="248"/>
        </w:trPr>
        <w:tc>
          <w:tcPr>
            <w:tcW w:w="68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ind w:right="790"/>
              <w:spacing w:after="0"/>
              <w:rPr>
                <w:sz w:val="20"/>
                <w:szCs w:val="20"/>
                <w:color w:val="auto"/>
              </w:rPr>
            </w:pPr>
            <w:r>
              <w:rPr>
                <w:rFonts w:ascii="Arial" w:cs="Arial" w:eastAsia="Arial" w:hAnsi="Arial"/>
                <w:sz w:val="18"/>
                <w:szCs w:val="18"/>
                <w:color w:val="auto"/>
                <w:w w:val="79"/>
              </w:rPr>
              <w:t>$</w:t>
            </w:r>
          </w:p>
        </w:tc>
        <w:tc>
          <w:tcPr>
            <w:tcW w:w="3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2,152,700</w:t>
            </w:r>
          </w:p>
        </w:tc>
      </w:tr>
      <w:tr>
        <w:trPr>
          <w:trHeight w:val="20"/>
        </w:trPr>
        <w:tc>
          <w:tcPr>
            <w:tcW w:w="68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32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Restructuring and Other Related Charges</w:t>
      </w:r>
    </w:p>
    <w:p>
      <w:pPr>
        <w:spacing w:after="0" w:line="121" w:lineRule="exact"/>
        <w:rPr>
          <w:sz w:val="20"/>
          <w:szCs w:val="20"/>
          <w:color w:val="auto"/>
        </w:rPr>
      </w:pPr>
    </w:p>
    <w:p>
      <w:pPr>
        <w:ind w:right="520" w:firstLine="405"/>
        <w:spacing w:after="0" w:line="277"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consolidated statements of operations (in thousands):</w:t>
      </w:r>
    </w:p>
    <w:p>
      <w:pPr>
        <w:spacing w:after="0" w:line="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40" w:type="dxa"/>
            <w:vAlign w:val="bottom"/>
          </w:tcPr>
          <w:p>
            <w:pPr>
              <w:spacing w:after="0"/>
              <w:rPr>
                <w:sz w:val="16"/>
                <w:szCs w:val="16"/>
                <w:color w:val="auto"/>
              </w:rPr>
            </w:pPr>
          </w:p>
        </w:tc>
        <w:tc>
          <w:tcPr>
            <w:tcW w:w="29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3840" w:type="dxa"/>
            <w:vAlign w:val="bottom"/>
          </w:tcPr>
          <w:p>
            <w:pPr>
              <w:spacing w:after="0"/>
              <w:rPr>
                <w:sz w:val="11"/>
                <w:szCs w:val="11"/>
                <w:color w:val="auto"/>
              </w:rPr>
            </w:pPr>
          </w:p>
        </w:tc>
        <w:tc>
          <w:tcPr>
            <w:tcW w:w="2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right"/>
              <w:ind w:right="277"/>
              <w:spacing w:after="0" w:line="135" w:lineRule="exact"/>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88"/>
        </w:trPr>
        <w:tc>
          <w:tcPr>
            <w:tcW w:w="3840" w:type="dxa"/>
            <w:vAlign w:val="bottom"/>
            <w:tcBorders>
              <w:bottom w:val="single" w:sz="8" w:color="CCEEFF"/>
            </w:tcBorders>
          </w:tcPr>
          <w:p>
            <w:pPr>
              <w:spacing w:after="0"/>
              <w:rPr>
                <w:sz w:val="16"/>
                <w:szCs w:val="16"/>
                <w:color w:val="auto"/>
              </w:rPr>
            </w:pPr>
          </w:p>
        </w:tc>
        <w:tc>
          <w:tcPr>
            <w:tcW w:w="29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24"/>
        </w:trPr>
        <w:tc>
          <w:tcPr>
            <w:tcW w:w="38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9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38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Restructuring related charges</w:t>
            </w:r>
          </w:p>
        </w:tc>
        <w:tc>
          <w:tcPr>
            <w:tcW w:w="29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170,759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55,328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76,753</w:t>
            </w:r>
          </w:p>
        </w:tc>
        <w:tc>
          <w:tcPr>
            <w:tcW w:w="0" w:type="dxa"/>
            <w:vAlign w:val="bottom"/>
          </w:tcPr>
          <w:p>
            <w:pPr>
              <w:spacing w:after="0"/>
              <w:rPr>
                <w:sz w:val="1"/>
                <w:szCs w:val="1"/>
                <w:color w:val="auto"/>
              </w:rPr>
            </w:pPr>
          </w:p>
        </w:tc>
      </w:tr>
      <w:tr>
        <w:trPr>
          <w:trHeight w:val="248"/>
        </w:trPr>
        <w:tc>
          <w:tcPr>
            <w:tcW w:w="3840" w:type="dxa"/>
            <w:vAlign w:val="bottom"/>
            <w:tcBorders>
              <w:bottom w:val="single" w:sz="8" w:color="CCEEFF"/>
            </w:tcBorders>
            <w:shd w:val="clear" w:color="auto" w:fill="CCEEFF"/>
          </w:tcPr>
          <w:p>
            <w:pPr>
              <w:spacing w:after="0"/>
              <w:rPr>
                <w:sz w:val="21"/>
                <w:szCs w:val="21"/>
                <w:color w:val="auto"/>
              </w:rPr>
            </w:pPr>
          </w:p>
        </w:tc>
        <w:tc>
          <w:tcPr>
            <w:tcW w:w="29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180,353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55,328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76,753</w:t>
            </w:r>
          </w:p>
        </w:tc>
        <w:tc>
          <w:tcPr>
            <w:tcW w:w="0" w:type="dxa"/>
            <w:vAlign w:val="bottom"/>
          </w:tcPr>
          <w:p>
            <w:pPr>
              <w:spacing w:after="0"/>
              <w:rPr>
                <w:sz w:val="1"/>
                <w:szCs w:val="1"/>
                <w:color w:val="auto"/>
              </w:rPr>
            </w:pPr>
          </w:p>
        </w:tc>
      </w:tr>
      <w:tr>
        <w:trPr>
          <w:trHeight w:val="20"/>
        </w:trPr>
        <w:tc>
          <w:tcPr>
            <w:tcW w:w="3840" w:type="dxa"/>
            <w:vAlign w:val="bottom"/>
            <w:tcBorders>
              <w:top w:val="single" w:sz="8" w:color="CCEEFF"/>
            </w:tcBorders>
          </w:tcPr>
          <w:p>
            <w:pPr>
              <w:spacing w:after="0" w:line="20" w:lineRule="exact"/>
              <w:rPr>
                <w:sz w:val="1"/>
                <w:szCs w:val="1"/>
                <w:color w:val="auto"/>
              </w:rPr>
            </w:pPr>
          </w:p>
        </w:tc>
        <w:tc>
          <w:tcPr>
            <w:tcW w:w="2900" w:type="dxa"/>
            <w:vAlign w:val="bottom"/>
            <w:tcBorders>
              <w:top w:val="single" w:sz="8" w:color="CCEEFF"/>
              <w:bottom w:val="single" w:sz="8" w:color="CCEEFF"/>
            </w:tcBorders>
            <w:vMerge w:val="restart"/>
          </w:tcPr>
          <w:p>
            <w:pPr>
              <w:jc w:val="right"/>
              <w:ind w:right="930"/>
              <w:spacing w:after="0"/>
              <w:rPr>
                <w:sz w:val="20"/>
                <w:szCs w:val="20"/>
                <w:color w:val="auto"/>
              </w:rPr>
            </w:pPr>
            <w:r>
              <w:rPr>
                <w:rFonts w:ascii="Arial" w:cs="Arial" w:eastAsia="Arial" w:hAnsi="Arial"/>
                <w:sz w:val="18"/>
                <w:szCs w:val="18"/>
                <w:color w:val="auto"/>
              </w:rPr>
              <w:t>71</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2"/>
        </w:trPr>
        <w:tc>
          <w:tcPr>
            <w:tcW w:w="3840" w:type="dxa"/>
            <w:vAlign w:val="bottom"/>
          </w:tcPr>
          <w:p>
            <w:pPr>
              <w:spacing w:after="0"/>
              <w:rPr>
                <w:sz w:val="24"/>
                <w:szCs w:val="24"/>
                <w:color w:val="auto"/>
              </w:rPr>
            </w:pPr>
          </w:p>
        </w:tc>
        <w:tc>
          <w:tcPr>
            <w:tcW w:w="290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3840" w:type="dxa"/>
            <w:vAlign w:val="bottom"/>
            <w:tcBorders>
              <w:bottom w:val="single" w:sz="8" w:color="9A9A9A"/>
            </w:tcBorders>
          </w:tcPr>
          <w:p>
            <w:pPr>
              <w:spacing w:after="0"/>
              <w:rPr>
                <w:sz w:val="24"/>
                <w:szCs w:val="24"/>
                <w:color w:val="auto"/>
              </w:rPr>
            </w:pPr>
          </w:p>
        </w:tc>
        <w:tc>
          <w:tcPr>
            <w:tcW w:w="2900" w:type="dxa"/>
            <w:vAlign w:val="bottom"/>
            <w:tcBorders>
              <w:bottom w:val="single" w:sz="8" w:color="9A9A9A"/>
            </w:tcBorders>
          </w:tcPr>
          <w:p>
            <w:pPr>
              <w:spacing w:after="0"/>
              <w:rPr>
                <w:sz w:val="24"/>
                <w:szCs w:val="24"/>
                <w:color w:val="auto"/>
              </w:rPr>
            </w:pPr>
          </w:p>
        </w:tc>
        <w:tc>
          <w:tcPr>
            <w:tcW w:w="22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4" w:name="page75"/>
    <w:bookmarkEnd w:id="7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The following table presents details related to the restructuring and other related charges as presented in the consolidated statements of operations (in thousands):</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20"/>
        <w:spacing w:after="0"/>
        <w:rPr>
          <w:sz w:val="20"/>
          <w:szCs w:val="20"/>
          <w:color w:val="auto"/>
        </w:rPr>
      </w:pPr>
      <w:r>
        <w:rPr>
          <w:rFonts w:ascii="Arial" w:cs="Arial" w:eastAsia="Arial" w:hAnsi="Arial"/>
          <w:sz w:val="17"/>
          <w:szCs w:val="17"/>
          <w:color w:val="auto"/>
        </w:rPr>
        <w:t>Severance and related costs</w:t>
      </w:r>
    </w:p>
    <w:p>
      <w:pPr>
        <w:spacing w:after="0" w:line="48" w:lineRule="exact"/>
        <w:rPr>
          <w:sz w:val="20"/>
          <w:szCs w:val="20"/>
          <w:color w:val="auto"/>
        </w:rPr>
      </w:pPr>
    </w:p>
    <w:p>
      <w:pPr>
        <w:ind w:left="20"/>
        <w:spacing w:after="0"/>
        <w:rPr>
          <w:sz w:val="20"/>
          <w:szCs w:val="20"/>
          <w:color w:val="auto"/>
        </w:rPr>
      </w:pPr>
      <w:r>
        <w:rPr>
          <w:rFonts w:ascii="Arial" w:cs="Arial" w:eastAsia="Arial" w:hAnsi="Arial"/>
          <w:sz w:val="18"/>
          <w:szCs w:val="18"/>
          <w:color w:val="auto"/>
        </w:rPr>
        <w:t>Facilities and related costs</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Other exit-related costs</w:t>
      </w:r>
    </w:p>
    <w:p>
      <w:pPr>
        <w:spacing w:after="0" w:line="265" w:lineRule="exact"/>
        <w:rPr>
          <w:sz w:val="20"/>
          <w:szCs w:val="20"/>
          <w:color w:val="auto"/>
        </w:rPr>
      </w:pPr>
    </w:p>
    <w:p>
      <w:pPr>
        <w:ind w:left="20"/>
        <w:spacing w:after="0"/>
        <w:rPr>
          <w:sz w:val="20"/>
          <w:szCs w:val="20"/>
          <w:color w:val="auto"/>
        </w:rPr>
      </w:pPr>
      <w:r>
        <w:rPr>
          <w:rFonts w:ascii="Arial" w:cs="Arial" w:eastAsia="Arial" w:hAnsi="Arial"/>
          <w:sz w:val="18"/>
          <w:szCs w:val="18"/>
          <w:color w:val="auto"/>
        </w:rPr>
        <w:t>Release of reserves:</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Severance</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Facilities and related costs</w:t>
      </w:r>
    </w:p>
    <w:p>
      <w:pPr>
        <w:spacing w:after="0" w:line="4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Other exit-related costs</w:t>
      </w:r>
    </w:p>
    <w:p>
      <w:pPr>
        <w:spacing w:after="0" w:line="20" w:lineRule="exact"/>
        <w:rPr>
          <w:sz w:val="20"/>
          <w:szCs w:val="20"/>
          <w:color w:val="auto"/>
        </w:rPr>
      </w:pPr>
      <w:r>
        <w:rPr>
          <w:sz w:val="20"/>
          <w:szCs w:val="20"/>
          <w:color w:val="auto"/>
        </w:rPr>
        <w:br w:type="column"/>
      </w:r>
    </w:p>
    <w:p>
      <w:pPr>
        <w:spacing w:after="0" w:line="74" w:lineRule="exact"/>
        <w:rPr>
          <w:sz w:val="20"/>
          <w:szCs w:val="20"/>
          <w:color w:val="auto"/>
        </w:rPr>
      </w:pPr>
    </w:p>
    <w:p>
      <w:pPr>
        <w:ind w:left="1880"/>
        <w:spacing w:after="0"/>
        <w:rPr>
          <w:sz w:val="20"/>
          <w:szCs w:val="20"/>
          <w:color w:val="auto"/>
        </w:rPr>
      </w:pPr>
      <w:r>
        <w:rPr>
          <w:rFonts w:ascii="Arial" w:cs="Arial" w:eastAsia="Arial" w:hAnsi="Arial"/>
          <w:sz w:val="14"/>
          <w:szCs w:val="14"/>
          <w:b w:val="1"/>
          <w:bCs w:val="1"/>
          <w:color w:val="auto"/>
        </w:rPr>
        <w:t>Year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22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gridSpan w:val="2"/>
          </w:tcPr>
          <w:p>
            <w:pPr>
              <w:ind w:left="120"/>
              <w:spacing w:after="0" w:line="141" w:lineRule="exact"/>
              <w:rPr>
                <w:sz w:val="20"/>
                <w:szCs w:val="20"/>
                <w:color w:val="auto"/>
              </w:rPr>
            </w:pPr>
            <w:r>
              <w:rPr>
                <w:rFonts w:ascii="Arial" w:cs="Arial" w:eastAsia="Arial" w:hAnsi="Arial"/>
                <w:sz w:val="14"/>
                <w:szCs w:val="14"/>
                <w:b w:val="1"/>
                <w:bCs w:val="1"/>
                <w:color w:val="auto"/>
              </w:rPr>
              <w:t>January 30,</w:t>
            </w:r>
          </w:p>
        </w:tc>
        <w:tc>
          <w:tcPr>
            <w:tcW w:w="24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gridSpan w:val="2"/>
          </w:tcPr>
          <w:p>
            <w:pPr>
              <w:ind w:left="120"/>
              <w:spacing w:after="0" w:line="141" w:lineRule="exact"/>
              <w:rPr>
                <w:sz w:val="20"/>
                <w:szCs w:val="20"/>
                <w:color w:val="auto"/>
              </w:rPr>
            </w:pPr>
            <w:r>
              <w:rPr>
                <w:rFonts w:ascii="Arial" w:cs="Arial" w:eastAsia="Arial" w:hAnsi="Arial"/>
                <w:sz w:val="14"/>
                <w:szCs w:val="14"/>
                <w:b w:val="1"/>
                <w:bCs w:val="1"/>
                <w:color w:val="auto"/>
              </w:rPr>
              <w:t>February 1,</w:t>
            </w:r>
          </w:p>
        </w:tc>
        <w:tc>
          <w:tcPr>
            <w:tcW w:w="240" w:type="dxa"/>
            <w:vAlign w:val="bottom"/>
            <w:tcBorders>
              <w:top w:val="single" w:sz="8" w:color="auto"/>
            </w:tcBorders>
          </w:tcPr>
          <w:p>
            <w:pPr>
              <w:spacing w:after="0"/>
              <w:rPr>
                <w:sz w:val="12"/>
                <w:szCs w:val="12"/>
                <w:color w:val="auto"/>
              </w:rPr>
            </w:pPr>
          </w:p>
        </w:tc>
        <w:tc>
          <w:tcPr>
            <w:tcW w:w="1200" w:type="dxa"/>
            <w:vAlign w:val="bottom"/>
            <w:tcBorders>
              <w:top w:val="single" w:sz="8" w:color="auto"/>
            </w:tcBorders>
          </w:tcPr>
          <w:p>
            <w:pPr>
              <w:jc w:val="right"/>
              <w:ind w:right="274"/>
              <w:spacing w:after="0" w:line="141"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r>
      <w:tr>
        <w:trPr>
          <w:trHeight w:val="224"/>
        </w:trPr>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41,901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31,685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40,345</w:t>
            </w:r>
          </w:p>
        </w:tc>
      </w:tr>
      <w:tr>
        <w:trPr>
          <w:trHeight w:val="229"/>
        </w:trPr>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15,783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20,900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35,831</w:t>
            </w:r>
          </w:p>
        </w:tc>
      </w:tr>
      <w:tr>
        <w:trPr>
          <w:trHeight w:val="230"/>
        </w:trPr>
        <w:tc>
          <w:tcPr>
            <w:tcW w:w="22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126,204</w:t>
            </w:r>
          </w:p>
        </w:tc>
        <w:tc>
          <w:tcPr>
            <w:tcW w:w="100" w:type="dxa"/>
            <w:vAlign w:val="bottom"/>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4,254</w:t>
            </w:r>
          </w:p>
        </w:tc>
        <w:tc>
          <w:tcPr>
            <w:tcW w:w="100" w:type="dxa"/>
            <w:vAlign w:val="bottom"/>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1,850</w:t>
            </w:r>
          </w:p>
        </w:tc>
      </w:tr>
      <w:tr>
        <w:trPr>
          <w:trHeight w:val="224"/>
        </w:trPr>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183,888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56,839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78,026</w:t>
            </w:r>
          </w:p>
        </w:tc>
      </w:tr>
      <w:tr>
        <w:trPr>
          <w:trHeight w:val="457"/>
        </w:trPr>
        <w:tc>
          <w:tcPr>
            <w:tcW w:w="220" w:type="dxa"/>
            <w:vAlign w:val="bottom"/>
          </w:tcPr>
          <w:p>
            <w:pPr>
              <w:spacing w:after="0"/>
              <w:rPr>
                <w:sz w:val="24"/>
                <w:szCs w:val="24"/>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(3,402)</w:t>
            </w: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(480)</w:t>
            </w: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(1,273)</w:t>
            </w:r>
          </w:p>
        </w:tc>
      </w:tr>
      <w:tr>
        <w:trPr>
          <w:trHeight w:val="229"/>
        </w:trPr>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(893)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22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Borders>
              <w:bottom w:val="single" w:sz="8" w:color="auto"/>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w:t>
            </w:r>
          </w:p>
        </w:tc>
        <w:tc>
          <w:tcPr>
            <w:tcW w:w="100" w:type="dxa"/>
            <w:vAlign w:val="bottom"/>
            <w:tcBorders>
              <w:bottom w:val="single" w:sz="8" w:color="auto"/>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180,353</w:t>
            </w:r>
          </w:p>
        </w:tc>
        <w:tc>
          <w:tcPr>
            <w:tcW w:w="10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55,328</w:t>
            </w:r>
          </w:p>
        </w:tc>
        <w:tc>
          <w:tcPr>
            <w:tcW w:w="10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76,753</w:t>
            </w:r>
          </w:p>
        </w:tc>
      </w:tr>
      <w:tr>
        <w:trPr>
          <w:trHeight w:val="21"/>
        </w:trPr>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-1370965</wp:posOffset>
            </wp:positionV>
            <wp:extent cx="7132320" cy="15430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32320" cy="15430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-1071245</wp:posOffset>
            </wp:positionV>
            <wp:extent cx="7132320" cy="14541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32320" cy="14541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-770890</wp:posOffset>
            </wp:positionV>
            <wp:extent cx="7132320" cy="14541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32320" cy="14541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-479425</wp:posOffset>
            </wp:positionV>
            <wp:extent cx="7132320" cy="14541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32320" cy="14541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-187960</wp:posOffset>
            </wp:positionV>
            <wp:extent cx="7132320" cy="17145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6020" w:space="720"/>
            <w:col w:w="4500"/>
          </w:cols>
          <w:pgMar w:left="320" w:top="472" w:right="339" w:bottom="1440" w:gutter="0" w:footer="0" w:header="0"/>
          <w:type w:val="continuous"/>
        </w:sectPr>
      </w:pPr>
    </w:p>
    <w:p>
      <w:pPr>
        <w:spacing w:after="0" w:line="245"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i w:val="1"/>
          <w:iCs w:val="1"/>
          <w:color w:val="auto"/>
        </w:rPr>
        <w:t xml:space="preserve">Fiscal 2021. </w:t>
      </w:r>
      <w:r>
        <w:rPr>
          <w:rFonts w:ascii="Arial" w:cs="Arial" w:eastAsia="Arial" w:hAnsi="Arial"/>
          <w:sz w:val="18"/>
          <w:szCs w:val="18"/>
          <w:color w:val="auto"/>
        </w:rPr>
        <w:t>The Company recorded $180.4 million of restructuring and other related charges during its evaluation of its existing operations to</w:t>
      </w:r>
      <w:r>
        <w:rPr>
          <w:rFonts w:ascii="Arial" w:cs="Arial" w:eastAsia="Arial" w:hAnsi="Arial"/>
          <w:sz w:val="18"/>
          <w:szCs w:val="18"/>
          <w:i w:val="1"/>
          <w:iCs w:val="1"/>
          <w:color w:val="auto"/>
        </w:rPr>
        <w:t xml:space="preserve"> </w:t>
      </w:r>
      <w:r>
        <w:rPr>
          <w:rFonts w:ascii="Arial" w:cs="Arial" w:eastAsia="Arial" w:hAnsi="Arial"/>
          <w:sz w:val="18"/>
          <w:szCs w:val="18"/>
          <w:color w:val="auto"/>
        </w:rPr>
        <w:t>increase operational efficiency, decrease costs and increase profitability. The charges include $119.0 million associated with the server processor product line described below and $61.4 million recorded in connection with prior acquisitions. The Company expects to complete these restructuring actions by the end of fiscal 2022.</w:t>
      </w:r>
    </w:p>
    <w:p>
      <w:pPr>
        <w:spacing w:after="0" w:line="79" w:lineRule="exact"/>
        <w:rPr>
          <w:sz w:val="20"/>
          <w:szCs w:val="20"/>
          <w:color w:val="auto"/>
        </w:rPr>
      </w:pPr>
    </w:p>
    <w:p>
      <w:pPr>
        <w:ind w:right="140" w:firstLine="405"/>
        <w:spacing w:after="0" w:line="284" w:lineRule="auto"/>
        <w:rPr>
          <w:sz w:val="20"/>
          <w:szCs w:val="20"/>
          <w:color w:val="auto"/>
        </w:rPr>
      </w:pPr>
      <w:r>
        <w:rPr>
          <w:rFonts w:ascii="Arial" w:cs="Arial" w:eastAsia="Arial" w:hAnsi="Arial"/>
          <w:sz w:val="16"/>
          <w:szCs w:val="16"/>
          <w:color w:val="auto"/>
        </w:rPr>
        <w:t>During the second quarter of fiscal 2021, the Company made changes to the scope of its server processor product line in response to changes in the associated market. The Company transitioned its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the Company determined the carrying amount of certain impacted assets were not recoverable, which resulted in recognition of $119.0 million of restructuring related charges associated with the server processor product line during the second quarter of fiscal 2021. The charges included $50.3 million in impairment of acquired intangibles, $36.0 million in impairment of purchased IP licenses and</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color w:val="auto"/>
        </w:rPr>
        <w:t>$32.7 million in equipment and inventory impairment and other related restructuring charges.</w:t>
      </w:r>
    </w:p>
    <w:p>
      <w:pPr>
        <w:spacing w:after="0" w:line="103"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The remaining restructuring charges of $61.4 million include approximately $36.9 million in severance and related costs, $15.7 million in facilities and related costs, and $8.8 million in other exit-related costs. The severance costs primarily relate to the employee separation costs in connection with the acquisitions. The facility and related costs primarily relate to the remaining payments under lease obligations upon vacating certain worldwide office locations, and ongoing operating expenses of vacated facilities.</w:t>
      </w:r>
    </w:p>
    <w:p>
      <w:pPr>
        <w:spacing w:after="0" w:line="79"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i w:val="1"/>
          <w:iCs w:val="1"/>
          <w:color w:val="auto"/>
        </w:rPr>
        <w:t xml:space="preserve">Fiscal 2020. </w:t>
      </w:r>
      <w:r>
        <w:rPr>
          <w:rFonts w:ascii="Arial" w:cs="Arial" w:eastAsia="Arial" w:hAnsi="Arial"/>
          <w:sz w:val="18"/>
          <w:szCs w:val="18"/>
          <w:color w:val="auto"/>
        </w:rPr>
        <w:t>The Company recorded $55.3 million of restructuring and other related charges in connection with the acquisitions as described in “Note</w:t>
      </w:r>
      <w:r>
        <w:rPr>
          <w:rFonts w:ascii="Arial" w:cs="Arial" w:eastAsia="Arial" w:hAnsi="Arial"/>
          <w:sz w:val="18"/>
          <w:szCs w:val="18"/>
          <w:i w:val="1"/>
          <w:iCs w:val="1"/>
          <w:color w:val="auto"/>
        </w:rPr>
        <w:t xml:space="preserve"> </w:t>
      </w:r>
      <w:r>
        <w:rPr>
          <w:rFonts w:ascii="Arial" w:cs="Arial" w:eastAsia="Arial" w:hAnsi="Arial"/>
          <w:sz w:val="18"/>
          <w:szCs w:val="18"/>
          <w:color w:val="auto"/>
        </w:rPr>
        <w:t>4 - Business Combinations.” Following the acquisition of Avera, the Company reviewed its financial position and operating results against the Company's strategic objectives, long-term operating targets and other operational priorities and initiated a restructuring plan in an effort to increase operational efficiency, decrease costs and increase profitability. The charges include $15.4 million recorded in connection with the Avera acquisition and $39.9 million recorded in connection with the other acquisitions.</w:t>
      </w:r>
    </w:p>
    <w:p>
      <w:pPr>
        <w:spacing w:after="0" w:line="80"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charges include approximately $31.2 million in severance and related costs, $20.0 million in facilities and related costs, and $4.1 million in other exit-related costs. The severance costs primarily relate to the employee separation costs in connection with the acquisitions. The facility and related costs primarily relate to the remaining payments under lease obligations upon vacating certain worldwide office locations, and ongoing operating expenses of vacated facilities.</w:t>
      </w:r>
    </w:p>
    <w:p>
      <w:pPr>
        <w:spacing w:after="0" w:line="79"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i w:val="1"/>
          <w:iCs w:val="1"/>
          <w:color w:val="auto"/>
        </w:rPr>
        <w:t xml:space="preserve">Fiscal 2019. </w:t>
      </w:r>
      <w:r>
        <w:rPr>
          <w:rFonts w:ascii="Arial" w:cs="Arial" w:eastAsia="Arial" w:hAnsi="Arial"/>
          <w:sz w:val="18"/>
          <w:szCs w:val="18"/>
          <w:color w:val="auto"/>
        </w:rPr>
        <w:t>The Company recorded $76.8 million of restructuring and other related charges in fiscal 2019 in connection with the Cavium acquisition</w:t>
      </w:r>
      <w:r>
        <w:rPr>
          <w:rFonts w:ascii="Arial" w:cs="Arial" w:eastAsia="Arial" w:hAnsi="Arial"/>
          <w:sz w:val="18"/>
          <w:szCs w:val="18"/>
          <w:i w:val="1"/>
          <w:iCs w:val="1"/>
          <w:color w:val="auto"/>
        </w:rPr>
        <w:t xml:space="preserve"> </w:t>
      </w:r>
      <w:r>
        <w:rPr>
          <w:rFonts w:ascii="Arial" w:cs="Arial" w:eastAsia="Arial" w:hAnsi="Arial"/>
          <w:sz w:val="18"/>
          <w:szCs w:val="18"/>
          <w:color w:val="auto"/>
        </w:rPr>
        <w:t>as described in “Note 4 - Business Combinations.” The charges include approximately $39.1 million in severance and related costs, $35.8 million in facilities and related costs and $1.9 million in other exit-related costs. Other exit-related costs include $12.0 million for the impairment of equipment and technology licenses, offset by a gain of $12.2 million from the sale of a building in Singapore.</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94"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18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700" w:type="dxa"/>
            <w:vAlign w:val="bottom"/>
            <w:gridSpan w:val="8"/>
          </w:tcPr>
          <w:p>
            <w:pPr>
              <w:ind w:left="500"/>
              <w:spacing w:after="0"/>
              <w:rPr>
                <w:sz w:val="20"/>
                <w:szCs w:val="20"/>
                <w:color w:val="auto"/>
              </w:rPr>
            </w:pPr>
            <w:r>
              <w:rPr>
                <w:rFonts w:ascii="Arial" w:cs="Arial" w:eastAsia="Arial" w:hAnsi="Arial"/>
                <w:sz w:val="14"/>
                <w:szCs w:val="14"/>
                <w:b w:val="1"/>
                <w:bCs w:val="1"/>
                <w:color w:val="auto"/>
              </w:rPr>
              <w:t>July 2018 Restructuring</w:t>
            </w:r>
          </w:p>
        </w:tc>
        <w:tc>
          <w:tcPr>
            <w:tcW w:w="120" w:type="dxa"/>
            <w:vAlign w:val="bottom"/>
          </w:tcPr>
          <w:p>
            <w:pPr>
              <w:spacing w:after="0"/>
              <w:rPr>
                <w:sz w:val="16"/>
                <w:szCs w:val="16"/>
                <w:color w:val="auto"/>
              </w:rPr>
            </w:pPr>
          </w:p>
        </w:tc>
        <w:tc>
          <w:tcPr>
            <w:tcW w:w="2680" w:type="dxa"/>
            <w:vAlign w:val="bottom"/>
            <w:gridSpan w:val="8"/>
          </w:tcPr>
          <w:p>
            <w:pPr>
              <w:ind w:left="300"/>
              <w:spacing w:after="0"/>
              <w:rPr>
                <w:sz w:val="20"/>
                <w:szCs w:val="20"/>
                <w:color w:val="auto"/>
              </w:rPr>
            </w:pPr>
            <w:r>
              <w:rPr>
                <w:rFonts w:ascii="Arial" w:cs="Arial" w:eastAsia="Arial" w:hAnsi="Arial"/>
                <w:sz w:val="14"/>
                <w:szCs w:val="14"/>
                <w:b w:val="1"/>
                <w:bCs w:val="1"/>
                <w:color w:val="auto"/>
              </w:rPr>
              <w:t>November 2019 Restructuring</w:t>
            </w:r>
          </w:p>
        </w:tc>
        <w:tc>
          <w:tcPr>
            <w:tcW w:w="120" w:type="dxa"/>
            <w:vAlign w:val="bottom"/>
          </w:tcPr>
          <w:p>
            <w:pPr>
              <w:spacing w:after="0"/>
              <w:rPr>
                <w:sz w:val="16"/>
                <w:szCs w:val="16"/>
                <w:color w:val="auto"/>
              </w:rPr>
            </w:pPr>
          </w:p>
        </w:tc>
        <w:tc>
          <w:tcPr>
            <w:tcW w:w="2700" w:type="dxa"/>
            <w:vAlign w:val="bottom"/>
            <w:gridSpan w:val="8"/>
          </w:tcPr>
          <w:p>
            <w:pPr>
              <w:ind w:left="500"/>
              <w:spacing w:after="0"/>
              <w:rPr>
                <w:sz w:val="20"/>
                <w:szCs w:val="20"/>
                <w:color w:val="auto"/>
              </w:rPr>
            </w:pPr>
            <w:r>
              <w:rPr>
                <w:rFonts w:ascii="Arial" w:cs="Arial" w:eastAsia="Arial" w:hAnsi="Arial"/>
                <w:sz w:val="14"/>
                <w:szCs w:val="14"/>
                <w:b w:val="1"/>
                <w:bCs w:val="1"/>
                <w:color w:val="auto"/>
              </w:rPr>
              <w:t>July 2020 Restructuring</w:t>
            </w:r>
          </w:p>
        </w:tc>
        <w:tc>
          <w:tcPr>
            <w:tcW w:w="1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18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8"/>
              </w:rPr>
              <w:t>Severance</w:t>
            </w:r>
          </w:p>
        </w:tc>
        <w:tc>
          <w:tcPr>
            <w:tcW w:w="12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3"/>
              </w:rPr>
              <w:t>Facilities</w:t>
            </w:r>
          </w:p>
        </w:tc>
        <w:tc>
          <w:tcPr>
            <w:tcW w:w="800" w:type="dxa"/>
            <w:vAlign w:val="bottom"/>
            <w:tcBorders>
              <w:top w:val="single" w:sz="8" w:color="auto"/>
            </w:tcBorders>
            <w:gridSpan w:val="2"/>
          </w:tcPr>
          <w:p>
            <w:pPr>
              <w:ind w:left="40"/>
              <w:spacing w:after="0" w:line="135" w:lineRule="exact"/>
              <w:rPr>
                <w:sz w:val="20"/>
                <w:szCs w:val="20"/>
                <w:color w:val="auto"/>
              </w:rPr>
            </w:pPr>
            <w:r>
              <w:rPr>
                <w:rFonts w:ascii="Arial" w:cs="Arial" w:eastAsia="Arial" w:hAnsi="Arial"/>
                <w:sz w:val="14"/>
                <w:szCs w:val="14"/>
                <w:b w:val="1"/>
                <w:bCs w:val="1"/>
                <w:color w:val="auto"/>
              </w:rPr>
              <w:t>Other Exit-</w:t>
            </w:r>
          </w:p>
        </w:tc>
        <w:tc>
          <w:tcPr>
            <w:tcW w:w="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8"/>
              </w:rPr>
              <w:t>Severance</w:t>
            </w:r>
          </w:p>
        </w:tc>
        <w:tc>
          <w:tcPr>
            <w:tcW w:w="12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3"/>
              </w:rPr>
              <w:t>Facilities</w:t>
            </w:r>
          </w:p>
        </w:tc>
        <w:tc>
          <w:tcPr>
            <w:tcW w:w="760" w:type="dxa"/>
            <w:vAlign w:val="bottom"/>
            <w:tcBorders>
              <w:top w:val="single" w:sz="8" w:color="auto"/>
            </w:tcBorders>
            <w:gridSpan w:val="2"/>
          </w:tcPr>
          <w:p>
            <w:pPr>
              <w:ind w:left="20"/>
              <w:spacing w:after="0" w:line="135" w:lineRule="exact"/>
              <w:rPr>
                <w:sz w:val="20"/>
                <w:szCs w:val="20"/>
                <w:color w:val="auto"/>
              </w:rPr>
            </w:pPr>
            <w:r>
              <w:rPr>
                <w:rFonts w:ascii="Arial" w:cs="Arial" w:eastAsia="Arial" w:hAnsi="Arial"/>
                <w:sz w:val="14"/>
                <w:szCs w:val="14"/>
                <w:b w:val="1"/>
                <w:bCs w:val="1"/>
                <w:color w:val="auto"/>
              </w:rPr>
              <w:t>Other Exit-</w:t>
            </w:r>
          </w:p>
        </w:tc>
        <w:tc>
          <w:tcPr>
            <w:tcW w:w="1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88"/>
              </w:rPr>
              <w:t>Severance</w:t>
            </w:r>
          </w:p>
        </w:tc>
        <w:tc>
          <w:tcPr>
            <w:tcW w:w="960" w:type="dxa"/>
            <w:vAlign w:val="bottom"/>
            <w:tcBorders>
              <w:top w:val="single" w:sz="8" w:color="auto"/>
            </w:tcBorders>
            <w:gridSpan w:val="3"/>
          </w:tcPr>
          <w:p>
            <w:pPr>
              <w:ind w:left="20"/>
              <w:spacing w:after="0" w:line="135" w:lineRule="exact"/>
              <w:rPr>
                <w:sz w:val="20"/>
                <w:szCs w:val="20"/>
                <w:color w:val="auto"/>
              </w:rPr>
            </w:pPr>
            <w:r>
              <w:rPr>
                <w:rFonts w:ascii="Arial" w:cs="Arial" w:eastAsia="Arial" w:hAnsi="Arial"/>
                <w:sz w:val="14"/>
                <w:szCs w:val="14"/>
                <w:b w:val="1"/>
                <w:bCs w:val="1"/>
                <w:color w:val="auto"/>
              </w:rPr>
              <w:t>Facilities and</w:t>
            </w:r>
          </w:p>
        </w:tc>
        <w:tc>
          <w:tcPr>
            <w:tcW w:w="780" w:type="dxa"/>
            <w:vAlign w:val="bottom"/>
            <w:tcBorders>
              <w:top w:val="single" w:sz="8" w:color="auto"/>
            </w:tcBorders>
            <w:gridSpan w:val="2"/>
          </w:tcPr>
          <w:p>
            <w:pPr>
              <w:ind w:left="40"/>
              <w:spacing w:after="0" w:line="135" w:lineRule="exact"/>
              <w:rPr>
                <w:sz w:val="20"/>
                <w:szCs w:val="20"/>
                <w:color w:val="auto"/>
              </w:rPr>
            </w:pPr>
            <w:r>
              <w:rPr>
                <w:rFonts w:ascii="Arial" w:cs="Arial" w:eastAsia="Arial" w:hAnsi="Arial"/>
                <w:sz w:val="14"/>
                <w:szCs w:val="14"/>
                <w:b w:val="1"/>
                <w:bCs w:val="1"/>
                <w:color w:val="auto"/>
              </w:rPr>
              <w:t>Other Exit-</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880" w:type="dxa"/>
            <w:vAlign w:val="bottom"/>
          </w:tcPr>
          <w:p>
            <w:pPr>
              <w:spacing w:after="0"/>
              <w:rPr>
                <w:sz w:val="11"/>
                <w:szCs w:val="11"/>
                <w:color w:val="auto"/>
              </w:rPr>
            </w:pPr>
          </w:p>
        </w:tc>
        <w:tc>
          <w:tcPr>
            <w:tcW w:w="10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and Related</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and Related</w:t>
            </w:r>
          </w:p>
        </w:tc>
        <w:tc>
          <w:tcPr>
            <w:tcW w:w="1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rPr>
              <w:t>Related</w:t>
            </w:r>
          </w:p>
        </w:tc>
        <w:tc>
          <w:tcPr>
            <w:tcW w:w="10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and Related</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and Related</w:t>
            </w:r>
          </w:p>
        </w:tc>
        <w:tc>
          <w:tcPr>
            <w:tcW w:w="12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rPr>
              <w:t>Related</w:t>
            </w:r>
          </w:p>
        </w:tc>
        <w:tc>
          <w:tcPr>
            <w:tcW w:w="98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and Related</w:t>
            </w:r>
          </w:p>
        </w:tc>
        <w:tc>
          <w:tcPr>
            <w:tcW w:w="160" w:type="dxa"/>
            <w:vAlign w:val="bottom"/>
          </w:tcPr>
          <w:p>
            <w:pPr>
              <w:spacing w:after="0"/>
              <w:rPr>
                <w:sz w:val="11"/>
                <w:szCs w:val="11"/>
                <w:color w:val="auto"/>
              </w:rPr>
            </w:pPr>
          </w:p>
        </w:tc>
        <w:tc>
          <w:tcPr>
            <w:tcW w:w="800" w:type="dxa"/>
            <w:vAlign w:val="bottom"/>
            <w:gridSpan w:val="2"/>
          </w:tcPr>
          <w:p>
            <w:pPr>
              <w:ind w:left="40"/>
              <w:spacing w:after="0" w:line="135" w:lineRule="exact"/>
              <w:rPr>
                <w:sz w:val="20"/>
                <w:szCs w:val="20"/>
                <w:color w:val="auto"/>
              </w:rPr>
            </w:pPr>
            <w:r>
              <w:rPr>
                <w:rFonts w:ascii="Arial" w:cs="Arial" w:eastAsia="Arial" w:hAnsi="Arial"/>
                <w:sz w:val="14"/>
                <w:szCs w:val="14"/>
                <w:b w:val="1"/>
                <w:bCs w:val="1"/>
                <w:color w:val="auto"/>
              </w:rPr>
              <w:t>Related</w:t>
            </w:r>
          </w:p>
        </w:tc>
        <w:tc>
          <w:tcPr>
            <w:tcW w:w="1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rPr>
              <w:t>Related</w:t>
            </w:r>
          </w:p>
        </w:tc>
        <w:tc>
          <w:tcPr>
            <w:tcW w:w="160" w:type="dxa"/>
            <w:vAlign w:val="bottom"/>
          </w:tcPr>
          <w:p>
            <w:pPr>
              <w:spacing w:after="0"/>
              <w:rPr>
                <w:sz w:val="11"/>
                <w:szCs w:val="11"/>
                <w:color w:val="auto"/>
              </w:rPr>
            </w:pPr>
          </w:p>
        </w:tc>
        <w:tc>
          <w:tcPr>
            <w:tcW w:w="700" w:type="dxa"/>
            <w:vAlign w:val="bottom"/>
            <w:vMerge w:val="restart"/>
          </w:tcPr>
          <w:p>
            <w:pPr>
              <w:jc w:val="right"/>
              <w:ind w:right="1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188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7"/>
              </w:rPr>
              <w:t>Costs</w:t>
            </w:r>
          </w:p>
        </w:tc>
        <w:tc>
          <w:tcPr>
            <w:tcW w:w="12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jc w:val="center"/>
              <w:ind w:right="52"/>
              <w:spacing w:after="0"/>
              <w:rPr>
                <w:sz w:val="20"/>
                <w:szCs w:val="20"/>
                <w:color w:val="auto"/>
              </w:rPr>
            </w:pPr>
            <w:r>
              <w:rPr>
                <w:rFonts w:ascii="Arial" w:cs="Arial" w:eastAsia="Arial" w:hAnsi="Arial"/>
                <w:sz w:val="14"/>
                <w:szCs w:val="14"/>
                <w:b w:val="1"/>
                <w:bCs w:val="1"/>
                <w:color w:val="auto"/>
                <w:w w:val="87"/>
              </w:rPr>
              <w:t>Costs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Costs</w:t>
            </w:r>
          </w:p>
        </w:tc>
        <w:tc>
          <w:tcPr>
            <w:tcW w:w="8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7"/>
              </w:rPr>
              <w:t>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jc w:val="center"/>
              <w:ind w:right="52"/>
              <w:spacing w:after="0"/>
              <w:rPr>
                <w:sz w:val="20"/>
                <w:szCs w:val="20"/>
                <w:color w:val="auto"/>
              </w:rPr>
            </w:pPr>
            <w:r>
              <w:rPr>
                <w:rFonts w:ascii="Arial" w:cs="Arial" w:eastAsia="Arial" w:hAnsi="Arial"/>
                <w:sz w:val="14"/>
                <w:szCs w:val="14"/>
                <w:b w:val="1"/>
                <w:bCs w:val="1"/>
                <w:color w:val="auto"/>
                <w:w w:val="87"/>
              </w:rPr>
              <w:t>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7"/>
              </w:rPr>
              <w:t>Costs</w:t>
            </w:r>
          </w:p>
        </w:tc>
        <w:tc>
          <w:tcPr>
            <w:tcW w:w="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Costs</w:t>
            </w:r>
          </w:p>
        </w:tc>
        <w:tc>
          <w:tcPr>
            <w:tcW w:w="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Costs</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1880" w:type="dxa"/>
            <w:vAlign w:val="bottom"/>
            <w:shd w:val="clear" w:color="auto" w:fill="CCEEFF"/>
          </w:tcPr>
          <w:p>
            <w:pPr>
              <w:ind w:left="20"/>
              <w:spacing w:after="0" w:line="157" w:lineRule="exact"/>
              <w:rPr>
                <w:sz w:val="20"/>
                <w:szCs w:val="20"/>
                <w:color w:val="auto"/>
              </w:rPr>
            </w:pPr>
            <w:r>
              <w:rPr>
                <w:rFonts w:ascii="Arial" w:cs="Arial" w:eastAsia="Arial" w:hAnsi="Arial"/>
                <w:sz w:val="18"/>
                <w:szCs w:val="18"/>
                <w:color w:val="auto"/>
              </w:rPr>
              <w:t>Balance at February 2,</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12,403</w:t>
            </w:r>
          </w:p>
        </w:tc>
        <w:tc>
          <w:tcPr>
            <w:tcW w:w="120" w:type="dxa"/>
            <w:vAlign w:val="bottom"/>
            <w:shd w:val="clear" w:color="auto" w:fill="CCEEFF"/>
          </w:tcPr>
          <w:p>
            <w:pPr>
              <w:spacing w:after="0"/>
              <w:rPr>
                <w:sz w:val="13"/>
                <w:szCs w:val="13"/>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26,904</w:t>
            </w:r>
          </w:p>
        </w:tc>
        <w:tc>
          <w:tcPr>
            <w:tcW w:w="100" w:type="dxa"/>
            <w:vAlign w:val="bottom"/>
            <w:shd w:val="clear" w:color="auto" w:fill="CCEEFF"/>
          </w:tcPr>
          <w:p>
            <w:pPr>
              <w:spacing w:after="0"/>
              <w:rPr>
                <w:sz w:val="13"/>
                <w:szCs w:val="13"/>
                <w:color w:val="auto"/>
              </w:rPr>
            </w:pPr>
          </w:p>
        </w:tc>
        <w:tc>
          <w:tcPr>
            <w:tcW w:w="14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1,049</w:t>
            </w:r>
          </w:p>
        </w:tc>
        <w:tc>
          <w:tcPr>
            <w:tcW w:w="80" w:type="dxa"/>
            <w:vAlign w:val="bottom"/>
            <w:shd w:val="clear" w:color="auto" w:fill="CCEEFF"/>
          </w:tcPr>
          <w:p>
            <w:pPr>
              <w:spacing w:after="0"/>
              <w:rPr>
                <w:sz w:val="13"/>
                <w:szCs w:val="13"/>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7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00" w:type="dxa"/>
            <w:vAlign w:val="bottom"/>
            <w:gridSpan w:val="2"/>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4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7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40,356</w:t>
            </w:r>
          </w:p>
        </w:tc>
        <w:tc>
          <w:tcPr>
            <w:tcW w:w="0" w:type="dxa"/>
            <w:vAlign w:val="bottom"/>
          </w:tcPr>
          <w:p>
            <w:pPr>
              <w:spacing w:after="0"/>
              <w:rPr>
                <w:sz w:val="1"/>
                <w:szCs w:val="1"/>
                <w:color w:val="auto"/>
              </w:rPr>
            </w:pPr>
          </w:p>
        </w:tc>
      </w:tr>
      <w:tr>
        <w:trPr>
          <w:trHeight w:val="229"/>
        </w:trPr>
        <w:tc>
          <w:tcPr>
            <w:tcW w:w="1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2019</w:t>
            </w:r>
          </w:p>
        </w:tc>
        <w:tc>
          <w:tcPr>
            <w:tcW w:w="120" w:type="dxa"/>
            <w:vAlign w:val="bottom"/>
            <w:vMerge w:val="continue"/>
            <w:shd w:val="clear" w:color="auto" w:fill="CCEEFF"/>
          </w:tcPr>
          <w:p>
            <w:pPr>
              <w:spacing w:after="0"/>
              <w:rPr>
                <w:sz w:val="19"/>
                <w:szCs w:val="19"/>
                <w:color w:val="auto"/>
              </w:rPr>
            </w:pPr>
          </w:p>
        </w:tc>
        <w:tc>
          <w:tcPr>
            <w:tcW w:w="76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7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vMerge w:val="continue"/>
            <w:shd w:val="clear" w:color="auto" w:fill="CCEEFF"/>
          </w:tcPr>
          <w:p>
            <w:pPr>
              <w:spacing w:after="0"/>
              <w:rPr>
                <w:sz w:val="19"/>
                <w:szCs w:val="19"/>
                <w:color w:val="auto"/>
              </w:rPr>
            </w:pPr>
          </w:p>
        </w:tc>
        <w:tc>
          <w:tcPr>
            <w:tcW w:w="660" w:type="dxa"/>
            <w:vAlign w:val="bottom"/>
            <w:vMerge w:val="continue"/>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820" w:type="dxa"/>
            <w:vAlign w:val="bottom"/>
            <w:gridSpan w:val="2"/>
            <w:vMerge w:val="continue"/>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740" w:type="dxa"/>
            <w:vAlign w:val="bottom"/>
            <w:gridSpan w:val="2"/>
            <w:vMerge w:val="continue"/>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860" w:type="dxa"/>
            <w:vAlign w:val="bottom"/>
            <w:gridSpan w:val="2"/>
            <w:vMerge w:val="continue"/>
            <w:shd w:val="clear" w:color="auto" w:fill="CCEEFF"/>
          </w:tcPr>
          <w:p>
            <w:pPr>
              <w:spacing w:after="0"/>
              <w:rPr>
                <w:sz w:val="19"/>
                <w:szCs w:val="19"/>
                <w:color w:val="auto"/>
              </w:rPr>
            </w:pPr>
          </w:p>
        </w:tc>
        <w:tc>
          <w:tcPr>
            <w:tcW w:w="160" w:type="dxa"/>
            <w:vAlign w:val="bottom"/>
            <w:vMerge w:val="continue"/>
            <w:shd w:val="clear" w:color="auto" w:fill="CCEEFF"/>
          </w:tcPr>
          <w:p>
            <w:pPr>
              <w:spacing w:after="0"/>
              <w:rPr>
                <w:sz w:val="19"/>
                <w:szCs w:val="19"/>
                <w:color w:val="auto"/>
              </w:rPr>
            </w:pPr>
          </w:p>
        </w:tc>
        <w:tc>
          <w:tcPr>
            <w:tcW w:w="800" w:type="dxa"/>
            <w:vAlign w:val="bottom"/>
            <w:gridSpan w:val="2"/>
            <w:vMerge w:val="continue"/>
            <w:shd w:val="clear" w:color="auto" w:fill="CCEEFF"/>
          </w:tcPr>
          <w:p>
            <w:pPr>
              <w:spacing w:after="0"/>
              <w:rPr>
                <w:sz w:val="19"/>
                <w:szCs w:val="19"/>
                <w:color w:val="auto"/>
              </w:rPr>
            </w:pPr>
          </w:p>
        </w:tc>
        <w:tc>
          <w:tcPr>
            <w:tcW w:w="140" w:type="dxa"/>
            <w:vAlign w:val="bottom"/>
            <w:vMerge w:val="continue"/>
            <w:shd w:val="clear" w:color="auto" w:fill="CCEEFF"/>
          </w:tcPr>
          <w:p>
            <w:pPr>
              <w:spacing w:after="0"/>
              <w:rPr>
                <w:sz w:val="19"/>
                <w:szCs w:val="19"/>
                <w:color w:val="auto"/>
              </w:rPr>
            </w:pPr>
          </w:p>
        </w:tc>
        <w:tc>
          <w:tcPr>
            <w:tcW w:w="740" w:type="dxa"/>
            <w:vAlign w:val="bottom"/>
            <w:gridSpan w:val="2"/>
            <w:vMerge w:val="continue"/>
            <w:shd w:val="clear" w:color="auto" w:fill="CCEEFF"/>
          </w:tcPr>
          <w:p>
            <w:pPr>
              <w:spacing w:after="0"/>
              <w:rPr>
                <w:sz w:val="19"/>
                <w:szCs w:val="19"/>
                <w:color w:val="auto"/>
              </w:rPr>
            </w:pPr>
          </w:p>
        </w:tc>
        <w:tc>
          <w:tcPr>
            <w:tcW w:w="160" w:type="dxa"/>
            <w:vAlign w:val="bottom"/>
            <w:vMerge w:val="continue"/>
            <w:shd w:val="clear" w:color="auto" w:fill="CCEEFF"/>
          </w:tcPr>
          <w:p>
            <w:pPr>
              <w:spacing w:after="0"/>
              <w:rPr>
                <w:sz w:val="19"/>
                <w:szCs w:val="19"/>
                <w:color w:val="auto"/>
              </w:rPr>
            </w:pPr>
          </w:p>
        </w:tc>
        <w:tc>
          <w:tcPr>
            <w:tcW w:w="7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1880" w:type="dxa"/>
            <w:vAlign w:val="bottom"/>
          </w:tcPr>
          <w:p>
            <w:pPr>
              <w:ind w:left="140"/>
              <w:spacing w:after="0"/>
              <w:rPr>
                <w:sz w:val="20"/>
                <w:szCs w:val="20"/>
                <w:color w:val="auto"/>
              </w:rPr>
            </w:pPr>
            <w:r>
              <w:rPr>
                <w:rFonts w:ascii="Arial" w:cs="Arial" w:eastAsia="Arial" w:hAnsi="Arial"/>
                <w:sz w:val="18"/>
                <w:szCs w:val="18"/>
                <w:color w:val="auto"/>
                <w:w w:val="97"/>
              </w:rPr>
              <w:t>Restructuring charges</w:t>
            </w:r>
          </w:p>
        </w:tc>
        <w:tc>
          <w:tcPr>
            <w:tcW w:w="12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16,698</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3,713</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3,429</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14,987</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225</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192</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39,244</w:t>
            </w:r>
          </w:p>
        </w:tc>
        <w:tc>
          <w:tcPr>
            <w:tcW w:w="0" w:type="dxa"/>
            <w:vAlign w:val="bottom"/>
          </w:tcPr>
          <w:p>
            <w:pPr>
              <w:spacing w:after="0"/>
              <w:rPr>
                <w:sz w:val="1"/>
                <w:szCs w:val="1"/>
                <w:color w:val="auto"/>
              </w:rPr>
            </w:pPr>
          </w:p>
        </w:tc>
      </w:tr>
      <w:tr>
        <w:trPr>
          <w:trHeight w:val="230"/>
        </w:trPr>
        <w:tc>
          <w:tcPr>
            <w:tcW w:w="188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Net cash payments</w:t>
            </w:r>
          </w:p>
        </w:tc>
        <w:tc>
          <w:tcPr>
            <w:tcW w:w="12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(27,706)</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(3,374)</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(3,804)</w:t>
            </w: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(2,674)</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(37,768)</w:t>
            </w:r>
          </w:p>
        </w:tc>
        <w:tc>
          <w:tcPr>
            <w:tcW w:w="0" w:type="dxa"/>
            <w:vAlign w:val="bottom"/>
          </w:tcPr>
          <w:p>
            <w:pPr>
              <w:spacing w:after="0"/>
              <w:rPr>
                <w:sz w:val="1"/>
                <w:szCs w:val="1"/>
                <w:color w:val="auto"/>
              </w:rPr>
            </w:pPr>
          </w:p>
        </w:tc>
      </w:tr>
      <w:tr>
        <w:trPr>
          <w:trHeight w:val="229"/>
        </w:trPr>
        <w:tc>
          <w:tcPr>
            <w:tcW w:w="1880" w:type="dxa"/>
            <w:vAlign w:val="bottom"/>
          </w:tcPr>
          <w:p>
            <w:pPr>
              <w:ind w:left="140"/>
              <w:spacing w:after="0"/>
              <w:rPr>
                <w:sz w:val="20"/>
                <w:szCs w:val="20"/>
                <w:color w:val="auto"/>
              </w:rPr>
            </w:pPr>
            <w:r>
              <w:rPr>
                <w:rFonts w:ascii="Arial" w:cs="Arial" w:eastAsia="Arial" w:hAnsi="Arial"/>
                <w:sz w:val="18"/>
                <w:szCs w:val="18"/>
                <w:color w:val="auto"/>
              </w:rPr>
              <w:t>Release of reserve</w:t>
            </w:r>
          </w:p>
        </w:tc>
        <w:tc>
          <w:tcPr>
            <w:tcW w:w="12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(479)</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(893)</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(138)</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(1,511)</w:t>
            </w:r>
          </w:p>
        </w:tc>
        <w:tc>
          <w:tcPr>
            <w:tcW w:w="0" w:type="dxa"/>
            <w:vAlign w:val="bottom"/>
          </w:tcPr>
          <w:p>
            <w:pPr>
              <w:spacing w:after="0"/>
              <w:rPr>
                <w:sz w:val="1"/>
                <w:szCs w:val="1"/>
                <w:color w:val="auto"/>
              </w:rPr>
            </w:pPr>
          </w:p>
        </w:tc>
      </w:tr>
      <w:tr>
        <w:trPr>
          <w:trHeight w:val="176"/>
        </w:trPr>
        <w:tc>
          <w:tcPr>
            <w:tcW w:w="1880" w:type="dxa"/>
            <w:vAlign w:val="bottom"/>
            <w:shd w:val="clear" w:color="auto" w:fill="CCEEFF"/>
          </w:tcPr>
          <w:p>
            <w:pPr>
              <w:ind w:left="140"/>
              <w:spacing w:after="0" w:line="176" w:lineRule="exact"/>
              <w:rPr>
                <w:sz w:val="20"/>
                <w:szCs w:val="20"/>
                <w:color w:val="auto"/>
              </w:rPr>
            </w:pPr>
            <w:r>
              <w:rPr>
                <w:rFonts w:ascii="Arial" w:cs="Arial" w:eastAsia="Arial" w:hAnsi="Arial"/>
                <w:sz w:val="18"/>
                <w:szCs w:val="18"/>
                <w:color w:val="auto"/>
              </w:rPr>
              <w:t>Effect of adoption of</w:t>
            </w:r>
          </w:p>
        </w:tc>
        <w:tc>
          <w:tcPr>
            <w:tcW w:w="120" w:type="dxa"/>
            <w:vAlign w:val="bottom"/>
            <w:shd w:val="clear" w:color="auto" w:fill="CCEEFF"/>
          </w:tcPr>
          <w:p>
            <w:pPr>
              <w:spacing w:after="0"/>
              <w:rPr>
                <w:sz w:val="15"/>
                <w:szCs w:val="15"/>
                <w:color w:val="auto"/>
              </w:rPr>
            </w:pP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vMerge w:val="restart"/>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1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vMerge w:val="restart"/>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vMerge w:val="restart"/>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720" w:type="dxa"/>
            <w:vAlign w:val="bottom"/>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80" w:type="dxa"/>
            <w:vAlign w:val="bottom"/>
            <w:vMerge w:val="restart"/>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5"/>
              </w:rPr>
              <w:t>(25,893)</w:t>
            </w:r>
          </w:p>
        </w:tc>
        <w:tc>
          <w:tcPr>
            <w:tcW w:w="0" w:type="dxa"/>
            <w:vAlign w:val="bottom"/>
          </w:tcPr>
          <w:p>
            <w:pPr>
              <w:spacing w:after="0"/>
              <w:rPr>
                <w:sz w:val="1"/>
                <w:szCs w:val="1"/>
                <w:color w:val="auto"/>
              </w:rPr>
            </w:pPr>
          </w:p>
        </w:tc>
      </w:tr>
      <w:tr>
        <w:trPr>
          <w:trHeight w:val="229"/>
        </w:trPr>
        <w:tc>
          <w:tcPr>
            <w:tcW w:w="1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new lease standard</w:t>
            </w:r>
          </w:p>
        </w:tc>
        <w:tc>
          <w:tcPr>
            <w:tcW w:w="120" w:type="dxa"/>
            <w:vAlign w:val="bottom"/>
            <w:tcBorders>
              <w:bottom w:val="single" w:sz="8" w:color="auto"/>
            </w:tcBorders>
            <w:shd w:val="clear" w:color="auto" w:fill="CCEEFF"/>
          </w:tcPr>
          <w:p>
            <w:pPr>
              <w:spacing w:after="0"/>
              <w:rPr>
                <w:sz w:val="19"/>
                <w:szCs w:val="19"/>
                <w:color w:val="auto"/>
              </w:rPr>
            </w:pPr>
          </w:p>
        </w:tc>
        <w:tc>
          <w:tcPr>
            <w:tcW w:w="760" w:type="dxa"/>
            <w:vAlign w:val="bottom"/>
            <w:tcBorders>
              <w:bottom w:val="single" w:sz="8" w:color="auto"/>
            </w:tcBorders>
            <w:vMerge w:val="continue"/>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660" w:type="dxa"/>
            <w:vAlign w:val="bottom"/>
            <w:tcBorders>
              <w:bottom w:val="single" w:sz="8" w:color="auto"/>
            </w:tcBorders>
            <w:vMerge w:val="continue"/>
            <w:shd w:val="clear" w:color="auto" w:fill="CCEEFF"/>
          </w:tcPr>
          <w:p>
            <w:pPr>
              <w:spacing w:after="0"/>
              <w:rPr>
                <w:sz w:val="19"/>
                <w:szCs w:val="19"/>
                <w:color w:val="auto"/>
              </w:rPr>
            </w:pPr>
          </w:p>
        </w:tc>
        <w:tc>
          <w:tcPr>
            <w:tcW w:w="80" w:type="dxa"/>
            <w:vAlign w:val="bottom"/>
            <w:vMerge w:val="continue"/>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vMerge w:val="continue"/>
            <w:shd w:val="clear" w:color="auto" w:fill="CCEEFF"/>
          </w:tcPr>
          <w:p>
            <w:pPr>
              <w:spacing w:after="0"/>
              <w:rPr>
                <w:sz w:val="19"/>
                <w:szCs w:val="19"/>
                <w:color w:val="auto"/>
              </w:rPr>
            </w:pPr>
          </w:p>
        </w:tc>
        <w:tc>
          <w:tcPr>
            <w:tcW w:w="100" w:type="dxa"/>
            <w:vAlign w:val="bottom"/>
            <w:vMerge w:val="continue"/>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vMerge w:val="continue"/>
            <w:shd w:val="clear" w:color="auto" w:fill="CCEEFF"/>
          </w:tcPr>
          <w:p>
            <w:pPr>
              <w:spacing w:after="0"/>
              <w:rPr>
                <w:sz w:val="19"/>
                <w:szCs w:val="19"/>
                <w:color w:val="auto"/>
              </w:rPr>
            </w:pPr>
          </w:p>
        </w:tc>
        <w:tc>
          <w:tcPr>
            <w:tcW w:w="100" w:type="dxa"/>
            <w:vAlign w:val="bottom"/>
            <w:vMerge w:val="continue"/>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640" w:type="dxa"/>
            <w:vAlign w:val="bottom"/>
            <w:tcBorders>
              <w:bottom w:val="single" w:sz="8" w:color="auto"/>
            </w:tcBorders>
            <w:vMerge w:val="continue"/>
            <w:shd w:val="clear" w:color="auto" w:fill="CCEEFF"/>
          </w:tcPr>
          <w:p>
            <w:pPr>
              <w:spacing w:after="0"/>
              <w:rPr>
                <w:sz w:val="19"/>
                <w:szCs w:val="19"/>
                <w:color w:val="auto"/>
              </w:rPr>
            </w:pPr>
          </w:p>
        </w:tc>
        <w:tc>
          <w:tcPr>
            <w:tcW w:w="100" w:type="dxa"/>
            <w:vAlign w:val="bottom"/>
            <w:vMerge w:val="continue"/>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vMerge w:val="continue"/>
            <w:shd w:val="clear" w:color="auto" w:fill="CCEEFF"/>
          </w:tcPr>
          <w:p>
            <w:pPr>
              <w:spacing w:after="0"/>
              <w:rPr>
                <w:sz w:val="19"/>
                <w:szCs w:val="19"/>
                <w:color w:val="auto"/>
              </w:rPr>
            </w:pPr>
          </w:p>
        </w:tc>
        <w:tc>
          <w:tcPr>
            <w:tcW w:w="80" w:type="dxa"/>
            <w:vAlign w:val="bottom"/>
            <w:vMerge w:val="continue"/>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vMerge w:val="continue"/>
            <w:shd w:val="clear" w:color="auto" w:fill="CCEEFF"/>
          </w:tcPr>
          <w:p>
            <w:pPr>
              <w:spacing w:after="0"/>
              <w:rPr>
                <w:sz w:val="19"/>
                <w:szCs w:val="19"/>
                <w:color w:val="auto"/>
              </w:rPr>
            </w:pPr>
          </w:p>
        </w:tc>
        <w:tc>
          <w:tcPr>
            <w:tcW w:w="80" w:type="dxa"/>
            <w:vAlign w:val="bottom"/>
            <w:vMerge w:val="continue"/>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640" w:type="dxa"/>
            <w:vAlign w:val="bottom"/>
            <w:tcBorders>
              <w:bottom w:val="single" w:sz="8" w:color="auto"/>
            </w:tcBorders>
            <w:vMerge w:val="continue"/>
            <w:shd w:val="clear" w:color="auto" w:fill="CCEEFF"/>
          </w:tcPr>
          <w:p>
            <w:pPr>
              <w:spacing w:after="0"/>
              <w:rPr>
                <w:sz w:val="19"/>
                <w:szCs w:val="19"/>
                <w:color w:val="auto"/>
              </w:rPr>
            </w:pPr>
          </w:p>
        </w:tc>
        <w:tc>
          <w:tcPr>
            <w:tcW w:w="100" w:type="dxa"/>
            <w:vAlign w:val="bottom"/>
            <w:vMerge w:val="continue"/>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700" w:type="dxa"/>
            <w:vAlign w:val="bottom"/>
            <w:tcBorders>
              <w:bottom w:val="single" w:sz="8" w:color="auto"/>
            </w:tcBorders>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56"/>
        </w:trPr>
        <w:tc>
          <w:tcPr>
            <w:tcW w:w="1880" w:type="dxa"/>
            <w:vAlign w:val="bottom"/>
          </w:tcPr>
          <w:p>
            <w:pPr>
              <w:ind w:left="20"/>
              <w:spacing w:after="0" w:line="156" w:lineRule="exact"/>
              <w:rPr>
                <w:sz w:val="20"/>
                <w:szCs w:val="20"/>
                <w:color w:val="auto"/>
              </w:rPr>
            </w:pPr>
            <w:r>
              <w:rPr>
                <w:rFonts w:ascii="Arial" w:cs="Arial" w:eastAsia="Arial" w:hAnsi="Arial"/>
                <w:sz w:val="18"/>
                <w:szCs w:val="18"/>
                <w:color w:val="auto"/>
              </w:rPr>
              <w:t>Balance at February 1,</w:t>
            </w:r>
          </w:p>
        </w:tc>
        <w:tc>
          <w:tcPr>
            <w:tcW w:w="120" w:type="dxa"/>
            <w:vAlign w:val="bottom"/>
          </w:tcPr>
          <w:p>
            <w:pPr>
              <w:spacing w:after="0"/>
              <w:rPr>
                <w:sz w:val="13"/>
                <w:szCs w:val="13"/>
                <w:color w:val="auto"/>
              </w:rPr>
            </w:pP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916</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457</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rPr>
              <w:t>536</w:t>
            </w:r>
          </w:p>
        </w:tc>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80" w:type="dxa"/>
            <w:vAlign w:val="bottom"/>
            <w:vMerge w:val="restart"/>
          </w:tcPr>
          <w:p>
            <w:pPr>
              <w:jc w:val="right"/>
              <w:spacing w:after="0"/>
              <w:rPr>
                <w:sz w:val="20"/>
                <w:szCs w:val="20"/>
                <w:color w:val="auto"/>
              </w:rPr>
            </w:pPr>
            <w:r>
              <w:rPr>
                <w:rFonts w:ascii="Arial" w:cs="Arial" w:eastAsia="Arial" w:hAnsi="Arial"/>
                <w:sz w:val="18"/>
                <w:szCs w:val="18"/>
                <w:color w:val="auto"/>
              </w:rPr>
              <w:t>12,312</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196</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vMerge w:val="restart"/>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6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3"/>
                <w:szCs w:val="13"/>
                <w:color w:val="auto"/>
              </w:rPr>
            </w:pPr>
          </w:p>
        </w:tc>
        <w:tc>
          <w:tcPr>
            <w:tcW w:w="800" w:type="dxa"/>
            <w:vAlign w:val="bottom"/>
            <w:gridSpan w:val="2"/>
            <w:vMerge w:val="restart"/>
          </w:tcPr>
          <w:p>
            <w:pPr>
              <w:ind w:left="4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3"/>
                <w:szCs w:val="13"/>
                <w:color w:val="auto"/>
              </w:rPr>
            </w:pPr>
          </w:p>
        </w:tc>
        <w:tc>
          <w:tcPr>
            <w:tcW w:w="74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3"/>
                <w:szCs w:val="13"/>
                <w:color w:val="auto"/>
              </w:rPr>
            </w:pP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14,428</w:t>
            </w:r>
          </w:p>
        </w:tc>
        <w:tc>
          <w:tcPr>
            <w:tcW w:w="0" w:type="dxa"/>
            <w:vAlign w:val="bottom"/>
          </w:tcPr>
          <w:p>
            <w:pPr>
              <w:spacing w:after="0"/>
              <w:rPr>
                <w:sz w:val="1"/>
                <w:szCs w:val="1"/>
                <w:color w:val="auto"/>
              </w:rPr>
            </w:pPr>
          </w:p>
        </w:tc>
      </w:tr>
      <w:tr>
        <w:trPr>
          <w:trHeight w:val="229"/>
        </w:trPr>
        <w:tc>
          <w:tcPr>
            <w:tcW w:w="1880" w:type="dxa"/>
            <w:vAlign w:val="bottom"/>
          </w:tcPr>
          <w:p>
            <w:pPr>
              <w:ind w:left="20"/>
              <w:spacing w:after="0"/>
              <w:rPr>
                <w:sz w:val="20"/>
                <w:szCs w:val="20"/>
                <w:color w:val="auto"/>
              </w:rPr>
            </w:pPr>
            <w:r>
              <w:rPr>
                <w:rFonts w:ascii="Arial" w:cs="Arial" w:eastAsia="Arial" w:hAnsi="Arial"/>
                <w:sz w:val="18"/>
                <w:szCs w:val="18"/>
                <w:color w:val="auto"/>
              </w:rPr>
              <w:t>2020</w:t>
            </w:r>
          </w:p>
        </w:tc>
        <w:tc>
          <w:tcPr>
            <w:tcW w:w="120" w:type="dxa"/>
            <w:vAlign w:val="bottom"/>
          </w:tcPr>
          <w:p>
            <w:pPr>
              <w:spacing w:after="0"/>
              <w:rPr>
                <w:sz w:val="19"/>
                <w:szCs w:val="19"/>
                <w:color w:val="auto"/>
              </w:rPr>
            </w:pPr>
          </w:p>
        </w:tc>
        <w:tc>
          <w:tcPr>
            <w:tcW w:w="7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80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1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charges</w:t>
            </w:r>
          </w:p>
        </w:tc>
        <w:tc>
          <w:tcPr>
            <w:tcW w:w="12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24,923</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5,405</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2,536</w:t>
            </w: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3,938</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13,040</w:t>
            </w:r>
          </w:p>
        </w:tc>
        <w:tc>
          <w:tcPr>
            <w:tcW w:w="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5,827</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55,669</w:t>
            </w:r>
          </w:p>
        </w:tc>
        <w:tc>
          <w:tcPr>
            <w:tcW w:w="0" w:type="dxa"/>
            <w:vAlign w:val="bottom"/>
          </w:tcPr>
          <w:p>
            <w:pPr>
              <w:spacing w:after="0"/>
              <w:rPr>
                <w:sz w:val="1"/>
                <w:szCs w:val="1"/>
                <w:color w:val="auto"/>
              </w:rPr>
            </w:pPr>
          </w:p>
        </w:tc>
      </w:tr>
      <w:tr>
        <w:trPr>
          <w:trHeight w:val="229"/>
        </w:trPr>
        <w:tc>
          <w:tcPr>
            <w:tcW w:w="1880" w:type="dxa"/>
            <w:vAlign w:val="bottom"/>
          </w:tcPr>
          <w:p>
            <w:pPr>
              <w:ind w:left="20"/>
              <w:spacing w:after="0"/>
              <w:rPr>
                <w:sz w:val="20"/>
                <w:szCs w:val="20"/>
                <w:color w:val="auto"/>
              </w:rPr>
            </w:pPr>
            <w:r>
              <w:rPr>
                <w:rFonts w:ascii="Arial" w:cs="Arial" w:eastAsia="Arial" w:hAnsi="Arial"/>
                <w:sz w:val="18"/>
                <w:szCs w:val="18"/>
                <w:color w:val="auto"/>
              </w:rPr>
              <w:t>Net cash payments</w:t>
            </w:r>
          </w:p>
        </w:tc>
        <w:tc>
          <w:tcPr>
            <w:tcW w:w="12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(22,751)</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(4,364)</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(2,291)</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(15,323)</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(178)</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(9,309)</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(2,792)</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95"/>
              </w:rPr>
              <w:t>(57,014)</w:t>
            </w:r>
          </w:p>
        </w:tc>
        <w:tc>
          <w:tcPr>
            <w:tcW w:w="0" w:type="dxa"/>
            <w:vAlign w:val="bottom"/>
          </w:tcPr>
          <w:p>
            <w:pPr>
              <w:spacing w:after="0"/>
              <w:rPr>
                <w:sz w:val="1"/>
                <w:szCs w:val="1"/>
                <w:color w:val="auto"/>
              </w:rPr>
            </w:pPr>
          </w:p>
        </w:tc>
      </w:tr>
      <w:tr>
        <w:trPr>
          <w:trHeight w:val="229"/>
        </w:trPr>
        <w:tc>
          <w:tcPr>
            <w:tcW w:w="1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Release of reserve</w:t>
            </w:r>
          </w:p>
        </w:tc>
        <w:tc>
          <w:tcPr>
            <w:tcW w:w="12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(794)</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w:t>
            </w:r>
          </w:p>
        </w:tc>
        <w:tc>
          <w:tcPr>
            <w:tcW w:w="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(2,312)</w:t>
            </w:r>
          </w:p>
        </w:tc>
        <w:tc>
          <w:tcPr>
            <w:tcW w:w="0" w:type="dxa"/>
            <w:vAlign w:val="bottom"/>
          </w:tcPr>
          <w:p>
            <w:pPr>
              <w:spacing w:after="0"/>
              <w:rPr>
                <w:sz w:val="1"/>
                <w:szCs w:val="1"/>
                <w:color w:val="auto"/>
              </w:rPr>
            </w:pPr>
          </w:p>
        </w:tc>
      </w:tr>
      <w:tr>
        <w:trPr>
          <w:trHeight w:val="176"/>
        </w:trPr>
        <w:tc>
          <w:tcPr>
            <w:tcW w:w="1880" w:type="dxa"/>
            <w:vAlign w:val="bottom"/>
          </w:tcPr>
          <w:p>
            <w:pPr>
              <w:ind w:left="20"/>
              <w:spacing w:after="0" w:line="176" w:lineRule="exact"/>
              <w:rPr>
                <w:sz w:val="20"/>
                <w:szCs w:val="20"/>
                <w:color w:val="auto"/>
              </w:rPr>
            </w:pPr>
            <w:r>
              <w:rPr>
                <w:rFonts w:ascii="Arial" w:cs="Arial" w:eastAsia="Arial" w:hAnsi="Arial"/>
                <w:sz w:val="18"/>
                <w:szCs w:val="18"/>
                <w:color w:val="auto"/>
              </w:rPr>
              <w:t>Exchange rate</w:t>
            </w:r>
          </w:p>
        </w:tc>
        <w:tc>
          <w:tcPr>
            <w:tcW w:w="120" w:type="dxa"/>
            <w:vAlign w:val="bottom"/>
          </w:tcPr>
          <w:p>
            <w:pPr>
              <w:spacing w:after="0"/>
              <w:rPr>
                <w:sz w:val="15"/>
                <w:szCs w:val="15"/>
                <w:color w:val="auto"/>
              </w:rPr>
            </w:pP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29</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80" w:type="dxa"/>
            <w:vAlign w:val="bottom"/>
            <w:vMerge w:val="restart"/>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15"/>
                <w:szCs w:val="15"/>
                <w:color w:val="auto"/>
              </w:rPr>
            </w:pPr>
          </w:p>
        </w:tc>
        <w:tc>
          <w:tcPr>
            <w:tcW w:w="120" w:type="dxa"/>
            <w:vAlign w:val="bottom"/>
          </w:tcPr>
          <w:p>
            <w:pPr>
              <w:spacing w:after="0"/>
              <w:rPr>
                <w:sz w:val="15"/>
                <w:szCs w:val="15"/>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80" w:type="dxa"/>
            <w:vAlign w:val="bottom"/>
            <w:vMerge w:val="restart"/>
          </w:tcPr>
          <w:p>
            <w:pPr>
              <w:spacing w:after="0"/>
              <w:rPr>
                <w:sz w:val="15"/>
                <w:szCs w:val="15"/>
                <w:color w:val="auto"/>
              </w:rPr>
            </w:pPr>
          </w:p>
        </w:tc>
        <w:tc>
          <w:tcPr>
            <w:tcW w:w="160" w:type="dxa"/>
            <w:vAlign w:val="bottom"/>
          </w:tcPr>
          <w:p>
            <w:pPr>
              <w:spacing w:after="0"/>
              <w:rPr>
                <w:sz w:val="15"/>
                <w:szCs w:val="15"/>
                <w:color w:val="auto"/>
              </w:rPr>
            </w:pPr>
          </w:p>
        </w:tc>
        <w:tc>
          <w:tcPr>
            <w:tcW w:w="720" w:type="dxa"/>
            <w:vAlign w:val="bottom"/>
            <w:vMerge w:val="restart"/>
          </w:tcPr>
          <w:p>
            <w:pPr>
              <w:ind w:left="460"/>
              <w:spacing w:after="0"/>
              <w:rPr>
                <w:sz w:val="20"/>
                <w:szCs w:val="20"/>
                <w:color w:val="auto"/>
              </w:rPr>
            </w:pPr>
            <w:r>
              <w:rPr>
                <w:rFonts w:ascii="Arial" w:cs="Arial" w:eastAsia="Arial" w:hAnsi="Arial"/>
                <w:sz w:val="18"/>
                <w:szCs w:val="18"/>
                <w:color w:val="auto"/>
              </w:rPr>
              <w:t>—</w:t>
            </w:r>
          </w:p>
        </w:tc>
        <w:tc>
          <w:tcPr>
            <w:tcW w:w="80" w:type="dxa"/>
            <w:vAlign w:val="bottom"/>
            <w:vMerge w:val="restart"/>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00" w:type="dxa"/>
            <w:vAlign w:val="bottom"/>
            <w:vMerge w:val="restart"/>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29"/>
        </w:trPr>
        <w:tc>
          <w:tcPr>
            <w:tcW w:w="18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adjustment</w:t>
            </w:r>
          </w:p>
        </w:tc>
        <w:tc>
          <w:tcPr>
            <w:tcW w:w="12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vMerge w:val="continue"/>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vMerge w:val="continue"/>
          </w:tcPr>
          <w:p>
            <w:pPr>
              <w:spacing w:after="0"/>
              <w:rPr>
                <w:sz w:val="19"/>
                <w:szCs w:val="19"/>
                <w:color w:val="auto"/>
              </w:rPr>
            </w:pPr>
          </w:p>
        </w:tc>
        <w:tc>
          <w:tcPr>
            <w:tcW w:w="100" w:type="dxa"/>
            <w:vAlign w:val="bottom"/>
            <w:tcBorders>
              <w:bottom w:val="single" w:sz="8" w:color="CCEEFF"/>
            </w:tcBorders>
            <w:vMerge w:val="continue"/>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vMerge w:val="continue"/>
          </w:tcPr>
          <w:p>
            <w:pPr>
              <w:spacing w:after="0"/>
              <w:rPr>
                <w:sz w:val="19"/>
                <w:szCs w:val="19"/>
                <w:color w:val="auto"/>
              </w:rPr>
            </w:pPr>
          </w:p>
        </w:tc>
        <w:tc>
          <w:tcPr>
            <w:tcW w:w="80" w:type="dxa"/>
            <w:vAlign w:val="bottom"/>
            <w:tcBorders>
              <w:bottom w:val="single" w:sz="8" w:color="CCEEFF"/>
            </w:tcBorders>
            <w:vMerge w:val="continue"/>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vMerge w:val="continue"/>
          </w:tcPr>
          <w:p>
            <w:pPr>
              <w:spacing w:after="0"/>
              <w:rPr>
                <w:sz w:val="19"/>
                <w:szCs w:val="19"/>
                <w:color w:val="auto"/>
              </w:rPr>
            </w:pPr>
          </w:p>
        </w:tc>
        <w:tc>
          <w:tcPr>
            <w:tcW w:w="100" w:type="dxa"/>
            <w:vAlign w:val="bottom"/>
            <w:tcBorders>
              <w:bottom w:val="single" w:sz="8" w:color="CCEEFF"/>
            </w:tcBorders>
            <w:vMerge w:val="continue"/>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vMerge w:val="continue"/>
          </w:tcPr>
          <w:p>
            <w:pPr>
              <w:spacing w:after="0"/>
              <w:rPr>
                <w:sz w:val="19"/>
                <w:szCs w:val="19"/>
                <w:color w:val="auto"/>
              </w:rPr>
            </w:pPr>
          </w:p>
        </w:tc>
        <w:tc>
          <w:tcPr>
            <w:tcW w:w="100" w:type="dxa"/>
            <w:vAlign w:val="bottom"/>
            <w:tcBorders>
              <w:bottom w:val="single" w:sz="8" w:color="CCEEFF"/>
            </w:tcBorders>
            <w:vMerge w:val="continue"/>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vMerge w:val="continue"/>
          </w:tcPr>
          <w:p>
            <w:pPr>
              <w:spacing w:after="0"/>
              <w:rPr>
                <w:sz w:val="19"/>
                <w:szCs w:val="19"/>
                <w:color w:val="auto"/>
              </w:rPr>
            </w:pPr>
          </w:p>
        </w:tc>
        <w:tc>
          <w:tcPr>
            <w:tcW w:w="100" w:type="dxa"/>
            <w:vAlign w:val="bottom"/>
            <w:tcBorders>
              <w:bottom w:val="single" w:sz="8" w:color="CCEEFF"/>
            </w:tcBorders>
            <w:vMerge w:val="continue"/>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vMerge w:val="continue"/>
          </w:tcPr>
          <w:p>
            <w:pPr>
              <w:spacing w:after="0"/>
              <w:rPr>
                <w:sz w:val="19"/>
                <w:szCs w:val="19"/>
                <w:color w:val="auto"/>
              </w:rPr>
            </w:pPr>
          </w:p>
        </w:tc>
        <w:tc>
          <w:tcPr>
            <w:tcW w:w="80" w:type="dxa"/>
            <w:vAlign w:val="bottom"/>
            <w:tcBorders>
              <w:bottom w:val="single" w:sz="8" w:color="CCEEFF"/>
            </w:tcBorders>
            <w:vMerge w:val="continue"/>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vMerge w:val="continue"/>
          </w:tcPr>
          <w:p>
            <w:pPr>
              <w:spacing w:after="0"/>
              <w:rPr>
                <w:sz w:val="19"/>
                <w:szCs w:val="19"/>
                <w:color w:val="auto"/>
              </w:rPr>
            </w:pPr>
          </w:p>
        </w:tc>
        <w:tc>
          <w:tcPr>
            <w:tcW w:w="80" w:type="dxa"/>
            <w:vAlign w:val="bottom"/>
            <w:tcBorders>
              <w:bottom w:val="single" w:sz="8" w:color="CCEEFF"/>
            </w:tcBorders>
            <w:vMerge w:val="continue"/>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vMerge w:val="continue"/>
          </w:tcPr>
          <w:p>
            <w:pPr>
              <w:spacing w:after="0"/>
              <w:rPr>
                <w:sz w:val="19"/>
                <w:szCs w:val="19"/>
                <w:color w:val="auto"/>
              </w:rPr>
            </w:pPr>
          </w:p>
        </w:tc>
        <w:tc>
          <w:tcPr>
            <w:tcW w:w="100" w:type="dxa"/>
            <w:vAlign w:val="bottom"/>
            <w:tcBorders>
              <w:bottom w:val="single" w:sz="8" w:color="CCEEFF"/>
            </w:tcBorders>
            <w:vMerge w:val="continue"/>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56"/>
        </w:trPr>
        <w:tc>
          <w:tcPr>
            <w:tcW w:w="1880" w:type="dxa"/>
            <w:vAlign w:val="bottom"/>
            <w:shd w:val="clear" w:color="auto" w:fill="CCEEFF"/>
          </w:tcPr>
          <w:p>
            <w:pPr>
              <w:ind w:left="20"/>
              <w:spacing w:after="0" w:line="156" w:lineRule="exact"/>
              <w:rPr>
                <w:sz w:val="20"/>
                <w:szCs w:val="20"/>
                <w:color w:val="auto"/>
              </w:rPr>
            </w:pPr>
            <w:r>
              <w:rPr>
                <w:rFonts w:ascii="Arial" w:cs="Arial" w:eastAsia="Arial" w:hAnsi="Arial"/>
                <w:sz w:val="18"/>
                <w:szCs w:val="18"/>
                <w:color w:val="auto"/>
                <w:w w:val="99"/>
              </w:rPr>
              <w:t>Balance at January 30,</w:t>
            </w:r>
          </w:p>
        </w:tc>
        <w:tc>
          <w:tcPr>
            <w:tcW w:w="120" w:type="dxa"/>
            <w:vAlign w:val="bottom"/>
            <w:shd w:val="clear" w:color="auto" w:fill="CCEEFF"/>
          </w:tcPr>
          <w:p>
            <w:pPr>
              <w:spacing w:after="0"/>
              <w:rPr>
                <w:sz w:val="13"/>
                <w:szCs w:val="13"/>
                <w:color w:val="auto"/>
              </w:rPr>
            </w:pP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2,323</w:t>
            </w:r>
          </w:p>
        </w:tc>
        <w:tc>
          <w:tcPr>
            <w:tcW w:w="1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1,395</w:t>
            </w:r>
          </w:p>
        </w:tc>
        <w:tc>
          <w:tcPr>
            <w:tcW w:w="1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774</w:t>
            </w:r>
          </w:p>
        </w:tc>
        <w:tc>
          <w:tcPr>
            <w:tcW w:w="8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2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3"/>
                <w:szCs w:val="13"/>
                <w:color w:val="auto"/>
              </w:rPr>
            </w:pPr>
          </w:p>
        </w:tc>
        <w:tc>
          <w:tcPr>
            <w:tcW w:w="7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3"/>
                <w:szCs w:val="13"/>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3,114</w:t>
            </w:r>
          </w:p>
        </w:tc>
        <w:tc>
          <w:tcPr>
            <w:tcW w:w="8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800" w:type="dxa"/>
            <w:vAlign w:val="bottom"/>
            <w:gridSpan w:val="2"/>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3"/>
                <w:szCs w:val="13"/>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3,035</w:t>
            </w:r>
          </w:p>
        </w:tc>
        <w:tc>
          <w:tcPr>
            <w:tcW w:w="10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10,800</w:t>
            </w:r>
          </w:p>
        </w:tc>
        <w:tc>
          <w:tcPr>
            <w:tcW w:w="0" w:type="dxa"/>
            <w:vAlign w:val="bottom"/>
          </w:tcPr>
          <w:p>
            <w:pPr>
              <w:spacing w:after="0"/>
              <w:rPr>
                <w:sz w:val="1"/>
                <w:szCs w:val="1"/>
                <w:color w:val="auto"/>
              </w:rPr>
            </w:pPr>
          </w:p>
        </w:tc>
      </w:tr>
      <w:tr>
        <w:trPr>
          <w:trHeight w:val="229"/>
        </w:trPr>
        <w:tc>
          <w:tcPr>
            <w:tcW w:w="1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120" w:type="dxa"/>
            <w:vAlign w:val="bottom"/>
            <w:shd w:val="clear" w:color="auto" w:fill="CCEEFF"/>
          </w:tcPr>
          <w:p>
            <w:pPr>
              <w:spacing w:after="0"/>
              <w:rPr>
                <w:sz w:val="19"/>
                <w:szCs w:val="19"/>
                <w:color w:val="auto"/>
              </w:rPr>
            </w:pPr>
          </w:p>
        </w:tc>
        <w:tc>
          <w:tcPr>
            <w:tcW w:w="76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60" w:type="dxa"/>
            <w:vAlign w:val="bottom"/>
            <w:vMerge w:val="continue"/>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40" w:type="dxa"/>
            <w:vAlign w:val="bottom"/>
            <w:gridSpan w:val="2"/>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80" w:type="dxa"/>
            <w:vAlign w:val="bottom"/>
            <w:vMerge w:val="continue"/>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00" w:type="dxa"/>
            <w:vAlign w:val="bottom"/>
            <w:gridSpan w:val="2"/>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1880" w:type="dxa"/>
            <w:vAlign w:val="bottom"/>
          </w:tcPr>
          <w:p>
            <w:pPr>
              <w:ind w:left="20"/>
              <w:spacing w:after="0"/>
              <w:rPr>
                <w:sz w:val="20"/>
                <w:szCs w:val="20"/>
                <w:color w:val="auto"/>
              </w:rPr>
            </w:pPr>
            <w:r>
              <w:rPr>
                <w:rFonts w:ascii="Arial" w:cs="Arial" w:eastAsia="Arial" w:hAnsi="Arial"/>
                <w:sz w:val="18"/>
                <w:szCs w:val="18"/>
                <w:color w:val="auto"/>
                <w:w w:val="91"/>
              </w:rPr>
              <w:t>Less: non-current portion</w:t>
            </w:r>
          </w:p>
        </w:tc>
        <w:tc>
          <w:tcPr>
            <w:tcW w:w="12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b w:val="1"/>
                <w:bCs w:val="1"/>
                <w:color w:val="auto"/>
              </w:rPr>
              <w:t>—</w:t>
            </w: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1,119</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49</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589</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1,757</w:t>
            </w:r>
          </w:p>
        </w:tc>
        <w:tc>
          <w:tcPr>
            <w:tcW w:w="0" w:type="dxa"/>
            <w:vAlign w:val="bottom"/>
          </w:tcPr>
          <w:p>
            <w:pPr>
              <w:spacing w:after="0"/>
              <w:rPr>
                <w:sz w:val="1"/>
                <w:szCs w:val="1"/>
                <w:color w:val="auto"/>
              </w:rPr>
            </w:pPr>
          </w:p>
        </w:tc>
      </w:tr>
      <w:tr>
        <w:trPr>
          <w:trHeight w:val="248"/>
        </w:trPr>
        <w:tc>
          <w:tcPr>
            <w:tcW w:w="18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Current portion</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725</w:t>
            </w: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3,114</w:t>
            </w: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9,043</w:t>
            </w:r>
          </w:p>
        </w:tc>
        <w:tc>
          <w:tcPr>
            <w:tcW w:w="0" w:type="dxa"/>
            <w:vAlign w:val="bottom"/>
          </w:tcPr>
          <w:p>
            <w:pPr>
              <w:spacing w:after="0"/>
              <w:rPr>
                <w:sz w:val="1"/>
                <w:szCs w:val="1"/>
                <w:color w:val="auto"/>
              </w:rPr>
            </w:pPr>
          </w:p>
        </w:tc>
      </w:tr>
      <w:tr>
        <w:trPr>
          <w:trHeight w:val="20"/>
        </w:trPr>
        <w:tc>
          <w:tcPr>
            <w:tcW w:w="18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66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6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6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7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remaining accrued severance and related costs are expected to be paid in fiscal 2022. The remaining other exit-related costs includes impairment charges associated with the future maintenance support for the server processor product line that are expected to be paid through fiscal 2024. The remaining accrued facility and related costs includes remaining payments under lease obligations related to vacated space that are expected to be paid through fiscal 2028.</w:t>
      </w: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Supplemental Financial Information (in thousands)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6"/>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and cash equivalents: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Cash</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633,822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513,072</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equivalents: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8260" w:type="dxa"/>
            <w:vAlign w:val="bottom"/>
          </w:tcPr>
          <w:p>
            <w:pPr>
              <w:ind w:left="680"/>
              <w:spacing w:after="0"/>
              <w:rPr>
                <w:sz w:val="20"/>
                <w:szCs w:val="20"/>
                <w:color w:val="auto"/>
              </w:rPr>
            </w:pPr>
            <w:r>
              <w:rPr>
                <w:rFonts w:ascii="Arial" w:cs="Arial" w:eastAsia="Arial" w:hAnsi="Arial"/>
                <w:sz w:val="18"/>
                <w:szCs w:val="18"/>
                <w:color w:val="auto"/>
              </w:rPr>
              <w:t>Money market funds</w:t>
            </w:r>
          </w:p>
        </w:tc>
        <w:tc>
          <w:tcPr>
            <w:tcW w:w="24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46,355</w:t>
            </w:r>
          </w:p>
        </w:tc>
      </w:tr>
      <w:tr>
        <w:trPr>
          <w:trHeight w:val="230"/>
        </w:trPr>
        <w:tc>
          <w:tcPr>
            <w:tcW w:w="82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Time deposits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114,645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88,177</w:t>
            </w:r>
          </w:p>
        </w:tc>
      </w:tr>
      <w:tr>
        <w:trPr>
          <w:trHeight w:val="223"/>
        </w:trPr>
        <w:tc>
          <w:tcPr>
            <w:tcW w:w="8260" w:type="dxa"/>
            <w:vAlign w:val="bottom"/>
          </w:tcPr>
          <w:p>
            <w:pPr>
              <w:ind w:left="116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Accounts receivable,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460"/>
              <w:spacing w:after="0"/>
              <w:rPr>
                <w:sz w:val="20"/>
                <w:szCs w:val="20"/>
                <w:color w:val="auto"/>
              </w:rPr>
            </w:pPr>
            <w:r>
              <w:rPr>
                <w:rFonts w:ascii="Arial" w:cs="Arial" w:eastAsia="Arial" w:hAnsi="Arial"/>
                <w:sz w:val="18"/>
                <w:szCs w:val="18"/>
                <w:color w:val="auto"/>
              </w:rPr>
              <w:t>Accounts receivable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538,739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494,472</w:t>
            </w:r>
          </w:p>
        </w:tc>
      </w:tr>
      <w:tr>
        <w:trPr>
          <w:trHeight w:val="230"/>
        </w:trPr>
        <w:tc>
          <w:tcPr>
            <w:tcW w:w="8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Less: Doubtful accounts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(2,071)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(2,126)</w:t>
            </w:r>
          </w:p>
        </w:tc>
      </w:tr>
      <w:tr>
        <w:trPr>
          <w:trHeight w:val="223"/>
        </w:trPr>
        <w:tc>
          <w:tcPr>
            <w:tcW w:w="8260" w:type="dxa"/>
            <w:vAlign w:val="bottom"/>
          </w:tcPr>
          <w:p>
            <w:pPr>
              <w:ind w:left="1100"/>
              <w:spacing w:after="0"/>
              <w:rPr>
                <w:sz w:val="20"/>
                <w:szCs w:val="20"/>
                <w:color w:val="auto"/>
              </w:rPr>
            </w:pPr>
            <w:r>
              <w:rPr>
                <w:rFonts w:ascii="Arial" w:cs="Arial" w:eastAsia="Arial" w:hAnsi="Arial"/>
                <w:sz w:val="18"/>
                <w:szCs w:val="18"/>
                <w:color w:val="auto"/>
              </w:rPr>
              <w:t>Accounts receivable,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536,668</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492,346</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12"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39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9"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r>
      <w:tr>
        <w:trPr>
          <w:trHeight w:val="230"/>
        </w:trPr>
        <w:tc>
          <w:tcPr>
            <w:tcW w:w="8260" w:type="dxa"/>
            <w:vAlign w:val="bottom"/>
          </w:tcPr>
          <w:p>
            <w:pPr>
              <w:jc w:val="center"/>
              <w:ind w:right="6130"/>
              <w:spacing w:after="0"/>
              <w:rPr>
                <w:sz w:val="20"/>
                <w:szCs w:val="20"/>
                <w:color w:val="auto"/>
              </w:rPr>
            </w:pPr>
            <w:r>
              <w:rPr>
                <w:rFonts w:ascii="Arial" w:cs="Arial" w:eastAsia="Arial" w:hAnsi="Arial"/>
                <w:sz w:val="18"/>
                <w:szCs w:val="18"/>
                <w:color w:val="auto"/>
                <w:w w:val="91"/>
              </w:rPr>
              <w:t>Work-in-process</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187,351</w:t>
            </w:r>
          </w:p>
        </w:tc>
        <w:tc>
          <w:tcPr>
            <w:tcW w:w="100" w:type="dxa"/>
            <w:vAlign w:val="bottom"/>
          </w:tcPr>
          <w:p>
            <w:pPr>
              <w:spacing w:after="0"/>
              <w:rPr>
                <w:sz w:val="19"/>
                <w:szCs w:val="19"/>
                <w:color w:val="auto"/>
              </w:rPr>
            </w:pP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216,496</w:t>
            </w:r>
          </w:p>
        </w:tc>
      </w:tr>
      <w:tr>
        <w:trPr>
          <w:trHeight w:val="229"/>
        </w:trPr>
        <w:tc>
          <w:tcPr>
            <w:tcW w:w="8260" w:type="dxa"/>
            <w:vAlign w:val="bottom"/>
            <w:shd w:val="clear" w:color="auto" w:fill="CCEEFF"/>
          </w:tcPr>
          <w:p>
            <w:pPr>
              <w:jc w:val="center"/>
              <w:ind w:right="6110"/>
              <w:spacing w:after="0"/>
              <w:rPr>
                <w:sz w:val="20"/>
                <w:szCs w:val="20"/>
                <w:color w:val="auto"/>
              </w:rPr>
            </w:pPr>
            <w:r>
              <w:rPr>
                <w:rFonts w:ascii="Arial" w:cs="Arial" w:eastAsia="Arial" w:hAnsi="Arial"/>
                <w:sz w:val="18"/>
                <w:szCs w:val="18"/>
                <w:color w:val="auto"/>
                <w:w w:val="90"/>
              </w:rPr>
              <w:t>Finished goods</w:t>
            </w:r>
          </w:p>
        </w:tc>
        <w:tc>
          <w:tcPr>
            <w:tcW w:w="4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80,877</w:t>
            </w:r>
          </w:p>
        </w:tc>
        <w:tc>
          <w:tcPr>
            <w:tcW w:w="100" w:type="dxa"/>
            <w:vAlign w:val="bottom"/>
            <w:shd w:val="clear" w:color="auto" w:fill="CCEEFF"/>
          </w:tcPr>
          <w:p>
            <w:pPr>
              <w:spacing w:after="0"/>
              <w:rPr>
                <w:sz w:val="19"/>
                <w:szCs w:val="19"/>
                <w:color w:val="auto"/>
              </w:rPr>
            </w:pPr>
          </w:p>
        </w:tc>
        <w:tc>
          <w:tcPr>
            <w:tcW w:w="4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106,484</w:t>
            </w:r>
          </w:p>
        </w:tc>
      </w:tr>
      <w:tr>
        <w:trPr>
          <w:trHeight w:val="223"/>
        </w:trPr>
        <w:tc>
          <w:tcPr>
            <w:tcW w:w="8260" w:type="dxa"/>
            <w:vAlign w:val="bottom"/>
          </w:tcPr>
          <w:p>
            <w:pPr>
              <w:ind w:left="1160"/>
              <w:spacing w:after="0"/>
              <w:rPr>
                <w:sz w:val="20"/>
                <w:szCs w:val="20"/>
                <w:color w:val="auto"/>
              </w:rPr>
            </w:pPr>
            <w:r>
              <w:rPr>
                <w:rFonts w:ascii="Arial" w:cs="Arial" w:eastAsia="Arial" w:hAnsi="Arial"/>
                <w:sz w:val="18"/>
                <w:szCs w:val="18"/>
                <w:color w:val="auto"/>
              </w:rPr>
              <w:t>Inventories</w:t>
            </w:r>
          </w:p>
        </w:tc>
        <w:tc>
          <w:tcPr>
            <w:tcW w:w="460" w:type="dxa"/>
            <w:vAlign w:val="bottom"/>
            <w:tcBorders>
              <w:bottom w:val="single" w:sz="8" w:color="auto"/>
            </w:tcBorders>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268,228</w:t>
            </w:r>
          </w:p>
        </w:tc>
        <w:tc>
          <w:tcPr>
            <w:tcW w:w="100" w:type="dxa"/>
            <w:vAlign w:val="bottom"/>
          </w:tcPr>
          <w:p>
            <w:pPr>
              <w:spacing w:after="0"/>
              <w:rPr>
                <w:sz w:val="19"/>
                <w:szCs w:val="19"/>
                <w:color w:val="auto"/>
              </w:rPr>
            </w:pPr>
          </w:p>
        </w:tc>
        <w:tc>
          <w:tcPr>
            <w:tcW w:w="460" w:type="dxa"/>
            <w:vAlign w:val="bottom"/>
            <w:tcBorders>
              <w:bottom w:val="single" w:sz="8" w:color="auto"/>
            </w:tcBorders>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322,980</w:t>
            </w:r>
          </w:p>
        </w:tc>
      </w:tr>
      <w:tr>
        <w:trPr>
          <w:trHeight w:val="20"/>
        </w:trPr>
        <w:tc>
          <w:tcPr>
            <w:tcW w:w="826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type w:val="continuous"/>
        </w:sectPr>
      </w:pPr>
    </w:p>
    <w:p>
      <w:pPr>
        <w:spacing w:after="0" w:line="200" w:lineRule="exact"/>
        <w:rPr>
          <w:sz w:val="20"/>
          <w:szCs w:val="20"/>
          <w:color w:val="auto"/>
        </w:rPr>
      </w:pPr>
    </w:p>
    <w:p>
      <w:pPr>
        <w:spacing w:after="0" w:line="212"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39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9"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380" w:type="dxa"/>
            <w:vAlign w:val="bottom"/>
            <w:tcBorders>
              <w:top w:val="single" w:sz="8" w:color="auto"/>
            </w:tcBorders>
            <w:shd w:val="clear" w:color="auto" w:fill="CCEEFF"/>
          </w:tcPr>
          <w:p>
            <w:pPr>
              <w:spacing w:after="0"/>
              <w:rPr>
                <w:sz w:val="19"/>
                <w:szCs w:val="19"/>
                <w:color w:val="auto"/>
              </w:rPr>
            </w:pPr>
          </w:p>
        </w:tc>
        <w:tc>
          <w:tcPr>
            <w:tcW w:w="106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380" w:type="dxa"/>
            <w:vAlign w:val="bottom"/>
            <w:tcBorders>
              <w:top w:val="single" w:sz="8" w:color="auto"/>
            </w:tcBorders>
            <w:shd w:val="clear" w:color="auto" w:fill="CCEEFF"/>
          </w:tcPr>
          <w:p>
            <w:pPr>
              <w:spacing w:after="0"/>
              <w:rPr>
                <w:sz w:val="19"/>
                <w:szCs w:val="19"/>
                <w:color w:val="auto"/>
              </w:rPr>
            </w:pPr>
          </w:p>
        </w:tc>
        <w:tc>
          <w:tcPr>
            <w:tcW w:w="1060" w:type="dxa"/>
            <w:vAlign w:val="bottom"/>
            <w:tcBorders>
              <w:top w:val="single" w:sz="8" w:color="auto"/>
            </w:tcBorders>
            <w:shd w:val="clear" w:color="auto" w:fill="CCEEFF"/>
          </w:tcPr>
          <w:p>
            <w:pPr>
              <w:spacing w:after="0"/>
              <w:rPr>
                <w:sz w:val="19"/>
                <w:szCs w:val="19"/>
                <w:color w:val="auto"/>
              </w:rPr>
            </w:pPr>
          </w:p>
        </w:tc>
      </w:tr>
      <w:tr>
        <w:trPr>
          <w:trHeight w:val="229"/>
        </w:trPr>
        <w:tc>
          <w:tcPr>
            <w:tcW w:w="8260" w:type="dxa"/>
            <w:vAlign w:val="bottom"/>
          </w:tcPr>
          <w:p>
            <w:pPr>
              <w:ind w:left="440"/>
              <w:spacing w:after="0"/>
              <w:rPr>
                <w:sz w:val="20"/>
                <w:szCs w:val="20"/>
                <w:color w:val="auto"/>
              </w:rPr>
            </w:pPr>
            <w:r>
              <w:rPr>
                <w:rFonts w:ascii="Arial" w:cs="Arial" w:eastAsia="Arial" w:hAnsi="Arial"/>
                <w:sz w:val="18"/>
                <w:szCs w:val="18"/>
                <w:color w:val="auto"/>
              </w:rPr>
              <w:t>Machinery and equipment</w:t>
            </w: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693,689</w:t>
            </w:r>
          </w:p>
        </w:tc>
        <w:tc>
          <w:tcPr>
            <w:tcW w:w="100" w:type="dxa"/>
            <w:vAlign w:val="bottom"/>
          </w:tcPr>
          <w:p>
            <w:pPr>
              <w:spacing w:after="0"/>
              <w:rPr>
                <w:sz w:val="19"/>
                <w:szCs w:val="19"/>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686,351</w:t>
            </w:r>
          </w:p>
        </w:tc>
      </w:tr>
      <w:tr>
        <w:trPr>
          <w:trHeight w:val="230"/>
        </w:trPr>
        <w:tc>
          <w:tcPr>
            <w:tcW w:w="8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Land, buildings, and leasehold improvements</w:t>
            </w:r>
          </w:p>
        </w:tc>
        <w:tc>
          <w:tcPr>
            <w:tcW w:w="3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284,532</w:t>
            </w:r>
          </w:p>
        </w:tc>
        <w:tc>
          <w:tcPr>
            <w:tcW w:w="10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285,084</w:t>
            </w:r>
          </w:p>
        </w:tc>
      </w:tr>
      <w:tr>
        <w:trPr>
          <w:trHeight w:val="229"/>
        </w:trPr>
        <w:tc>
          <w:tcPr>
            <w:tcW w:w="8260" w:type="dxa"/>
            <w:vAlign w:val="bottom"/>
          </w:tcPr>
          <w:p>
            <w:pPr>
              <w:ind w:left="440"/>
              <w:spacing w:after="0"/>
              <w:rPr>
                <w:sz w:val="20"/>
                <w:szCs w:val="20"/>
                <w:color w:val="auto"/>
              </w:rPr>
            </w:pPr>
            <w:r>
              <w:rPr>
                <w:rFonts w:ascii="Arial" w:cs="Arial" w:eastAsia="Arial" w:hAnsi="Arial"/>
                <w:sz w:val="18"/>
                <w:szCs w:val="18"/>
                <w:color w:val="auto"/>
              </w:rPr>
              <w:t>Computer software</w:t>
            </w:r>
          </w:p>
        </w:tc>
        <w:tc>
          <w:tcPr>
            <w:tcW w:w="3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103,789</w:t>
            </w: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100,613</w:t>
            </w:r>
          </w:p>
        </w:tc>
      </w:tr>
      <w:tr>
        <w:trPr>
          <w:trHeight w:val="230"/>
        </w:trPr>
        <w:tc>
          <w:tcPr>
            <w:tcW w:w="8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Furniture and fixtures</w:t>
            </w:r>
          </w:p>
        </w:tc>
        <w:tc>
          <w:tcPr>
            <w:tcW w:w="3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26,990</w:t>
            </w:r>
          </w:p>
        </w:tc>
        <w:tc>
          <w:tcPr>
            <w:tcW w:w="100" w:type="dxa"/>
            <w:vAlign w:val="bottom"/>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24,582</w:t>
            </w:r>
          </w:p>
        </w:tc>
      </w:tr>
      <w:tr>
        <w:trPr>
          <w:trHeight w:val="223"/>
        </w:trPr>
        <w:tc>
          <w:tcPr>
            <w:tcW w:w="82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1,109,000</w:t>
            </w: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1,096,630</w:t>
            </w:r>
          </w:p>
        </w:tc>
      </w:tr>
      <w:tr>
        <w:trPr>
          <w:trHeight w:val="230"/>
        </w:trPr>
        <w:tc>
          <w:tcPr>
            <w:tcW w:w="8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Less: Accumulated depreciation</w:t>
            </w:r>
          </w:p>
        </w:tc>
        <w:tc>
          <w:tcPr>
            <w:tcW w:w="3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(782,875)</w:t>
            </w:r>
          </w:p>
        </w:tc>
        <w:tc>
          <w:tcPr>
            <w:tcW w:w="100" w:type="dxa"/>
            <w:vAlign w:val="bottom"/>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(739,538)</w:t>
            </w:r>
          </w:p>
        </w:tc>
      </w:tr>
      <w:tr>
        <w:trPr>
          <w:trHeight w:val="223"/>
        </w:trPr>
        <w:tc>
          <w:tcPr>
            <w:tcW w:w="8260" w:type="dxa"/>
            <w:vAlign w:val="bottom"/>
          </w:tcPr>
          <w:p>
            <w:pPr>
              <w:ind w:left="1100"/>
              <w:spacing w:after="0"/>
              <w:rPr>
                <w:sz w:val="20"/>
                <w:szCs w:val="20"/>
                <w:color w:val="auto"/>
              </w:rPr>
            </w:pPr>
            <w:r>
              <w:rPr>
                <w:rFonts w:ascii="Arial" w:cs="Arial" w:eastAsia="Arial" w:hAnsi="Arial"/>
                <w:sz w:val="18"/>
                <w:szCs w:val="18"/>
                <w:color w:val="auto"/>
              </w:rPr>
              <w:t>Property and equipment, net</w:t>
            </w:r>
          </w:p>
        </w:tc>
        <w:tc>
          <w:tcPr>
            <w:tcW w:w="38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326,125</w:t>
            </w:r>
          </w:p>
        </w:tc>
        <w:tc>
          <w:tcPr>
            <w:tcW w:w="100" w:type="dxa"/>
            <w:vAlign w:val="bottom"/>
          </w:tcPr>
          <w:p>
            <w:pPr>
              <w:spacing w:after="0"/>
              <w:rPr>
                <w:sz w:val="19"/>
                <w:szCs w:val="19"/>
                <w:color w:val="auto"/>
              </w:rPr>
            </w:pPr>
          </w:p>
        </w:tc>
        <w:tc>
          <w:tcPr>
            <w:tcW w:w="38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357,092</w:t>
            </w:r>
          </w:p>
        </w:tc>
      </w:tr>
      <w:tr>
        <w:trPr>
          <w:trHeight w:val="20"/>
        </w:trPr>
        <w:tc>
          <w:tcPr>
            <w:tcW w:w="826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Company recorded depreciation expense of $95.9 million, $83.4 million and $64.5 million for fiscal 2021, 2020 and 2019, respectively.</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60" w:type="dxa"/>
            <w:vAlign w:val="bottom"/>
          </w:tcPr>
          <w:p>
            <w:pPr>
              <w:ind w:left="380"/>
              <w:spacing w:after="0"/>
              <w:rPr>
                <w:sz w:val="20"/>
                <w:szCs w:val="20"/>
                <w:color w:val="auto"/>
              </w:rPr>
            </w:pPr>
            <w:r>
              <w:rPr>
                <w:rFonts w:ascii="Arial" w:cs="Arial" w:eastAsia="Arial" w:hAnsi="Arial"/>
                <w:sz w:val="18"/>
                <w:szCs w:val="18"/>
                <w:color w:val="auto"/>
              </w:rPr>
              <w:t>Technology and other licenses (1)</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242,244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277,634</w:t>
            </w:r>
          </w:p>
        </w:tc>
      </w:tr>
      <w:tr>
        <w:trPr>
          <w:trHeight w:val="230"/>
        </w:trPr>
        <w:tc>
          <w:tcPr>
            <w:tcW w:w="82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Prepaid ship and debit (2)</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131,657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75,362</w:t>
            </w:r>
          </w:p>
        </w:tc>
      </w:tr>
      <w:tr>
        <w:trPr>
          <w:trHeight w:val="229"/>
        </w:trPr>
        <w:tc>
          <w:tcPr>
            <w:tcW w:w="8260" w:type="dxa"/>
            <w:vAlign w:val="bottom"/>
          </w:tcPr>
          <w:p>
            <w:pPr>
              <w:ind w:left="380"/>
              <w:spacing w:after="0"/>
              <w:rPr>
                <w:sz w:val="20"/>
                <w:szCs w:val="20"/>
                <w:color w:val="auto"/>
              </w:rPr>
            </w:pPr>
            <w:r>
              <w:rPr>
                <w:rFonts w:ascii="Arial" w:cs="Arial" w:eastAsia="Arial" w:hAnsi="Arial"/>
                <w:sz w:val="18"/>
                <w:szCs w:val="18"/>
                <w:color w:val="auto"/>
              </w:rPr>
              <w:t>Operating right-of-use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101,411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110,907</w:t>
            </w:r>
          </w:p>
        </w:tc>
      </w:tr>
      <w:tr>
        <w:trPr>
          <w:trHeight w:val="230"/>
        </w:trPr>
        <w:tc>
          <w:tcPr>
            <w:tcW w:w="82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66,257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32,947</w:t>
            </w:r>
          </w:p>
        </w:tc>
      </w:tr>
      <w:tr>
        <w:trPr>
          <w:trHeight w:val="223"/>
        </w:trPr>
        <w:tc>
          <w:tcPr>
            <w:tcW w:w="8260" w:type="dxa"/>
            <w:vAlign w:val="bottom"/>
          </w:tcPr>
          <w:p>
            <w:pPr>
              <w:ind w:left="110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496,850</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640" w:hanging="632"/>
        <w:spacing w:after="0"/>
        <w:tabs>
          <w:tab w:leader="none" w:pos="640" w:val="left"/>
        </w:tabs>
        <w:numPr>
          <w:ilvl w:val="0"/>
          <w:numId w:val="29"/>
        </w:numPr>
        <w:rPr>
          <w:rFonts w:ascii="Arial" w:cs="Arial" w:eastAsia="Arial" w:hAnsi="Arial"/>
          <w:sz w:val="17"/>
          <w:szCs w:val="17"/>
          <w:color w:val="auto"/>
        </w:rPr>
      </w:pPr>
      <w:r>
        <w:rPr>
          <w:rFonts w:ascii="Arial" w:cs="Arial" w:eastAsia="Arial" w:hAnsi="Arial"/>
          <w:sz w:val="17"/>
          <w:szCs w:val="17"/>
          <w:color w:val="auto"/>
        </w:rPr>
        <w:t>Amortization of technology and other licenses was $99.3 million, $70.4 million and $57.0 million in fiscal 2021, 2020 and 2019, respectively.</w:t>
      </w:r>
    </w:p>
    <w:p>
      <w:pPr>
        <w:spacing w:after="0" w:line="34" w:lineRule="exact"/>
        <w:rPr>
          <w:rFonts w:ascii="Arial" w:cs="Arial" w:eastAsia="Arial" w:hAnsi="Arial"/>
          <w:sz w:val="17"/>
          <w:szCs w:val="17"/>
          <w:color w:val="auto"/>
        </w:rPr>
      </w:pPr>
    </w:p>
    <w:p>
      <w:pPr>
        <w:ind w:left="660" w:right="380" w:hanging="652"/>
        <w:spacing w:after="0" w:line="260" w:lineRule="auto"/>
        <w:tabs>
          <w:tab w:leader="none" w:pos="654" w:val="left"/>
        </w:tabs>
        <w:numPr>
          <w:ilvl w:val="0"/>
          <w:numId w:val="29"/>
        </w:numPr>
        <w:rPr>
          <w:rFonts w:ascii="Arial" w:cs="Arial" w:eastAsia="Arial" w:hAnsi="Arial"/>
          <w:sz w:val="18"/>
          <w:szCs w:val="18"/>
          <w:color w:val="auto"/>
        </w:rPr>
      </w:pPr>
      <w:r>
        <w:rPr>
          <w:rFonts w:ascii="Arial" w:cs="Arial" w:eastAsia="Arial" w:hAnsi="Arial"/>
          <w:sz w:val="18"/>
          <w:szCs w:val="18"/>
          <w:color w:val="auto"/>
        </w:rPr>
        <w:t>Prepaid ship and debit of $131.7 million and $75.4 million as of January 30, 2021 and February 1, 2020, respectively, relate to certain prepaid distributor arrangements for ship and debit claims.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7" w:name="page78"/>
    <w:bookmarkEnd w:id="7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440"/>
              <w:spacing w:after="0"/>
              <w:rPr>
                <w:sz w:val="20"/>
                <w:szCs w:val="20"/>
                <w:color w:val="auto"/>
              </w:rPr>
            </w:pPr>
            <w:r>
              <w:rPr>
                <w:rFonts w:ascii="Arial" w:cs="Arial" w:eastAsia="Arial" w:hAnsi="Arial"/>
                <w:sz w:val="18"/>
                <w:szCs w:val="18"/>
                <w:color w:val="auto"/>
              </w:rPr>
              <w:t>Contract liabilities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180,995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111,486</w:t>
            </w:r>
          </w:p>
        </w:tc>
      </w:tr>
      <w:tr>
        <w:trPr>
          <w:trHeight w:val="230"/>
        </w:trPr>
        <w:tc>
          <w:tcPr>
            <w:tcW w:w="8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Technology license obligations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71,130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71,623</w:t>
            </w:r>
          </w:p>
        </w:tc>
      </w:tr>
      <w:tr>
        <w:trPr>
          <w:trHeight w:val="229"/>
        </w:trPr>
        <w:tc>
          <w:tcPr>
            <w:tcW w:w="8260" w:type="dxa"/>
            <w:vAlign w:val="bottom"/>
          </w:tcPr>
          <w:p>
            <w:pPr>
              <w:ind w:left="460"/>
              <w:spacing w:after="0"/>
              <w:rPr>
                <w:sz w:val="20"/>
                <w:szCs w:val="20"/>
                <w:color w:val="auto"/>
              </w:rPr>
            </w:pPr>
            <w:r>
              <w:rPr>
                <w:rFonts w:ascii="Arial" w:cs="Arial" w:eastAsia="Arial" w:hAnsi="Arial"/>
                <w:sz w:val="18"/>
                <w:szCs w:val="18"/>
                <w:color w:val="auto"/>
              </w:rPr>
              <w:t>Accrued legal reserve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50,101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10,748</w:t>
            </w:r>
          </w:p>
        </w:tc>
      </w:tr>
      <w:tr>
        <w:trPr>
          <w:trHeight w:val="230"/>
        </w:trPr>
        <w:tc>
          <w:tcPr>
            <w:tcW w:w="8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non-recurring engineering credits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51,109</w:t>
            </w:r>
          </w:p>
        </w:tc>
      </w:tr>
      <w:tr>
        <w:trPr>
          <w:trHeight w:val="229"/>
        </w:trPr>
        <w:tc>
          <w:tcPr>
            <w:tcW w:w="8260" w:type="dxa"/>
            <w:vAlign w:val="bottom"/>
          </w:tcPr>
          <w:p>
            <w:pPr>
              <w:ind w:left="440"/>
              <w:spacing w:after="0"/>
              <w:rPr>
                <w:sz w:val="20"/>
                <w:szCs w:val="20"/>
                <w:color w:val="auto"/>
              </w:rPr>
            </w:pPr>
            <w:r>
              <w:rPr>
                <w:rFonts w:ascii="Arial" w:cs="Arial" w:eastAsia="Arial" w:hAnsi="Arial"/>
                <w:sz w:val="18"/>
                <w:szCs w:val="18"/>
                <w:color w:val="auto"/>
              </w:rPr>
              <w:t>Lease liabilities - current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32,461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28,662</w:t>
            </w:r>
          </w:p>
        </w:tc>
      </w:tr>
      <w:tr>
        <w:trPr>
          <w:trHeight w:val="229"/>
        </w:trPr>
        <w:tc>
          <w:tcPr>
            <w:tcW w:w="826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Deferred revenue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16,146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5,647</w:t>
            </w:r>
          </w:p>
        </w:tc>
      </w:tr>
      <w:tr>
        <w:trPr>
          <w:trHeight w:val="230"/>
        </w:trPr>
        <w:tc>
          <w:tcPr>
            <w:tcW w:w="8260" w:type="dxa"/>
            <w:vAlign w:val="bottom"/>
          </w:tcPr>
          <w:p>
            <w:pPr>
              <w:ind w:left="460"/>
              <w:spacing w:after="0"/>
              <w:rPr>
                <w:sz w:val="20"/>
                <w:szCs w:val="20"/>
                <w:color w:val="auto"/>
              </w:rPr>
            </w:pPr>
            <w:r>
              <w:rPr>
                <w:rFonts w:ascii="Arial" w:cs="Arial" w:eastAsia="Arial" w:hAnsi="Arial"/>
                <w:sz w:val="18"/>
                <w:szCs w:val="18"/>
                <w:color w:val="auto"/>
              </w:rPr>
              <w:t>Accrued royalty</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12,740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10,927</w:t>
            </w:r>
          </w:p>
        </w:tc>
      </w:tr>
      <w:tr>
        <w:trPr>
          <w:trHeight w:val="229"/>
        </w:trPr>
        <w:tc>
          <w:tcPr>
            <w:tcW w:w="8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Accrued restructuring</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14,302</w:t>
            </w:r>
          </w:p>
        </w:tc>
      </w:tr>
      <w:tr>
        <w:trPr>
          <w:trHeight w:val="229"/>
        </w:trPr>
        <w:tc>
          <w:tcPr>
            <w:tcW w:w="82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25,700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42,135</w:t>
            </w:r>
          </w:p>
        </w:tc>
      </w:tr>
      <w:tr>
        <w:trPr>
          <w:trHeight w:val="248"/>
        </w:trPr>
        <w:tc>
          <w:tcPr>
            <w:tcW w:w="8260" w:type="dxa"/>
            <w:vAlign w:val="bottom"/>
            <w:tcBorders>
              <w:bottom w:val="single" w:sz="8" w:color="CCEEFF"/>
            </w:tcBorders>
            <w:shd w:val="clear" w:color="auto" w:fill="CCEEFF"/>
          </w:tcPr>
          <w:p>
            <w:pPr>
              <w:ind w:left="106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435,616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346,639</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169"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9"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r>
      <w:tr>
        <w:trPr>
          <w:trHeight w:val="229"/>
        </w:trPr>
        <w:tc>
          <w:tcPr>
            <w:tcW w:w="8260" w:type="dxa"/>
            <w:vAlign w:val="bottom"/>
          </w:tcPr>
          <w:p>
            <w:pPr>
              <w:ind w:left="440"/>
              <w:spacing w:after="0"/>
              <w:rPr>
                <w:sz w:val="20"/>
                <w:szCs w:val="20"/>
                <w:color w:val="auto"/>
              </w:rPr>
            </w:pPr>
            <w:r>
              <w:rPr>
                <w:rFonts w:ascii="Arial" w:cs="Arial" w:eastAsia="Arial" w:hAnsi="Arial"/>
                <w:sz w:val="18"/>
                <w:szCs w:val="18"/>
                <w:color w:val="auto"/>
              </w:rPr>
              <w:t>Lease liabilities - non current</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104,417</w:t>
            </w:r>
          </w:p>
        </w:tc>
        <w:tc>
          <w:tcPr>
            <w:tcW w:w="100" w:type="dxa"/>
            <w:vAlign w:val="bottom"/>
          </w:tcPr>
          <w:p>
            <w:pPr>
              <w:spacing w:after="0"/>
              <w:rPr>
                <w:sz w:val="19"/>
                <w:szCs w:val="19"/>
                <w:color w:val="auto"/>
              </w:rPr>
            </w:pP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115,778</w:t>
            </w:r>
          </w:p>
        </w:tc>
      </w:tr>
      <w:tr>
        <w:trPr>
          <w:trHeight w:val="229"/>
        </w:trPr>
        <w:tc>
          <w:tcPr>
            <w:tcW w:w="8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Technology license obligations</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86,241</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107,893</w:t>
            </w:r>
          </w:p>
        </w:tc>
      </w:tr>
      <w:tr>
        <w:trPr>
          <w:trHeight w:val="230"/>
        </w:trPr>
        <w:tc>
          <w:tcPr>
            <w:tcW w:w="8260" w:type="dxa"/>
            <w:vAlign w:val="bottom"/>
          </w:tcPr>
          <w:p>
            <w:pPr>
              <w:ind w:left="460"/>
              <w:spacing w:after="0"/>
              <w:rPr>
                <w:sz w:val="20"/>
                <w:szCs w:val="20"/>
                <w:color w:val="auto"/>
              </w:rPr>
            </w:pPr>
            <w:r>
              <w:rPr>
                <w:rFonts w:ascii="Arial" w:cs="Arial" w:eastAsia="Arial" w:hAnsi="Arial"/>
                <w:sz w:val="18"/>
                <w:szCs w:val="18"/>
                <w:color w:val="auto"/>
              </w:rPr>
              <w:t>Non-current income taxes payable</w:t>
            </w: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22,526</w:t>
            </w: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37,983</w:t>
            </w:r>
          </w:p>
        </w:tc>
      </w:tr>
      <w:tr>
        <w:trPr>
          <w:trHeight w:val="229"/>
        </w:trPr>
        <w:tc>
          <w:tcPr>
            <w:tcW w:w="826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Deferred tax liabilities</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22,359</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31,233</w:t>
            </w:r>
          </w:p>
        </w:tc>
      </w:tr>
      <w:tr>
        <w:trPr>
          <w:trHeight w:val="229"/>
        </w:trPr>
        <w:tc>
          <w:tcPr>
            <w:tcW w:w="82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Other</w:t>
            </w:r>
          </w:p>
        </w:tc>
        <w:tc>
          <w:tcPr>
            <w:tcW w:w="4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23,310</w:t>
            </w:r>
          </w:p>
        </w:tc>
        <w:tc>
          <w:tcPr>
            <w:tcW w:w="100" w:type="dxa"/>
            <w:vAlign w:val="bottom"/>
            <w:tcBorders>
              <w:bottom w:val="single" w:sz="8" w:color="CCEEFF"/>
            </w:tcBorders>
          </w:tcPr>
          <w:p>
            <w:pPr>
              <w:spacing w:after="0"/>
              <w:rPr>
                <w:sz w:val="19"/>
                <w:szCs w:val="19"/>
                <w:color w:val="auto"/>
              </w:rPr>
            </w:pPr>
          </w:p>
        </w:tc>
        <w:tc>
          <w:tcPr>
            <w:tcW w:w="4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12,578</w:t>
            </w:r>
          </w:p>
        </w:tc>
      </w:tr>
      <w:tr>
        <w:trPr>
          <w:trHeight w:val="248"/>
        </w:trPr>
        <w:tc>
          <w:tcPr>
            <w:tcW w:w="826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rPr>
              <w:t>Other non-current liabilities</w:t>
            </w:r>
          </w:p>
        </w:tc>
        <w:tc>
          <w:tcPr>
            <w:tcW w:w="46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c>
          <w:tcPr>
            <w:tcW w:w="10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120" w:type="dxa"/>
            <w:vAlign w:val="bottom"/>
          </w:tcPr>
          <w:p>
            <w:pPr>
              <w:jc w:val="center"/>
              <w:ind w:right="476"/>
              <w:spacing w:after="0"/>
              <w:rPr>
                <w:sz w:val="20"/>
                <w:szCs w:val="20"/>
                <w:color w:val="auto"/>
              </w:rPr>
            </w:pPr>
            <w:r>
              <w:rPr>
                <w:rFonts w:ascii="Arial" w:cs="Arial" w:eastAsia="Arial" w:hAnsi="Arial"/>
                <w:sz w:val="14"/>
                <w:szCs w:val="14"/>
                <w:b w:val="1"/>
                <w:bCs w:val="1"/>
                <w:color w:val="auto"/>
                <w:w w:val="95"/>
              </w:rPr>
              <w:t>Unrealized</w:t>
            </w:r>
          </w:p>
        </w:tc>
      </w:tr>
      <w:tr>
        <w:trPr>
          <w:trHeight w:val="135"/>
        </w:trPr>
        <w:tc>
          <w:tcPr>
            <w:tcW w:w="8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120" w:type="dxa"/>
            <w:vAlign w:val="bottom"/>
          </w:tcPr>
          <w:p>
            <w:pPr>
              <w:jc w:val="center"/>
              <w:ind w:right="496"/>
              <w:spacing w:after="0" w:line="135" w:lineRule="exact"/>
              <w:rPr>
                <w:sz w:val="20"/>
                <w:szCs w:val="20"/>
                <w:color w:val="auto"/>
              </w:rPr>
            </w:pPr>
            <w:r>
              <w:rPr>
                <w:rFonts w:ascii="Arial" w:cs="Arial" w:eastAsia="Arial" w:hAnsi="Arial"/>
                <w:sz w:val="14"/>
                <w:szCs w:val="14"/>
                <w:b w:val="1"/>
                <w:bCs w:val="1"/>
                <w:color w:val="auto"/>
                <w:w w:val="96"/>
              </w:rPr>
              <w:t>Gain</w:t>
            </w:r>
          </w:p>
        </w:tc>
      </w:tr>
      <w:tr>
        <w:trPr>
          <w:trHeight w:val="135"/>
        </w:trPr>
        <w:tc>
          <w:tcPr>
            <w:tcW w:w="8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120" w:type="dxa"/>
            <w:vAlign w:val="bottom"/>
          </w:tcPr>
          <w:p>
            <w:pPr>
              <w:jc w:val="center"/>
              <w:ind w:right="476"/>
              <w:spacing w:after="0" w:line="135" w:lineRule="exact"/>
              <w:rPr>
                <w:sz w:val="20"/>
                <w:szCs w:val="20"/>
                <w:color w:val="auto"/>
              </w:rPr>
            </w:pPr>
            <w:r>
              <w:rPr>
                <w:rFonts w:ascii="Arial" w:cs="Arial" w:eastAsia="Arial" w:hAnsi="Arial"/>
                <w:sz w:val="14"/>
                <w:szCs w:val="14"/>
                <w:b w:val="1"/>
                <w:bCs w:val="1"/>
                <w:color w:val="auto"/>
                <w:w w:val="88"/>
              </w:rPr>
              <w:t>(Loss) on</w:t>
            </w:r>
          </w:p>
        </w:tc>
      </w:tr>
      <w:tr>
        <w:trPr>
          <w:trHeight w:val="135"/>
        </w:trPr>
        <w:tc>
          <w:tcPr>
            <w:tcW w:w="8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120" w:type="dxa"/>
            <w:vAlign w:val="bottom"/>
          </w:tcPr>
          <w:p>
            <w:pPr>
              <w:jc w:val="center"/>
              <w:ind w:right="476"/>
              <w:spacing w:after="0" w:line="135" w:lineRule="exact"/>
              <w:rPr>
                <w:sz w:val="20"/>
                <w:szCs w:val="20"/>
                <w:color w:val="auto"/>
              </w:rPr>
            </w:pPr>
            <w:r>
              <w:rPr>
                <w:rFonts w:ascii="Arial" w:cs="Arial" w:eastAsia="Arial" w:hAnsi="Arial"/>
                <w:sz w:val="14"/>
                <w:szCs w:val="14"/>
                <w:b w:val="1"/>
                <w:bCs w:val="1"/>
                <w:color w:val="auto"/>
                <w:w w:val="91"/>
              </w:rPr>
              <w:t>Cash Flow</w:t>
            </w:r>
          </w:p>
        </w:tc>
      </w:tr>
      <w:tr>
        <w:trPr>
          <w:trHeight w:val="188"/>
        </w:trPr>
        <w:tc>
          <w:tcPr>
            <w:tcW w:w="856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tcPr>
          <w:p>
            <w:pPr>
              <w:jc w:val="center"/>
              <w:ind w:right="476"/>
              <w:spacing w:after="0"/>
              <w:rPr>
                <w:sz w:val="20"/>
                <w:szCs w:val="20"/>
                <w:color w:val="auto"/>
              </w:rPr>
            </w:pPr>
            <w:r>
              <w:rPr>
                <w:rFonts w:ascii="Arial" w:cs="Arial" w:eastAsia="Arial" w:hAnsi="Arial"/>
                <w:sz w:val="14"/>
                <w:szCs w:val="14"/>
                <w:b w:val="1"/>
                <w:bCs w:val="1"/>
                <w:color w:val="auto"/>
                <w:w w:val="86"/>
              </w:rPr>
              <w:t>Hedges</w:t>
            </w:r>
          </w:p>
        </w:tc>
      </w:tr>
      <w:tr>
        <w:trPr>
          <w:trHeight w:val="224"/>
        </w:trPr>
        <w:tc>
          <w:tcPr>
            <w:tcW w:w="8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560" w:type="dxa"/>
            <w:vAlign w:val="bottom"/>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56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560" w:type="dxa"/>
            <w:vAlign w:val="bottom"/>
          </w:tcPr>
          <w:p>
            <w:pPr>
              <w:spacing w:after="0"/>
              <w:rPr>
                <w:sz w:val="19"/>
                <w:szCs w:val="19"/>
                <w:color w:val="auto"/>
              </w:rPr>
            </w:pPr>
          </w:p>
        </w:tc>
        <w:tc>
          <w:tcPr>
            <w:tcW w:w="212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30"/>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560" w:type="dxa"/>
            <w:vAlign w:val="bottom"/>
            <w:tcBorders>
              <w:bottom w:val="single" w:sz="8" w:color="auto"/>
            </w:tcBorders>
            <w:shd w:val="clear" w:color="auto" w:fill="CCEEFF"/>
          </w:tcPr>
          <w:p>
            <w:pPr>
              <w:spacing w:after="0"/>
              <w:rPr>
                <w:sz w:val="19"/>
                <w:szCs w:val="19"/>
                <w:color w:val="auto"/>
              </w:rPr>
            </w:pPr>
          </w:p>
        </w:tc>
        <w:tc>
          <w:tcPr>
            <w:tcW w:w="2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w:t>
            </w:r>
          </w:p>
        </w:tc>
      </w:tr>
      <w:tr>
        <w:trPr>
          <w:trHeight w:val="223"/>
        </w:trPr>
        <w:tc>
          <w:tcPr>
            <w:tcW w:w="85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Net current-period other comprehensive loss, net of tax</w:t>
            </w:r>
          </w:p>
        </w:tc>
        <w:tc>
          <w:tcPr>
            <w:tcW w:w="560" w:type="dxa"/>
            <w:vAlign w:val="bottom"/>
            <w:tcBorders>
              <w:bottom w:val="single" w:sz="8" w:color="auto"/>
            </w:tcBorders>
          </w:tcPr>
          <w:p>
            <w:pPr>
              <w:spacing w:after="0"/>
              <w:rPr>
                <w:sz w:val="19"/>
                <w:szCs w:val="19"/>
                <w:color w:val="auto"/>
              </w:rPr>
            </w:pPr>
          </w:p>
        </w:tc>
        <w:tc>
          <w:tcPr>
            <w:tcW w:w="2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560" w:type="dxa"/>
            <w:vAlign w:val="bottom"/>
            <w:shd w:val="clear" w:color="auto" w:fill="CCEEFF"/>
          </w:tcPr>
          <w:p>
            <w:pPr>
              <w:spacing w:after="0"/>
              <w:rPr>
                <w:sz w:val="19"/>
                <w:szCs w:val="19"/>
                <w:color w:val="auto"/>
              </w:rPr>
            </w:pPr>
          </w:p>
        </w:tc>
        <w:tc>
          <w:tcPr>
            <w:tcW w:w="2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560" w:type="dxa"/>
            <w:vAlign w:val="bottom"/>
          </w:tcPr>
          <w:p>
            <w:pPr>
              <w:ind w:left="360"/>
              <w:spacing w:after="0"/>
              <w:rPr>
                <w:sz w:val="20"/>
                <w:szCs w:val="20"/>
                <w:color w:val="auto"/>
              </w:rPr>
            </w:pPr>
            <w:r>
              <w:rPr>
                <w:rFonts w:ascii="Arial" w:cs="Arial" w:eastAsia="Arial" w:hAnsi="Arial"/>
                <w:sz w:val="18"/>
                <w:szCs w:val="18"/>
                <w:color w:val="auto"/>
              </w:rPr>
              <w:t>Other comprehensive loss before reclassifications</w:t>
            </w:r>
          </w:p>
        </w:tc>
        <w:tc>
          <w:tcPr>
            <w:tcW w:w="560" w:type="dxa"/>
            <w:vAlign w:val="bottom"/>
          </w:tcPr>
          <w:p>
            <w:pPr>
              <w:spacing w:after="0"/>
              <w:rPr>
                <w:sz w:val="19"/>
                <w:szCs w:val="19"/>
                <w:color w:val="auto"/>
              </w:rPr>
            </w:pPr>
          </w:p>
        </w:tc>
        <w:tc>
          <w:tcPr>
            <w:tcW w:w="2120" w:type="dxa"/>
            <w:vAlign w:val="bottom"/>
          </w:tcPr>
          <w:p>
            <w:pPr>
              <w:jc w:val="right"/>
              <w:spacing w:after="0"/>
              <w:rPr>
                <w:sz w:val="20"/>
                <w:szCs w:val="20"/>
                <w:color w:val="auto"/>
              </w:rPr>
            </w:pPr>
            <w:r>
              <w:rPr>
                <w:rFonts w:ascii="Arial" w:cs="Arial" w:eastAsia="Arial" w:hAnsi="Arial"/>
                <w:sz w:val="18"/>
                <w:szCs w:val="18"/>
                <w:color w:val="auto"/>
              </w:rPr>
              <w:t>1,214</w:t>
            </w:r>
          </w:p>
        </w:tc>
      </w:tr>
      <w:tr>
        <w:trPr>
          <w:trHeight w:val="230"/>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560" w:type="dxa"/>
            <w:vAlign w:val="bottom"/>
            <w:tcBorders>
              <w:bottom w:val="single" w:sz="8" w:color="auto"/>
            </w:tcBorders>
            <w:shd w:val="clear" w:color="auto" w:fill="CCEEFF"/>
          </w:tcPr>
          <w:p>
            <w:pPr>
              <w:spacing w:after="0"/>
              <w:rPr>
                <w:sz w:val="19"/>
                <w:szCs w:val="19"/>
                <w:color w:val="auto"/>
              </w:rPr>
            </w:pPr>
          </w:p>
        </w:tc>
        <w:tc>
          <w:tcPr>
            <w:tcW w:w="2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(1,214)</w:t>
            </w:r>
          </w:p>
        </w:tc>
      </w:tr>
      <w:tr>
        <w:trPr>
          <w:trHeight w:val="223"/>
        </w:trPr>
        <w:tc>
          <w:tcPr>
            <w:tcW w:w="85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Net current-period other comprehensive income, net of tax</w:t>
            </w:r>
          </w:p>
        </w:tc>
        <w:tc>
          <w:tcPr>
            <w:tcW w:w="560" w:type="dxa"/>
            <w:vAlign w:val="bottom"/>
            <w:tcBorders>
              <w:bottom w:val="single" w:sz="8" w:color="auto"/>
            </w:tcBorders>
          </w:tcPr>
          <w:p>
            <w:pPr>
              <w:spacing w:after="0"/>
              <w:rPr>
                <w:sz w:val="19"/>
                <w:szCs w:val="19"/>
                <w:color w:val="auto"/>
              </w:rPr>
            </w:pPr>
          </w:p>
        </w:tc>
        <w:tc>
          <w:tcPr>
            <w:tcW w:w="2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48"/>
        </w:trPr>
        <w:tc>
          <w:tcPr>
            <w:tcW w:w="8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30, 2021</w:t>
            </w:r>
          </w:p>
        </w:tc>
        <w:tc>
          <w:tcPr>
            <w:tcW w:w="560" w:type="dxa"/>
            <w:vAlign w:val="bottom"/>
            <w:tcBorders>
              <w:bottom w:val="single" w:sz="8" w:color="auto"/>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0"/>
        </w:trPr>
        <w:tc>
          <w:tcPr>
            <w:tcW w:w="856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21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8" w:name="page79"/>
    <w:bookmarkEnd w:id="7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Consolidated Statements of Operations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r>
      <w:tr>
        <w:trPr>
          <w:trHeight w:val="135"/>
        </w:trPr>
        <w:tc>
          <w:tcPr>
            <w:tcW w:w="65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11"/>
                <w:szCs w:val="11"/>
                <w:color w:val="auto"/>
              </w:rPr>
            </w:pPr>
          </w:p>
        </w:tc>
        <w:tc>
          <w:tcPr>
            <w:tcW w:w="134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60" w:type="dxa"/>
            <w:vAlign w:val="bottom"/>
          </w:tcPr>
          <w:p>
            <w:pPr>
              <w:spacing w:after="0"/>
              <w:rPr>
                <w:sz w:val="11"/>
                <w:szCs w:val="11"/>
                <w:color w:val="auto"/>
              </w:rPr>
            </w:pPr>
          </w:p>
        </w:tc>
        <w:tc>
          <w:tcPr>
            <w:tcW w:w="1260" w:type="dxa"/>
            <w:vAlign w:val="bottom"/>
          </w:tcPr>
          <w:p>
            <w:pPr>
              <w:jc w:val="right"/>
              <w:ind w:right="315"/>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5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7"/>
              <w:spacing w:after="0"/>
              <w:rPr>
                <w:sz w:val="20"/>
                <w:szCs w:val="20"/>
                <w:color w:val="auto"/>
              </w:rPr>
            </w:pPr>
            <w:r>
              <w:rPr>
                <w:rFonts w:ascii="Arial" w:cs="Arial" w:eastAsia="Arial" w:hAnsi="Arial"/>
                <w:sz w:val="14"/>
                <w:szCs w:val="14"/>
                <w:b w:val="1"/>
                <w:bCs w:val="1"/>
                <w:color w:val="auto"/>
                <w:w w:val="89"/>
              </w:rPr>
              <w:t>2020</w:t>
            </w:r>
          </w:p>
        </w:tc>
        <w:tc>
          <w:tcPr>
            <w:tcW w:w="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2019</w:t>
            </w:r>
          </w:p>
        </w:tc>
      </w:tr>
      <w:tr>
        <w:trPr>
          <w:trHeight w:val="211"/>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income, net:</w:t>
            </w: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r>
      <w:tr>
        <w:trPr>
          <w:trHeight w:val="229"/>
        </w:trPr>
        <w:tc>
          <w:tcPr>
            <w:tcW w:w="6520" w:type="dxa"/>
            <w:vAlign w:val="bottom"/>
          </w:tcPr>
          <w:p>
            <w:pPr>
              <w:ind w:left="340"/>
              <w:spacing w:after="0"/>
              <w:rPr>
                <w:sz w:val="20"/>
                <w:szCs w:val="20"/>
                <w:color w:val="auto"/>
              </w:rPr>
            </w:pPr>
            <w:r>
              <w:rPr>
                <w:rFonts w:ascii="Arial" w:cs="Arial" w:eastAsia="Arial" w:hAnsi="Arial"/>
                <w:sz w:val="18"/>
                <w:szCs w:val="18"/>
                <w:color w:val="auto"/>
              </w:rPr>
              <w:t>Gain on sale of business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1,121,709</w:t>
            </w:r>
          </w:p>
        </w:tc>
        <w:tc>
          <w:tcPr>
            <w:tcW w:w="8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5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Net realized loss on investments</w:t>
            </w:r>
          </w:p>
        </w:tc>
        <w:tc>
          <w:tcPr>
            <w:tcW w:w="240" w:type="dxa"/>
            <w:vAlign w:val="bottom"/>
            <w:shd w:val="clear" w:color="auto" w:fill="CCEEFF"/>
          </w:tcPr>
          <w:p>
            <w:pPr>
              <w:spacing w:after="0"/>
              <w:rPr>
                <w:sz w:val="19"/>
                <w:szCs w:val="19"/>
                <w:color w:val="auto"/>
              </w:rPr>
            </w:pPr>
          </w:p>
        </w:tc>
        <w:tc>
          <w:tcPr>
            <w:tcW w:w="13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(3,066)</w:t>
            </w:r>
          </w:p>
        </w:tc>
      </w:tr>
      <w:tr>
        <w:trPr>
          <w:trHeight w:val="229"/>
        </w:trPr>
        <w:tc>
          <w:tcPr>
            <w:tcW w:w="6520" w:type="dxa"/>
            <w:vAlign w:val="bottom"/>
          </w:tcPr>
          <w:p>
            <w:pPr>
              <w:ind w:left="340"/>
              <w:spacing w:after="0"/>
              <w:rPr>
                <w:sz w:val="20"/>
                <w:szCs w:val="20"/>
                <w:color w:val="auto"/>
              </w:rPr>
            </w:pPr>
            <w:r>
              <w:rPr>
                <w:rFonts w:ascii="Arial" w:cs="Arial" w:eastAsia="Arial" w:hAnsi="Arial"/>
                <w:sz w:val="18"/>
                <w:szCs w:val="18"/>
                <w:color w:val="auto"/>
              </w:rPr>
              <w:t>Currency remeasurement loss</w:t>
            </w: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(1,914)</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(2,817)</w:t>
            </w:r>
          </w:p>
        </w:tc>
        <w:tc>
          <w:tcPr>
            <w:tcW w:w="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(2,625)</w:t>
            </w:r>
          </w:p>
        </w:tc>
      </w:tr>
      <w:tr>
        <w:trPr>
          <w:trHeight w:val="229"/>
        </w:trPr>
        <w:tc>
          <w:tcPr>
            <w:tcW w:w="65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income</w:t>
            </w:r>
          </w:p>
        </w:tc>
        <w:tc>
          <w:tcPr>
            <w:tcW w:w="2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10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3,663</w:t>
            </w:r>
          </w:p>
        </w:tc>
        <w:tc>
          <w:tcPr>
            <w:tcW w:w="8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6,210</w:t>
            </w:r>
          </w:p>
        </w:tc>
      </w:tr>
      <w:tr>
        <w:trPr>
          <w:trHeight w:val="223"/>
        </w:trPr>
        <w:tc>
          <w:tcPr>
            <w:tcW w:w="6520" w:type="dxa"/>
            <w:vAlign w:val="bottom"/>
          </w:tcPr>
          <w:p>
            <w:pPr>
              <w:ind w:left="116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2,886</w:t>
            </w:r>
          </w:p>
        </w:tc>
        <w:tc>
          <w:tcPr>
            <w:tcW w:w="100" w:type="dxa"/>
            <w:vAlign w:val="bottom"/>
          </w:tcPr>
          <w:p>
            <w:pPr>
              <w:spacing w:after="0"/>
              <w:rPr>
                <w:sz w:val="19"/>
                <w:szCs w:val="19"/>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1,122,555</w:t>
            </w:r>
          </w:p>
        </w:tc>
        <w:tc>
          <w:tcPr>
            <w:tcW w:w="80" w:type="dxa"/>
            <w:vAlign w:val="bottom"/>
          </w:tcPr>
          <w:p>
            <w:pPr>
              <w:spacing w:after="0"/>
              <w:rPr>
                <w:sz w:val="19"/>
                <w:szCs w:val="19"/>
                <w:color w:val="auto"/>
              </w:rPr>
            </w:pPr>
          </w:p>
        </w:tc>
        <w:tc>
          <w:tcPr>
            <w:tcW w:w="26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519</w:t>
            </w:r>
          </w:p>
        </w:tc>
      </w:tr>
      <w:tr>
        <w:trPr>
          <w:trHeight w:val="21"/>
        </w:trPr>
        <w:tc>
          <w:tcPr>
            <w:tcW w:w="65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r>
    </w:tbl>
    <w:p>
      <w:pPr>
        <w:spacing w:after="0" w:line="283" w:lineRule="exact"/>
        <w:rPr>
          <w:sz w:val="20"/>
          <w:szCs w:val="20"/>
          <w:color w:val="auto"/>
        </w:rPr>
      </w:pPr>
    </w:p>
    <w:p>
      <w:pPr>
        <w:ind w:left="660" w:right="320" w:hanging="652"/>
        <w:spacing w:after="0" w:line="311" w:lineRule="auto"/>
        <w:tabs>
          <w:tab w:leader="none" w:pos="654" w:val="left"/>
        </w:tabs>
        <w:numPr>
          <w:ilvl w:val="0"/>
          <w:numId w:val="30"/>
        </w:numPr>
        <w:rPr>
          <w:rFonts w:ascii="Arial" w:cs="Arial" w:eastAsia="Arial" w:hAnsi="Arial"/>
          <w:sz w:val="16"/>
          <w:szCs w:val="16"/>
          <w:color w:val="auto"/>
        </w:rPr>
      </w:pPr>
      <w:r>
        <w:rPr>
          <w:rFonts w:ascii="Arial" w:cs="Arial" w:eastAsia="Arial" w:hAnsi="Arial"/>
          <w:sz w:val="16"/>
          <w:szCs w:val="16"/>
          <w:color w:val="auto"/>
        </w:rPr>
        <w:t>On December 6, 2019, the Company completed the divestiture of the Wi-Fi Connectivity business to NXP USA, Inc, a subsidiary of NXP Semiconductors. Based on the terms of the agreement, the Company received sale consideration of $1.7 billion in cash proceeds. In fiscal year 2020, the Company recognized a pre-tax gain on sale of $1.1 billion in conjunction with the divestiture of the Wi-Fi Connectivity business.</w:t>
      </w:r>
    </w:p>
    <w:p>
      <w:pPr>
        <w:spacing w:after="0" w:line="1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Consolidated Statements of Cash Flows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right"/>
              <w:ind w:right="275"/>
              <w:spacing w:after="0" w:line="135" w:lineRule="exact"/>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88"/>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11"/>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Supplemental Cash Flow Information:</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Cash paid for interest</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54,575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76,506</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39,156</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8"/>
        </w:trPr>
        <w:tc>
          <w:tcPr>
            <w:tcW w:w="6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Cash paid for income taxes, net</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117,529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8,143</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b w:val="1"/>
                <w:bCs w:val="1"/>
                <w:color w:val="auto"/>
              </w:rPr>
              <w:t>Non-Cash Investing and Financing Activities: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674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Non-cash consideration paid for the acquisition</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15,520</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3,331,342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Purchase of software and intellectual property under license obligations</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6740" w:type="dxa"/>
            <w:vAlign w:val="bottom"/>
            <w:vMerge w:val="continue"/>
          </w:tcPr>
          <w:p>
            <w:pPr>
              <w:spacing w:after="0"/>
              <w:rPr>
                <w:sz w:val="15"/>
                <w:szCs w:val="15"/>
                <w:color w:val="auto"/>
              </w:rPr>
            </w:pPr>
          </w:p>
        </w:tc>
        <w:tc>
          <w:tcPr>
            <w:tcW w:w="220" w:type="dxa"/>
            <w:vAlign w:val="bottom"/>
            <w:tcBorders>
              <w:bottom w:val="single" w:sz="8" w:color="auto"/>
            </w:tcBorders>
          </w:tcPr>
          <w:p>
            <w:pPr>
              <w:jc w:val="right"/>
              <w:ind w:right="30"/>
              <w:spacing w:after="0" w:line="17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68,807</w:t>
            </w:r>
          </w:p>
        </w:tc>
        <w:tc>
          <w:tcPr>
            <w:tcW w:w="100" w:type="dxa"/>
            <w:vAlign w:val="bottom"/>
          </w:tcPr>
          <w:p>
            <w:pPr>
              <w:spacing w:after="0"/>
              <w:rPr>
                <w:sz w:val="15"/>
                <w:szCs w:val="15"/>
                <w:color w:val="auto"/>
              </w:rPr>
            </w:pPr>
          </w:p>
        </w:tc>
        <w:tc>
          <w:tcPr>
            <w:tcW w:w="240" w:type="dxa"/>
            <w:vAlign w:val="bottom"/>
            <w:tcBorders>
              <w:bottom w:val="single" w:sz="8" w:color="auto"/>
            </w:tcBorders>
          </w:tcPr>
          <w:p>
            <w:pPr>
              <w:jc w:val="right"/>
              <w:ind w:right="30"/>
              <w:spacing w:after="0" w:line="17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193,149</w:t>
            </w:r>
          </w:p>
        </w:tc>
        <w:tc>
          <w:tcPr>
            <w:tcW w:w="100" w:type="dxa"/>
            <w:vAlign w:val="bottom"/>
          </w:tcPr>
          <w:p>
            <w:pPr>
              <w:spacing w:after="0"/>
              <w:rPr>
                <w:sz w:val="15"/>
                <w:szCs w:val="15"/>
                <w:color w:val="auto"/>
              </w:rPr>
            </w:pPr>
          </w:p>
        </w:tc>
        <w:tc>
          <w:tcPr>
            <w:tcW w:w="240" w:type="dxa"/>
            <w:vAlign w:val="bottom"/>
            <w:tcBorders>
              <w:bottom w:val="single" w:sz="8" w:color="auto"/>
            </w:tcBorders>
          </w:tcPr>
          <w:p>
            <w:pPr>
              <w:jc w:val="right"/>
              <w:ind w:right="30"/>
              <w:spacing w:after="0" w:line="17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4,221</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740" w:type="dxa"/>
            <w:vAlign w:val="bottom"/>
            <w:tcBorders>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Unpaid purchase of property and equipment at end of year</w:t>
            </w:r>
          </w:p>
        </w:tc>
        <w:tc>
          <w:tcPr>
            <w:tcW w:w="220" w:type="dxa"/>
            <w:vAlign w:val="bottom"/>
            <w:tcBorders>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10,061</w:t>
            </w:r>
          </w:p>
        </w:tc>
        <w:tc>
          <w:tcPr>
            <w:tcW w:w="10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23,015</w:t>
            </w:r>
          </w:p>
        </w:tc>
        <w:tc>
          <w:tcPr>
            <w:tcW w:w="10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8,837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Unpaid equity and debt financing costs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6740" w:type="dxa"/>
            <w:vAlign w:val="bottom"/>
            <w:vMerge w:val="continue"/>
          </w:tcPr>
          <w:p>
            <w:pPr>
              <w:spacing w:after="0"/>
              <w:rPr>
                <w:sz w:val="17"/>
                <w:szCs w:val="17"/>
                <w:color w:val="auto"/>
              </w:rPr>
            </w:pPr>
          </w:p>
        </w:tc>
        <w:tc>
          <w:tcPr>
            <w:tcW w:w="220" w:type="dxa"/>
            <w:vAlign w:val="bottom"/>
            <w:tcBorders>
              <w:bottom w:val="single" w:sz="8" w:color="auto"/>
            </w:tcBorders>
          </w:tcPr>
          <w:p>
            <w:pPr>
              <w:jc w:val="right"/>
              <w:ind w:right="30"/>
              <w:spacing w:after="0" w:line="203"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1,729</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203"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203"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Investments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30, 2021, and February 1, 2020, the Company held no investments.</w:t>
      </w:r>
    </w:p>
    <w:p>
      <w:pPr>
        <w:spacing w:after="0" w:line="117" w:lineRule="exact"/>
        <w:rPr>
          <w:sz w:val="20"/>
          <w:szCs w:val="20"/>
          <w:color w:val="auto"/>
        </w:rPr>
      </w:pPr>
    </w:p>
    <w:p>
      <w:pPr>
        <w:ind w:right="200" w:firstLine="405"/>
        <w:spacing w:after="0" w:line="286" w:lineRule="auto"/>
        <w:rPr>
          <w:sz w:val="20"/>
          <w:szCs w:val="20"/>
          <w:color w:val="auto"/>
        </w:rPr>
      </w:pPr>
      <w:r>
        <w:rPr>
          <w:rFonts w:ascii="Arial" w:cs="Arial" w:eastAsia="Arial" w:hAnsi="Arial"/>
          <w:sz w:val="17"/>
          <w:szCs w:val="17"/>
          <w:color w:val="auto"/>
        </w:rPr>
        <w:t>Short-term, highly liquid investments of $114.6 million and $134.5 million as of January 30, 2021 and February 1, 2020, respectively, included in cash and cash equivalents on the accompanying consolidated balance sheets are not considered as investments because of the short-term maturity of such investments. The gross unrealized gains and losses were immaterial as the carrying values approximated fair value.</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Gross realized gains and gross realized losses on sales of available-for-sale securities are presented in the following table (in thousands):</w:t>
      </w:r>
    </w:p>
    <w:p>
      <w:pPr>
        <w:spacing w:after="0" w:line="16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left="221"/>
              <w:spacing w:after="0"/>
              <w:rPr>
                <w:sz w:val="20"/>
                <w:szCs w:val="20"/>
                <w:color w:val="auto"/>
              </w:rPr>
            </w:pPr>
            <w:r>
              <w:rPr>
                <w:rFonts w:ascii="Arial" w:cs="Arial" w:eastAsia="Arial" w:hAnsi="Arial"/>
                <w:sz w:val="14"/>
                <w:szCs w:val="14"/>
                <w:b w:val="1"/>
                <w:bCs w:val="1"/>
                <w:color w:val="auto"/>
                <w:w w:val="93"/>
              </w:rPr>
              <w:t>Year Ended</w:t>
            </w: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35"/>
        </w:trPr>
        <w:tc>
          <w:tcPr>
            <w:tcW w:w="6740" w:type="dxa"/>
            <w:vAlign w:val="bottom"/>
          </w:tcPr>
          <w:p>
            <w:pPr>
              <w:spacing w:after="0"/>
              <w:rPr>
                <w:sz w:val="11"/>
                <w:szCs w:val="11"/>
                <w:color w:val="auto"/>
              </w:rPr>
            </w:pPr>
          </w:p>
        </w:tc>
        <w:tc>
          <w:tcPr>
            <w:tcW w:w="11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January 30,</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40" w:type="dxa"/>
            <w:vAlign w:val="bottom"/>
          </w:tcPr>
          <w:p>
            <w:pPr>
              <w:jc w:val="center"/>
              <w:ind w:left="221"/>
              <w:spacing w:after="0" w:line="135" w:lineRule="exact"/>
              <w:rPr>
                <w:sz w:val="20"/>
                <w:szCs w:val="20"/>
                <w:color w:val="auto"/>
              </w:rPr>
            </w:pPr>
            <w:r>
              <w:rPr>
                <w:rFonts w:ascii="Arial" w:cs="Arial" w:eastAsia="Arial" w:hAnsi="Arial"/>
                <w:sz w:val="14"/>
                <w:szCs w:val="14"/>
                <w:b w:val="1"/>
                <w:bCs w:val="1"/>
                <w:color w:val="auto"/>
                <w:w w:val="95"/>
              </w:rPr>
              <w:t>February 1,</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0" w:type="dxa"/>
            <w:vAlign w:val="bottom"/>
          </w:tcPr>
          <w:p>
            <w:pPr>
              <w:jc w:val="right"/>
              <w:ind w:right="277"/>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740" w:type="dxa"/>
            <w:vAlign w:val="bottom"/>
            <w:tcBorders>
              <w:bottom w:val="single" w:sz="8" w:color="CCEEFF"/>
            </w:tcBorders>
          </w:tcPr>
          <w:p>
            <w:pPr>
              <w:spacing w:after="0"/>
              <w:rPr>
                <w:sz w:val="16"/>
                <w:szCs w:val="16"/>
                <w:color w:val="auto"/>
              </w:rPr>
            </w:pPr>
          </w:p>
        </w:tc>
        <w:tc>
          <w:tcPr>
            <w:tcW w:w="112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2021</w:t>
            </w: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center"/>
              <w:ind w:left="221"/>
              <w:spacing w:after="0"/>
              <w:rPr>
                <w:sz w:val="20"/>
                <w:szCs w:val="20"/>
                <w:color w:val="auto"/>
              </w:rPr>
            </w:pPr>
            <w:r>
              <w:rPr>
                <w:rFonts w:ascii="Arial" w:cs="Arial" w:eastAsia="Arial" w:hAnsi="Arial"/>
                <w:sz w:val="14"/>
                <w:szCs w:val="14"/>
                <w:b w:val="1"/>
                <w:bCs w:val="1"/>
                <w:color w:val="auto"/>
                <w:w w:val="89"/>
              </w:rPr>
              <w:t>2020</w:t>
            </w: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r>
      <w:tr>
        <w:trPr>
          <w:trHeight w:val="224"/>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realized gains</w:t>
            </w:r>
          </w:p>
        </w:tc>
        <w:tc>
          <w:tcPr>
            <w:tcW w:w="1120" w:type="dxa"/>
            <w:vAlign w:val="bottom"/>
            <w:shd w:val="clear" w:color="auto" w:fill="CCEEFF"/>
          </w:tcPr>
          <w:p>
            <w:pPr>
              <w:jc w:val="right"/>
              <w:ind w:right="939"/>
              <w:spacing w:after="0"/>
              <w:rPr>
                <w:sz w:val="20"/>
                <w:szCs w:val="20"/>
                <w:color w:val="auto"/>
              </w:rPr>
            </w:pPr>
            <w:r>
              <w:rPr>
                <w:rFonts w:ascii="Arial" w:cs="Arial" w:eastAsia="Arial" w:hAnsi="Arial"/>
                <w:sz w:val="18"/>
                <w:szCs w:val="18"/>
                <w:color w:val="auto"/>
                <w:w w:val="79"/>
              </w:rPr>
              <w:t>$</w:t>
            </w:r>
          </w:p>
        </w:tc>
        <w:tc>
          <w:tcPr>
            <w:tcW w:w="300" w:type="dxa"/>
            <w:vAlign w:val="bottom"/>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941"/>
              <w:spacing w:after="0"/>
              <w:rPr>
                <w:sz w:val="20"/>
                <w:szCs w:val="20"/>
                <w:color w:val="auto"/>
              </w:rPr>
            </w:pPr>
            <w:r>
              <w:rPr>
                <w:rFonts w:ascii="Arial" w:cs="Arial" w:eastAsia="Arial" w:hAnsi="Arial"/>
                <w:sz w:val="18"/>
                <w:szCs w:val="18"/>
                <w:color w:val="auto"/>
                <w:w w:val="99"/>
              </w:rPr>
              <w:t>$</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w:t>
            </w:r>
          </w:p>
        </w:tc>
      </w:tr>
      <w:tr>
        <w:trPr>
          <w:trHeight w:val="230"/>
        </w:trPr>
        <w:tc>
          <w:tcPr>
            <w:tcW w:w="6740" w:type="dxa"/>
            <w:vAlign w:val="bottom"/>
          </w:tcPr>
          <w:p>
            <w:pPr>
              <w:ind w:left="20"/>
              <w:spacing w:after="0"/>
              <w:rPr>
                <w:sz w:val="20"/>
                <w:szCs w:val="20"/>
                <w:color w:val="auto"/>
              </w:rPr>
            </w:pPr>
            <w:r>
              <w:rPr>
                <w:rFonts w:ascii="Arial" w:cs="Arial" w:eastAsia="Arial" w:hAnsi="Arial"/>
                <w:sz w:val="18"/>
                <w:szCs w:val="18"/>
                <w:color w:val="auto"/>
              </w:rPr>
              <w:t>Gross realized losses</w:t>
            </w:r>
          </w:p>
        </w:tc>
        <w:tc>
          <w:tcPr>
            <w:tcW w:w="1120" w:type="dxa"/>
            <w:vAlign w:val="bottom"/>
          </w:tcPr>
          <w:p>
            <w:pPr>
              <w:spacing w:after="0"/>
              <w:rPr>
                <w:sz w:val="19"/>
                <w:szCs w:val="19"/>
                <w:color w:val="auto"/>
              </w:rPr>
            </w:pPr>
          </w:p>
        </w:tc>
        <w:tc>
          <w:tcPr>
            <w:tcW w:w="40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140" w:type="dxa"/>
            <w:vAlign w:val="bottom"/>
          </w:tcPr>
          <w:p>
            <w:pPr>
              <w:spacing w:after="0"/>
              <w:rPr>
                <w:sz w:val="19"/>
                <w:szCs w:val="19"/>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(3,437)</w:t>
            </w:r>
          </w:p>
        </w:tc>
      </w:tr>
      <w:tr>
        <w:trPr>
          <w:trHeight w:val="248"/>
        </w:trPr>
        <w:tc>
          <w:tcPr>
            <w:tcW w:w="67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net realized gains (losses)</w:t>
            </w:r>
          </w:p>
        </w:tc>
        <w:tc>
          <w:tcPr>
            <w:tcW w:w="1120" w:type="dxa"/>
            <w:vAlign w:val="bottom"/>
            <w:tcBorders>
              <w:top w:val="single" w:sz="8" w:color="auto"/>
              <w:bottom w:val="single" w:sz="8" w:color="auto"/>
            </w:tcBorders>
            <w:shd w:val="clear" w:color="auto" w:fill="CCEEFF"/>
          </w:tcPr>
          <w:p>
            <w:pPr>
              <w:jc w:val="right"/>
              <w:ind w:right="939"/>
              <w:spacing w:after="0"/>
              <w:rPr>
                <w:sz w:val="20"/>
                <w:szCs w:val="20"/>
                <w:color w:val="auto"/>
              </w:rPr>
            </w:pPr>
            <w:r>
              <w:rPr>
                <w:rFonts w:ascii="Arial" w:cs="Arial" w:eastAsia="Arial" w:hAnsi="Arial"/>
                <w:sz w:val="18"/>
                <w:szCs w:val="18"/>
                <w:color w:val="auto"/>
                <w:w w:val="79"/>
              </w:rPr>
              <w:t>$</w:t>
            </w:r>
          </w:p>
        </w:tc>
        <w:tc>
          <w:tcPr>
            <w:tcW w:w="300" w:type="dxa"/>
            <w:vAlign w:val="bottom"/>
            <w:tcBorders>
              <w:top w:val="single" w:sz="8" w:color="auto"/>
              <w:bottom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auto"/>
            </w:tcBorders>
            <w:shd w:val="clear" w:color="auto" w:fill="CCEEFF"/>
          </w:tcPr>
          <w:p>
            <w:pPr>
              <w:jc w:val="right"/>
              <w:ind w:right="941"/>
              <w:spacing w:after="0"/>
              <w:rPr>
                <w:sz w:val="20"/>
                <w:szCs w:val="20"/>
                <w:color w:val="auto"/>
              </w:rPr>
            </w:pPr>
            <w:r>
              <w:rPr>
                <w:rFonts w:ascii="Arial" w:cs="Arial" w:eastAsia="Arial" w:hAnsi="Arial"/>
                <w:sz w:val="18"/>
                <w:szCs w:val="18"/>
                <w:color w:val="auto"/>
                <w:w w:val="99"/>
              </w:rPr>
              <w:t>$</w:t>
            </w:r>
          </w:p>
        </w:tc>
        <w:tc>
          <w:tcPr>
            <w:tcW w:w="3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(3,066)</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9" w:name="page80"/>
    <w:bookmarkEnd w:id="7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Fair Value Measurements</w:t>
      </w:r>
    </w:p>
    <w:p>
      <w:pPr>
        <w:spacing w:after="0" w:line="121"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17" w:lineRule="exact"/>
        <w:rPr>
          <w:sz w:val="20"/>
          <w:szCs w:val="20"/>
          <w:color w:val="auto"/>
        </w:rPr>
      </w:pPr>
    </w:p>
    <w:p>
      <w:pPr>
        <w:ind w:right="78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which are valued primarily using quoted market prices. The Company’s Level 2 assets include its marketable investments in time deposits, as the market inputs used to value these instruments consist of market yield. In addition, the severance pay fund is classified as Level 2 assets as the valuation inputs are based on quoted prices and market observable data of similar instruments.</w:t>
      </w:r>
    </w:p>
    <w:p>
      <w:pPr>
        <w:spacing w:after="0" w:line="79"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3040" w:type="dxa"/>
            <w:vAlign w:val="bottom"/>
            <w:tcBorders>
              <w:bottom w:val="single" w:sz="8" w:color="auto"/>
            </w:tcBorders>
            <w:gridSpan w:val="8"/>
          </w:tcPr>
          <w:p>
            <w:pPr>
              <w:jc w:val="right"/>
              <w:ind w:right="160"/>
              <w:spacing w:after="0"/>
              <w:rPr>
                <w:sz w:val="20"/>
                <w:szCs w:val="20"/>
                <w:color w:val="auto"/>
              </w:rPr>
            </w:pPr>
            <w:r>
              <w:rPr>
                <w:rFonts w:ascii="Arial" w:cs="Arial" w:eastAsia="Arial" w:hAnsi="Arial"/>
                <w:sz w:val="14"/>
                <w:szCs w:val="14"/>
                <w:b w:val="1"/>
                <w:bCs w:val="1"/>
                <w:color w:val="auto"/>
                <w:w w:val="94"/>
              </w:rPr>
              <w:t>Fair Value Measurements at January 30, 2021</w:t>
            </w: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r>
      <w:tr>
        <w:trPr>
          <w:trHeight w:val="187"/>
        </w:trPr>
        <w:tc>
          <w:tcPr>
            <w:tcW w:w="52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40" w:type="dxa"/>
            <w:vAlign w:val="bottom"/>
            <w:gridSpan w:val="3"/>
          </w:tcPr>
          <w:p>
            <w:pPr>
              <w:ind w:left="20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20" w:type="dxa"/>
            <w:vAlign w:val="bottom"/>
            <w:gridSpan w:val="3"/>
          </w:tcPr>
          <w:p>
            <w:pPr>
              <w:ind w:left="180"/>
              <w:spacing w:after="0"/>
              <w:rPr>
                <w:sz w:val="20"/>
                <w:szCs w:val="20"/>
                <w:color w:val="auto"/>
              </w:rPr>
            </w:pPr>
            <w:r>
              <w:rPr>
                <w:rFonts w:ascii="Arial" w:cs="Arial" w:eastAsia="Arial" w:hAnsi="Arial"/>
                <w:sz w:val="14"/>
                <w:szCs w:val="14"/>
                <w:b w:val="1"/>
                <w:bCs w:val="1"/>
                <w:color w:val="auto"/>
              </w:rPr>
              <w:t>Level 2</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00" w:type="dxa"/>
            <w:vAlign w:val="bottom"/>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40" w:type="dxa"/>
            <w:vAlign w:val="bottom"/>
            <w:gridSpan w:val="3"/>
          </w:tcPr>
          <w:p>
            <w:pPr>
              <w:ind w:left="88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122"/>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114,645</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20" w:type="dxa"/>
            <w:vAlign w:val="bottom"/>
            <w:gridSpan w:val="2"/>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114,645</w:t>
            </w: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300" w:type="dxa"/>
            <w:vAlign w:val="bottom"/>
          </w:tcPr>
          <w:p>
            <w:pPr>
              <w:spacing w:after="0"/>
              <w:rPr>
                <w:sz w:val="19"/>
                <w:szCs w:val="19"/>
                <w:color w:val="auto"/>
              </w:rPr>
            </w:pPr>
          </w:p>
        </w:tc>
        <w:tc>
          <w:tcPr>
            <w:tcW w:w="1240" w:type="dxa"/>
            <w:vAlign w:val="bottom"/>
            <w:gridSpan w:val="3"/>
          </w:tcPr>
          <w:p>
            <w:pPr>
              <w:ind w:left="8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623</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623</w:t>
            </w:r>
          </w:p>
        </w:tc>
      </w:tr>
      <w:tr>
        <w:trPr>
          <w:trHeight w:val="248"/>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20" w:type="dxa"/>
            <w:vAlign w:val="bottom"/>
            <w:tcBorders>
              <w:top w:val="single" w:sz="8" w:color="CCEEFF"/>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gridSpan w:val="2"/>
            <w:shd w:val="clear" w:color="auto" w:fill="CCEEFF"/>
          </w:tcPr>
          <w:p>
            <w:pPr>
              <w:jc w:val="right"/>
              <w:ind w:right="122"/>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c>
          <w:tcPr>
            <w:tcW w:w="20" w:type="dxa"/>
            <w:vAlign w:val="bottom"/>
            <w:tcBorders>
              <w:top w:val="single" w:sz="8" w:color="CCEEFF"/>
              <w:bottom w:val="single" w:sz="8" w:color="CCEEFF"/>
            </w:tcBorders>
            <w:shd w:val="clear" w:color="auto" w:fill="CCEEFF"/>
          </w:tcPr>
          <w:p>
            <w:pPr>
              <w:spacing w:after="0"/>
              <w:rPr>
                <w:sz w:val="21"/>
                <w:szCs w:val="21"/>
                <w:color w:val="auto"/>
              </w:rPr>
            </w:pP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auto"/>
            </w:tcBorders>
            <w:gridSpan w:val="2"/>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gridSpan w:val="2"/>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420" w:type="dxa"/>
            <w:vAlign w:val="bottom"/>
            <w:tcBorders>
              <w:top w:val="single" w:sz="8" w:color="CCEEFF"/>
              <w:bottom w:val="single" w:sz="8" w:color="auto"/>
            </w:tcBorders>
            <w:gridSpan w:val="2"/>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r>
        <w:trPr>
          <w:trHeight w:val="616"/>
        </w:trPr>
        <w:tc>
          <w:tcPr>
            <w:tcW w:w="52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3040" w:type="dxa"/>
            <w:vAlign w:val="bottom"/>
            <w:tcBorders>
              <w:bottom w:val="single" w:sz="8" w:color="auto"/>
            </w:tcBorders>
            <w:gridSpan w:val="8"/>
          </w:tcPr>
          <w:p>
            <w:pPr>
              <w:jc w:val="right"/>
              <w:ind w:right="160"/>
              <w:spacing w:after="0"/>
              <w:rPr>
                <w:sz w:val="20"/>
                <w:szCs w:val="20"/>
                <w:color w:val="auto"/>
              </w:rPr>
            </w:pPr>
            <w:r>
              <w:rPr>
                <w:rFonts w:ascii="Arial" w:cs="Arial" w:eastAsia="Arial" w:hAnsi="Arial"/>
                <w:sz w:val="14"/>
                <w:szCs w:val="14"/>
                <w:b w:val="1"/>
                <w:bCs w:val="1"/>
                <w:color w:val="auto"/>
                <w:w w:val="95"/>
              </w:rPr>
              <w:t>Fair Value Measurements at February 1, 2020</w:t>
            </w:r>
          </w:p>
        </w:tc>
        <w:tc>
          <w:tcPr>
            <w:tcW w:w="34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spacing w:after="0"/>
              <w:rPr>
                <w:sz w:val="24"/>
                <w:szCs w:val="24"/>
                <w:color w:val="auto"/>
              </w:rPr>
            </w:pPr>
          </w:p>
        </w:tc>
      </w:tr>
      <w:tr>
        <w:trPr>
          <w:trHeight w:val="187"/>
        </w:trPr>
        <w:tc>
          <w:tcPr>
            <w:tcW w:w="52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40" w:type="dxa"/>
            <w:vAlign w:val="bottom"/>
            <w:gridSpan w:val="3"/>
          </w:tcPr>
          <w:p>
            <w:pPr>
              <w:ind w:left="20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20" w:type="dxa"/>
            <w:vAlign w:val="bottom"/>
            <w:gridSpan w:val="3"/>
          </w:tcPr>
          <w:p>
            <w:pPr>
              <w:ind w:left="200"/>
              <w:spacing w:after="0"/>
              <w:rPr>
                <w:sz w:val="20"/>
                <w:szCs w:val="20"/>
                <w:color w:val="auto"/>
              </w:rPr>
            </w:pPr>
            <w:r>
              <w:rPr>
                <w:rFonts w:ascii="Arial" w:cs="Arial" w:eastAsia="Arial" w:hAnsi="Arial"/>
                <w:sz w:val="14"/>
                <w:szCs w:val="14"/>
                <w:b w:val="1"/>
                <w:bCs w:val="1"/>
                <w:color w:val="auto"/>
              </w:rPr>
              <w:t>Level 2</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2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00" w:type="dxa"/>
            <w:vAlign w:val="bottom"/>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46,355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gridSpan w:val="2"/>
          </w:tcPr>
          <w:p>
            <w:pPr>
              <w:jc w:val="right"/>
              <w:ind w:right="102"/>
              <w:spacing w:after="0"/>
              <w:rPr>
                <w:sz w:val="20"/>
                <w:szCs w:val="20"/>
                <w:color w:val="auto"/>
              </w:rPr>
            </w:pPr>
            <w:r>
              <w:rPr>
                <w:rFonts w:ascii="Arial" w:cs="Arial" w:eastAsia="Arial" w:hAnsi="Arial"/>
                <w:sz w:val="18"/>
                <w:szCs w:val="18"/>
                <w:color w:val="auto"/>
                <w:w w:val="99"/>
              </w:rPr>
              <w:t>$</w:t>
            </w:r>
          </w:p>
        </w:tc>
        <w:tc>
          <w:tcPr>
            <w:tcW w:w="122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46,355</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Time deposits</w:t>
            </w:r>
          </w:p>
        </w:tc>
        <w:tc>
          <w:tcPr>
            <w:tcW w:w="300" w:type="dxa"/>
            <w:vAlign w:val="bottom"/>
            <w:shd w:val="clear" w:color="auto" w:fill="CCEEFF"/>
          </w:tcPr>
          <w:p>
            <w:pPr>
              <w:spacing w:after="0"/>
              <w:rPr>
                <w:sz w:val="19"/>
                <w:szCs w:val="19"/>
                <w:color w:val="auto"/>
              </w:rPr>
            </w:pPr>
          </w:p>
        </w:tc>
        <w:tc>
          <w:tcPr>
            <w:tcW w:w="12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88,177</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88,177</w:t>
            </w: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300" w:type="dxa"/>
            <w:vAlign w:val="bottom"/>
            <w:shd w:val="clear" w:color="auto" w:fill="CCEEFF"/>
          </w:tcPr>
          <w:p>
            <w:pPr>
              <w:spacing w:after="0"/>
              <w:rPr>
                <w:sz w:val="19"/>
                <w:szCs w:val="19"/>
                <w:color w:val="auto"/>
              </w:rPr>
            </w:pPr>
          </w:p>
        </w:tc>
        <w:tc>
          <w:tcPr>
            <w:tcW w:w="12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46,355</w:t>
            </w:r>
          </w:p>
        </w:tc>
        <w:tc>
          <w:tcPr>
            <w:tcW w:w="20" w:type="dxa"/>
            <w:vAlign w:val="bottom"/>
            <w:tcBorders>
              <w:top w:val="single" w:sz="8" w:color="auto"/>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102"/>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88,870</w:t>
            </w:r>
          </w:p>
        </w:tc>
        <w:tc>
          <w:tcPr>
            <w:tcW w:w="20" w:type="dxa"/>
            <w:vAlign w:val="bottom"/>
            <w:tcBorders>
              <w:top w:val="single" w:sz="8" w:color="auto"/>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135,225</w:t>
            </w:r>
          </w:p>
        </w:tc>
      </w:tr>
      <w:tr>
        <w:trPr>
          <w:trHeight w:val="20"/>
        </w:trPr>
        <w:tc>
          <w:tcPr>
            <w:tcW w:w="52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There were no transfers of assets between levels in either fiscal 2021 or 2020.</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117"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At January 30, 2021, the estimated aggregate fair value of the 2023 Notes and 2028 Notes was $1.1 billion and were classified as Level 2 as there are quoted prices from less active markets for the notes.</w:t>
      </w:r>
    </w:p>
    <w:p>
      <w:pPr>
        <w:spacing w:after="0" w:line="200" w:lineRule="exact"/>
        <w:rPr>
          <w:sz w:val="20"/>
          <w:szCs w:val="20"/>
          <w:color w:val="auto"/>
        </w:rPr>
      </w:pPr>
    </w:p>
    <w:p>
      <w:pPr>
        <w:spacing w:after="0" w:line="3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0" w:name="page81"/>
    <w:bookmarkEnd w:id="8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Leases</w:t>
      </w:r>
    </w:p>
    <w:p>
      <w:pPr>
        <w:spacing w:after="0" w:line="121"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Company's leases include facility leases and data center leases, which are all classified as operating leases. For data center leases, the Company elected the practical expedient to account for the lease and non-lease component as a single lease component.</w:t>
      </w:r>
    </w:p>
    <w:p>
      <w:pPr>
        <w:spacing w:after="0" w:line="19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thousands):</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0"/>
        <w:spacing w:after="0"/>
        <w:rPr>
          <w:sz w:val="20"/>
          <w:szCs w:val="20"/>
          <w:color w:val="auto"/>
        </w:rPr>
      </w:pPr>
      <w:r>
        <w:rPr>
          <w:rFonts w:ascii="Arial" w:cs="Arial" w:eastAsia="Arial" w:hAnsi="Arial"/>
          <w:sz w:val="18"/>
          <w:szCs w:val="18"/>
          <w:color w:val="auto"/>
        </w:rPr>
        <w:t>Operating lease expense</w:t>
      </w:r>
    </w:p>
    <w:p>
      <w:pPr>
        <w:spacing w:after="0" w:line="23" w:lineRule="exact"/>
        <w:rPr>
          <w:sz w:val="20"/>
          <w:szCs w:val="20"/>
          <w:color w:val="auto"/>
        </w:rPr>
      </w:pPr>
    </w:p>
    <w:p>
      <w:pPr>
        <w:ind w:left="40"/>
        <w:spacing w:after="0" w:line="234" w:lineRule="auto"/>
        <w:rPr>
          <w:sz w:val="20"/>
          <w:szCs w:val="20"/>
          <w:color w:val="auto"/>
        </w:rPr>
      </w:pPr>
      <w:r>
        <w:rPr>
          <w:rFonts w:ascii="Arial" w:cs="Arial" w:eastAsia="Arial" w:hAnsi="Arial"/>
          <w:sz w:val="18"/>
          <w:szCs w:val="18"/>
          <w:color w:val="auto"/>
        </w:rPr>
        <w:t>Cash paid for amounts included in the measurement of operating lease liabilities</w:t>
      </w:r>
    </w:p>
    <w:p>
      <w:pPr>
        <w:spacing w:after="0" w:line="1" w:lineRule="exact"/>
        <w:rPr>
          <w:sz w:val="20"/>
          <w:szCs w:val="20"/>
          <w:color w:val="auto"/>
        </w:rPr>
      </w:pPr>
    </w:p>
    <w:p>
      <w:pPr>
        <w:ind w:left="20" w:right="340"/>
        <w:spacing w:after="0" w:line="234" w:lineRule="auto"/>
        <w:rPr>
          <w:sz w:val="20"/>
          <w:szCs w:val="20"/>
          <w:color w:val="auto"/>
        </w:rPr>
      </w:pPr>
      <w:r>
        <w:rPr>
          <w:rFonts w:ascii="Arial" w:cs="Arial" w:eastAsia="Arial" w:hAnsi="Arial"/>
          <w:sz w:val="18"/>
          <w:szCs w:val="18"/>
          <w:color w:val="auto"/>
        </w:rPr>
        <w:t>Right-of-use assets obtained in exchange for lease obligation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spacing w:after="0"/>
        <w:rPr>
          <w:sz w:val="20"/>
          <w:szCs w:val="20"/>
          <w:color w:val="auto"/>
        </w:rPr>
      </w:pPr>
      <w:r>
        <w:rPr>
          <w:rFonts w:ascii="Arial" w:cs="Arial" w:eastAsia="Arial" w:hAnsi="Arial"/>
          <w:sz w:val="13"/>
          <w:szCs w:val="13"/>
          <w:color w:val="auto"/>
        </w:rPr>
        <w:t>$</w:t>
      </w:r>
    </w:p>
    <w:p>
      <w:pPr>
        <w:spacing w:after="0" w:line="161" w:lineRule="exact"/>
        <w:rPr>
          <w:sz w:val="20"/>
          <w:szCs w:val="20"/>
          <w:color w:val="auto"/>
        </w:rPr>
      </w:pPr>
    </w:p>
    <w:p>
      <w:pPr>
        <w:spacing w:after="0"/>
        <w:rPr>
          <w:sz w:val="20"/>
          <w:szCs w:val="20"/>
          <w:color w:val="auto"/>
        </w:rPr>
      </w:pPr>
      <w:r>
        <w:rPr>
          <w:rFonts w:ascii="Arial" w:cs="Arial" w:eastAsia="Arial" w:hAnsi="Arial"/>
          <w:sz w:val="13"/>
          <w:szCs w:val="13"/>
          <w:color w:val="auto"/>
        </w:rPr>
        <w:t>$</w:t>
      </w:r>
    </w:p>
    <w:p>
      <w:pPr>
        <w:spacing w:after="0" w:line="256" w:lineRule="exact"/>
        <w:rPr>
          <w:sz w:val="20"/>
          <w:szCs w:val="20"/>
          <w:color w:val="auto"/>
        </w:rPr>
      </w:pPr>
    </w:p>
    <w:p>
      <w:pPr>
        <w:spacing w:after="0"/>
        <w:rPr>
          <w:sz w:val="20"/>
          <w:szCs w:val="20"/>
          <w:color w:val="auto"/>
        </w:rPr>
      </w:pPr>
      <w:r>
        <w:rPr>
          <w:rFonts w:ascii="Arial" w:cs="Arial" w:eastAsia="Arial" w:hAnsi="Arial"/>
          <w:sz w:val="13"/>
          <w:szCs w:val="13"/>
          <w:color w:val="auto"/>
        </w:rPr>
        <w:t>$</w:t>
      </w:r>
    </w:p>
    <w:p>
      <w:pPr>
        <w:spacing w:after="0" w:line="20" w:lineRule="exact"/>
        <w:rPr>
          <w:sz w:val="20"/>
          <w:szCs w:val="20"/>
          <w:color w:val="auto"/>
        </w:rPr>
      </w:pPr>
      <w:r>
        <w:rPr>
          <w:sz w:val="20"/>
          <w:szCs w:val="20"/>
          <w:color w:val="auto"/>
        </w:rPr>
        <w:br w:type="column"/>
      </w:r>
    </w:p>
    <w:p>
      <w:pPr>
        <w:spacing w:after="0" w:line="264" w:lineRule="exact"/>
        <w:rPr>
          <w:sz w:val="20"/>
          <w:szCs w:val="20"/>
          <w:color w:val="auto"/>
        </w:rPr>
      </w:pPr>
    </w:p>
    <w:p>
      <w:pPr>
        <w:jc w:val="center"/>
        <w:ind w:right="1420"/>
        <w:spacing w:after="0"/>
        <w:rPr>
          <w:sz w:val="20"/>
          <w:szCs w:val="20"/>
          <w:color w:val="auto"/>
        </w:rPr>
      </w:pPr>
      <w:r>
        <w:rPr>
          <w:rFonts w:ascii="Arial" w:cs="Arial" w:eastAsia="Arial" w:hAnsi="Arial"/>
          <w:sz w:val="14"/>
          <w:szCs w:val="14"/>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-842010</wp:posOffset>
            </wp:positionH>
            <wp:positionV relativeFrom="paragraph">
              <wp:posOffset>23495</wp:posOffset>
            </wp:positionV>
            <wp:extent cx="4389120" cy="825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4389120" cy="8255"/>
                    </a:xfrm>
                    <a:prstGeom prst="rect">
                      <a:avLst/>
                    </a:prstGeom>
                    <a:noFill/>
                  </pic:spPr>
                </pic:pic>
              </a:graphicData>
            </a:graphic>
          </wp:anchor>
        </w:drawing>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0" w:type="dxa"/>
            <w:vAlign w:val="bottom"/>
          </w:tcPr>
          <w:p>
            <w:pPr>
              <w:jc w:val="right"/>
              <w:ind w:right="1377"/>
              <w:spacing w:after="0"/>
              <w:rPr>
                <w:sz w:val="20"/>
                <w:szCs w:val="20"/>
                <w:color w:val="auto"/>
              </w:rPr>
            </w:pPr>
            <w:r>
              <w:rPr>
                <w:rFonts w:ascii="Arial" w:cs="Arial" w:eastAsia="Arial" w:hAnsi="Arial"/>
                <w:sz w:val="14"/>
                <w:szCs w:val="14"/>
                <w:b w:val="1"/>
                <w:bCs w:val="1"/>
                <w:color w:val="auto"/>
                <w:w w:val="93"/>
              </w:rPr>
              <w:t>January 30,</w:t>
            </w:r>
          </w:p>
        </w:tc>
        <w:tc>
          <w:tcPr>
            <w:tcW w:w="720" w:type="dxa"/>
            <w:vAlign w:val="bottom"/>
          </w:tcPr>
          <w:p>
            <w:pPr>
              <w:spacing w:after="0"/>
              <w:rPr>
                <w:sz w:val="14"/>
                <w:szCs w:val="14"/>
                <w:color w:val="auto"/>
              </w:rPr>
            </w:pPr>
          </w:p>
        </w:tc>
        <w:tc>
          <w:tcPr>
            <w:tcW w:w="2660" w:type="dxa"/>
            <w:vAlign w:val="bottom"/>
          </w:tcPr>
          <w:p>
            <w:pPr>
              <w:jc w:val="right"/>
              <w:ind w:right="1237"/>
              <w:spacing w:after="0"/>
              <w:rPr>
                <w:sz w:val="20"/>
                <w:szCs w:val="20"/>
                <w:color w:val="auto"/>
              </w:rPr>
            </w:pPr>
            <w:r>
              <w:rPr>
                <w:rFonts w:ascii="Arial" w:cs="Arial" w:eastAsia="Arial" w:hAnsi="Arial"/>
                <w:sz w:val="14"/>
                <w:szCs w:val="14"/>
                <w:b w:val="1"/>
                <w:bCs w:val="1"/>
                <w:color w:val="auto"/>
              </w:rPr>
              <w:t>February 1,</w:t>
            </w:r>
          </w:p>
        </w:tc>
      </w:tr>
      <w:tr>
        <w:trPr>
          <w:trHeight w:val="186"/>
        </w:trPr>
        <w:tc>
          <w:tcPr>
            <w:tcW w:w="2200" w:type="dxa"/>
            <w:vAlign w:val="bottom"/>
          </w:tcPr>
          <w:p>
            <w:pPr>
              <w:jc w:val="right"/>
              <w:ind w:right="1597"/>
              <w:spacing w:after="0"/>
              <w:rPr>
                <w:sz w:val="20"/>
                <w:szCs w:val="20"/>
                <w:color w:val="auto"/>
              </w:rPr>
            </w:pPr>
            <w:r>
              <w:rPr>
                <w:rFonts w:ascii="Arial" w:cs="Arial" w:eastAsia="Arial" w:hAnsi="Arial"/>
                <w:sz w:val="14"/>
                <w:szCs w:val="14"/>
                <w:b w:val="1"/>
                <w:bCs w:val="1"/>
                <w:color w:val="auto"/>
              </w:rPr>
              <w:t>2021</w:t>
            </w:r>
          </w:p>
        </w:tc>
        <w:tc>
          <w:tcPr>
            <w:tcW w:w="7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tcPr>
          <w:p>
            <w:pPr>
              <w:jc w:val="right"/>
              <w:ind w:right="1457"/>
              <w:spacing w:after="0"/>
              <w:rPr>
                <w:sz w:val="20"/>
                <w:szCs w:val="20"/>
                <w:color w:val="auto"/>
              </w:rPr>
            </w:pPr>
            <w:r>
              <w:rPr>
                <w:rFonts w:ascii="Arial" w:cs="Arial" w:eastAsia="Arial" w:hAnsi="Arial"/>
                <w:sz w:val="14"/>
                <w:szCs w:val="14"/>
                <w:b w:val="1"/>
                <w:bCs w:val="1"/>
                <w:color w:val="auto"/>
              </w:rPr>
              <w:t>2020</w:t>
            </w:r>
          </w:p>
        </w:tc>
      </w:tr>
      <w:tr>
        <w:trPr>
          <w:trHeight w:val="227"/>
        </w:trPr>
        <w:tc>
          <w:tcPr>
            <w:tcW w:w="2200" w:type="dxa"/>
            <w:vAlign w:val="bottom"/>
          </w:tcPr>
          <w:p>
            <w:pPr>
              <w:jc w:val="right"/>
              <w:ind w:right="117"/>
              <w:spacing w:after="0"/>
              <w:rPr>
                <w:sz w:val="20"/>
                <w:szCs w:val="20"/>
                <w:color w:val="auto"/>
              </w:rPr>
            </w:pPr>
            <w:r>
              <w:rPr>
                <w:rFonts w:ascii="Arial" w:cs="Arial" w:eastAsia="Arial" w:hAnsi="Arial"/>
                <w:sz w:val="18"/>
                <w:szCs w:val="18"/>
                <w:color w:val="auto"/>
              </w:rPr>
              <w:t>47,819</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2660" w:type="dxa"/>
            <w:vAlign w:val="bottom"/>
          </w:tcPr>
          <w:p>
            <w:pPr>
              <w:jc w:val="right"/>
              <w:spacing w:after="0"/>
              <w:rPr>
                <w:sz w:val="20"/>
                <w:szCs w:val="20"/>
                <w:color w:val="auto"/>
              </w:rPr>
            </w:pPr>
            <w:r>
              <w:rPr>
                <w:rFonts w:ascii="Arial" w:cs="Arial" w:eastAsia="Arial" w:hAnsi="Arial"/>
                <w:sz w:val="18"/>
                <w:szCs w:val="18"/>
                <w:color w:val="auto"/>
              </w:rPr>
              <w:t>49,679</w:t>
            </w:r>
          </w:p>
        </w:tc>
      </w:tr>
      <w:tr>
        <w:trPr>
          <w:trHeight w:val="310"/>
        </w:trPr>
        <w:tc>
          <w:tcPr>
            <w:tcW w:w="2200" w:type="dxa"/>
            <w:vAlign w:val="bottom"/>
          </w:tcPr>
          <w:p>
            <w:pPr>
              <w:jc w:val="right"/>
              <w:ind w:right="117"/>
              <w:spacing w:after="0"/>
              <w:rPr>
                <w:sz w:val="20"/>
                <w:szCs w:val="20"/>
                <w:color w:val="auto"/>
              </w:rPr>
            </w:pPr>
            <w:r>
              <w:rPr>
                <w:rFonts w:ascii="Arial" w:cs="Arial" w:eastAsia="Arial" w:hAnsi="Arial"/>
                <w:sz w:val="18"/>
                <w:szCs w:val="18"/>
                <w:color w:val="auto"/>
              </w:rPr>
              <w:t>36,849</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2660" w:type="dxa"/>
            <w:vAlign w:val="bottom"/>
          </w:tcPr>
          <w:p>
            <w:pPr>
              <w:jc w:val="right"/>
              <w:spacing w:after="0"/>
              <w:rPr>
                <w:sz w:val="20"/>
                <w:szCs w:val="20"/>
                <w:color w:val="auto"/>
              </w:rPr>
            </w:pPr>
            <w:r>
              <w:rPr>
                <w:rFonts w:ascii="Arial" w:cs="Arial" w:eastAsia="Arial" w:hAnsi="Arial"/>
                <w:sz w:val="18"/>
                <w:szCs w:val="18"/>
                <w:color w:val="auto"/>
              </w:rPr>
              <w:t>33,161</w:t>
            </w:r>
          </w:p>
        </w:tc>
      </w:tr>
      <w:tr>
        <w:trPr>
          <w:trHeight w:val="405"/>
        </w:trPr>
        <w:tc>
          <w:tcPr>
            <w:tcW w:w="2200" w:type="dxa"/>
            <w:vAlign w:val="bottom"/>
          </w:tcPr>
          <w:p>
            <w:pPr>
              <w:jc w:val="right"/>
              <w:ind w:right="117"/>
              <w:spacing w:after="0"/>
              <w:rPr>
                <w:sz w:val="20"/>
                <w:szCs w:val="20"/>
                <w:color w:val="auto"/>
              </w:rPr>
            </w:pPr>
            <w:r>
              <w:rPr>
                <w:rFonts w:ascii="Arial" w:cs="Arial" w:eastAsia="Arial" w:hAnsi="Arial"/>
                <w:sz w:val="18"/>
                <w:szCs w:val="18"/>
                <w:color w:val="auto"/>
              </w:rPr>
              <w:t>26,605</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2660" w:type="dxa"/>
            <w:vAlign w:val="bottom"/>
          </w:tcPr>
          <w:p>
            <w:pPr>
              <w:jc w:val="right"/>
              <w:spacing w:after="0"/>
              <w:rPr>
                <w:sz w:val="20"/>
                <w:szCs w:val="20"/>
                <w:color w:val="auto"/>
              </w:rPr>
            </w:pPr>
            <w:r>
              <w:rPr>
                <w:rFonts w:ascii="Arial" w:cs="Arial" w:eastAsia="Arial" w:hAnsi="Arial"/>
                <w:sz w:val="18"/>
                <w:szCs w:val="18"/>
                <w:color w:val="auto"/>
              </w:rPr>
              <w:t>28,928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-3524885</wp:posOffset>
            </wp:positionH>
            <wp:positionV relativeFrom="paragraph">
              <wp:posOffset>-196850</wp:posOffset>
            </wp:positionV>
            <wp:extent cx="7071995" cy="25717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071995" cy="257175"/>
                    </a:xfrm>
                    <a:prstGeom prst="rect">
                      <a:avLst/>
                    </a:prstGeom>
                    <a:noFill/>
                  </pic:spPr>
                </pic:pic>
              </a:graphicData>
            </a:graphic>
          </wp:anchor>
        </w:drawing>
        <w:drawing>
          <wp:anchor simplePos="0" relativeHeight="251657728" behindDoc="1" locked="0" layoutInCell="0" allowOverlap="1">
            <wp:simplePos x="0" y="0"/>
            <wp:positionH relativeFrom="column">
              <wp:posOffset>-3524885</wp:posOffset>
            </wp:positionH>
            <wp:positionV relativeFrom="paragraph">
              <wp:posOffset>-608330</wp:posOffset>
            </wp:positionV>
            <wp:extent cx="7071995" cy="15430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071995" cy="154305"/>
                    </a:xfrm>
                    <a:prstGeom prst="rect">
                      <a:avLst/>
                    </a:prstGeom>
                    <a:noFill/>
                  </pic:spPr>
                </pic:pic>
              </a:graphicData>
            </a:graphic>
          </wp:anchor>
        </w:drawing>
      </w:r>
    </w:p>
    <w:p>
      <w:pPr>
        <w:spacing w:after="0" w:line="293" w:lineRule="exact"/>
        <w:rPr>
          <w:sz w:val="20"/>
          <w:szCs w:val="20"/>
          <w:color w:val="auto"/>
        </w:rPr>
      </w:pPr>
    </w:p>
    <w:p>
      <w:pPr>
        <w:sectPr>
          <w:pgSz w:w="11900" w:h="16838" w:orient="portrait"/>
          <w:cols w:equalWidth="0" w:num="3">
            <w:col w:w="3980" w:space="280"/>
            <w:col w:w="580" w:space="720"/>
            <w:col w:w="5680"/>
          </w:cols>
          <w:pgMar w:left="320" w:top="472" w:right="339" w:bottom="1440" w:gutter="0" w:footer="0" w:header="0"/>
          <w:type w:val="continuous"/>
        </w:sectPr>
      </w:pPr>
    </w:p>
    <w:p>
      <w:pPr>
        <w:spacing w:after="0" w:line="138"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The effect of operating lease right-of-use asset amortization of $21.6 million and $20.4 million is included in changes in Other expense, net in the cash provided by operating activities section on the consolidated statements of cash flows for the fiscal year ended January 30, 2021 and February 1, 2020, respectively.</w:t>
      </w:r>
    </w:p>
    <w:p>
      <w:pPr>
        <w:spacing w:after="0" w:line="31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January 30, 2021 are as follows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2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Year</w:t>
            </w:r>
          </w:p>
        </w:tc>
        <w:tc>
          <w:tcPr>
            <w:tcW w:w="2500" w:type="dxa"/>
            <w:vAlign w:val="bottom"/>
          </w:tcPr>
          <w:p>
            <w:pPr>
              <w:jc w:val="right"/>
              <w:ind w:right="181"/>
              <w:spacing w:after="0"/>
              <w:rPr>
                <w:sz w:val="20"/>
                <w:szCs w:val="20"/>
                <w:color w:val="auto"/>
              </w:rPr>
            </w:pPr>
            <w:r>
              <w:rPr>
                <w:rFonts w:ascii="Arial" w:cs="Arial" w:eastAsia="Arial" w:hAnsi="Arial"/>
                <w:sz w:val="14"/>
                <w:szCs w:val="14"/>
                <w:b w:val="1"/>
                <w:bCs w:val="1"/>
                <w:color w:val="auto"/>
              </w:rPr>
              <w:t>Operating Leases</w:t>
            </w:r>
          </w:p>
        </w:tc>
        <w:tc>
          <w:tcPr>
            <w:tcW w:w="8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700" w:type="dxa"/>
            <w:vAlign w:val="bottom"/>
            <w:gridSpan w:val="2"/>
          </w:tcPr>
          <w:p>
            <w:pPr>
              <w:jc w:val="right"/>
              <w:ind w:right="1200"/>
              <w:spacing w:after="0"/>
              <w:rPr>
                <w:sz w:val="20"/>
                <w:szCs w:val="20"/>
                <w:color w:val="auto"/>
              </w:rPr>
            </w:pPr>
            <w:r>
              <w:rPr>
                <w:rFonts w:ascii="Arial" w:cs="Arial" w:eastAsia="Arial" w:hAnsi="Arial"/>
                <w:sz w:val="14"/>
                <w:szCs w:val="14"/>
                <w:b w:val="1"/>
                <w:bCs w:val="1"/>
                <w:color w:val="auto"/>
              </w:rPr>
              <w:t>Sublease Income</w:t>
            </w:r>
          </w:p>
        </w:tc>
      </w:tr>
      <w:tr>
        <w:trPr>
          <w:trHeight w:val="229"/>
        </w:trPr>
        <w:tc>
          <w:tcPr>
            <w:tcW w:w="42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0" w:type="dxa"/>
            <w:vAlign w:val="bottom"/>
            <w:tcBorders>
              <w:top w:val="single" w:sz="8" w:color="CCEEFF"/>
            </w:tcBorders>
            <w:shd w:val="clear" w:color="auto" w:fill="CCEEFF"/>
          </w:tcPr>
          <w:p>
            <w:pPr>
              <w:spacing w:after="0"/>
              <w:rPr>
                <w:sz w:val="19"/>
                <w:szCs w:val="19"/>
                <w:color w:val="auto"/>
              </w:rPr>
            </w:pPr>
          </w:p>
        </w:tc>
        <w:tc>
          <w:tcPr>
            <w:tcW w:w="80" w:type="dxa"/>
            <w:vAlign w:val="bottom"/>
            <w:tcBorders>
              <w:top w:val="single" w:sz="8" w:color="CCEEFF"/>
            </w:tcBorders>
            <w:shd w:val="clear" w:color="auto" w:fill="CCEEFF"/>
          </w:tcPr>
          <w:p>
            <w:pPr>
              <w:spacing w:after="0"/>
              <w:rPr>
                <w:sz w:val="19"/>
                <w:szCs w:val="19"/>
                <w:color w:val="auto"/>
              </w:rPr>
            </w:pPr>
          </w:p>
        </w:tc>
        <w:tc>
          <w:tcPr>
            <w:tcW w:w="2500" w:type="dxa"/>
            <w:vAlign w:val="bottom"/>
            <w:tcBorders>
              <w:top w:val="single" w:sz="8" w:color="auto"/>
            </w:tcBorders>
            <w:shd w:val="clear" w:color="auto" w:fill="CCEEFF"/>
          </w:tcPr>
          <w:p>
            <w:pPr>
              <w:jc w:val="right"/>
              <w:ind w:right="2321"/>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37,108</w:t>
            </w:r>
          </w:p>
        </w:tc>
        <w:tc>
          <w:tcPr>
            <w:tcW w:w="40" w:type="dxa"/>
            <w:vAlign w:val="bottom"/>
            <w:tcBorders>
              <w:top w:val="single" w:sz="8" w:color="CCEEFF"/>
            </w:tcBorders>
            <w:shd w:val="clear" w:color="auto" w:fill="CCEEFF"/>
          </w:tcPr>
          <w:p>
            <w:pPr>
              <w:spacing w:after="0"/>
              <w:rPr>
                <w:sz w:val="19"/>
                <w:szCs w:val="19"/>
                <w:color w:val="auto"/>
              </w:rPr>
            </w:pPr>
          </w:p>
        </w:tc>
        <w:tc>
          <w:tcPr>
            <w:tcW w:w="60" w:type="dxa"/>
            <w:vAlign w:val="bottom"/>
            <w:tcBorders>
              <w:top w:val="single" w:sz="8" w:color="CCEEFF"/>
            </w:tcBorders>
            <w:shd w:val="clear" w:color="auto" w:fill="CCEEFF"/>
          </w:tcPr>
          <w:p>
            <w:pPr>
              <w:spacing w:after="0"/>
              <w:rPr>
                <w:sz w:val="19"/>
                <w:szCs w:val="19"/>
                <w:color w:val="auto"/>
              </w:rPr>
            </w:pPr>
          </w:p>
        </w:tc>
        <w:tc>
          <w:tcPr>
            <w:tcW w:w="720" w:type="dxa"/>
            <w:vAlign w:val="bottom"/>
            <w:tcBorders>
              <w:top w:val="single" w:sz="8" w:color="auto"/>
            </w:tcBorders>
            <w:shd w:val="clear" w:color="auto" w:fill="CCEEFF"/>
          </w:tcPr>
          <w:p>
            <w:pPr>
              <w:jc w:val="right"/>
              <w:ind w:right="510"/>
              <w:spacing w:after="0"/>
              <w:rPr>
                <w:sz w:val="20"/>
                <w:szCs w:val="20"/>
                <w:color w:val="auto"/>
              </w:rPr>
            </w:pPr>
            <w:r>
              <w:rPr>
                <w:rFonts w:ascii="Arial" w:cs="Arial" w:eastAsia="Arial" w:hAnsi="Arial"/>
                <w:sz w:val="18"/>
                <w:szCs w:val="18"/>
                <w:color w:val="auto"/>
                <w:w w:val="99"/>
              </w:rPr>
              <w:t>$</w:t>
            </w:r>
          </w:p>
        </w:tc>
        <w:tc>
          <w:tcPr>
            <w:tcW w:w="270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(3,253)</w:t>
            </w:r>
          </w:p>
        </w:tc>
      </w:tr>
      <w:tr>
        <w:trPr>
          <w:trHeight w:val="230"/>
        </w:trPr>
        <w:tc>
          <w:tcPr>
            <w:tcW w:w="4220" w:type="dxa"/>
            <w:vAlign w:val="bottom"/>
          </w:tcPr>
          <w:p>
            <w:pPr>
              <w:ind w:left="20"/>
              <w:spacing w:after="0"/>
              <w:rPr>
                <w:sz w:val="20"/>
                <w:szCs w:val="20"/>
                <w:color w:val="auto"/>
              </w:rPr>
            </w:pPr>
            <w:r>
              <w:rPr>
                <w:rFonts w:ascii="Arial" w:cs="Arial" w:eastAsia="Arial" w:hAnsi="Arial"/>
                <w:sz w:val="18"/>
                <w:szCs w:val="18"/>
                <w:color w:val="auto"/>
              </w:rPr>
              <w:t>2023</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5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33,015</w:t>
            </w: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700" w:type="dxa"/>
            <w:vAlign w:val="bottom"/>
            <w:gridSpan w:val="2"/>
          </w:tcPr>
          <w:p>
            <w:pPr>
              <w:jc w:val="right"/>
              <w:ind w:right="20"/>
              <w:spacing w:after="0"/>
              <w:rPr>
                <w:sz w:val="20"/>
                <w:szCs w:val="20"/>
                <w:color w:val="auto"/>
              </w:rPr>
            </w:pPr>
            <w:r>
              <w:rPr>
                <w:rFonts w:ascii="Arial" w:cs="Arial" w:eastAsia="Arial" w:hAnsi="Arial"/>
                <w:sz w:val="18"/>
                <w:szCs w:val="18"/>
                <w:color w:val="auto"/>
              </w:rPr>
              <w:t>(3,350)</w:t>
            </w:r>
          </w:p>
        </w:tc>
      </w:tr>
      <w:tr>
        <w:trPr>
          <w:trHeight w:val="230"/>
        </w:trPr>
        <w:tc>
          <w:tcPr>
            <w:tcW w:w="4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50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23,931</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(3,451)</w:t>
            </w:r>
          </w:p>
        </w:tc>
      </w:tr>
      <w:tr>
        <w:trPr>
          <w:trHeight w:val="230"/>
        </w:trPr>
        <w:tc>
          <w:tcPr>
            <w:tcW w:w="4220" w:type="dxa"/>
            <w:vAlign w:val="bottom"/>
          </w:tcPr>
          <w:p>
            <w:pPr>
              <w:ind w:left="20"/>
              <w:spacing w:after="0"/>
              <w:rPr>
                <w:sz w:val="20"/>
                <w:szCs w:val="20"/>
                <w:color w:val="auto"/>
              </w:rPr>
            </w:pPr>
            <w:r>
              <w:rPr>
                <w:rFonts w:ascii="Arial" w:cs="Arial" w:eastAsia="Arial" w:hAnsi="Arial"/>
                <w:sz w:val="18"/>
                <w:szCs w:val="18"/>
                <w:color w:val="auto"/>
              </w:rPr>
              <w:t>2025</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5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15,782</w:t>
            </w: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700" w:type="dxa"/>
            <w:vAlign w:val="bottom"/>
            <w:gridSpan w:val="2"/>
          </w:tcPr>
          <w:p>
            <w:pPr>
              <w:jc w:val="right"/>
              <w:ind w:right="20"/>
              <w:spacing w:after="0"/>
              <w:rPr>
                <w:sz w:val="20"/>
                <w:szCs w:val="20"/>
                <w:color w:val="auto"/>
              </w:rPr>
            </w:pPr>
            <w:r>
              <w:rPr>
                <w:rFonts w:ascii="Arial" w:cs="Arial" w:eastAsia="Arial" w:hAnsi="Arial"/>
                <w:sz w:val="18"/>
                <w:szCs w:val="18"/>
                <w:color w:val="auto"/>
              </w:rPr>
              <w:t>(3,554)</w:t>
            </w:r>
          </w:p>
        </w:tc>
      </w:tr>
      <w:tr>
        <w:trPr>
          <w:trHeight w:val="229"/>
        </w:trPr>
        <w:tc>
          <w:tcPr>
            <w:tcW w:w="4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50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14,765</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(3,661)</w:t>
            </w:r>
          </w:p>
        </w:tc>
      </w:tr>
      <w:tr>
        <w:trPr>
          <w:trHeight w:val="230"/>
        </w:trPr>
        <w:tc>
          <w:tcPr>
            <w:tcW w:w="4320" w:type="dxa"/>
            <w:vAlign w:val="bottom"/>
            <w:tcBorders>
              <w:bottom w:val="single" w:sz="8" w:color="CCEEFF"/>
            </w:tcBorders>
            <w:gridSpan w:val="3"/>
          </w:tcPr>
          <w:p>
            <w:pPr>
              <w:ind w:left="20"/>
              <w:spacing w:after="0"/>
              <w:rPr>
                <w:sz w:val="20"/>
                <w:szCs w:val="20"/>
                <w:color w:val="auto"/>
              </w:rPr>
            </w:pPr>
            <w:r>
              <w:rPr>
                <w:rFonts w:ascii="Arial" w:cs="Arial" w:eastAsia="Arial" w:hAnsi="Arial"/>
                <w:sz w:val="18"/>
                <w:szCs w:val="18"/>
                <w:color w:val="auto"/>
              </w:rPr>
              <w:t>Thereafter</w:t>
            </w:r>
          </w:p>
        </w:tc>
        <w:tc>
          <w:tcPr>
            <w:tcW w:w="25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27,437</w:t>
            </w:r>
          </w:p>
        </w:tc>
        <w:tc>
          <w:tcPr>
            <w:tcW w:w="40" w:type="dxa"/>
            <w:vAlign w:val="bottom"/>
            <w:tcBorders>
              <w:bottom w:val="single" w:sz="8" w:color="CCEEFF"/>
            </w:tcBorders>
          </w:tcPr>
          <w:p>
            <w:pPr>
              <w:spacing w:after="0"/>
              <w:rPr>
                <w:sz w:val="19"/>
                <w:szCs w:val="19"/>
                <w:color w:val="auto"/>
              </w:rPr>
            </w:pPr>
          </w:p>
        </w:tc>
        <w:tc>
          <w:tcPr>
            <w:tcW w:w="60" w:type="dxa"/>
            <w:vAlign w:val="bottom"/>
            <w:tcBorders>
              <w:bottom w:val="single" w:sz="8" w:color="CCEEFF"/>
            </w:tcBorders>
          </w:tcPr>
          <w:p>
            <w:pPr>
              <w:spacing w:after="0"/>
              <w:rPr>
                <w:sz w:val="19"/>
                <w:szCs w:val="19"/>
                <w:color w:val="auto"/>
              </w:rPr>
            </w:pPr>
          </w:p>
        </w:tc>
        <w:tc>
          <w:tcPr>
            <w:tcW w:w="720" w:type="dxa"/>
            <w:vAlign w:val="bottom"/>
            <w:tcBorders>
              <w:bottom w:val="single" w:sz="8" w:color="auto"/>
            </w:tcBorders>
          </w:tcPr>
          <w:p>
            <w:pPr>
              <w:spacing w:after="0"/>
              <w:rPr>
                <w:sz w:val="19"/>
                <w:szCs w:val="19"/>
                <w:color w:val="auto"/>
              </w:rPr>
            </w:pPr>
          </w:p>
        </w:tc>
        <w:tc>
          <w:tcPr>
            <w:tcW w:w="27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(5,703)</w:t>
            </w:r>
          </w:p>
        </w:tc>
      </w:tr>
      <w:tr>
        <w:trPr>
          <w:trHeight w:val="223"/>
        </w:trPr>
        <w:tc>
          <w:tcPr>
            <w:tcW w:w="432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250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152,038</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spacing w:after="0"/>
              <w:rPr>
                <w:sz w:val="19"/>
                <w:szCs w:val="19"/>
                <w:color w:val="auto"/>
              </w:rPr>
            </w:pPr>
          </w:p>
        </w:tc>
        <w:tc>
          <w:tcPr>
            <w:tcW w:w="27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(22,972)</w:t>
            </w:r>
          </w:p>
        </w:tc>
      </w:tr>
      <w:tr>
        <w:trPr>
          <w:trHeight w:val="223"/>
        </w:trPr>
        <w:tc>
          <w:tcPr>
            <w:tcW w:w="4320" w:type="dxa"/>
            <w:vAlign w:val="bottom"/>
            <w:tcBorders>
              <w:bottom w:val="single" w:sz="8" w:color="CCEEFF"/>
            </w:tcBorders>
            <w:gridSpan w:val="3"/>
          </w:tcPr>
          <w:p>
            <w:pPr>
              <w:ind w:left="440"/>
              <w:spacing w:after="0"/>
              <w:rPr>
                <w:sz w:val="20"/>
                <w:szCs w:val="20"/>
                <w:color w:val="auto"/>
              </w:rPr>
            </w:pPr>
            <w:r>
              <w:rPr>
                <w:rFonts w:ascii="Arial" w:cs="Arial" w:eastAsia="Arial" w:hAnsi="Arial"/>
                <w:sz w:val="18"/>
                <w:szCs w:val="18"/>
                <w:color w:val="auto"/>
              </w:rPr>
              <w:t>Less: imputed interest</w:t>
            </w:r>
          </w:p>
        </w:tc>
        <w:tc>
          <w:tcPr>
            <w:tcW w:w="25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15,160</w:t>
            </w:r>
          </w:p>
        </w:tc>
        <w:tc>
          <w:tcPr>
            <w:tcW w:w="40" w:type="dxa"/>
            <w:vAlign w:val="bottom"/>
            <w:tcBorders>
              <w:bottom w:val="single" w:sz="8" w:color="CCEEFF"/>
            </w:tcBorders>
          </w:tcPr>
          <w:p>
            <w:pPr>
              <w:spacing w:after="0"/>
              <w:rPr>
                <w:sz w:val="19"/>
                <w:szCs w:val="19"/>
                <w:color w:val="auto"/>
              </w:rPr>
            </w:pPr>
          </w:p>
        </w:tc>
        <w:tc>
          <w:tcPr>
            <w:tcW w:w="60" w:type="dxa"/>
            <w:vAlign w:val="bottom"/>
            <w:tcBorders>
              <w:bottom w:val="single" w:sz="8" w:color="CCEEFF"/>
            </w:tcBorders>
          </w:tcPr>
          <w:p>
            <w:pPr>
              <w:spacing w:after="0"/>
              <w:rPr>
                <w:sz w:val="19"/>
                <w:szCs w:val="19"/>
                <w:color w:val="auto"/>
              </w:rPr>
            </w:pPr>
          </w:p>
        </w:tc>
        <w:tc>
          <w:tcPr>
            <w:tcW w:w="720" w:type="dxa"/>
            <w:vAlign w:val="bottom"/>
            <w:tcBorders>
              <w:bottom w:val="single" w:sz="8" w:color="CCEEFF"/>
            </w:tcBorders>
          </w:tcPr>
          <w:p>
            <w:pPr>
              <w:spacing w:after="0"/>
              <w:rPr>
                <w:sz w:val="19"/>
                <w:szCs w:val="19"/>
                <w:color w:val="auto"/>
              </w:rPr>
            </w:pPr>
          </w:p>
        </w:tc>
        <w:tc>
          <w:tcPr>
            <w:tcW w:w="260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r>
      <w:tr>
        <w:trPr>
          <w:trHeight w:val="248"/>
        </w:trPr>
        <w:tc>
          <w:tcPr>
            <w:tcW w:w="432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2500" w:type="dxa"/>
            <w:vAlign w:val="bottom"/>
            <w:tcBorders>
              <w:bottom w:val="single" w:sz="8" w:color="auto"/>
            </w:tcBorders>
            <w:shd w:val="clear" w:color="auto" w:fill="CCEEFF"/>
          </w:tcPr>
          <w:p>
            <w:pPr>
              <w:jc w:val="right"/>
              <w:ind w:right="2321"/>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136,878</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26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r>
      <w:tr>
        <w:trPr>
          <w:trHeight w:val="20"/>
        </w:trPr>
        <w:tc>
          <w:tcPr>
            <w:tcW w:w="42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50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tcBorders>
          </w:tcPr>
          <w:p>
            <w:pPr>
              <w:spacing w:after="0" w:line="20" w:lineRule="exact"/>
              <w:rPr>
                <w:sz w:val="1"/>
                <w:szCs w:val="1"/>
                <w:color w:val="auto"/>
              </w:rPr>
            </w:pPr>
          </w:p>
        </w:tc>
        <w:tc>
          <w:tcPr>
            <w:tcW w:w="26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r>
      <w:tr>
        <w:trPr>
          <w:trHeight w:val="784"/>
        </w:trPr>
        <w:tc>
          <w:tcPr>
            <w:tcW w:w="6820" w:type="dxa"/>
            <w:vAlign w:val="bottom"/>
            <w:gridSpan w:val="4"/>
          </w:tcPr>
          <w:p>
            <w:pPr>
              <w:jc w:val="right"/>
              <w:ind w:right="2321"/>
              <w:spacing w:after="0"/>
              <w:rPr>
                <w:sz w:val="20"/>
                <w:szCs w:val="20"/>
                <w:color w:val="auto"/>
              </w:rPr>
            </w:pPr>
            <w:r>
              <w:rPr>
                <w:rFonts w:ascii="Arial" w:cs="Arial" w:eastAsia="Arial" w:hAnsi="Arial"/>
                <w:sz w:val="18"/>
                <w:szCs w:val="18"/>
                <w:color w:val="auto"/>
                <w:w w:val="97"/>
              </w:rPr>
              <w:t>Average lease terms and discount rates were as follows:</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453"/>
        </w:trPr>
        <w:tc>
          <w:tcPr>
            <w:tcW w:w="4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50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5"/>
          </w:tcPr>
          <w:p>
            <w:pPr>
              <w:jc w:val="right"/>
              <w:ind w:right="390"/>
              <w:spacing w:after="0"/>
              <w:rPr>
                <w:sz w:val="20"/>
                <w:szCs w:val="20"/>
                <w:color w:val="auto"/>
              </w:rPr>
            </w:pPr>
            <w:r>
              <w:rPr>
                <w:rFonts w:ascii="Arial" w:cs="Arial" w:eastAsia="Arial" w:hAnsi="Arial"/>
                <w:sz w:val="14"/>
                <w:szCs w:val="14"/>
                <w:b w:val="1"/>
                <w:bCs w:val="1"/>
                <w:color w:val="auto"/>
              </w:rPr>
              <w:t>Year Ended</w:t>
            </w:r>
          </w:p>
        </w:tc>
        <w:tc>
          <w:tcPr>
            <w:tcW w:w="26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35"/>
        </w:trPr>
        <w:tc>
          <w:tcPr>
            <w:tcW w:w="42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500" w:type="dxa"/>
            <w:vAlign w:val="bottom"/>
          </w:tcPr>
          <w:p>
            <w:pPr>
              <w:jc w:val="right"/>
              <w:ind w:right="441"/>
              <w:spacing w:after="0" w:line="135" w:lineRule="exact"/>
              <w:rPr>
                <w:sz w:val="20"/>
                <w:szCs w:val="20"/>
                <w:color w:val="auto"/>
              </w:rPr>
            </w:pPr>
            <w:r>
              <w:rPr>
                <w:rFonts w:ascii="Arial" w:cs="Arial" w:eastAsia="Arial" w:hAnsi="Arial"/>
                <w:sz w:val="14"/>
                <w:szCs w:val="14"/>
                <w:b w:val="1"/>
                <w:bCs w:val="1"/>
                <w:color w:val="auto"/>
              </w:rPr>
              <w:t>January 30,</w:t>
            </w: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600" w:type="dxa"/>
            <w:vAlign w:val="bottom"/>
          </w:tcPr>
          <w:p>
            <w:pPr>
              <w:jc w:val="right"/>
              <w:ind w:right="1235"/>
              <w:spacing w:after="0" w:line="135"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r>
      <w:tr>
        <w:trPr>
          <w:trHeight w:val="188"/>
        </w:trPr>
        <w:tc>
          <w:tcPr>
            <w:tcW w:w="422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2500" w:type="dxa"/>
            <w:vAlign w:val="bottom"/>
            <w:tcBorders>
              <w:bottom w:val="single" w:sz="8" w:color="auto"/>
            </w:tcBorders>
          </w:tcPr>
          <w:p>
            <w:pPr>
              <w:jc w:val="right"/>
              <w:ind w:right="661"/>
              <w:spacing w:after="0"/>
              <w:rPr>
                <w:sz w:val="20"/>
                <w:szCs w:val="20"/>
                <w:color w:val="auto"/>
              </w:rPr>
            </w:pPr>
            <w:r>
              <w:rPr>
                <w:rFonts w:ascii="Arial" w:cs="Arial" w:eastAsia="Arial" w:hAnsi="Arial"/>
                <w:sz w:val="14"/>
                <w:szCs w:val="14"/>
                <w:b w:val="1"/>
                <w:bCs w:val="1"/>
                <w:color w:val="auto"/>
              </w:rPr>
              <w:t>2021</w:t>
            </w:r>
          </w:p>
        </w:tc>
        <w:tc>
          <w:tcPr>
            <w:tcW w:w="8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tcPr>
          <w:p>
            <w:pPr>
              <w:jc w:val="right"/>
              <w:ind w:right="1455"/>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r>
      <w:tr>
        <w:trPr>
          <w:trHeight w:val="224"/>
        </w:trPr>
        <w:tc>
          <w:tcPr>
            <w:tcW w:w="42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Weighted-average remaining lease term (years)</w:t>
            </w:r>
          </w:p>
        </w:tc>
        <w:tc>
          <w:tcPr>
            <w:tcW w:w="80" w:type="dxa"/>
            <w:vAlign w:val="bottom"/>
            <w:shd w:val="clear" w:color="auto" w:fill="CCEEFF"/>
          </w:tcPr>
          <w:p>
            <w:pPr>
              <w:spacing w:after="0"/>
              <w:rPr>
                <w:sz w:val="19"/>
                <w:szCs w:val="19"/>
                <w:color w:val="auto"/>
              </w:rPr>
            </w:pPr>
          </w:p>
        </w:tc>
        <w:tc>
          <w:tcPr>
            <w:tcW w:w="250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2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5.52</w:t>
            </w:r>
          </w:p>
        </w:tc>
        <w:tc>
          <w:tcPr>
            <w:tcW w:w="100" w:type="dxa"/>
            <w:vAlign w:val="bottom"/>
          </w:tcPr>
          <w:p>
            <w:pPr>
              <w:spacing w:after="0"/>
              <w:rPr>
                <w:sz w:val="19"/>
                <w:szCs w:val="19"/>
                <w:color w:val="auto"/>
              </w:rPr>
            </w:pPr>
          </w:p>
        </w:tc>
      </w:tr>
      <w:tr>
        <w:trPr>
          <w:trHeight w:val="230"/>
        </w:trPr>
        <w:tc>
          <w:tcPr>
            <w:tcW w:w="4320" w:type="dxa"/>
            <w:vAlign w:val="bottom"/>
            <w:gridSpan w:val="3"/>
          </w:tcPr>
          <w:p>
            <w:pPr>
              <w:ind w:left="20"/>
              <w:spacing w:after="0"/>
              <w:rPr>
                <w:sz w:val="20"/>
                <w:szCs w:val="20"/>
                <w:color w:val="auto"/>
              </w:rPr>
            </w:pPr>
            <w:r>
              <w:rPr>
                <w:rFonts w:ascii="Arial" w:cs="Arial" w:eastAsia="Arial" w:hAnsi="Arial"/>
                <w:sz w:val="18"/>
                <w:szCs w:val="18"/>
                <w:color w:val="auto"/>
              </w:rPr>
              <w:t>Weighted-average discount rate</w:t>
            </w:r>
          </w:p>
        </w:tc>
        <w:tc>
          <w:tcPr>
            <w:tcW w:w="25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3.85%</w:t>
            </w: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600" w:type="dxa"/>
            <w:vAlign w:val="bottom"/>
          </w:tcPr>
          <w:p>
            <w:pPr>
              <w:jc w:val="right"/>
              <w:spacing w:after="0"/>
              <w:rPr>
                <w:sz w:val="20"/>
                <w:szCs w:val="20"/>
                <w:color w:val="auto"/>
              </w:rPr>
            </w:pPr>
            <w:r>
              <w:rPr>
                <w:rFonts w:ascii="Arial" w:cs="Arial" w:eastAsia="Arial" w:hAnsi="Arial"/>
                <w:sz w:val="18"/>
                <w:szCs w:val="18"/>
                <w:color w:val="auto"/>
              </w:rPr>
              <w:t>3.85%</w:t>
            </w:r>
          </w:p>
        </w:tc>
        <w:tc>
          <w:tcPr>
            <w:tcW w:w="100" w:type="dxa"/>
            <w:vAlign w:val="bottom"/>
          </w:tcPr>
          <w:p>
            <w:pPr>
              <w:spacing w:after="0"/>
              <w:rPr>
                <w:sz w:val="20"/>
                <w:szCs w:val="20"/>
                <w:color w:val="auto"/>
              </w:rPr>
            </w:pPr>
          </w:p>
        </w:tc>
      </w:tr>
    </w:tbl>
    <w:p>
      <w:pPr>
        <w:spacing w:after="0" w:line="200" w:lineRule="exact"/>
        <w:rPr>
          <w:sz w:val="20"/>
          <w:szCs w:val="20"/>
          <w:color w:val="auto"/>
        </w:rPr>
      </w:pPr>
    </w:p>
    <w:p>
      <w:pPr>
        <w:spacing w:after="0" w:line="3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Debt</w:t>
      </w:r>
    </w:p>
    <w:p>
      <w:pPr>
        <w:spacing w:after="0" w:line="121" w:lineRule="exact"/>
        <w:rPr>
          <w:sz w:val="20"/>
          <w:szCs w:val="20"/>
          <w:color w:val="auto"/>
        </w:rPr>
      </w:pPr>
    </w:p>
    <w:p>
      <w:pPr>
        <w:jc w:val="both"/>
        <w:ind w:right="40" w:firstLine="405"/>
        <w:spacing w:after="0" w:line="263" w:lineRule="auto"/>
        <w:rPr>
          <w:sz w:val="20"/>
          <w:szCs w:val="20"/>
          <w:color w:val="auto"/>
        </w:rPr>
      </w:pPr>
      <w:r>
        <w:rPr>
          <w:rFonts w:ascii="Arial" w:cs="Arial" w:eastAsia="Arial" w:hAnsi="Arial"/>
          <w:sz w:val="18"/>
          <w:szCs w:val="18"/>
          <w:color w:val="auto"/>
        </w:rPr>
        <w:t>In connection with the Inphi acquisition, the Company executed a debt agreement in December 2020 to obtain a $875 million 3-year term loan and a $875 million 5-year term loan. The Company also executed a debt agreement to obtain a $750 million revolving credit facility in December 2020. Below is further discussion of the terms of the various debt agreements.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81" w:name="page82"/>
    <w:bookmarkEnd w:id="8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Term Loan Agreement</w:t>
      </w:r>
    </w:p>
    <w:p>
      <w:pPr>
        <w:spacing w:after="0" w:line="117"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In connection with the Inphi acquisition that is expected to close in 2021, on December 7, 2020, the Company entered into a term loan credit agreement with a lending syndicate led by JP Morgan Chase Bank, N.A (the “2020 Term Loan Agreement”) in order to finance the expected merger with Inphi. The 2020 Term Loan Agreement provides for borrowings of up to $1.75 billion consisting of: (i) $875 million loan with a three-year term from the funding date (the “3-Year Tranche Loan”) and (ii) $875 million loan with a five-year term from the funding date (the “5-Year Tranche Loan” and, together with the 3-Year Tranche Loan, the "2020 Term Loans"). The availability and funding of the 2020 Term Loans is subject to satisfaction of customary conditions including the closing of the Inphi Acquisition.</w:t>
      </w:r>
    </w:p>
    <w:p>
      <w:pPr>
        <w:spacing w:after="0" w:line="84" w:lineRule="exact"/>
        <w:rPr>
          <w:sz w:val="20"/>
          <w:szCs w:val="20"/>
          <w:color w:val="auto"/>
        </w:rPr>
      </w:pPr>
    </w:p>
    <w:p>
      <w:pPr>
        <w:ind w:right="120" w:firstLine="405"/>
        <w:spacing w:after="0" w:line="286" w:lineRule="auto"/>
        <w:rPr>
          <w:sz w:val="20"/>
          <w:szCs w:val="20"/>
          <w:color w:val="auto"/>
        </w:rPr>
      </w:pPr>
      <w:r>
        <w:rPr>
          <w:rFonts w:ascii="Arial" w:cs="Arial" w:eastAsia="Arial" w:hAnsi="Arial"/>
          <w:sz w:val="17"/>
          <w:szCs w:val="17"/>
          <w:color w:val="auto"/>
        </w:rPr>
        <w:t>The 3-Year Tranche Loan has a stated floating interest rate which equates to reserve-adjusted LIBOR + 125 bps. The 5-Year Tranche Loan has a stated floating interest rate which equates to reserve-adjusted LIBOR + 137.5 bps. The 2020 Term Loans do not require any scheduled principal payments prior to final maturity but do permit the Company to make early principal payments without premium or penalty.</w:t>
      </w:r>
    </w:p>
    <w:p>
      <w:pPr>
        <w:spacing w:after="0" w:line="57" w:lineRule="exact"/>
        <w:rPr>
          <w:sz w:val="20"/>
          <w:szCs w:val="20"/>
          <w:color w:val="auto"/>
        </w:rPr>
      </w:pPr>
    </w:p>
    <w:p>
      <w:pPr>
        <w:ind w:firstLine="405"/>
        <w:spacing w:after="0" w:line="301" w:lineRule="auto"/>
        <w:rPr>
          <w:sz w:val="20"/>
          <w:szCs w:val="20"/>
          <w:color w:val="auto"/>
        </w:rPr>
      </w:pPr>
      <w:r>
        <w:rPr>
          <w:rFonts w:ascii="Arial" w:cs="Arial" w:eastAsia="Arial" w:hAnsi="Arial"/>
          <w:sz w:val="16"/>
          <w:szCs w:val="16"/>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January 30, 2021, the Company had not yet borrowed from the 2020 Term Loans.</w:t>
      </w:r>
    </w:p>
    <w:p>
      <w:pPr>
        <w:spacing w:after="0" w:line="4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December 7, 2020, the Company entered into a revolving line of credit agreement (“2020 Revolving Credit Facility”) with a lending syndicate led</w:t>
      </w:r>
    </w:p>
    <w:p>
      <w:pPr>
        <w:spacing w:after="0" w:line="73"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by JP Morgan Chase Bank, N.A for borrowings of up to $750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As of January 30, 2021, the 2020 Revolving Credit Facility is undrawn and will be available for draw down through December 7, 2025. An unused commitment fee is payable quarterly based on unused balances at a rate that is based on the ratings of the Company's senior unsecured long-term indebtedness. This annual rate was 0.175% at January 30, 2021.</w:t>
      </w:r>
    </w:p>
    <w:p>
      <w:pPr>
        <w:spacing w:after="0" w:line="87"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w:t>
      </w:r>
    </w:p>
    <w:p>
      <w:pPr>
        <w:spacing w:after="0" w:line="187" w:lineRule="exact"/>
        <w:rPr>
          <w:sz w:val="20"/>
          <w:szCs w:val="20"/>
          <w:color w:val="auto"/>
        </w:rPr>
      </w:pPr>
    </w:p>
    <w:p>
      <w:pPr>
        <w:jc w:val="both"/>
        <w:ind w:right="180" w:firstLine="405"/>
        <w:spacing w:after="0" w:line="263" w:lineRule="auto"/>
        <w:rPr>
          <w:sz w:val="20"/>
          <w:szCs w:val="20"/>
          <w:color w:val="auto"/>
        </w:rPr>
      </w:pPr>
      <w:r>
        <w:rPr>
          <w:rFonts w:ascii="Arial" w:cs="Arial" w:eastAsia="Arial" w:hAnsi="Arial"/>
          <w:sz w:val="18"/>
          <w:szCs w:val="18"/>
          <w:color w:val="auto"/>
        </w:rPr>
        <w:t>In connection with the Cavium acquisition, the Company executed debt agreements in June 2018 to obtain a $900 million term loan, a $500 million revolving credit facility and $1.0 billion of senior unsecured notes. The $500 million revolving credit facility was replaced by the 2020 Revolving Credit Facility in December 2020.</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2018 Term Loan and 2018 Revolving Credit Facility</w:t>
      </w:r>
    </w:p>
    <w:p>
      <w:pPr>
        <w:spacing w:after="0" w:line="117" w:lineRule="exact"/>
        <w:rPr>
          <w:sz w:val="20"/>
          <w:szCs w:val="20"/>
          <w:color w:val="auto"/>
        </w:rPr>
      </w:pPr>
    </w:p>
    <w:p>
      <w:pPr>
        <w:ind w:right="20" w:firstLine="405"/>
        <w:spacing w:after="0" w:line="275" w:lineRule="auto"/>
        <w:rPr>
          <w:sz w:val="20"/>
          <w:szCs w:val="20"/>
          <w:color w:val="auto"/>
        </w:rPr>
      </w:pPr>
      <w:r>
        <w:rPr>
          <w:rFonts w:ascii="Arial" w:cs="Arial" w:eastAsia="Arial" w:hAnsi="Arial"/>
          <w:sz w:val="17"/>
          <w:szCs w:val="17"/>
          <w:color w:val="auto"/>
        </w:rPr>
        <w:t>On June 13, 2018, the Company entered into a credit agreement (“2018 Credit Agreement”) with twelve lenders. The 2018 Credit Agreement provides for borrowings of: (i) up to $500 million in the form of a revolving line of credit (the “2018 Revolving Credit Facility”) and (ii) $900 million in the form of a term loan (the “2018 Term Loan”). The proceeds of the 2018 Term Loan were used to fund a portion of the cash consideration for the Cavium acquisition, repay Cavium’s debt, and pay transaction expenses in connection with the Cavium acquisition. On December 7, 2020, the 2018 Revolving Credit Facility under the 2018 Credit Agreement was terminated and replaced by the 2020 Revolving Credit Facility.</w:t>
      </w:r>
    </w:p>
    <w:p>
      <w:pPr>
        <w:spacing w:after="0" w:line="6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The 2018 Term Loan has a three-year term which matures on July 6, 2021 and has a stated floating interest rate which equates to reserve-adjusted LIBOR plus a margin based on the Company's unsecured credit ratings. The effective interest rate for the 2018 Term Loan was 3.793% as of January 30, 2021. The 2018 Term Loan does not require any scheduled principal payments prior to final maturity but does permit the Company to make early principal payments without premium or penalty. During the year ended January 30, 2021 the Company repaid $250 million of the principal outstanding, and wrote off $0.7 million of associated unamortized debt issuance costs.</w:t>
      </w: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2" w:name="page83"/>
    <w:bookmarkEnd w:id="8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The 2018 Credit Agreement requires that the Company and its subsidiaries comply, subject to certain exceptions, with covenants relating to customary matters such as creating or permitting certain liens, entering into sale and leaseback transactions, and consolidating, merging, liquidating or dissolving. It also prohibits subsidiaries of the Company from incurring additional indebtedness and requires the Company to comply with a leverage ratio financial covenant as of the end of any fiscal quarter. As of January 30, 2021, the Company was in compliance with all of its debt covenants applicable to its credit agreements.</w:t>
      </w:r>
    </w:p>
    <w:p>
      <w:pPr>
        <w:spacing w:after="0" w:line="80" w:lineRule="exact"/>
        <w:rPr>
          <w:sz w:val="20"/>
          <w:szCs w:val="20"/>
          <w:color w:val="auto"/>
        </w:rPr>
      </w:pPr>
    </w:p>
    <w:p>
      <w:pPr>
        <w:ind w:right="220" w:firstLine="405"/>
        <w:spacing w:after="0" w:line="259" w:lineRule="auto"/>
        <w:rPr>
          <w:sz w:val="20"/>
          <w:szCs w:val="20"/>
          <w:color w:val="auto"/>
        </w:rPr>
      </w:pPr>
      <w:r>
        <w:rPr>
          <w:rFonts w:ascii="Arial" w:cs="Arial" w:eastAsia="Arial" w:hAnsi="Arial"/>
          <w:sz w:val="18"/>
          <w:szCs w:val="18"/>
          <w:color w:val="auto"/>
        </w:rPr>
        <w:t>The Company currently carries debt, in the form of the 2018 Term Loan, that relies on LIBOR as the benchmark rate. LIBOR is expected to be phased out as a benchmark rate starting at the end of 2021. The 2018 Term Loan will mature before the initial phase out of LIBOR. To the extent LIBOR ceases to exist, the 2020 Term Loan and 2020 Revolving Credit Facility agreements contemplate an alternative benchmark rate without the need for any amendment thereto.</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On June 22, 2018, the Company completed a public offering of (i)$500.0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76"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The 2023 Notes mature on June 22, 2023 and the 2028 Notes mature on June 22, 2028. The stated and effective interest rates for the 2023 Notes are 4.200% and 4.423%, respectively. The stated and effective interest rates for the 2028 Notes are 4.875% and 5.012%, respectively. The Company may redeem the Senior Notes, in whole or in part, at any time prior to their maturity at the redemption prices set forth in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January 30, 2021 and February 1, 2020 (in thousands):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120" w:type="dxa"/>
            <w:vAlign w:val="bottom"/>
            <w:gridSpan w:val="2"/>
          </w:tcPr>
          <w:p>
            <w:pPr>
              <w:ind w:left="280"/>
              <w:spacing w:after="0"/>
              <w:rPr>
                <w:sz w:val="20"/>
                <w:szCs w:val="20"/>
                <w:color w:val="auto"/>
              </w:rPr>
            </w:pPr>
            <w:r>
              <w:rPr>
                <w:rFonts w:ascii="Arial" w:cs="Arial" w:eastAsia="Arial" w:hAnsi="Arial"/>
                <w:sz w:val="14"/>
                <w:szCs w:val="14"/>
                <w:b w:val="1"/>
                <w:bCs w:val="1"/>
                <w:color w:val="auto"/>
              </w:rPr>
              <w:t>January 30, 2021</w:t>
            </w:r>
          </w:p>
        </w:tc>
        <w:tc>
          <w:tcPr>
            <w:tcW w:w="400" w:type="dxa"/>
            <w:vAlign w:val="bottom"/>
          </w:tcPr>
          <w:p>
            <w:pPr>
              <w:spacing w:after="0"/>
              <w:rPr>
                <w:sz w:val="16"/>
                <w:szCs w:val="16"/>
                <w:color w:val="auto"/>
              </w:rPr>
            </w:pPr>
          </w:p>
        </w:tc>
        <w:tc>
          <w:tcPr>
            <w:tcW w:w="2020" w:type="dxa"/>
            <w:vAlign w:val="bottom"/>
          </w:tcPr>
          <w:p>
            <w:pPr>
              <w:jc w:val="right"/>
              <w:ind w:right="592"/>
              <w:spacing w:after="0"/>
              <w:rPr>
                <w:sz w:val="20"/>
                <w:szCs w:val="20"/>
                <w:color w:val="auto"/>
              </w:rPr>
            </w:pPr>
            <w:r>
              <w:rPr>
                <w:rFonts w:ascii="Arial" w:cs="Arial" w:eastAsia="Arial" w:hAnsi="Arial"/>
                <w:sz w:val="14"/>
                <w:szCs w:val="14"/>
                <w:b w:val="1"/>
                <w:bCs w:val="1"/>
                <w:color w:val="auto"/>
              </w:rPr>
              <w:t>February 1, 2020</w:t>
            </w:r>
          </w:p>
        </w:tc>
      </w:tr>
      <w:tr>
        <w:trPr>
          <w:trHeight w:val="215"/>
        </w:trPr>
        <w:tc>
          <w:tcPr>
            <w:tcW w:w="63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380" w:type="dxa"/>
            <w:vAlign w:val="bottom"/>
            <w:tcBorders>
              <w:top w:val="single" w:sz="8" w:color="auto"/>
            </w:tcBorders>
            <w:shd w:val="clear" w:color="auto" w:fill="CCEEFF"/>
          </w:tcPr>
          <w:p>
            <w:pPr>
              <w:spacing w:after="0"/>
              <w:rPr>
                <w:sz w:val="18"/>
                <w:szCs w:val="18"/>
                <w:color w:val="auto"/>
              </w:rPr>
            </w:pPr>
          </w:p>
        </w:tc>
        <w:tc>
          <w:tcPr>
            <w:tcW w:w="20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2020" w:type="dxa"/>
            <w:vAlign w:val="bottom"/>
            <w:tcBorders>
              <w:top w:val="single" w:sz="8" w:color="auto"/>
            </w:tcBorders>
            <w:shd w:val="clear" w:color="auto" w:fill="CCEEFF"/>
          </w:tcPr>
          <w:p>
            <w:pPr>
              <w:spacing w:after="0"/>
              <w:rPr>
                <w:sz w:val="18"/>
                <w:szCs w:val="18"/>
                <w:color w:val="auto"/>
              </w:rPr>
            </w:pPr>
          </w:p>
        </w:tc>
      </w:tr>
      <w:tr>
        <w:trPr>
          <w:trHeight w:val="230"/>
        </w:trPr>
        <w:tc>
          <w:tcPr>
            <w:tcW w:w="6320" w:type="dxa"/>
            <w:vAlign w:val="bottom"/>
          </w:tcPr>
          <w:p>
            <w:pPr>
              <w:ind w:left="20"/>
              <w:spacing w:after="0"/>
              <w:rPr>
                <w:sz w:val="20"/>
                <w:szCs w:val="20"/>
                <w:color w:val="auto"/>
              </w:rPr>
            </w:pPr>
            <w:r>
              <w:rPr>
                <w:rFonts w:ascii="Arial" w:cs="Arial" w:eastAsia="Arial" w:hAnsi="Arial"/>
                <w:sz w:val="18"/>
                <w:szCs w:val="18"/>
                <w:color w:val="auto"/>
              </w:rPr>
              <w:t>Term Loan</w:t>
            </w:r>
          </w:p>
        </w:tc>
        <w:tc>
          <w:tcPr>
            <w:tcW w:w="380" w:type="dxa"/>
            <w:vAlign w:val="bottom"/>
          </w:tcPr>
          <w:p>
            <w:pPr>
              <w:jc w:val="right"/>
              <w:ind w:right="190"/>
              <w:spacing w:after="0"/>
              <w:rPr>
                <w:sz w:val="20"/>
                <w:szCs w:val="20"/>
                <w:color w:val="auto"/>
              </w:rPr>
            </w:pPr>
            <w:r>
              <w:rPr>
                <w:rFonts w:ascii="Arial" w:cs="Arial" w:eastAsia="Arial" w:hAnsi="Arial"/>
                <w:sz w:val="18"/>
                <w:szCs w:val="18"/>
                <w:color w:val="auto"/>
                <w:w w:val="79"/>
              </w:rPr>
              <w:t>$</w:t>
            </w:r>
          </w:p>
        </w:tc>
        <w:tc>
          <w:tcPr>
            <w:tcW w:w="2020" w:type="dxa"/>
            <w:vAlign w:val="bottom"/>
          </w:tcPr>
          <w:p>
            <w:pPr>
              <w:jc w:val="right"/>
              <w:spacing w:after="0"/>
              <w:rPr>
                <w:sz w:val="20"/>
                <w:szCs w:val="20"/>
                <w:color w:val="auto"/>
              </w:rPr>
            </w:pPr>
            <w:r>
              <w:rPr>
                <w:rFonts w:ascii="Arial" w:cs="Arial" w:eastAsia="Arial" w:hAnsi="Arial"/>
                <w:sz w:val="18"/>
                <w:szCs w:val="18"/>
                <w:color w:val="auto"/>
              </w:rPr>
              <w:t>200,000</w:t>
            </w:r>
          </w:p>
        </w:tc>
        <w:tc>
          <w:tcPr>
            <w:tcW w:w="100" w:type="dxa"/>
            <w:vAlign w:val="bottom"/>
          </w:tcPr>
          <w:p>
            <w:pPr>
              <w:spacing w:after="0"/>
              <w:rPr>
                <w:sz w:val="19"/>
                <w:szCs w:val="19"/>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2020" w:type="dxa"/>
            <w:vAlign w:val="bottom"/>
          </w:tcPr>
          <w:p>
            <w:pPr>
              <w:jc w:val="right"/>
              <w:spacing w:after="0"/>
              <w:rPr>
                <w:sz w:val="20"/>
                <w:szCs w:val="20"/>
                <w:color w:val="auto"/>
              </w:rPr>
            </w:pPr>
            <w:r>
              <w:rPr>
                <w:rFonts w:ascii="Arial" w:cs="Arial" w:eastAsia="Arial" w:hAnsi="Arial"/>
                <w:sz w:val="18"/>
                <w:szCs w:val="18"/>
                <w:color w:val="auto"/>
              </w:rPr>
              <w:t>450,000</w:t>
            </w:r>
          </w:p>
        </w:tc>
      </w:tr>
      <w:tr>
        <w:trPr>
          <w:trHeight w:val="230"/>
        </w:trPr>
        <w:tc>
          <w:tcPr>
            <w:tcW w:w="6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38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10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30"/>
        </w:trPr>
        <w:tc>
          <w:tcPr>
            <w:tcW w:w="63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2028 Notes</w:t>
            </w:r>
          </w:p>
        </w:tc>
        <w:tc>
          <w:tcPr>
            <w:tcW w:w="38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c>
          <w:tcPr>
            <w:tcW w:w="10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r>
      <w:tr>
        <w:trPr>
          <w:trHeight w:val="223"/>
        </w:trPr>
        <w:tc>
          <w:tcPr>
            <w:tcW w:w="6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38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c>
          <w:tcPr>
            <w:tcW w:w="10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1,450,000</w:t>
            </w:r>
          </w:p>
        </w:tc>
      </w:tr>
      <w:tr>
        <w:trPr>
          <w:trHeight w:val="230"/>
        </w:trPr>
        <w:tc>
          <w:tcPr>
            <w:tcW w:w="63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38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(7,189)</w:t>
            </w:r>
          </w:p>
        </w:tc>
        <w:tc>
          <w:tcPr>
            <w:tcW w:w="10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(10,976)</w:t>
            </w:r>
          </w:p>
        </w:tc>
      </w:tr>
      <w:tr>
        <w:trPr>
          <w:trHeight w:val="223"/>
        </w:trPr>
        <w:tc>
          <w:tcPr>
            <w:tcW w:w="6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38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1,192,811</w:t>
            </w:r>
          </w:p>
        </w:tc>
        <w:tc>
          <w:tcPr>
            <w:tcW w:w="10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30"/>
        </w:trPr>
        <w:tc>
          <w:tcPr>
            <w:tcW w:w="63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Less: Current portion</w:t>
            </w:r>
          </w:p>
        </w:tc>
        <w:tc>
          <w:tcPr>
            <w:tcW w:w="38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c>
          <w:tcPr>
            <w:tcW w:w="10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48"/>
        </w:trPr>
        <w:tc>
          <w:tcPr>
            <w:tcW w:w="6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2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993,170</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2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0"/>
        </w:trPr>
        <w:tc>
          <w:tcPr>
            <w:tcW w:w="63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2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20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both"/>
        <w:ind w:right="280" w:firstLine="405"/>
        <w:spacing w:after="0" w:line="263" w:lineRule="auto"/>
        <w:rPr>
          <w:sz w:val="20"/>
          <w:szCs w:val="20"/>
          <w:color w:val="auto"/>
        </w:rPr>
      </w:pPr>
      <w:r>
        <w:rPr>
          <w:rFonts w:ascii="Arial" w:cs="Arial" w:eastAsia="Arial" w:hAnsi="Arial"/>
          <w:sz w:val="18"/>
          <w:szCs w:val="18"/>
          <w:color w:val="auto"/>
        </w:rPr>
        <w:t>During fiscal 2021 and fiscal 2020, the Company recognized $56.8 million and $79.8 million of interest expense, respectively, in its consolidated statements of operations related to interest, amortization of debt issuance costs and accretion of discount associated with the outstanding Term Loan and Senior Notes.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3" w:name="page84"/>
    <w:bookmarkEnd w:id="8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January 30, 2021, the aggregate future contractual maturities of the Company's outstanding debt, at face value, were as follows (in thousands):</w:t>
      </w:r>
    </w:p>
    <w:p>
      <w:pPr>
        <w:spacing w:after="0" w:line="172"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50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Borders>
              <w:top w:val="single" w:sz="8" w:color="CCEEFF"/>
            </w:tcBorders>
            <w:shd w:val="clear" w:color="auto" w:fill="CCEEFF"/>
          </w:tcPr>
          <w:p>
            <w:pPr>
              <w:spacing w:after="0"/>
              <w:rPr>
                <w:sz w:val="19"/>
                <w:szCs w:val="19"/>
                <w:color w:val="auto"/>
              </w:rPr>
            </w:pPr>
          </w:p>
        </w:tc>
        <w:tc>
          <w:tcPr>
            <w:tcW w:w="86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200,000</w:t>
            </w:r>
          </w:p>
        </w:tc>
      </w:tr>
      <w:tr>
        <w:trPr>
          <w:trHeight w:val="229"/>
        </w:trPr>
        <w:tc>
          <w:tcPr>
            <w:tcW w:w="730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29"/>
        </w:trPr>
        <w:tc>
          <w:tcPr>
            <w:tcW w:w="730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50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r>
      <w:tr>
        <w:trPr>
          <w:trHeight w:val="223"/>
        </w:trPr>
        <w:tc>
          <w:tcPr>
            <w:tcW w:w="7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r>
    </w:tbl>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117"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significant in the periods presented.</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Technology License Commitments</w:t>
      </w:r>
    </w:p>
    <w:p>
      <w:pPr>
        <w:spacing w:after="0" w:line="117"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Company purchases certain intellectual property under technology license obligations. Future payments under technology license obligations as of January 30, 2021, are presented in the following tables (in thousands):</w:t>
      </w:r>
    </w:p>
    <w:p>
      <w:pPr>
        <w:spacing w:after="0" w:line="7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100" w:type="dxa"/>
            <w:vAlign w:val="bottom"/>
          </w:tcPr>
          <w:p>
            <w:pPr>
              <w:jc w:val="center"/>
              <w:ind w:right="474"/>
              <w:spacing w:after="0"/>
              <w:rPr>
                <w:sz w:val="20"/>
                <w:szCs w:val="20"/>
                <w:color w:val="auto"/>
              </w:rPr>
            </w:pPr>
            <w:r>
              <w:rPr>
                <w:rFonts w:ascii="Arial" w:cs="Arial" w:eastAsia="Arial" w:hAnsi="Arial"/>
                <w:sz w:val="14"/>
                <w:szCs w:val="14"/>
                <w:b w:val="1"/>
                <w:bCs w:val="1"/>
                <w:color w:val="auto"/>
                <w:w w:val="89"/>
              </w:rPr>
              <w:t>Technology</w:t>
            </w:r>
          </w:p>
        </w:tc>
        <w:tc>
          <w:tcPr>
            <w:tcW w:w="0" w:type="dxa"/>
            <w:vAlign w:val="bottom"/>
          </w:tcPr>
          <w:p>
            <w:pPr>
              <w:spacing w:after="0"/>
              <w:rPr>
                <w:sz w:val="1"/>
                <w:szCs w:val="1"/>
                <w:color w:val="auto"/>
              </w:rPr>
            </w:pPr>
          </w:p>
        </w:tc>
      </w:tr>
      <w:tr>
        <w:trPr>
          <w:trHeight w:val="135"/>
        </w:trPr>
        <w:tc>
          <w:tcPr>
            <w:tcW w:w="86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Fiscal Year</w:t>
            </w:r>
          </w:p>
        </w:tc>
        <w:tc>
          <w:tcPr>
            <w:tcW w:w="540" w:type="dxa"/>
            <w:vAlign w:val="bottom"/>
          </w:tcPr>
          <w:p>
            <w:pPr>
              <w:spacing w:after="0"/>
              <w:rPr>
                <w:sz w:val="11"/>
                <w:szCs w:val="11"/>
                <w:color w:val="auto"/>
              </w:rPr>
            </w:pPr>
          </w:p>
        </w:tc>
        <w:tc>
          <w:tcPr>
            <w:tcW w:w="2100" w:type="dxa"/>
            <w:vAlign w:val="bottom"/>
          </w:tcPr>
          <w:p>
            <w:pPr>
              <w:jc w:val="center"/>
              <w:ind w:right="474"/>
              <w:spacing w:after="0" w:line="135" w:lineRule="exact"/>
              <w:rPr>
                <w:sz w:val="20"/>
                <w:szCs w:val="20"/>
                <w:color w:val="auto"/>
              </w:rPr>
            </w:pPr>
            <w:r>
              <w:rPr>
                <w:rFonts w:ascii="Arial" w:cs="Arial" w:eastAsia="Arial" w:hAnsi="Arial"/>
                <w:sz w:val="14"/>
                <w:szCs w:val="14"/>
                <w:b w:val="1"/>
                <w:bCs w:val="1"/>
                <w:color w:val="auto"/>
                <w:w w:val="88"/>
              </w:rPr>
              <w:t>License</w:t>
            </w:r>
          </w:p>
        </w:tc>
        <w:tc>
          <w:tcPr>
            <w:tcW w:w="0" w:type="dxa"/>
            <w:vAlign w:val="bottom"/>
          </w:tcPr>
          <w:p>
            <w:pPr>
              <w:spacing w:after="0"/>
              <w:rPr>
                <w:sz w:val="1"/>
                <w:szCs w:val="1"/>
                <w:color w:val="auto"/>
              </w:rPr>
            </w:pPr>
          </w:p>
        </w:tc>
      </w:tr>
      <w:tr>
        <w:trPr>
          <w:trHeight w:val="188"/>
        </w:trPr>
        <w:tc>
          <w:tcPr>
            <w:tcW w:w="8600" w:type="dxa"/>
            <w:vAlign w:val="bottom"/>
            <w:gridSpan w:val="2"/>
            <w:vMerge w:val="continue"/>
          </w:tcPr>
          <w:p>
            <w:pPr>
              <w:spacing w:after="0"/>
              <w:rPr>
                <w:sz w:val="16"/>
                <w:szCs w:val="16"/>
                <w:color w:val="auto"/>
              </w:rPr>
            </w:pPr>
          </w:p>
        </w:tc>
        <w:tc>
          <w:tcPr>
            <w:tcW w:w="540" w:type="dxa"/>
            <w:vAlign w:val="bottom"/>
          </w:tcPr>
          <w:p>
            <w:pPr>
              <w:spacing w:after="0"/>
              <w:rPr>
                <w:sz w:val="16"/>
                <w:szCs w:val="16"/>
                <w:color w:val="auto"/>
              </w:rPr>
            </w:pPr>
          </w:p>
        </w:tc>
        <w:tc>
          <w:tcPr>
            <w:tcW w:w="2100" w:type="dxa"/>
            <w:vAlign w:val="bottom"/>
          </w:tcPr>
          <w:p>
            <w:pPr>
              <w:jc w:val="center"/>
              <w:ind w:right="454"/>
              <w:spacing w:after="0"/>
              <w:rPr>
                <w:sz w:val="20"/>
                <w:szCs w:val="20"/>
                <w:color w:val="auto"/>
              </w:rPr>
            </w:pPr>
            <w:r>
              <w:rPr>
                <w:rFonts w:ascii="Arial" w:cs="Arial" w:eastAsia="Arial" w:hAnsi="Arial"/>
                <w:sz w:val="14"/>
                <w:szCs w:val="14"/>
                <w:b w:val="1"/>
                <w:bCs w:val="1"/>
                <w:color w:val="auto"/>
                <w:w w:val="93"/>
              </w:rPr>
              <w:t>Obligations</w:t>
            </w:r>
          </w:p>
        </w:tc>
        <w:tc>
          <w:tcPr>
            <w:tcW w:w="0" w:type="dxa"/>
            <w:vAlign w:val="bottom"/>
          </w:tcPr>
          <w:p>
            <w:pPr>
              <w:spacing w:after="0"/>
              <w:rPr>
                <w:sz w:val="1"/>
                <w:szCs w:val="1"/>
                <w:color w:val="auto"/>
              </w:rPr>
            </w:pPr>
          </w:p>
        </w:tc>
      </w:tr>
      <w:tr>
        <w:trPr>
          <w:trHeight w:val="224"/>
        </w:trPr>
        <w:tc>
          <w:tcPr>
            <w:tcW w:w="84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Borders>
              <w:top w:val="single" w:sz="8" w:color="CCEEFF"/>
            </w:tcBorders>
            <w:shd w:val="clear" w:color="auto" w:fill="CCEEFF"/>
          </w:tcPr>
          <w:p>
            <w:pPr>
              <w:spacing w:after="0"/>
              <w:rPr>
                <w:sz w:val="19"/>
                <w:szCs w:val="19"/>
                <w:color w:val="auto"/>
              </w:rPr>
            </w:pPr>
          </w:p>
        </w:tc>
        <w:tc>
          <w:tcPr>
            <w:tcW w:w="540" w:type="dxa"/>
            <w:vAlign w:val="bottom"/>
            <w:tcBorders>
              <w:top w:val="single" w:sz="8" w:color="auto"/>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83,919</w:t>
            </w:r>
          </w:p>
        </w:tc>
        <w:tc>
          <w:tcPr>
            <w:tcW w:w="0" w:type="dxa"/>
            <w:vAlign w:val="bottom"/>
          </w:tcPr>
          <w:p>
            <w:pPr>
              <w:spacing w:after="0"/>
              <w:rPr>
                <w:sz w:val="1"/>
                <w:szCs w:val="1"/>
                <w:color w:val="auto"/>
              </w:rPr>
            </w:pPr>
          </w:p>
        </w:tc>
      </w:tr>
      <w:tr>
        <w:trPr>
          <w:trHeight w:val="230"/>
        </w:trPr>
        <w:tc>
          <w:tcPr>
            <w:tcW w:w="840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61,876</w:t>
            </w:r>
          </w:p>
        </w:tc>
        <w:tc>
          <w:tcPr>
            <w:tcW w:w="0" w:type="dxa"/>
            <w:vAlign w:val="bottom"/>
          </w:tcPr>
          <w:p>
            <w:pPr>
              <w:spacing w:after="0"/>
              <w:rPr>
                <w:sz w:val="1"/>
                <w:szCs w:val="1"/>
                <w:color w:val="auto"/>
              </w:rPr>
            </w:pPr>
          </w:p>
        </w:tc>
      </w:tr>
      <w:tr>
        <w:trPr>
          <w:trHeight w:val="230"/>
        </w:trPr>
        <w:tc>
          <w:tcPr>
            <w:tcW w:w="8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49,147</w:t>
            </w:r>
          </w:p>
        </w:tc>
        <w:tc>
          <w:tcPr>
            <w:tcW w:w="0" w:type="dxa"/>
            <w:vAlign w:val="bottom"/>
          </w:tcPr>
          <w:p>
            <w:pPr>
              <w:spacing w:after="0"/>
              <w:rPr>
                <w:sz w:val="1"/>
                <w:szCs w:val="1"/>
                <w:color w:val="auto"/>
              </w:rPr>
            </w:pPr>
          </w:p>
        </w:tc>
      </w:tr>
      <w:tr>
        <w:trPr>
          <w:trHeight w:val="229"/>
        </w:trPr>
        <w:tc>
          <w:tcPr>
            <w:tcW w:w="840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309</w:t>
            </w:r>
          </w:p>
        </w:tc>
        <w:tc>
          <w:tcPr>
            <w:tcW w:w="0" w:type="dxa"/>
            <w:vAlign w:val="bottom"/>
          </w:tcPr>
          <w:p>
            <w:pPr>
              <w:spacing w:after="0"/>
              <w:rPr>
                <w:sz w:val="1"/>
                <w:szCs w:val="1"/>
                <w:color w:val="auto"/>
              </w:rPr>
            </w:pPr>
          </w:p>
        </w:tc>
      </w:tr>
      <w:tr>
        <w:trPr>
          <w:trHeight w:val="230"/>
        </w:trPr>
        <w:tc>
          <w:tcPr>
            <w:tcW w:w="8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0" w:type="dxa"/>
            <w:vAlign w:val="bottom"/>
          </w:tcPr>
          <w:p>
            <w:pPr>
              <w:spacing w:after="0"/>
              <w:rPr>
                <w:sz w:val="1"/>
                <w:szCs w:val="1"/>
                <w:color w:val="auto"/>
              </w:rPr>
            </w:pPr>
          </w:p>
        </w:tc>
      </w:tr>
      <w:tr>
        <w:trPr>
          <w:trHeight w:val="230"/>
        </w:trPr>
        <w:tc>
          <w:tcPr>
            <w:tcW w:w="860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540" w:type="dxa"/>
            <w:vAlign w:val="bottom"/>
            <w:tcBorders>
              <w:bottom w:val="single" w:sz="8" w:color="auto"/>
            </w:tcBorders>
          </w:tcPr>
          <w:p>
            <w:pPr>
              <w:spacing w:after="0"/>
              <w:rPr>
                <w:sz w:val="19"/>
                <w:szCs w:val="19"/>
                <w:color w:val="auto"/>
              </w:rPr>
            </w:pPr>
          </w:p>
        </w:tc>
        <w:tc>
          <w:tcPr>
            <w:tcW w:w="2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86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future minimum payments</w:t>
            </w: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195,560</w:t>
            </w:r>
          </w:p>
        </w:tc>
        <w:tc>
          <w:tcPr>
            <w:tcW w:w="0" w:type="dxa"/>
            <w:vAlign w:val="bottom"/>
          </w:tcPr>
          <w:p>
            <w:pPr>
              <w:spacing w:after="0"/>
              <w:rPr>
                <w:sz w:val="1"/>
                <w:szCs w:val="1"/>
                <w:color w:val="auto"/>
              </w:rPr>
            </w:pPr>
          </w:p>
        </w:tc>
      </w:tr>
      <w:tr>
        <w:trPr>
          <w:trHeight w:val="230"/>
        </w:trPr>
        <w:tc>
          <w:tcPr>
            <w:tcW w:w="8600" w:type="dxa"/>
            <w:vAlign w:val="bottom"/>
            <w:tcBorders>
              <w:bottom w:val="single" w:sz="8" w:color="CCEEFF"/>
            </w:tcBorders>
            <w:gridSpan w:val="2"/>
          </w:tcPr>
          <w:p>
            <w:pPr>
              <w:ind w:left="680"/>
              <w:spacing w:after="0"/>
              <w:rPr>
                <w:sz w:val="20"/>
                <w:szCs w:val="20"/>
                <w:color w:val="auto"/>
              </w:rPr>
            </w:pPr>
            <w:r>
              <w:rPr>
                <w:rFonts w:ascii="Arial" w:cs="Arial" w:eastAsia="Arial" w:hAnsi="Arial"/>
                <w:sz w:val="18"/>
                <w:szCs w:val="18"/>
                <w:color w:val="auto"/>
              </w:rPr>
              <w:t>Less: amount representing interest</w:t>
            </w:r>
          </w:p>
        </w:tc>
        <w:tc>
          <w:tcPr>
            <w:tcW w:w="540" w:type="dxa"/>
            <w:vAlign w:val="bottom"/>
            <w:tcBorders>
              <w:bottom w:val="single" w:sz="8" w:color="auto"/>
            </w:tcBorders>
          </w:tcPr>
          <w:p>
            <w:pPr>
              <w:spacing w:after="0"/>
              <w:rPr>
                <w:sz w:val="19"/>
                <w:szCs w:val="19"/>
                <w:color w:val="auto"/>
              </w:rPr>
            </w:pPr>
          </w:p>
        </w:tc>
        <w:tc>
          <w:tcPr>
            <w:tcW w:w="2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(6,691)</w:t>
            </w:r>
          </w:p>
        </w:tc>
        <w:tc>
          <w:tcPr>
            <w:tcW w:w="0" w:type="dxa"/>
            <w:vAlign w:val="bottom"/>
          </w:tcPr>
          <w:p>
            <w:pPr>
              <w:spacing w:after="0"/>
              <w:rPr>
                <w:sz w:val="1"/>
                <w:szCs w:val="1"/>
                <w:color w:val="auto"/>
              </w:rPr>
            </w:pPr>
          </w:p>
        </w:tc>
      </w:tr>
      <w:tr>
        <w:trPr>
          <w:trHeight w:val="223"/>
        </w:trPr>
        <w:tc>
          <w:tcPr>
            <w:tcW w:w="86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future minimum payments</w:t>
            </w: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188,869</w:t>
            </w:r>
          </w:p>
        </w:tc>
        <w:tc>
          <w:tcPr>
            <w:tcW w:w="0" w:type="dxa"/>
            <w:vAlign w:val="bottom"/>
          </w:tcPr>
          <w:p>
            <w:pPr>
              <w:spacing w:after="0"/>
              <w:rPr>
                <w:sz w:val="1"/>
                <w:szCs w:val="1"/>
                <w:color w:val="auto"/>
              </w:rPr>
            </w:pPr>
          </w:p>
        </w:tc>
      </w:tr>
      <w:tr>
        <w:trPr>
          <w:trHeight w:val="230"/>
        </w:trPr>
        <w:tc>
          <w:tcPr>
            <w:tcW w:w="8600" w:type="dxa"/>
            <w:vAlign w:val="bottom"/>
            <w:tcBorders>
              <w:bottom w:val="single" w:sz="8" w:color="CCEEFF"/>
            </w:tcBorders>
            <w:gridSpan w:val="2"/>
          </w:tcPr>
          <w:p>
            <w:pPr>
              <w:ind w:left="680"/>
              <w:spacing w:after="0"/>
              <w:rPr>
                <w:sz w:val="20"/>
                <w:szCs w:val="20"/>
                <w:color w:val="auto"/>
              </w:rPr>
            </w:pPr>
            <w:r>
              <w:rPr>
                <w:rFonts w:ascii="Arial" w:cs="Arial" w:eastAsia="Arial" w:hAnsi="Arial"/>
                <w:sz w:val="18"/>
                <w:szCs w:val="18"/>
                <w:color w:val="auto"/>
              </w:rPr>
              <w:t>Less: current portion</w:t>
            </w:r>
          </w:p>
        </w:tc>
        <w:tc>
          <w:tcPr>
            <w:tcW w:w="540" w:type="dxa"/>
            <w:vAlign w:val="bottom"/>
            <w:tcBorders>
              <w:bottom w:val="single" w:sz="8" w:color="auto"/>
            </w:tcBorders>
          </w:tcPr>
          <w:p>
            <w:pPr>
              <w:spacing w:after="0"/>
              <w:rPr>
                <w:sz w:val="19"/>
                <w:szCs w:val="19"/>
                <w:color w:val="auto"/>
              </w:rPr>
            </w:pPr>
          </w:p>
        </w:tc>
        <w:tc>
          <w:tcPr>
            <w:tcW w:w="2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(71,130)</w:t>
            </w:r>
          </w:p>
        </w:tc>
        <w:tc>
          <w:tcPr>
            <w:tcW w:w="0" w:type="dxa"/>
            <w:vAlign w:val="bottom"/>
          </w:tcPr>
          <w:p>
            <w:pPr>
              <w:spacing w:after="0"/>
              <w:rPr>
                <w:sz w:val="1"/>
                <w:szCs w:val="1"/>
                <w:color w:val="auto"/>
              </w:rPr>
            </w:pPr>
          </w:p>
        </w:tc>
      </w:tr>
      <w:tr>
        <w:trPr>
          <w:trHeight w:val="248"/>
        </w:trPr>
        <w:tc>
          <w:tcPr>
            <w:tcW w:w="86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540" w:type="dxa"/>
            <w:vAlign w:val="bottom"/>
            <w:tcBorders>
              <w:bottom w:val="single" w:sz="8" w:color="auto"/>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117,739</w:t>
            </w:r>
          </w:p>
        </w:tc>
        <w:tc>
          <w:tcPr>
            <w:tcW w:w="0" w:type="dxa"/>
            <w:vAlign w:val="bottom"/>
          </w:tcPr>
          <w:p>
            <w:pPr>
              <w:spacing w:after="0"/>
              <w:rPr>
                <w:sz w:val="1"/>
                <w:szCs w:val="1"/>
                <w:color w:val="auto"/>
              </w:rPr>
            </w:pPr>
          </w:p>
        </w:tc>
      </w:tr>
      <w:tr>
        <w:trPr>
          <w:trHeight w:val="20"/>
        </w:trPr>
        <w:tc>
          <w:tcPr>
            <w:tcW w:w="84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2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420" w:right="820"/>
        <w:spacing w:after="0" w:line="375" w:lineRule="auto"/>
        <w:rPr>
          <w:sz w:val="20"/>
          <w:szCs w:val="20"/>
          <w:color w:val="auto"/>
        </w:rPr>
      </w:pPr>
      <w:r>
        <w:rPr>
          <w:rFonts w:ascii="Arial" w:cs="Arial" w:eastAsia="Arial" w:hAnsi="Arial"/>
          <w:sz w:val="18"/>
          <w:szCs w:val="18"/>
          <w:color w:val="auto"/>
        </w:rPr>
        <w:t xml:space="preserve">Technology license obligations include the liabilities under agreements for technology licenses between the Company and various vendors. </w:t>
      </w:r>
      <w:r>
        <w:rPr>
          <w:rFonts w:ascii="Arial" w:cs="Arial" w:eastAsia="Arial" w:hAnsi="Arial"/>
          <w:sz w:val="18"/>
          <w:szCs w:val="18"/>
          <w:b w:val="1"/>
          <w:bCs w:val="1"/>
          <w:i w:val="1"/>
          <w:iCs w:val="1"/>
          <w:color w:val="auto"/>
        </w:rPr>
        <w:t>Purchase Commitments</w:t>
      </w:r>
    </w:p>
    <w:p>
      <w:pPr>
        <w:spacing w:after="0" w:line="1" w:lineRule="exact"/>
        <w:rPr>
          <w:sz w:val="20"/>
          <w:szCs w:val="20"/>
          <w:color w:val="auto"/>
        </w:rPr>
      </w:pPr>
    </w:p>
    <w:p>
      <w:pPr>
        <w:jc w:val="both"/>
        <w:ind w:right="240" w:firstLine="405"/>
        <w:spacing w:after="0" w:line="263"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is allowed but requires payment of all costs and expenses incurred through the date of cancellation. As of January 30, 2021, these foundries had incurred approximately $329.5 million of manufacturing costs and expenses relating to the Company’s outstanding purchase orders.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17" w:lineRule="exact"/>
        <w:rPr>
          <w:sz w:val="20"/>
          <w:szCs w:val="20"/>
          <w:color w:val="auto"/>
        </w:rPr>
      </w:pPr>
    </w:p>
    <w:p>
      <w:pPr>
        <w:jc w:val="both"/>
        <w:ind w:right="120" w:firstLine="405"/>
        <w:spacing w:after="0" w:line="263"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4" w:name="page85"/>
    <w:bookmarkEnd w:id="84"/>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20" w:firstLine="405"/>
        <w:spacing w:after="0" w:line="253"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86" w:lineRule="exact"/>
        <w:rPr>
          <w:sz w:val="20"/>
          <w:szCs w:val="20"/>
          <w:color w:val="auto"/>
        </w:rPr>
      </w:pPr>
    </w:p>
    <w:p>
      <w:pPr>
        <w:jc w:val="both"/>
        <w:ind w:right="240" w:firstLine="405"/>
        <w:spacing w:after="0" w:line="311" w:lineRule="auto"/>
        <w:rPr>
          <w:sz w:val="20"/>
          <w:szCs w:val="20"/>
          <w:color w:val="auto"/>
        </w:rPr>
      </w:pPr>
      <w:r>
        <w:rPr>
          <w:rFonts w:ascii="Arial" w:cs="Arial" w:eastAsia="Arial" w:hAnsi="Arial"/>
          <w:sz w:val="16"/>
          <w:szCs w:val="16"/>
          <w:color w:val="auto"/>
        </w:rPr>
        <w:t>In the fourth quarter of fiscal 2021, the Company became involved in discussions with another party to resolve disputes that ultimately concluded with settlement by the Company in the amount of $36.0 million which was accrued at the time such offer of settlement was determined by management. Such amount is presented separately on the accompanying consolidated statement of operations for the fiscal year ended January 30, 2021.</w:t>
      </w:r>
    </w:p>
    <w:p>
      <w:pPr>
        <w:spacing w:after="0" w:line="4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6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Shareholders’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Preferred and Common Stock</w:t>
      </w:r>
    </w:p>
    <w:p>
      <w:pPr>
        <w:spacing w:after="0" w:line="117"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Under the terms of the Company’s Articles of Association, the Board of Directors may determine the rights, preferences, and terms of the Company’s authorized but unissued shares of preferred stock.</w:t>
      </w:r>
    </w:p>
    <w:p>
      <w:pPr>
        <w:spacing w:after="0" w:line="62"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As of January 30, 2021, the Company is authorized to issue 8.0 million shares of $0.002 par value preferred stock and 992.0 million shares of $0.002 par value common stock. As of January 30, 2021, and February 1, 2020, no shares of preferred stock were outstanding.</w:t>
      </w:r>
    </w:p>
    <w:p>
      <w:pPr>
        <w:spacing w:after="0" w:line="62" w:lineRule="exact"/>
        <w:rPr>
          <w:sz w:val="20"/>
          <w:szCs w:val="20"/>
          <w:color w:val="auto"/>
        </w:rPr>
      </w:pPr>
    </w:p>
    <w:p>
      <w:pPr>
        <w:ind w:right="180" w:firstLine="405"/>
        <w:spacing w:after="0" w:line="342" w:lineRule="auto"/>
        <w:rPr>
          <w:sz w:val="20"/>
          <w:szCs w:val="20"/>
          <w:color w:val="auto"/>
        </w:rPr>
      </w:pPr>
      <w:r>
        <w:rPr>
          <w:rFonts w:ascii="Arial" w:cs="Arial" w:eastAsia="Arial" w:hAnsi="Arial"/>
          <w:sz w:val="16"/>
          <w:szCs w:val="16"/>
          <w:color w:val="auto"/>
        </w:rPr>
        <w:t>In June 2019, the Company executed a funded research and development agreement with a business partner. In conjunction with the agreement, the Company issued a warrant to purchase 9.0 million of the Company's common shares, subject to certain vesting and exercise conditions.</w:t>
      </w:r>
    </w:p>
    <w:p>
      <w:pPr>
        <w:spacing w:after="0" w:line="25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472" w:right="379" w:bottom="1440" w:gutter="0" w:footer="0" w:header="0"/>
        </w:sectPr>
      </w:pPr>
    </w:p>
    <w:bookmarkStart w:id="85" w:name="page86"/>
    <w:bookmarkEnd w:id="8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Unit Withholdings</w:t>
      </w:r>
    </w:p>
    <w:p>
      <w:pPr>
        <w:spacing w:after="0" w:line="117" w:lineRule="exact"/>
        <w:rPr>
          <w:sz w:val="20"/>
          <w:szCs w:val="20"/>
          <w:color w:val="auto"/>
        </w:rPr>
      </w:pPr>
    </w:p>
    <w:p>
      <w:pPr>
        <w:ind w:right="200" w:firstLine="405"/>
        <w:spacing w:after="0" w:line="342" w:lineRule="auto"/>
        <w:rPr>
          <w:sz w:val="20"/>
          <w:szCs w:val="20"/>
          <w:color w:val="auto"/>
        </w:rPr>
      </w:pPr>
      <w:r>
        <w:rPr>
          <w:rFonts w:ascii="Arial" w:cs="Arial" w:eastAsia="Arial" w:hAnsi="Arial"/>
          <w:sz w:val="16"/>
          <w:szCs w:val="16"/>
          <w:color w:val="auto"/>
        </w:rPr>
        <w:t>For the years ended January 30, 2021 and February 1, 2020, the Company withheld approximately 3.1 million and 4.0 million shares, or $108.1 million and $98.3 million, of common stock, respectively, in settlement of employee tax withholding obligations due upon the vesting of restricted stock.</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 Dividends on Shares of Common Stock</w:t>
      </w:r>
    </w:p>
    <w:p>
      <w:pPr>
        <w:spacing w:after="0" w:line="117" w:lineRule="exact"/>
        <w:rPr>
          <w:sz w:val="20"/>
          <w:szCs w:val="20"/>
          <w:color w:val="auto"/>
        </w:rPr>
      </w:pPr>
    </w:p>
    <w:p>
      <w:pPr>
        <w:ind w:right="360" w:firstLine="405"/>
        <w:spacing w:after="0" w:line="263" w:lineRule="auto"/>
        <w:rPr>
          <w:sz w:val="20"/>
          <w:szCs w:val="20"/>
          <w:color w:val="auto"/>
        </w:rPr>
      </w:pPr>
      <w:r>
        <w:rPr>
          <w:rFonts w:ascii="Arial" w:cs="Arial" w:eastAsia="Arial" w:hAnsi="Arial"/>
          <w:sz w:val="18"/>
          <w:szCs w:val="18"/>
          <w:color w:val="auto"/>
        </w:rPr>
        <w:t>During fiscal 2021, the Company declared and paid cash dividends of $0.24 per common share, or $160.6 million, on the Company’s outstanding common stock. During fiscal 2020, the Company declared and paid cash dividends of $0.24 per common share, or $159.6 million, on the Company’s outstanding common stock.</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Any future dividends will be subject to the approval of the Company's Board of Directors.</w:t>
      </w:r>
    </w:p>
    <w:p>
      <w:pPr>
        <w:spacing w:after="0" w:line="117"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color w:val="auto"/>
        </w:rPr>
        <w:t>On March 5, 2021, the Company announced that its board of directors declared a cash dividend of $0.06 per share payable on April 28, 2021 to shareholders of record as of April 9, 2021.</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117"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plan.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8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The Company repurchased 1.3 million of its common shares for $25.2 million , 14.5 million of its common shares for $364.3 million and 6.0 million of its common shares for $104.0 million in cash during fiscal 2021, 2020 and 2019, respectively. The repurchased shares were retired immediately after the repurchases were completed. The Company temporarily suspended the share repurchase program in late March 2020 to preserve cash during the COVID-19 pandemic and remains temporarily suspended in anticipation of the funding of the Company's acquisition of Inphi. As a result, the Company did not repurchase any shares subsequent to the first quarter of fiscal 2021. The Company records all repurchases, as well as investment purchases and sales, based on their trade date. As of January 30, 2021, a total of 308.1 million shares have been repurchased to date under the Company’s share repurchase program for a total $4.3 billion in cash and there was $564.5 million remaining available for future share repurchases.</w:t>
      </w:r>
    </w:p>
    <w:p>
      <w:pPr>
        <w:spacing w:after="0" w:line="58" w:lineRule="exact"/>
        <w:rPr>
          <w:sz w:val="20"/>
          <w:szCs w:val="20"/>
          <w:color w:val="auto"/>
        </w:rPr>
      </w:pPr>
    </w:p>
    <w:p>
      <w:pPr>
        <w:ind w:right="520" w:firstLine="405"/>
        <w:spacing w:after="0" w:line="277" w:lineRule="auto"/>
        <w:rPr>
          <w:sz w:val="20"/>
          <w:szCs w:val="20"/>
          <w:color w:val="auto"/>
        </w:rPr>
      </w:pPr>
      <w:r>
        <w:rPr>
          <w:rFonts w:ascii="Arial" w:cs="Arial" w:eastAsia="Arial" w:hAnsi="Arial"/>
          <w:sz w:val="18"/>
          <w:szCs w:val="18"/>
          <w:color w:val="auto"/>
        </w:rPr>
        <w:t>A summary of the stock repurchase activity under the stock repurchase program, reported based on the trade date, is summarized as follows (in thousands, except per-share amounts):</w:t>
      </w:r>
    </w:p>
    <w:p>
      <w:pPr>
        <w:spacing w:after="0" w:line="7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38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89"/>
              </w:rPr>
              <w:t>Shares</w:t>
            </w:r>
          </w:p>
        </w:tc>
        <w:tc>
          <w:tcPr>
            <w:tcW w:w="180" w:type="dxa"/>
            <w:vAlign w:val="bottom"/>
          </w:tcPr>
          <w:p>
            <w:pPr>
              <w:spacing w:after="0"/>
              <w:rPr>
                <w:sz w:val="14"/>
                <w:szCs w:val="14"/>
                <w:color w:val="auto"/>
              </w:rPr>
            </w:pPr>
          </w:p>
        </w:tc>
        <w:tc>
          <w:tcPr>
            <w:tcW w:w="13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Weighted-</w:t>
            </w:r>
          </w:p>
        </w:tc>
        <w:tc>
          <w:tcPr>
            <w:tcW w:w="160" w:type="dxa"/>
            <w:vAlign w:val="bottom"/>
          </w:tcPr>
          <w:p>
            <w:pPr>
              <w:spacing w:after="0"/>
              <w:rPr>
                <w:sz w:val="14"/>
                <w:szCs w:val="14"/>
                <w:color w:val="auto"/>
              </w:rPr>
            </w:pPr>
          </w:p>
        </w:tc>
        <w:tc>
          <w:tcPr>
            <w:tcW w:w="11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35"/>
        </w:trPr>
        <w:tc>
          <w:tcPr>
            <w:tcW w:w="516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34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89"/>
              </w:rPr>
              <w:t>Average Price</w:t>
            </w:r>
          </w:p>
        </w:tc>
        <w:tc>
          <w:tcPr>
            <w:tcW w:w="16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8"/>
        </w:trPr>
        <w:tc>
          <w:tcPr>
            <w:tcW w:w="5160" w:type="dxa"/>
            <w:vAlign w:val="bottom"/>
          </w:tcPr>
          <w:p>
            <w:pPr>
              <w:spacing w:after="0"/>
              <w:rPr>
                <w:sz w:val="16"/>
                <w:szCs w:val="16"/>
                <w:color w:val="auto"/>
              </w:rPr>
            </w:pPr>
          </w:p>
        </w:tc>
        <w:tc>
          <w:tcPr>
            <w:tcW w:w="1880" w:type="dxa"/>
            <w:vAlign w:val="bottom"/>
          </w:tcPr>
          <w:p>
            <w:pPr>
              <w:spacing w:after="0"/>
              <w:rPr>
                <w:sz w:val="16"/>
                <w:szCs w:val="16"/>
                <w:color w:val="auto"/>
              </w:rPr>
            </w:pPr>
          </w:p>
        </w:tc>
        <w:tc>
          <w:tcPr>
            <w:tcW w:w="13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Repurchased</w:t>
            </w:r>
          </w:p>
        </w:tc>
        <w:tc>
          <w:tcPr>
            <w:tcW w:w="180" w:type="dxa"/>
            <w:vAlign w:val="bottom"/>
          </w:tcPr>
          <w:p>
            <w:pPr>
              <w:spacing w:after="0"/>
              <w:rPr>
                <w:sz w:val="16"/>
                <w:szCs w:val="16"/>
                <w:color w:val="auto"/>
              </w:rPr>
            </w:pPr>
          </w:p>
        </w:tc>
        <w:tc>
          <w:tcPr>
            <w:tcW w:w="13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2"/>
              </w:rPr>
              <w:t>per Share</w:t>
            </w:r>
          </w:p>
        </w:tc>
        <w:tc>
          <w:tcPr>
            <w:tcW w:w="160" w:type="dxa"/>
            <w:vAlign w:val="bottom"/>
          </w:tcPr>
          <w:p>
            <w:pPr>
              <w:spacing w:after="0"/>
              <w:rPr>
                <w:sz w:val="16"/>
                <w:szCs w:val="16"/>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Repurchased</w:t>
            </w:r>
          </w:p>
        </w:tc>
        <w:tc>
          <w:tcPr>
            <w:tcW w:w="0" w:type="dxa"/>
            <w:vAlign w:val="bottom"/>
          </w:tcPr>
          <w:p>
            <w:pPr>
              <w:spacing w:after="0"/>
              <w:rPr>
                <w:sz w:val="1"/>
                <w:szCs w:val="1"/>
                <w:color w:val="auto"/>
              </w:rPr>
            </w:pPr>
          </w:p>
        </w:tc>
      </w:tr>
      <w:tr>
        <w:trPr>
          <w:trHeight w:val="224"/>
        </w:trPr>
        <w:tc>
          <w:tcPr>
            <w:tcW w:w="51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3, 2018</w:t>
            </w:r>
          </w:p>
        </w:tc>
        <w:tc>
          <w:tcPr>
            <w:tcW w:w="1880" w:type="dxa"/>
            <w:vAlign w:val="bottom"/>
            <w:tcBorders>
              <w:top w:val="single" w:sz="8" w:color="CCEEFF"/>
            </w:tcBorders>
            <w:shd w:val="clear" w:color="auto" w:fill="CCEEFF"/>
          </w:tcPr>
          <w:p>
            <w:pPr>
              <w:spacing w:after="0"/>
              <w:rPr>
                <w:sz w:val="19"/>
                <w:szCs w:val="19"/>
                <w:color w:val="auto"/>
              </w:rPr>
            </w:pPr>
          </w:p>
        </w:tc>
        <w:tc>
          <w:tcPr>
            <w:tcW w:w="1280" w:type="dxa"/>
            <w:vAlign w:val="bottom"/>
            <w:tcBorders>
              <w:top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286,365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13.19</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3,776,557</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3160" w:type="dxa"/>
            <w:vAlign w:val="bottom"/>
            <w:gridSpan w:val="2"/>
          </w:tcPr>
          <w:p>
            <w:pPr>
              <w:jc w:val="right"/>
              <w:ind w:right="2"/>
              <w:spacing w:after="0"/>
              <w:rPr>
                <w:sz w:val="20"/>
                <w:szCs w:val="20"/>
                <w:color w:val="auto"/>
              </w:rPr>
            </w:pPr>
            <w:r>
              <w:rPr>
                <w:rFonts w:ascii="Arial" w:cs="Arial" w:eastAsia="Arial" w:hAnsi="Arial"/>
                <w:sz w:val="18"/>
                <w:szCs w:val="18"/>
                <w:color w:val="auto"/>
              </w:rPr>
              <w:t>6,041</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17.21</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103,974</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2, 2019</w:t>
            </w:r>
          </w:p>
        </w:tc>
        <w:tc>
          <w:tcPr>
            <w:tcW w:w="316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292,406</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3,880,531</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3160" w:type="dxa"/>
            <w:vAlign w:val="bottom"/>
            <w:gridSpan w:val="2"/>
          </w:tcPr>
          <w:p>
            <w:pPr>
              <w:jc w:val="right"/>
              <w:ind w:right="2"/>
              <w:spacing w:after="0"/>
              <w:rPr>
                <w:sz w:val="20"/>
                <w:szCs w:val="20"/>
                <w:color w:val="auto"/>
              </w:rPr>
            </w:pPr>
            <w:r>
              <w:rPr>
                <w:rFonts w:ascii="Arial" w:cs="Arial" w:eastAsia="Arial" w:hAnsi="Arial"/>
                <w:sz w:val="18"/>
                <w:szCs w:val="18"/>
                <w:color w:val="auto"/>
              </w:rPr>
              <w:t>14,486</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25.15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364,272</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1, 2020</w:t>
            </w:r>
          </w:p>
        </w:tc>
        <w:tc>
          <w:tcPr>
            <w:tcW w:w="316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306,892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4,244,803</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3160" w:type="dxa"/>
            <w:vAlign w:val="bottom"/>
            <w:gridSpan w:val="2"/>
          </w:tcPr>
          <w:p>
            <w:pPr>
              <w:jc w:val="right"/>
              <w:ind w:right="2"/>
              <w:spacing w:after="0"/>
              <w:rPr>
                <w:sz w:val="20"/>
                <w:szCs w:val="20"/>
                <w:color w:val="auto"/>
              </w:rPr>
            </w:pPr>
            <w:r>
              <w:rPr>
                <w:rFonts w:ascii="Arial" w:cs="Arial" w:eastAsia="Arial" w:hAnsi="Arial"/>
                <w:sz w:val="18"/>
                <w:szCs w:val="18"/>
                <w:color w:val="auto"/>
              </w:rPr>
              <w:t>1,251</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20.14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25,202</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January 30, 2021</w:t>
            </w:r>
          </w:p>
        </w:tc>
        <w:tc>
          <w:tcPr>
            <w:tcW w:w="316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308,143</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4,270,005</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18"/>
        </w:trPr>
        <w:tc>
          <w:tcPr>
            <w:tcW w:w="5160" w:type="dxa"/>
            <w:vAlign w:val="bottom"/>
          </w:tcPr>
          <w:p>
            <w:pPr>
              <w:spacing w:after="0"/>
              <w:rPr>
                <w:sz w:val="24"/>
                <w:szCs w:val="24"/>
                <w:color w:val="auto"/>
              </w:rPr>
            </w:pPr>
          </w:p>
        </w:tc>
        <w:tc>
          <w:tcPr>
            <w:tcW w:w="1880" w:type="dxa"/>
            <w:vAlign w:val="bottom"/>
          </w:tcPr>
          <w:p>
            <w:pPr>
              <w:jc w:val="right"/>
              <w:ind w:right="1230"/>
              <w:spacing w:after="0"/>
              <w:rPr>
                <w:sz w:val="20"/>
                <w:szCs w:val="20"/>
                <w:color w:val="auto"/>
              </w:rPr>
            </w:pPr>
            <w:r>
              <w:rPr>
                <w:rFonts w:ascii="Arial" w:cs="Arial" w:eastAsia="Arial" w:hAnsi="Arial"/>
                <w:sz w:val="18"/>
                <w:szCs w:val="18"/>
                <w:color w:val="auto"/>
              </w:rPr>
              <w:t>83</w:t>
            </w: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5160" w:type="dxa"/>
            <w:vAlign w:val="bottom"/>
            <w:tcBorders>
              <w:bottom w:val="single" w:sz="8" w:color="9A9A9A"/>
            </w:tcBorders>
          </w:tcPr>
          <w:p>
            <w:pPr>
              <w:spacing w:after="0"/>
              <w:rPr>
                <w:sz w:val="24"/>
                <w:szCs w:val="24"/>
                <w:color w:val="auto"/>
              </w:rPr>
            </w:pPr>
          </w:p>
        </w:tc>
        <w:tc>
          <w:tcPr>
            <w:tcW w:w="188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122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110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6" w:name="page87"/>
    <w:bookmarkEnd w:id="86"/>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Employee Benefit Plans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Compensation Plans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1995 Stock Option Plan</w:t>
      </w:r>
    </w:p>
    <w:p>
      <w:pPr>
        <w:spacing w:after="0" w:line="117"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shares reserved for issuance thereunder as of January 30, 2021. Options granted under the Option Plan generally have a term of 10 years and generally must be issued at prices equal to the fair market value of the stock on the date of grant. The Company can also grant stock awards, which may be subject to vesting. Further, the Company can grant restricted stock unit (“RSU”) awards. RSU awards are denominated in shares of stock, but may be settled in cash or shares upon vesting, as determined by the Company at the time of grant. Awards under the Option Plan generally vest over 3 to 4 years.</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30, 2021, approximately 77.9 million shares remained available for future grants under the Option Plan.</w:t>
      </w:r>
    </w:p>
    <w:p>
      <w:pPr>
        <w:spacing w:after="0" w:line="117"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Equity awards granted under the Option Plan include time-based RSUs as well as RSUs that vest based on the achievement of performance-based criteria i.e. Company financial goals (“Financial Performance RSU”), or based on achievement of market-based goals i.e. relative total shareholder return (“TSR RSUs”), or stock price goals (“Value Creation Awards” or “VCA RSUs”).</w:t>
      </w:r>
    </w:p>
    <w:p>
      <w:pPr>
        <w:spacing w:after="0" w:line="76" w:lineRule="exact"/>
        <w:rPr>
          <w:sz w:val="20"/>
          <w:szCs w:val="20"/>
          <w:color w:val="auto"/>
        </w:rPr>
      </w:pPr>
    </w:p>
    <w:p>
      <w:pPr>
        <w:ind w:right="120" w:firstLine="405"/>
        <w:spacing w:after="0" w:line="275" w:lineRule="auto"/>
        <w:rPr>
          <w:sz w:val="20"/>
          <w:szCs w:val="20"/>
          <w:color w:val="auto"/>
        </w:rPr>
      </w:pPr>
      <w:r>
        <w:rPr>
          <w:rFonts w:ascii="Arial" w:cs="Arial" w:eastAsia="Arial" w:hAnsi="Arial"/>
          <w:sz w:val="17"/>
          <w:szCs w:val="17"/>
          <w:color w:val="auto"/>
        </w:rPr>
        <w:t>Prior to fiscal year 2020, the Company granted Financial Performance RSUs to each of its executive officers when they joined the Company, and as an annual refresh grant to all executive officers and other Vice Presidents in April of each fiscal year. The Financial Performance RSUs had a three-year service requirement. The number of shares to be earned could be 0% to 200% of target and was based on the achievement of certain financial operating metrics to be measured as of the end of the second fiscal year of the three-year vesting term. Shares granted under these Financial Performance RSUs are reported in the table presented below as “Performance-Based” based on 100% expected achievement.</w:t>
      </w:r>
    </w:p>
    <w:p>
      <w:pPr>
        <w:spacing w:after="0" w:line="68"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In addition, the Company grants TSR RSUs to its executive officers that newly join the Company, and as an annual refresh grant to all executive officers and other Vice Presidents, usually in April of each fiscal year. Prior to fiscal year 2020, TSR RSUs were measured based on stock performance as compared to that of companies on the Philadelphia Semiconductor Sector over a performance period defined in the award. The number of shares to be earned can be 0% to 150% of target and is based on the achievement of performance objectives relating to relative total shareholder return of the Company’s common shares. Beginning in fiscal year 2020, the S&amp;P 500 Index serves as the benchmark index. The TSR RSUs have a three year service vesting requirement. The number of shares to be earned can be 0% to 200% of target and is based on the achievement of performance objectives relating to relative total shareholder return of the Company's common shares. These TSR RSUs are reported in the table presented below as “Market-Based” awards based on 100% expected achievement.</w:t>
      </w:r>
    </w:p>
    <w:p>
      <w:pPr>
        <w:spacing w:after="0" w:line="70"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color w:val="auto"/>
        </w:rPr>
        <w:t>In fiscal year 2020, the Company issued Value Creation Awards that are based on achievement of the Company's stock price target over a specified performance period, also referred to as VCA RSUs. The VCA RSU will be earned if the Company's average closing trading stock price over 100-calendar days equals or exceeds a certain target price. 100% of the award will vest on the 1-year anniversary of the achievement. The grant will be forfeited if the market-based condition is not achieved. These VCA RSUs are reported in the table presented below as “Market-Based” awards based on 100% expected achievement. As of January 30, 2021, the performance metrics have been achieved. The awards will vest on the 1-year anniversary of the achievement in November 2021.</w:t>
      </w:r>
    </w:p>
    <w:p>
      <w:pPr>
        <w:spacing w:after="0" w:line="84" w:lineRule="exact"/>
        <w:rPr>
          <w:sz w:val="20"/>
          <w:szCs w:val="20"/>
          <w:color w:val="auto"/>
        </w:rPr>
      </w:pPr>
    </w:p>
    <w:p>
      <w:pPr>
        <w:ind w:right="160" w:firstLine="405"/>
        <w:spacing w:after="0" w:line="275" w:lineRule="auto"/>
        <w:rPr>
          <w:sz w:val="20"/>
          <w:szCs w:val="20"/>
          <w:color w:val="auto"/>
        </w:rPr>
      </w:pPr>
      <w:r>
        <w:rPr>
          <w:rFonts w:ascii="Arial" w:cs="Arial" w:eastAsia="Arial" w:hAnsi="Arial"/>
          <w:sz w:val="17"/>
          <w:szCs w:val="17"/>
          <w:color w:val="auto"/>
        </w:rPr>
        <w:t>In December 2017, the Company’s Executive Compensation Committee approved a deferred stock program, whereby executives of the Company have the option, beginning in 2018, to defer the settlement of time-based and performance-based restricted stock units granted under the Option Plan to a future date. A deferral election is irrevocable after the annual submission deadline. The shares of common stock underlying the deferred grants will be distributed at the earliest of the employee’s specified future settlement date, not to be earlier than 2023, or upon separation from service, a change in control, or death or disability. As of January 30, 2021, no grants have been subject to a deferral election.</w:t>
      </w:r>
    </w:p>
    <w:p>
      <w:pPr>
        <w:spacing w:after="0" w:line="31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472" w:right="399" w:bottom="1440" w:gutter="0" w:footer="0" w:header="0"/>
        </w:sectPr>
      </w:pPr>
    </w:p>
    <w:bookmarkStart w:id="87" w:name="page88"/>
    <w:bookmarkEnd w:id="8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Acquisition</w:t>
      </w:r>
    </w:p>
    <w:p>
      <w:pPr>
        <w:spacing w:after="0" w:line="117"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shares of the Company and restricted stock units with respect to common shares of the Company, respectively. The Company filed a registration statement on July 6, 2018 to register 15,824,555 common shares of the Company, issuable under the Cavium Plans, comprised of 2,535,940 common shares issuable pursuant to outstanding but unexercised options under the Cavium Plans and 13,288,615 common shares issuable pursuant to outstanding unvested restricted stock units under the Cavium Plans.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2016 EIP</w:t>
      </w:r>
    </w:p>
    <w:p>
      <w:pPr>
        <w:spacing w:after="0" w:line="117"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2007 EIP</w:t>
      </w:r>
    </w:p>
    <w:p>
      <w:pPr>
        <w:spacing w:after="0" w:line="117" w:lineRule="exact"/>
        <w:rPr>
          <w:sz w:val="20"/>
          <w:szCs w:val="20"/>
          <w:color w:val="auto"/>
        </w:rPr>
      </w:pPr>
    </w:p>
    <w:p>
      <w:pPr>
        <w:ind w:right="260" w:firstLine="405"/>
        <w:spacing w:after="0" w:line="293" w:lineRule="auto"/>
        <w:rPr>
          <w:sz w:val="20"/>
          <w:szCs w:val="20"/>
          <w:color w:val="auto"/>
        </w:rPr>
      </w:pPr>
      <w:r>
        <w:rPr>
          <w:rFonts w:ascii="Arial" w:cs="Arial" w:eastAsia="Arial" w:hAnsi="Arial"/>
          <w:sz w:val="16"/>
          <w:szCs w:val="16"/>
          <w:color w:val="auto"/>
        </w:rPr>
        <w:t>Cavium adopted the Cavium 2007 EIP in May 2007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5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QLogic 2005 Plan</w:t>
      </w:r>
    </w:p>
    <w:p>
      <w:pPr>
        <w:spacing w:after="0" w:line="117" w:lineRule="exact"/>
        <w:rPr>
          <w:sz w:val="20"/>
          <w:szCs w:val="20"/>
          <w:color w:val="auto"/>
        </w:rPr>
      </w:pPr>
    </w:p>
    <w:p>
      <w:pPr>
        <w:ind w:right="240" w:firstLine="405"/>
        <w:spacing w:after="0" w:line="257" w:lineRule="auto"/>
        <w:rPr>
          <w:sz w:val="20"/>
          <w:szCs w:val="20"/>
          <w:color w:val="auto"/>
        </w:rPr>
      </w:pPr>
      <w:r>
        <w:rPr>
          <w:rFonts w:ascii="Arial" w:cs="Arial" w:eastAsia="Arial" w:hAnsi="Arial"/>
          <w:sz w:val="18"/>
          <w:szCs w:val="18"/>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Acquisition-related Equity Awards</w:t>
      </w:r>
    </w:p>
    <w:p>
      <w:pPr>
        <w:spacing w:after="0" w:line="117" w:lineRule="exact"/>
        <w:rPr>
          <w:sz w:val="20"/>
          <w:szCs w:val="20"/>
          <w:color w:val="auto"/>
        </w:rPr>
      </w:pPr>
    </w:p>
    <w:p>
      <w:pPr>
        <w:ind w:right="160" w:firstLine="405"/>
        <w:spacing w:after="0" w:line="257" w:lineRule="auto"/>
        <w:rPr>
          <w:sz w:val="20"/>
          <w:szCs w:val="20"/>
          <w:color w:val="auto"/>
        </w:rPr>
      </w:pPr>
      <w:r>
        <w:rPr>
          <w:rFonts w:ascii="Arial" w:cs="Arial" w:eastAsia="Arial" w:hAnsi="Arial"/>
          <w:sz w:val="18"/>
          <w:szCs w:val="18"/>
          <w:color w:val="auto"/>
        </w:rPr>
        <w:t>The awards under the Cavium Plans assumed by the Company in the Cavium acquisition were measured at the acquisition date based on the estimated fair value of $357.1 million. A portion of that fair value, $68.9 million, which represented the pre-acquisition service provided by employees to Cavium, was included in the total consideration transferred as part of the acquisition. As of the acquisition date, the remaining portion of the fair value of those awards was $288.2 million, representing post-acquisition share-based compensation expense that will be recognized as these employees provide service over the remaining vesting periods.</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Aquantia Plans Assumed</w:t>
      </w:r>
    </w:p>
    <w:p>
      <w:pPr>
        <w:spacing w:after="0" w:line="117" w:lineRule="exact"/>
        <w:rPr>
          <w:sz w:val="20"/>
          <w:szCs w:val="20"/>
          <w:color w:val="auto"/>
        </w:rPr>
      </w:pPr>
    </w:p>
    <w:p>
      <w:pPr>
        <w:ind w:right="60" w:firstLine="405"/>
        <w:spacing w:after="0" w:line="291" w:lineRule="auto"/>
        <w:rPr>
          <w:sz w:val="20"/>
          <w:szCs w:val="20"/>
          <w:color w:val="auto"/>
        </w:rPr>
      </w:pPr>
      <w:r>
        <w:rPr>
          <w:rFonts w:ascii="Arial" w:cs="Arial" w:eastAsia="Arial" w:hAnsi="Arial"/>
          <w:sz w:val="16"/>
          <w:szCs w:val="16"/>
          <w:color w:val="auto"/>
        </w:rPr>
        <w:t>In accordance with the Aquantia merger agreement, certain outstanding options to purchase shares of Aquantia common stock and certain restricted stock units with respect to Aquantia common stock, each granted under Aquantia 2017 Equity Incentive Plan (“Aquantia 2017 EIP”), Aquantia 2015 Equity Incentive Plan (“Aquantia 2015 EIP”) and Aquantia 2004 Equity Incentive Plan (“Aquantia 2004 EIP”), the “Aquantia Plans” were assumed by the Company and converted into options to purchase common shares of the Company and restricted stock units with respect to common shares of the Company, respectively. The Company filed a registration statement on September 19, 2019 to register 2,128,823 common shares of the Company, issuable under the Aquantia plans, comprised of 805,965 common shares issuable pursuant to outstanding but unexercised options under the Aquantia Plans and 1,322,858 common shares issuable pursuant to outstanding unvested restricted stock units under the Aquantia Plans.</w:t>
      </w: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8" w:name="page89"/>
    <w:bookmarkEnd w:id="8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Aquantia Acquisition-related Equity Awards</w:t>
      </w:r>
    </w:p>
    <w:p>
      <w:pPr>
        <w:spacing w:after="0" w:line="117"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The awards under the Aquantia Plans assumed by the Company in the Aquantia acquisition were measured at the acquisition date based on the estimated fair value of $54.1 million. A portion of that fair value, $21.5 million, which represented the pre-acquisition service provided by employees to Aquantia, was included in the total consideration transferred as part of the acquisition. As of the acquisition date, the remaining portion of the fair value of those awards was $32.6 million, representing post-acquisition share-based compensation expense that will be recognized as these employees provide service over the remaining vesting periods.</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Outside Director Equity Compensation Policy</w:t>
      </w:r>
    </w:p>
    <w:p>
      <w:pPr>
        <w:spacing w:after="0" w:line="117"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In September 2016, the Company’s Board of Directors approved the termination of the 2007 Directors’ Stock Incentive Plan, (“2007 Director Plan”) that was initially adopted in October 2007, and it approved a new Outside Director Equity Compensation Policy that governs the grant of equity awards to non-employee directors under the Option Plan. At the annual general meeting of shareholders held in June 2015, the shareholders approved an amendment to the Option Plan to enable a full range of awards to be granted to non-employee directors. Under the newly amended Outside Director Compensation Policy, each outside director, upon appointment to fill a vacancy on the board or in connection with election at an annual meeting of shareholders, will be granted an RSU award under the Option Plan for a number of shares with an aggregate fair market value equal to $235,000 on the grant date. In no event shall an outside director be awarded an annual RSU award for more than 20,000 shares. The RSU award vests 100% on the earlier of the date of the next annual general meeting of shareholders or the one-year anniversary of the date of grant.</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117" w:lineRule="exact"/>
        <w:rPr>
          <w:sz w:val="20"/>
          <w:szCs w:val="20"/>
          <w:color w:val="auto"/>
        </w:rPr>
      </w:pPr>
    </w:p>
    <w:p>
      <w:pPr>
        <w:ind w:right="20" w:firstLine="405"/>
        <w:spacing w:after="0" w:line="291"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58" w:lineRule="exact"/>
        <w:rPr>
          <w:sz w:val="20"/>
          <w:szCs w:val="20"/>
          <w:color w:val="auto"/>
        </w:rPr>
      </w:pPr>
    </w:p>
    <w:p>
      <w:pPr>
        <w:ind w:firstLine="405"/>
        <w:spacing w:after="0" w:line="286" w:lineRule="auto"/>
        <w:rPr>
          <w:sz w:val="20"/>
          <w:szCs w:val="20"/>
          <w:color w:val="auto"/>
        </w:rPr>
      </w:pPr>
      <w:r>
        <w:rPr>
          <w:rFonts w:ascii="Arial" w:cs="Arial" w:eastAsia="Arial" w:hAnsi="Arial"/>
          <w:sz w:val="17"/>
          <w:szCs w:val="17"/>
          <w:color w:val="auto"/>
        </w:rPr>
        <w:t>Under the ESPP, a total of 5.0 million shares were issued in fiscal 2021 at a weighted-average price of $14.36 per share, a total of 5.2 million shares were issued in fiscal 2020 at a weighted-average price of $13.25 per share, and a total of 3.2 million shares were issued in fiscal 2019 at a weighted-average price of $15.08 per share. As of January 30, 2021, there was $55.9 million of unamortized compensation cost related to the ESPP.</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30, 2021, approximately 32.5 million shares remained available for future issuance under the ESPP.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share-based compensation expense (in thousands):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gridSpan w:val="2"/>
          </w:tcPr>
          <w:p>
            <w:pPr>
              <w:jc w:val="center"/>
              <w:ind w:right="28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r>
      <w:tr>
        <w:trPr>
          <w:trHeight w:val="135"/>
        </w:trPr>
        <w:tc>
          <w:tcPr>
            <w:tcW w:w="6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6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20" w:type="dxa"/>
            <w:vAlign w:val="bottom"/>
          </w:tcPr>
          <w:p>
            <w:pPr>
              <w:spacing w:after="0"/>
              <w:rPr>
                <w:sz w:val="11"/>
                <w:szCs w:val="11"/>
                <w:color w:val="auto"/>
              </w:rPr>
            </w:pPr>
          </w:p>
        </w:tc>
        <w:tc>
          <w:tcPr>
            <w:tcW w:w="1180" w:type="dxa"/>
            <w:vAlign w:val="bottom"/>
          </w:tcPr>
          <w:p>
            <w:pPr>
              <w:jc w:val="right"/>
              <w:ind w:right="256"/>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9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6"/>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38"/>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2019</w:t>
            </w:r>
          </w:p>
        </w:tc>
      </w:tr>
      <w:tr>
        <w:trPr>
          <w:trHeight w:val="224"/>
        </w:trPr>
        <w:tc>
          <w:tcPr>
            <w:tcW w:w="69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16,320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12,024</w:t>
            </w:r>
          </w:p>
        </w:tc>
      </w:tr>
      <w:tr>
        <w:trPr>
          <w:trHeight w:val="230"/>
        </w:trPr>
        <w:tc>
          <w:tcPr>
            <w:tcW w:w="6900" w:type="dxa"/>
            <w:vAlign w:val="bottom"/>
          </w:tcPr>
          <w:p>
            <w:pPr>
              <w:ind w:left="26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150,867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157,054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108,762</w:t>
            </w:r>
          </w:p>
        </w:tc>
      </w:tr>
      <w:tr>
        <w:trPr>
          <w:trHeight w:val="230"/>
        </w:trPr>
        <w:tc>
          <w:tcPr>
            <w:tcW w:w="69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74,352</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71,996</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77,309</w:t>
            </w:r>
          </w:p>
        </w:tc>
      </w:tr>
      <w:tr>
        <w:trPr>
          <w:trHeight w:val="223"/>
        </w:trPr>
        <w:tc>
          <w:tcPr>
            <w:tcW w:w="6900" w:type="dxa"/>
            <w:vAlign w:val="bottom"/>
          </w:tcPr>
          <w:p>
            <w:pPr>
              <w:ind w:left="20"/>
              <w:spacing w:after="0"/>
              <w:rPr>
                <w:sz w:val="20"/>
                <w:szCs w:val="20"/>
                <w:color w:val="auto"/>
              </w:rPr>
            </w:pPr>
            <w:r>
              <w:rPr>
                <w:rFonts w:ascii="Arial" w:cs="Arial" w:eastAsia="Arial" w:hAnsi="Arial"/>
                <w:sz w:val="18"/>
                <w:szCs w:val="18"/>
                <w:color w:val="auto"/>
              </w:rPr>
              <w:t>Total share-based compensation</w:t>
            </w: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241,539</w:t>
            </w: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242,809</w:t>
            </w:r>
          </w:p>
        </w:tc>
        <w:tc>
          <w:tcPr>
            <w:tcW w:w="1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198,095</w:t>
            </w:r>
          </w:p>
        </w:tc>
      </w:tr>
      <w:tr>
        <w:trPr>
          <w:trHeight w:val="20"/>
        </w:trPr>
        <w:tc>
          <w:tcPr>
            <w:tcW w:w="69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20" w:firstLine="405"/>
        <w:spacing w:after="0" w:line="277" w:lineRule="auto"/>
        <w:rPr>
          <w:sz w:val="20"/>
          <w:szCs w:val="20"/>
          <w:color w:val="auto"/>
        </w:rPr>
      </w:pPr>
      <w:r>
        <w:rPr>
          <w:rFonts w:ascii="Arial" w:cs="Arial" w:eastAsia="Arial" w:hAnsi="Arial"/>
          <w:sz w:val="18"/>
          <w:szCs w:val="18"/>
          <w:color w:val="auto"/>
        </w:rPr>
        <w:t>Share-based compensation capitalized in inventory was $3.8 million at January 30, 2021, $4.1 million at February 1, 2020 and $2.8 million at February 2, 2019.</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9" w:name="page90"/>
    <w:bookmarkEnd w:id="8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and Stock Unit Awards</w:t>
      </w:r>
    </w:p>
    <w:p>
      <w:pPr>
        <w:spacing w:after="0" w:line="117" w:lineRule="exact"/>
        <w:rPr>
          <w:sz w:val="20"/>
          <w:szCs w:val="20"/>
          <w:color w:val="auto"/>
        </w:rPr>
      </w:pPr>
    </w:p>
    <w:p>
      <w:pPr>
        <w:ind w:right="40" w:firstLine="405"/>
        <w:spacing w:after="0" w:line="269" w:lineRule="auto"/>
        <w:rPr>
          <w:sz w:val="20"/>
          <w:szCs w:val="20"/>
          <w:color w:val="auto"/>
        </w:rPr>
      </w:pPr>
      <w:r>
        <w:rPr>
          <w:rFonts w:ascii="Arial" w:cs="Arial" w:eastAsia="Arial" w:hAnsi="Arial"/>
          <w:sz w:val="18"/>
          <w:szCs w:val="18"/>
          <w:color w:val="auto"/>
        </w:rPr>
        <w:t>A summary of restricted stock unit activity, which includes time-based and performance-based or market-based restricted stock units, is as follows (in thousands, except per-share amounts):</w:t>
      </w:r>
    </w:p>
    <w:tbl>
      <w:tblPr>
        <w:tblLayout w:type="fixed"/>
        <w:tblInd w:w="40" w:type="dxa"/>
        <w:tblCellMar>
          <w:top w:w="0" w:type="dxa"/>
          <w:left w:w="0" w:type="dxa"/>
          <w:bottom w:w="0" w:type="dxa"/>
          <w:right w:w="0" w:type="dxa"/>
        </w:tblCellMar>
      </w:tblPr>
      <w:tr>
        <w:trPr>
          <w:trHeight w:val="192"/>
        </w:trPr>
        <w:tc>
          <w:tcPr>
            <w:tcW w:w="2500" w:type="dxa"/>
            <w:vAlign w:val="bottom"/>
          </w:tcPr>
          <w:p>
            <w:pPr>
              <w:spacing w:after="0"/>
              <w:rPr>
                <w:sz w:val="16"/>
                <w:szCs w:val="16"/>
                <w:color w:val="auto"/>
              </w:rPr>
            </w:pPr>
          </w:p>
        </w:tc>
        <w:tc>
          <w:tcPr>
            <w:tcW w:w="2000" w:type="dxa"/>
            <w:vAlign w:val="bottom"/>
            <w:gridSpan w:val="5"/>
          </w:tcPr>
          <w:p>
            <w:pPr>
              <w:ind w:left="580"/>
              <w:spacing w:after="0"/>
              <w:rPr>
                <w:sz w:val="20"/>
                <w:szCs w:val="20"/>
                <w:color w:val="auto"/>
              </w:rPr>
            </w:pPr>
            <w:r>
              <w:rPr>
                <w:rFonts w:ascii="Arial" w:cs="Arial" w:eastAsia="Arial" w:hAnsi="Arial"/>
                <w:sz w:val="14"/>
                <w:szCs w:val="14"/>
                <w:b w:val="1"/>
                <w:bCs w:val="1"/>
                <w:color w:val="auto"/>
              </w:rPr>
              <w:t>Time-Based</w:t>
            </w:r>
          </w:p>
        </w:tc>
        <w:tc>
          <w:tcPr>
            <w:tcW w:w="2400" w:type="dxa"/>
            <w:vAlign w:val="bottom"/>
            <w:gridSpan w:val="5"/>
          </w:tcPr>
          <w:p>
            <w:pPr>
              <w:ind w:left="540"/>
              <w:spacing w:after="0"/>
              <w:rPr>
                <w:sz w:val="20"/>
                <w:szCs w:val="20"/>
                <w:color w:val="auto"/>
              </w:rPr>
            </w:pPr>
            <w:r>
              <w:rPr>
                <w:rFonts w:ascii="Arial" w:cs="Arial" w:eastAsia="Arial" w:hAnsi="Arial"/>
                <w:sz w:val="14"/>
                <w:szCs w:val="14"/>
                <w:b w:val="1"/>
                <w:bCs w:val="1"/>
                <w:color w:val="auto"/>
              </w:rPr>
              <w:t>Performance-Based</w:t>
            </w:r>
          </w:p>
        </w:tc>
        <w:tc>
          <w:tcPr>
            <w:tcW w:w="2320" w:type="dxa"/>
            <w:vAlign w:val="bottom"/>
            <w:gridSpan w:val="5"/>
          </w:tcPr>
          <w:p>
            <w:pPr>
              <w:ind w:left="680"/>
              <w:spacing w:after="0"/>
              <w:rPr>
                <w:sz w:val="20"/>
                <w:szCs w:val="20"/>
                <w:color w:val="auto"/>
              </w:rPr>
            </w:pPr>
            <w:r>
              <w:rPr>
                <w:rFonts w:ascii="Arial" w:cs="Arial" w:eastAsia="Arial" w:hAnsi="Arial"/>
                <w:sz w:val="14"/>
                <w:szCs w:val="14"/>
                <w:b w:val="1"/>
                <w:bCs w:val="1"/>
                <w:color w:val="auto"/>
              </w:rPr>
              <w:t>Market-Based</w:t>
            </w:r>
          </w:p>
        </w:tc>
        <w:tc>
          <w:tcPr>
            <w:tcW w:w="820" w:type="dxa"/>
            <w:vAlign w:val="bottom"/>
          </w:tcPr>
          <w:p>
            <w:pPr>
              <w:spacing w:after="0"/>
              <w:rPr>
                <w:sz w:val="16"/>
                <w:szCs w:val="16"/>
                <w:color w:val="auto"/>
              </w:rPr>
            </w:pPr>
          </w:p>
        </w:tc>
        <w:tc>
          <w:tcPr>
            <w:tcW w:w="1140" w:type="dxa"/>
            <w:vAlign w:val="bottom"/>
            <w:gridSpan w:val="3"/>
          </w:tcPr>
          <w:p>
            <w:pPr>
              <w:jc w:val="center"/>
              <w:ind w:right="73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jc w:val="center"/>
              <w:ind w:right="34"/>
              <w:spacing w:after="0" w:line="135" w:lineRule="exact"/>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5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jc w:val="center"/>
              <w:ind w:right="34"/>
              <w:spacing w:after="0" w:line="135" w:lineRule="exact"/>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ind w:right="34"/>
              <w:spacing w:after="0" w:line="135" w:lineRule="exact"/>
              <w:rPr>
                <w:sz w:val="20"/>
                <w:szCs w:val="20"/>
                <w:color w:val="auto"/>
              </w:rPr>
            </w:pPr>
            <w:r>
              <w:rPr>
                <w:rFonts w:ascii="Arial" w:cs="Arial" w:eastAsia="Arial" w:hAnsi="Arial"/>
                <w:sz w:val="14"/>
                <w:szCs w:val="14"/>
                <w:b w:val="1"/>
                <w:bCs w:val="1"/>
                <w:color w:val="auto"/>
                <w:w w:val="94"/>
              </w:rPr>
              <w:t>Weighted-</w:t>
            </w:r>
          </w:p>
        </w:tc>
        <w:tc>
          <w:tcPr>
            <w:tcW w:w="10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center"/>
              <w:ind w:right="54"/>
              <w:spacing w:after="0" w:line="135" w:lineRule="exact"/>
              <w:rPr>
                <w:sz w:val="20"/>
                <w:szCs w:val="20"/>
                <w:color w:val="auto"/>
              </w:rPr>
            </w:pPr>
            <w:r>
              <w:rPr>
                <w:rFonts w:ascii="Arial" w:cs="Arial" w:eastAsia="Arial" w:hAnsi="Arial"/>
                <w:sz w:val="14"/>
                <w:szCs w:val="14"/>
                <w:b w:val="1"/>
                <w:bCs w:val="1"/>
                <w:color w:val="auto"/>
                <w:w w:val="94"/>
              </w:rPr>
              <w:t>Weighted-</w:t>
            </w: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8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8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4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0"/>
              </w:rPr>
              <w:t>Average</w:t>
            </w:r>
          </w:p>
        </w:tc>
        <w:tc>
          <w:tcPr>
            <w:tcW w:w="8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0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4"/>
              </w:rPr>
              <w:t>Average</w:t>
            </w: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Grant Date</w:t>
            </w:r>
          </w:p>
        </w:tc>
        <w:tc>
          <w:tcPr>
            <w:tcW w:w="800" w:type="dxa"/>
            <w:vAlign w:val="bottom"/>
            <w:vMerge w:val="continue"/>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Grant Date</w:t>
            </w:r>
          </w:p>
        </w:tc>
        <w:tc>
          <w:tcPr>
            <w:tcW w:w="820" w:type="dxa"/>
            <w:vAlign w:val="bottom"/>
            <w:vMerge w:val="continue"/>
          </w:tcPr>
          <w:p>
            <w:pPr>
              <w:spacing w:after="0"/>
              <w:rPr>
                <w:sz w:val="11"/>
                <w:szCs w:val="11"/>
                <w:color w:val="auto"/>
              </w:rPr>
            </w:pPr>
          </w:p>
        </w:tc>
        <w:tc>
          <w:tcPr>
            <w:tcW w:w="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4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7"/>
              </w:rPr>
              <w:t>Grant Date</w:t>
            </w:r>
          </w:p>
        </w:tc>
        <w:tc>
          <w:tcPr>
            <w:tcW w:w="82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0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4"/>
              </w:rPr>
              <w:t>Grant Date</w:t>
            </w:r>
          </w:p>
        </w:tc>
        <w:tc>
          <w:tcPr>
            <w:tcW w:w="0" w:type="dxa"/>
            <w:vAlign w:val="bottom"/>
          </w:tcPr>
          <w:p>
            <w:pPr>
              <w:spacing w:after="0"/>
              <w:rPr>
                <w:sz w:val="1"/>
                <w:szCs w:val="1"/>
                <w:color w:val="auto"/>
              </w:rPr>
            </w:pPr>
          </w:p>
        </w:tc>
      </w:tr>
      <w:tr>
        <w:trPr>
          <w:trHeight w:val="188"/>
        </w:trPr>
        <w:tc>
          <w:tcPr>
            <w:tcW w:w="2500" w:type="dxa"/>
            <w:vAlign w:val="bottom"/>
          </w:tcPr>
          <w:p>
            <w:pPr>
              <w:spacing w:after="0"/>
              <w:rPr>
                <w:sz w:val="16"/>
                <w:szCs w:val="16"/>
                <w:color w:val="auto"/>
              </w:rPr>
            </w:pPr>
          </w:p>
        </w:tc>
        <w:tc>
          <w:tcPr>
            <w:tcW w:w="820" w:type="dxa"/>
            <w:vAlign w:val="bottom"/>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8"/>
              </w:rPr>
              <w:t>Fair Value</w:t>
            </w:r>
          </w:p>
        </w:tc>
        <w:tc>
          <w:tcPr>
            <w:tcW w:w="800" w:type="dxa"/>
            <w:vAlign w:val="bottom"/>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Fair Value</w:t>
            </w:r>
          </w:p>
        </w:tc>
        <w:tc>
          <w:tcPr>
            <w:tcW w:w="820" w:type="dxa"/>
            <w:vAlign w:val="bottom"/>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4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Fair Value</w:t>
            </w:r>
          </w:p>
        </w:tc>
        <w:tc>
          <w:tcPr>
            <w:tcW w:w="820" w:type="dxa"/>
            <w:vAlign w:val="bottom"/>
          </w:tcPr>
          <w:p>
            <w:pPr>
              <w:jc w:val="right"/>
              <w:ind w:right="112"/>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00" w:type="dxa"/>
            <w:vAlign w:val="bottom"/>
          </w:tcPr>
          <w:p>
            <w:pPr>
              <w:jc w:val="center"/>
              <w:ind w:right="54"/>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24"/>
        </w:trPr>
        <w:tc>
          <w:tcPr>
            <w:tcW w:w="25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3, 2018</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10,289</w:t>
            </w:r>
          </w:p>
        </w:tc>
        <w:tc>
          <w:tcPr>
            <w:tcW w:w="10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13.84</w:t>
            </w:r>
          </w:p>
        </w:tc>
        <w:tc>
          <w:tcPr>
            <w:tcW w:w="100" w:type="dxa"/>
            <w:vAlign w:val="bottom"/>
            <w:tcBorders>
              <w:top w:val="single" w:sz="8" w:color="CCEEFF"/>
            </w:tcBorders>
            <w:shd w:val="clear" w:color="auto" w:fill="CCEEFF"/>
          </w:tcPr>
          <w:p>
            <w:pPr>
              <w:spacing w:after="0"/>
              <w:rPr>
                <w:sz w:val="19"/>
                <w:szCs w:val="19"/>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672</w:t>
            </w:r>
          </w:p>
        </w:tc>
        <w:tc>
          <w:tcPr>
            <w:tcW w:w="5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14.25</w:t>
            </w:r>
          </w:p>
        </w:tc>
        <w:tc>
          <w:tcPr>
            <w:tcW w:w="100" w:type="dxa"/>
            <w:vAlign w:val="bottom"/>
            <w:tcBorders>
              <w:top w:val="single" w:sz="8" w:color="CCEEFF"/>
            </w:tcBorders>
            <w:shd w:val="clear" w:color="auto" w:fill="CCEEFF"/>
          </w:tcPr>
          <w:p>
            <w:pPr>
              <w:spacing w:after="0"/>
              <w:rPr>
                <w:sz w:val="19"/>
                <w:szCs w:val="19"/>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42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13.14</w:t>
            </w:r>
          </w:p>
        </w:tc>
        <w:tc>
          <w:tcPr>
            <w:tcW w:w="100" w:type="dxa"/>
            <w:vAlign w:val="bottom"/>
            <w:tcBorders>
              <w:top w:val="single" w:sz="8" w:color="CCEEFF"/>
            </w:tcBorders>
            <w:shd w:val="clear" w:color="auto" w:fill="CCEEFF"/>
          </w:tcPr>
          <w:p>
            <w:pPr>
              <w:spacing w:after="0"/>
              <w:rPr>
                <w:sz w:val="19"/>
                <w:szCs w:val="19"/>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11,882</w:t>
            </w:r>
          </w:p>
        </w:tc>
        <w:tc>
          <w:tcPr>
            <w:tcW w:w="10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13.81</w:t>
            </w:r>
          </w:p>
        </w:tc>
        <w:tc>
          <w:tcPr>
            <w:tcW w:w="0" w:type="dxa"/>
            <w:vAlign w:val="bottom"/>
          </w:tcPr>
          <w:p>
            <w:pPr>
              <w:spacing w:after="0"/>
              <w:rPr>
                <w:sz w:val="1"/>
                <w:szCs w:val="1"/>
                <w:color w:val="auto"/>
              </w:rPr>
            </w:pPr>
          </w:p>
        </w:tc>
      </w:tr>
      <w:tr>
        <w:trPr>
          <w:trHeight w:val="176"/>
        </w:trPr>
        <w:tc>
          <w:tcPr>
            <w:tcW w:w="2500" w:type="dxa"/>
            <w:vAlign w:val="bottom"/>
          </w:tcPr>
          <w:p>
            <w:pPr>
              <w:ind w:left="340"/>
              <w:spacing w:after="0" w:line="176" w:lineRule="exact"/>
              <w:rPr>
                <w:sz w:val="20"/>
                <w:szCs w:val="20"/>
                <w:color w:val="auto"/>
              </w:rPr>
            </w:pPr>
            <w:r>
              <w:rPr>
                <w:rFonts w:ascii="Arial" w:cs="Arial" w:eastAsia="Arial" w:hAnsi="Arial"/>
                <w:sz w:val="18"/>
                <w:szCs w:val="18"/>
                <w:color w:val="auto"/>
              </w:rPr>
              <w:t>Assumed upon acquisition</w:t>
            </w: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13,289</w:t>
            </w:r>
          </w:p>
        </w:tc>
        <w:tc>
          <w:tcPr>
            <w:tcW w:w="22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860" w:type="dxa"/>
            <w:vAlign w:val="bottom"/>
            <w:vMerge w:val="restart"/>
          </w:tcPr>
          <w:p>
            <w:pPr>
              <w:jc w:val="right"/>
              <w:spacing w:after="0"/>
              <w:rPr>
                <w:sz w:val="20"/>
                <w:szCs w:val="20"/>
                <w:color w:val="auto"/>
              </w:rPr>
            </w:pPr>
            <w:r>
              <w:rPr>
                <w:rFonts w:ascii="Arial" w:cs="Arial" w:eastAsia="Arial" w:hAnsi="Arial"/>
                <w:sz w:val="18"/>
                <w:szCs w:val="18"/>
                <w:color w:val="auto"/>
              </w:rPr>
              <w:t>21.02</w:t>
            </w:r>
          </w:p>
        </w:tc>
        <w:tc>
          <w:tcPr>
            <w:tcW w:w="100" w:type="dxa"/>
            <w:vAlign w:val="bottom"/>
          </w:tcPr>
          <w:p>
            <w:pPr>
              <w:spacing w:after="0"/>
              <w:rPr>
                <w:sz w:val="15"/>
                <w:szCs w:val="15"/>
                <w:color w:val="auto"/>
              </w:rPr>
            </w:pPr>
          </w:p>
        </w:tc>
        <w:tc>
          <w:tcPr>
            <w:tcW w:w="80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5"/>
                <w:szCs w:val="15"/>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5"/>
                <w:szCs w:val="15"/>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13,289</w:t>
            </w:r>
          </w:p>
        </w:tc>
        <w:tc>
          <w:tcPr>
            <w:tcW w:w="240" w:type="dxa"/>
            <w:vAlign w:val="bottom"/>
            <w:gridSpan w:val="2"/>
            <w:vMerge w:val="restart"/>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vMerge w:val="restart"/>
          </w:tcPr>
          <w:p>
            <w:pPr>
              <w:jc w:val="right"/>
              <w:spacing w:after="0"/>
              <w:rPr>
                <w:sz w:val="20"/>
                <w:szCs w:val="20"/>
                <w:color w:val="auto"/>
              </w:rPr>
            </w:pPr>
            <w:r>
              <w:rPr>
                <w:rFonts w:ascii="Arial" w:cs="Arial" w:eastAsia="Arial" w:hAnsi="Arial"/>
                <w:sz w:val="18"/>
                <w:szCs w:val="18"/>
                <w:color w:val="auto"/>
              </w:rPr>
              <w:t>21.02</w:t>
            </w:r>
          </w:p>
        </w:tc>
        <w:tc>
          <w:tcPr>
            <w:tcW w:w="0" w:type="dxa"/>
            <w:vAlign w:val="bottom"/>
          </w:tcPr>
          <w:p>
            <w:pPr>
              <w:spacing w:after="0"/>
              <w:rPr>
                <w:sz w:val="1"/>
                <w:szCs w:val="1"/>
                <w:color w:val="auto"/>
              </w:rPr>
            </w:pPr>
          </w:p>
        </w:tc>
      </w:tr>
      <w:tr>
        <w:trPr>
          <w:trHeight w:val="229"/>
        </w:trPr>
        <w:tc>
          <w:tcPr>
            <w:tcW w:w="2500" w:type="dxa"/>
            <w:vAlign w:val="bottom"/>
          </w:tcPr>
          <w:p>
            <w:pPr>
              <w:ind w:left="340"/>
              <w:spacing w:after="0"/>
              <w:rPr>
                <w:sz w:val="20"/>
                <w:szCs w:val="20"/>
                <w:color w:val="auto"/>
              </w:rPr>
            </w:pPr>
            <w:r>
              <w:rPr>
                <w:rFonts w:ascii="Arial" w:cs="Arial" w:eastAsia="Arial" w:hAnsi="Arial"/>
                <w:sz w:val="18"/>
                <w:szCs w:val="18"/>
                <w:color w:val="auto"/>
              </w:rPr>
              <w:t>[4]</w:t>
            </w:r>
          </w:p>
        </w:tc>
        <w:tc>
          <w:tcPr>
            <w:tcW w:w="820" w:type="dxa"/>
            <w:vAlign w:val="bottom"/>
            <w:vMerge w:val="continue"/>
          </w:tcPr>
          <w:p>
            <w:pPr>
              <w:spacing w:after="0"/>
              <w:rPr>
                <w:sz w:val="19"/>
                <w:szCs w:val="19"/>
                <w:color w:val="auto"/>
              </w:rPr>
            </w:pPr>
          </w:p>
        </w:tc>
        <w:tc>
          <w:tcPr>
            <w:tcW w:w="220" w:type="dxa"/>
            <w:vAlign w:val="bottom"/>
            <w:gridSpan w:val="2"/>
            <w:vMerge w:val="continue"/>
          </w:tcPr>
          <w:p>
            <w:pPr>
              <w:spacing w:after="0"/>
              <w:rPr>
                <w:sz w:val="19"/>
                <w:szCs w:val="19"/>
                <w:color w:val="auto"/>
              </w:rPr>
            </w:pPr>
          </w:p>
        </w:tc>
        <w:tc>
          <w:tcPr>
            <w:tcW w:w="8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vMerge w:val="continue"/>
          </w:tcPr>
          <w:p>
            <w:pPr>
              <w:spacing w:after="0"/>
              <w:rPr>
                <w:sz w:val="19"/>
                <w:szCs w:val="19"/>
                <w:color w:val="auto"/>
              </w:rPr>
            </w:pPr>
          </w:p>
        </w:tc>
        <w:tc>
          <w:tcPr>
            <w:tcW w:w="520" w:type="dxa"/>
            <w:vAlign w:val="bottom"/>
          </w:tcPr>
          <w:p>
            <w:pPr>
              <w:spacing w:after="0"/>
              <w:rPr>
                <w:sz w:val="19"/>
                <w:szCs w:val="19"/>
                <w:color w:val="auto"/>
              </w:rPr>
            </w:pPr>
          </w:p>
        </w:tc>
        <w:tc>
          <w:tcPr>
            <w:tcW w:w="120" w:type="dxa"/>
            <w:vAlign w:val="bottom"/>
            <w:vMerge w:val="continue"/>
          </w:tcPr>
          <w:p>
            <w:pPr>
              <w:spacing w:after="0"/>
              <w:rPr>
                <w:sz w:val="19"/>
                <w:szCs w:val="19"/>
                <w:color w:val="auto"/>
              </w:rPr>
            </w:pPr>
          </w:p>
        </w:tc>
        <w:tc>
          <w:tcPr>
            <w:tcW w:w="960" w:type="dxa"/>
            <w:vAlign w:val="bottom"/>
            <w:gridSpan w:val="2"/>
            <w:vMerge w:val="continue"/>
          </w:tcPr>
          <w:p>
            <w:pPr>
              <w:spacing w:after="0"/>
              <w:rPr>
                <w:sz w:val="19"/>
                <w:szCs w:val="19"/>
                <w:color w:val="auto"/>
              </w:rPr>
            </w:pPr>
          </w:p>
        </w:tc>
        <w:tc>
          <w:tcPr>
            <w:tcW w:w="820" w:type="dxa"/>
            <w:vAlign w:val="bottom"/>
            <w:vMerge w:val="continue"/>
          </w:tcPr>
          <w:p>
            <w:pPr>
              <w:spacing w:after="0"/>
              <w:rPr>
                <w:sz w:val="19"/>
                <w:szCs w:val="19"/>
                <w:color w:val="auto"/>
              </w:rPr>
            </w:pPr>
          </w:p>
        </w:tc>
        <w:tc>
          <w:tcPr>
            <w:tcW w:w="420" w:type="dxa"/>
            <w:vAlign w:val="bottom"/>
          </w:tcPr>
          <w:p>
            <w:pPr>
              <w:spacing w:after="0"/>
              <w:rPr>
                <w:sz w:val="19"/>
                <w:szCs w:val="19"/>
                <w:color w:val="auto"/>
              </w:rPr>
            </w:pPr>
          </w:p>
        </w:tc>
        <w:tc>
          <w:tcPr>
            <w:tcW w:w="140" w:type="dxa"/>
            <w:vAlign w:val="bottom"/>
            <w:vMerge w:val="continue"/>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820" w:type="dxa"/>
            <w:vAlign w:val="bottom"/>
            <w:vMerge w:val="continue"/>
          </w:tcPr>
          <w:p>
            <w:pPr>
              <w:spacing w:after="0"/>
              <w:rPr>
                <w:sz w:val="19"/>
                <w:szCs w:val="19"/>
                <w:color w:val="auto"/>
              </w:rPr>
            </w:pPr>
          </w:p>
        </w:tc>
        <w:tc>
          <w:tcPr>
            <w:tcW w:w="240" w:type="dxa"/>
            <w:vAlign w:val="bottom"/>
            <w:gridSpan w:val="2"/>
            <w:vMerge w:val="continue"/>
          </w:tcPr>
          <w:p>
            <w:pPr>
              <w:spacing w:after="0"/>
              <w:rPr>
                <w:sz w:val="19"/>
                <w:szCs w:val="19"/>
                <w:color w:val="auto"/>
              </w:rPr>
            </w:pPr>
          </w:p>
        </w:tc>
        <w:tc>
          <w:tcPr>
            <w:tcW w:w="9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Granted</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7,453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19.95</w:t>
            </w:r>
          </w:p>
        </w:tc>
        <w:tc>
          <w:tcPr>
            <w:tcW w:w="10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520" w:type="dxa"/>
            <w:vAlign w:val="bottom"/>
            <w:shd w:val="clear" w:color="auto" w:fill="CCEEFF"/>
          </w:tcPr>
          <w:p>
            <w:pPr>
              <w:jc w:val="right"/>
              <w:ind w:right="210"/>
              <w:spacing w:after="0"/>
              <w:rPr>
                <w:sz w:val="20"/>
                <w:szCs w:val="20"/>
                <w:color w:val="auto"/>
              </w:rPr>
            </w:pPr>
            <w:r>
              <w:rPr>
                <w:rFonts w:ascii="Arial" w:cs="Arial" w:eastAsia="Arial" w:hAnsi="Arial"/>
                <w:sz w:val="18"/>
                <w:szCs w:val="18"/>
                <w:color w:val="auto"/>
                <w:w w:val="99"/>
              </w:rPr>
              <w:t>[1]</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21.12</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w:t>
            </w:r>
          </w:p>
        </w:tc>
        <w:tc>
          <w:tcPr>
            <w:tcW w:w="4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[1]</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21.36</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8,144</w:t>
            </w:r>
          </w:p>
        </w:tc>
        <w:tc>
          <w:tcPr>
            <w:tcW w:w="240" w:type="dxa"/>
            <w:vAlign w:val="bottom"/>
            <w:gridSpan w:val="2"/>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20.06</w:t>
            </w:r>
          </w:p>
        </w:tc>
        <w:tc>
          <w:tcPr>
            <w:tcW w:w="0" w:type="dxa"/>
            <w:vAlign w:val="bottom"/>
          </w:tcPr>
          <w:p>
            <w:pPr>
              <w:spacing w:after="0"/>
              <w:rPr>
                <w:sz w:val="1"/>
                <w:szCs w:val="1"/>
                <w:color w:val="auto"/>
              </w:rPr>
            </w:pPr>
          </w:p>
        </w:tc>
      </w:tr>
      <w:tr>
        <w:trPr>
          <w:trHeight w:val="229"/>
        </w:trPr>
        <w:tc>
          <w:tcPr>
            <w:tcW w:w="2500" w:type="dxa"/>
            <w:vAlign w:val="bottom"/>
          </w:tcPr>
          <w:p>
            <w:pPr>
              <w:ind w:left="340"/>
              <w:spacing w:after="0"/>
              <w:rPr>
                <w:sz w:val="20"/>
                <w:szCs w:val="20"/>
                <w:color w:val="auto"/>
              </w:rPr>
            </w:pPr>
            <w:r>
              <w:rPr>
                <w:rFonts w:ascii="Arial" w:cs="Arial" w:eastAsia="Arial" w:hAnsi="Arial"/>
                <w:sz w:val="18"/>
                <w:szCs w:val="18"/>
                <w:color w:val="auto"/>
              </w:rPr>
              <w:t>Vested</w:t>
            </w:r>
          </w:p>
        </w:tc>
        <w:tc>
          <w:tcPr>
            <w:tcW w:w="820" w:type="dxa"/>
            <w:vAlign w:val="bottom"/>
          </w:tcPr>
          <w:p>
            <w:pPr>
              <w:jc w:val="right"/>
              <w:spacing w:after="0"/>
              <w:rPr>
                <w:sz w:val="20"/>
                <w:szCs w:val="20"/>
                <w:color w:val="auto"/>
              </w:rPr>
            </w:pPr>
            <w:r>
              <w:rPr>
                <w:rFonts w:ascii="Arial" w:cs="Arial" w:eastAsia="Arial" w:hAnsi="Arial"/>
                <w:sz w:val="18"/>
                <w:szCs w:val="18"/>
                <w:color w:val="auto"/>
              </w:rPr>
              <w:t>(8,827)</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16.30</w:t>
            </w:r>
          </w:p>
        </w:tc>
        <w:tc>
          <w:tcPr>
            <w:tcW w:w="10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(30)</w:t>
            </w:r>
          </w:p>
        </w:tc>
        <w:tc>
          <w:tcPr>
            <w:tcW w:w="42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13.08</w:t>
            </w:r>
          </w:p>
        </w:tc>
        <w:tc>
          <w:tcPr>
            <w:tcW w:w="10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(8,857)</w:t>
            </w:r>
          </w:p>
        </w:tc>
        <w:tc>
          <w:tcPr>
            <w:tcW w:w="240" w:type="dxa"/>
            <w:vAlign w:val="bottom"/>
            <w:gridSpan w:val="2"/>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Canceled/Forfeited</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(3,159)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19.64</w:t>
            </w:r>
          </w:p>
        </w:tc>
        <w:tc>
          <w:tcPr>
            <w:tcW w:w="100" w:type="dxa"/>
            <w:vAlign w:val="bottom"/>
            <w:shd w:val="clear" w:color="auto" w:fill="CCEEFF"/>
          </w:tcPr>
          <w:p>
            <w:pPr>
              <w:spacing w:after="0"/>
              <w:rPr>
                <w:sz w:val="19"/>
                <w:szCs w:val="19"/>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52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w:t>
            </w:r>
          </w:p>
        </w:tc>
        <w:tc>
          <w:tcPr>
            <w:tcW w:w="100" w:type="dxa"/>
            <w:vAlign w:val="bottom"/>
            <w:shd w:val="clear" w:color="auto" w:fill="CCEEFF"/>
          </w:tcPr>
          <w:p>
            <w:pPr>
              <w:spacing w:after="0"/>
              <w:rPr>
                <w:sz w:val="19"/>
                <w:szCs w:val="19"/>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42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16.52</w:t>
            </w:r>
          </w:p>
        </w:tc>
        <w:tc>
          <w:tcPr>
            <w:tcW w:w="100" w:type="dxa"/>
            <w:vAlign w:val="bottom"/>
            <w:shd w:val="clear" w:color="auto" w:fill="CCEEFF"/>
          </w:tcPr>
          <w:p>
            <w:pPr>
              <w:spacing w:after="0"/>
              <w:rPr>
                <w:sz w:val="19"/>
                <w:szCs w:val="19"/>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(3,287)</w:t>
            </w:r>
          </w:p>
        </w:tc>
        <w:tc>
          <w:tcPr>
            <w:tcW w:w="240" w:type="dxa"/>
            <w:vAlign w:val="bottom"/>
            <w:gridSpan w:val="2"/>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19.51</w:t>
            </w:r>
          </w:p>
        </w:tc>
        <w:tc>
          <w:tcPr>
            <w:tcW w:w="0" w:type="dxa"/>
            <w:vAlign w:val="bottom"/>
          </w:tcPr>
          <w:p>
            <w:pPr>
              <w:spacing w:after="0"/>
              <w:rPr>
                <w:sz w:val="1"/>
                <w:szCs w:val="1"/>
                <w:color w:val="auto"/>
              </w:rPr>
            </w:pPr>
          </w:p>
        </w:tc>
      </w:tr>
      <w:tr>
        <w:trPr>
          <w:trHeight w:val="223"/>
        </w:trPr>
        <w:tc>
          <w:tcPr>
            <w:tcW w:w="2500" w:type="dxa"/>
            <w:vAlign w:val="bottom"/>
          </w:tcPr>
          <w:p>
            <w:pPr>
              <w:ind w:left="20"/>
              <w:spacing w:after="0"/>
              <w:rPr>
                <w:sz w:val="20"/>
                <w:szCs w:val="20"/>
                <w:color w:val="auto"/>
              </w:rPr>
            </w:pPr>
            <w:r>
              <w:rPr>
                <w:rFonts w:ascii="Arial" w:cs="Arial" w:eastAsia="Arial" w:hAnsi="Arial"/>
                <w:sz w:val="18"/>
                <w:szCs w:val="18"/>
                <w:color w:val="auto"/>
              </w:rPr>
              <w:t>Balance at February 2, 2019</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19,045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19.15</w:t>
            </w:r>
          </w:p>
        </w:tc>
        <w:tc>
          <w:tcPr>
            <w:tcW w:w="10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948</w:t>
            </w:r>
          </w:p>
        </w:tc>
        <w:tc>
          <w:tcPr>
            <w:tcW w:w="52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16.58</w:t>
            </w:r>
          </w:p>
        </w:tc>
        <w:tc>
          <w:tcPr>
            <w:tcW w:w="10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1,178</w:t>
            </w:r>
          </w:p>
        </w:tc>
        <w:tc>
          <w:tcPr>
            <w:tcW w:w="42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15.40</w:t>
            </w:r>
          </w:p>
        </w:tc>
        <w:tc>
          <w:tcPr>
            <w:tcW w:w="10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21,171</w:t>
            </w:r>
          </w:p>
        </w:tc>
        <w:tc>
          <w:tcPr>
            <w:tcW w:w="240" w:type="dxa"/>
            <w:vAlign w:val="bottom"/>
            <w:gridSpan w:val="2"/>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18.82</w:t>
            </w:r>
          </w:p>
        </w:tc>
        <w:tc>
          <w:tcPr>
            <w:tcW w:w="0" w:type="dxa"/>
            <w:vAlign w:val="bottom"/>
          </w:tcPr>
          <w:p>
            <w:pPr>
              <w:spacing w:after="0"/>
              <w:rPr>
                <w:sz w:val="1"/>
                <w:szCs w:val="1"/>
                <w:color w:val="auto"/>
              </w:rPr>
            </w:pPr>
          </w:p>
        </w:tc>
      </w:tr>
      <w:tr>
        <w:trPr>
          <w:trHeight w:val="20"/>
        </w:trPr>
        <w:tc>
          <w:tcPr>
            <w:tcW w:w="2500" w:type="dxa"/>
            <w:vAlign w:val="bottom"/>
            <w:tcBorders>
              <w:bottom w:val="single" w:sz="8" w:color="CCEEFF"/>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500" w:type="dxa"/>
            <w:vAlign w:val="bottom"/>
            <w:shd w:val="clear" w:color="auto" w:fill="CCEEFF"/>
          </w:tcPr>
          <w:p>
            <w:pPr>
              <w:ind w:left="340"/>
              <w:spacing w:after="0" w:line="142" w:lineRule="exact"/>
              <w:rPr>
                <w:sz w:val="20"/>
                <w:szCs w:val="20"/>
                <w:color w:val="auto"/>
              </w:rPr>
            </w:pPr>
            <w:r>
              <w:rPr>
                <w:rFonts w:ascii="Arial" w:cs="Arial" w:eastAsia="Arial" w:hAnsi="Arial"/>
                <w:sz w:val="16"/>
                <w:szCs w:val="16"/>
                <w:color w:val="auto"/>
              </w:rPr>
              <w:t>Assumed upon acquisition</w:t>
            </w: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1,341</w:t>
            </w:r>
          </w:p>
        </w:tc>
        <w:tc>
          <w:tcPr>
            <w:tcW w:w="22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25.61</w:t>
            </w:r>
          </w:p>
        </w:tc>
        <w:tc>
          <w:tcPr>
            <w:tcW w:w="100" w:type="dxa"/>
            <w:vAlign w:val="bottom"/>
            <w:shd w:val="clear" w:color="auto" w:fill="CCEEFF"/>
          </w:tcPr>
          <w:p>
            <w:pPr>
              <w:spacing w:after="0"/>
              <w:rPr>
                <w:sz w:val="12"/>
                <w:szCs w:val="12"/>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2"/>
                <w:szCs w:val="12"/>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2"/>
                <w:szCs w:val="12"/>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1,341</w:t>
            </w:r>
          </w:p>
        </w:tc>
        <w:tc>
          <w:tcPr>
            <w:tcW w:w="240" w:type="dxa"/>
            <w:vAlign w:val="bottom"/>
            <w:gridSpan w:val="2"/>
            <w:vMerge w:val="restart"/>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25.61</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[4]</w:t>
            </w:r>
          </w:p>
        </w:tc>
        <w:tc>
          <w:tcPr>
            <w:tcW w:w="820" w:type="dxa"/>
            <w:vAlign w:val="bottom"/>
            <w:vMerge w:val="continue"/>
            <w:shd w:val="clear" w:color="auto" w:fill="CCEEFF"/>
          </w:tcPr>
          <w:p>
            <w:pPr>
              <w:spacing w:after="0"/>
              <w:rPr>
                <w:sz w:val="19"/>
                <w:szCs w:val="19"/>
                <w:color w:val="auto"/>
              </w:rPr>
            </w:pPr>
          </w:p>
        </w:tc>
        <w:tc>
          <w:tcPr>
            <w:tcW w:w="220" w:type="dxa"/>
            <w:vAlign w:val="bottom"/>
            <w:gridSpan w:val="2"/>
            <w:vMerge w:val="continue"/>
            <w:shd w:val="clear" w:color="auto" w:fill="CCEEFF"/>
          </w:tcPr>
          <w:p>
            <w:pPr>
              <w:spacing w:after="0"/>
              <w:rPr>
                <w:sz w:val="19"/>
                <w:szCs w:val="19"/>
                <w:color w:val="auto"/>
              </w:rPr>
            </w:pPr>
          </w:p>
        </w:tc>
        <w:tc>
          <w:tcPr>
            <w:tcW w:w="8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00" w:type="dxa"/>
            <w:vAlign w:val="bottom"/>
            <w:vMerge w:val="continue"/>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120" w:type="dxa"/>
            <w:vAlign w:val="bottom"/>
            <w:vMerge w:val="continue"/>
            <w:shd w:val="clear" w:color="auto" w:fill="CCEEFF"/>
          </w:tcPr>
          <w:p>
            <w:pPr>
              <w:spacing w:after="0"/>
              <w:rPr>
                <w:sz w:val="19"/>
                <w:szCs w:val="19"/>
                <w:color w:val="auto"/>
              </w:rPr>
            </w:pPr>
          </w:p>
        </w:tc>
        <w:tc>
          <w:tcPr>
            <w:tcW w:w="960" w:type="dxa"/>
            <w:vAlign w:val="bottom"/>
            <w:gridSpan w:val="2"/>
            <w:vMerge w:val="continue"/>
            <w:shd w:val="clear" w:color="auto" w:fill="CCEEFF"/>
          </w:tcPr>
          <w:p>
            <w:pPr>
              <w:spacing w:after="0"/>
              <w:rPr>
                <w:sz w:val="19"/>
                <w:szCs w:val="19"/>
                <w:color w:val="auto"/>
              </w:rPr>
            </w:pPr>
          </w:p>
        </w:tc>
        <w:tc>
          <w:tcPr>
            <w:tcW w:w="820" w:type="dxa"/>
            <w:vAlign w:val="bottom"/>
            <w:vMerge w:val="continue"/>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140" w:type="dxa"/>
            <w:vAlign w:val="bottom"/>
            <w:vMerge w:val="continue"/>
            <w:shd w:val="clear" w:color="auto" w:fill="CCEEFF"/>
          </w:tcPr>
          <w:p>
            <w:pPr>
              <w:spacing w:after="0"/>
              <w:rPr>
                <w:sz w:val="19"/>
                <w:szCs w:val="19"/>
                <w:color w:val="auto"/>
              </w:rPr>
            </w:pPr>
          </w:p>
        </w:tc>
        <w:tc>
          <w:tcPr>
            <w:tcW w:w="940" w:type="dxa"/>
            <w:vAlign w:val="bottom"/>
            <w:gridSpan w:val="2"/>
            <w:vMerge w:val="continue"/>
            <w:shd w:val="clear" w:color="auto" w:fill="CCEEFF"/>
          </w:tcPr>
          <w:p>
            <w:pPr>
              <w:spacing w:after="0"/>
              <w:rPr>
                <w:sz w:val="19"/>
                <w:szCs w:val="19"/>
                <w:color w:val="auto"/>
              </w:rPr>
            </w:pPr>
          </w:p>
        </w:tc>
        <w:tc>
          <w:tcPr>
            <w:tcW w:w="820" w:type="dxa"/>
            <w:vAlign w:val="bottom"/>
            <w:vMerge w:val="continue"/>
            <w:shd w:val="clear" w:color="auto" w:fill="CCEEFF"/>
          </w:tcPr>
          <w:p>
            <w:pPr>
              <w:spacing w:after="0"/>
              <w:rPr>
                <w:sz w:val="19"/>
                <w:szCs w:val="19"/>
                <w:color w:val="auto"/>
              </w:rPr>
            </w:pPr>
          </w:p>
        </w:tc>
        <w:tc>
          <w:tcPr>
            <w:tcW w:w="240" w:type="dxa"/>
            <w:vAlign w:val="bottom"/>
            <w:gridSpan w:val="2"/>
            <w:vMerge w:val="continue"/>
            <w:shd w:val="clear" w:color="auto" w:fill="CCEEFF"/>
          </w:tcPr>
          <w:p>
            <w:pPr>
              <w:spacing w:after="0"/>
              <w:rPr>
                <w:sz w:val="19"/>
                <w:szCs w:val="19"/>
                <w:color w:val="auto"/>
              </w:rPr>
            </w:pPr>
          </w:p>
        </w:tc>
        <w:tc>
          <w:tcPr>
            <w:tcW w:w="9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40"/>
              <w:spacing w:after="0"/>
              <w:rPr>
                <w:sz w:val="20"/>
                <w:szCs w:val="20"/>
                <w:color w:val="auto"/>
              </w:rPr>
            </w:pPr>
            <w:r>
              <w:rPr>
                <w:rFonts w:ascii="Arial" w:cs="Arial" w:eastAsia="Arial" w:hAnsi="Arial"/>
                <w:sz w:val="18"/>
                <w:szCs w:val="18"/>
                <w:color w:val="auto"/>
              </w:rPr>
              <w:t>Granted</w:t>
            </w:r>
          </w:p>
        </w:tc>
        <w:tc>
          <w:tcPr>
            <w:tcW w:w="820" w:type="dxa"/>
            <w:vAlign w:val="bottom"/>
          </w:tcPr>
          <w:p>
            <w:pPr>
              <w:jc w:val="right"/>
              <w:spacing w:after="0"/>
              <w:rPr>
                <w:sz w:val="20"/>
                <w:szCs w:val="20"/>
                <w:color w:val="auto"/>
              </w:rPr>
            </w:pPr>
            <w:r>
              <w:rPr>
                <w:rFonts w:ascii="Arial" w:cs="Arial" w:eastAsia="Arial" w:hAnsi="Arial"/>
                <w:sz w:val="18"/>
                <w:szCs w:val="18"/>
                <w:color w:val="auto"/>
              </w:rPr>
              <w:t>9,340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23.36</w:t>
            </w:r>
          </w:p>
        </w:tc>
        <w:tc>
          <w:tcPr>
            <w:tcW w:w="10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288</w:t>
            </w:r>
          </w:p>
        </w:tc>
        <w:tc>
          <w:tcPr>
            <w:tcW w:w="520" w:type="dxa"/>
            <w:vAlign w:val="bottom"/>
          </w:tcPr>
          <w:p>
            <w:pPr>
              <w:jc w:val="right"/>
              <w:ind w:right="210"/>
              <w:spacing w:after="0"/>
              <w:rPr>
                <w:sz w:val="20"/>
                <w:szCs w:val="20"/>
                <w:color w:val="auto"/>
              </w:rPr>
            </w:pPr>
            <w:r>
              <w:rPr>
                <w:rFonts w:ascii="Arial" w:cs="Arial" w:eastAsia="Arial" w:hAnsi="Arial"/>
                <w:sz w:val="18"/>
                <w:szCs w:val="18"/>
                <w:color w:val="auto"/>
                <w:w w:val="99"/>
              </w:rPr>
              <w:t>[2]</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13.90</w:t>
            </w:r>
          </w:p>
        </w:tc>
        <w:tc>
          <w:tcPr>
            <w:tcW w:w="10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3,621</w:t>
            </w:r>
          </w:p>
        </w:tc>
        <w:tc>
          <w:tcPr>
            <w:tcW w:w="420" w:type="dxa"/>
            <w:vAlign w:val="bottom"/>
          </w:tcPr>
          <w:p>
            <w:pPr>
              <w:jc w:val="right"/>
              <w:ind w:right="110"/>
              <w:spacing w:after="0"/>
              <w:rPr>
                <w:sz w:val="20"/>
                <w:szCs w:val="20"/>
                <w:color w:val="auto"/>
              </w:rPr>
            </w:pPr>
            <w:r>
              <w:rPr>
                <w:rFonts w:ascii="Arial" w:cs="Arial" w:eastAsia="Arial" w:hAnsi="Arial"/>
                <w:sz w:val="18"/>
                <w:szCs w:val="18"/>
                <w:color w:val="auto"/>
                <w:w w:val="99"/>
              </w:rPr>
              <w:t>[3]</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15.39</w:t>
            </w:r>
          </w:p>
        </w:tc>
        <w:tc>
          <w:tcPr>
            <w:tcW w:w="10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13,249</w:t>
            </w:r>
          </w:p>
        </w:tc>
        <w:tc>
          <w:tcPr>
            <w:tcW w:w="240" w:type="dxa"/>
            <w:vAlign w:val="bottom"/>
            <w:gridSpan w:val="2"/>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20.98</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Vested</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20.01</w:t>
            </w:r>
          </w:p>
        </w:tc>
        <w:tc>
          <w:tcPr>
            <w:tcW w:w="10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52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w:t>
            </w:r>
          </w:p>
        </w:tc>
        <w:tc>
          <w:tcPr>
            <w:tcW w:w="42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11.62</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(12,070)</w:t>
            </w:r>
          </w:p>
        </w:tc>
        <w:tc>
          <w:tcPr>
            <w:tcW w:w="240" w:type="dxa"/>
            <w:vAlign w:val="bottom"/>
            <w:gridSpan w:val="2"/>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19.23</w:t>
            </w: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Canceled/Forfeited</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(3,661)</w:t>
            </w:r>
          </w:p>
        </w:tc>
        <w:tc>
          <w:tcPr>
            <w:tcW w:w="2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20.57</w:t>
            </w:r>
          </w:p>
        </w:tc>
        <w:tc>
          <w:tcPr>
            <w:tcW w:w="100" w:type="dxa"/>
            <w:vAlign w:val="bottom"/>
            <w:tcBorders>
              <w:bottom w:val="single" w:sz="8" w:color="CCEEFF"/>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w:t>
            </w:r>
          </w:p>
        </w:tc>
        <w:tc>
          <w:tcPr>
            <w:tcW w:w="52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17.86</w:t>
            </w:r>
          </w:p>
        </w:tc>
        <w:tc>
          <w:tcPr>
            <w:tcW w:w="100" w:type="dxa"/>
            <w:vAlign w:val="bottom"/>
            <w:tcBorders>
              <w:bottom w:val="single" w:sz="8" w:color="CCEEFF"/>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w:t>
            </w:r>
          </w:p>
        </w:tc>
        <w:tc>
          <w:tcPr>
            <w:tcW w:w="420" w:type="dxa"/>
            <w:vAlign w:val="bottom"/>
            <w:tcBorders>
              <w:bottom w:val="single" w:sz="8" w:color="CCEEFF"/>
            </w:tcBorders>
          </w:tcPr>
          <w:p>
            <w:pPr>
              <w:spacing w:after="0"/>
              <w:rPr>
                <w:sz w:val="19"/>
                <w:szCs w:val="19"/>
                <w:color w:val="auto"/>
              </w:rPr>
            </w:pP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21.12</w:t>
            </w:r>
          </w:p>
        </w:tc>
        <w:tc>
          <w:tcPr>
            <w:tcW w:w="100" w:type="dxa"/>
            <w:vAlign w:val="bottom"/>
            <w:tcBorders>
              <w:bottom w:val="single" w:sz="8" w:color="CCEEFF"/>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(3,983)</w:t>
            </w:r>
          </w:p>
        </w:tc>
        <w:tc>
          <w:tcPr>
            <w:tcW w:w="240" w:type="dxa"/>
            <w:vAlign w:val="bottom"/>
            <w:tcBorders>
              <w:bottom w:val="single" w:sz="8" w:color="CCEEFF"/>
            </w:tcBorders>
            <w:gridSpan w:val="2"/>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20.49</w:t>
            </w:r>
          </w:p>
        </w:tc>
        <w:tc>
          <w:tcPr>
            <w:tcW w:w="0" w:type="dxa"/>
            <w:vAlign w:val="bottom"/>
          </w:tcPr>
          <w:p>
            <w:pPr>
              <w:spacing w:after="0"/>
              <w:rPr>
                <w:sz w:val="1"/>
                <w:szCs w:val="1"/>
                <w:color w:val="auto"/>
              </w:rPr>
            </w:pPr>
          </w:p>
        </w:tc>
      </w:tr>
      <w:tr>
        <w:trPr>
          <w:trHeight w:val="221"/>
        </w:trPr>
        <w:tc>
          <w:tcPr>
            <w:tcW w:w="2500" w:type="dxa"/>
            <w:vAlign w:val="bottom"/>
            <w:tcBorders>
              <w:bottom w:val="single" w:sz="8" w:color="CCEEFF"/>
            </w:tcBorders>
            <w:shd w:val="clear" w:color="auto" w:fill="CCEEFF"/>
          </w:tcPr>
          <w:p>
            <w:pPr>
              <w:ind w:left="20"/>
              <w:spacing w:after="0" w:line="196" w:lineRule="exact"/>
              <w:rPr>
                <w:sz w:val="20"/>
                <w:szCs w:val="20"/>
                <w:color w:val="auto"/>
              </w:rPr>
            </w:pPr>
            <w:r>
              <w:rPr>
                <w:rFonts w:ascii="Arial" w:cs="Arial" w:eastAsia="Arial" w:hAnsi="Arial"/>
                <w:sz w:val="18"/>
                <w:szCs w:val="18"/>
                <w:color w:val="auto"/>
              </w:rPr>
              <w:t>Balance at February 1, 2020</w:t>
            </w:r>
          </w:p>
        </w:tc>
        <w:tc>
          <w:tcPr>
            <w:tcW w:w="8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15,284</w:t>
            </w:r>
          </w:p>
        </w:tc>
        <w:tc>
          <w:tcPr>
            <w:tcW w:w="220" w:type="dxa"/>
            <w:vAlign w:val="bottom"/>
            <w:tcBorders>
              <w:bottom w:val="single" w:sz="8" w:color="CCEEFF"/>
            </w:tcBorders>
            <w:gridSpan w:val="2"/>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21.34</w:t>
            </w:r>
          </w:p>
        </w:tc>
        <w:tc>
          <w:tcPr>
            <w:tcW w:w="100" w:type="dxa"/>
            <w:vAlign w:val="bottom"/>
            <w:tcBorders>
              <w:bottom w:val="single" w:sz="8" w:color="CCEEFF"/>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511</w:t>
            </w:r>
          </w:p>
        </w:tc>
        <w:tc>
          <w:tcPr>
            <w:tcW w:w="5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17.71</w:t>
            </w:r>
          </w:p>
        </w:tc>
        <w:tc>
          <w:tcPr>
            <w:tcW w:w="10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3,913</w:t>
            </w:r>
          </w:p>
        </w:tc>
        <w:tc>
          <w:tcPr>
            <w:tcW w:w="42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15.83</w:t>
            </w:r>
          </w:p>
        </w:tc>
        <w:tc>
          <w:tcPr>
            <w:tcW w:w="10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19,708</w:t>
            </w:r>
          </w:p>
        </w:tc>
        <w:tc>
          <w:tcPr>
            <w:tcW w:w="240" w:type="dxa"/>
            <w:vAlign w:val="bottom"/>
            <w:tcBorders>
              <w:bottom w:val="single" w:sz="8" w:color="CCEEFF"/>
            </w:tcBorders>
            <w:gridSpan w:val="2"/>
            <w:shd w:val="clear" w:color="auto" w:fill="CCEEFF"/>
          </w:tcPr>
          <w:p>
            <w:pPr>
              <w:jc w:val="center"/>
              <w:ind w:left="11"/>
              <w:spacing w:after="0" w:line="196" w:lineRule="exact"/>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20.15</w:t>
            </w: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Granted</w:t>
            </w: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bottom w:val="single" w:sz="8" w:color="CCEEFF"/>
            </w:tcBorders>
            <w:gridSpan w:val="2"/>
            <w:vMerge w:val="restart"/>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26.18</w:t>
            </w:r>
          </w:p>
        </w:tc>
        <w:tc>
          <w:tcPr>
            <w:tcW w:w="10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520" w:type="dxa"/>
            <w:vAlign w:val="bottom"/>
            <w:tcBorders>
              <w:top w:val="single" w:sz="8" w:color="CCEEFF"/>
              <w:bottom w:val="single" w:sz="8" w:color="CCEEFF"/>
            </w:tcBorders>
            <w:vMerge w:val="restart"/>
          </w:tcPr>
          <w:p>
            <w:pPr>
              <w:jc w:val="right"/>
              <w:ind w:right="210"/>
              <w:spacing w:after="0"/>
              <w:rPr>
                <w:sz w:val="20"/>
                <w:szCs w:val="20"/>
                <w:color w:val="auto"/>
              </w:rPr>
            </w:pPr>
            <w:r>
              <w:rPr>
                <w:rFonts w:ascii="Arial" w:cs="Arial" w:eastAsia="Arial" w:hAnsi="Arial"/>
                <w:sz w:val="18"/>
                <w:szCs w:val="18"/>
                <w:color w:val="auto"/>
                <w:w w:val="99"/>
              </w:rPr>
              <w:t>[2]</w:t>
            </w:r>
          </w:p>
        </w:tc>
        <w:tc>
          <w:tcPr>
            <w:tcW w:w="12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14.13</w:t>
            </w: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420" w:type="dxa"/>
            <w:vAlign w:val="bottom"/>
            <w:tcBorders>
              <w:top w:val="single" w:sz="8" w:color="CCEEFF"/>
              <w:bottom w:val="single" w:sz="8" w:color="CCEEFF"/>
            </w:tcBorders>
            <w:vMerge w:val="restart"/>
          </w:tcPr>
          <w:p>
            <w:pPr>
              <w:jc w:val="right"/>
              <w:ind w:right="110"/>
              <w:spacing w:after="0"/>
              <w:rPr>
                <w:sz w:val="20"/>
                <w:szCs w:val="20"/>
                <w:color w:val="auto"/>
              </w:rPr>
            </w:pPr>
            <w:r>
              <w:rPr>
                <w:rFonts w:ascii="Arial" w:cs="Arial" w:eastAsia="Arial" w:hAnsi="Arial"/>
                <w:sz w:val="18"/>
                <w:szCs w:val="18"/>
                <w:color w:val="auto"/>
                <w:w w:val="99"/>
              </w:rPr>
              <w:t>[3]</w:t>
            </w:r>
          </w:p>
        </w:tc>
        <w:tc>
          <w:tcPr>
            <w:tcW w:w="1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33.35</w:t>
            </w: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bottom w:val="single" w:sz="8" w:color="CCEEFF"/>
            </w:tcBorders>
            <w:gridSpan w:val="2"/>
            <w:vMerge w:val="restart"/>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26.80</w:t>
            </w:r>
          </w:p>
        </w:tc>
        <w:tc>
          <w:tcPr>
            <w:tcW w:w="0" w:type="dxa"/>
            <w:vAlign w:val="bottom"/>
          </w:tcPr>
          <w:p>
            <w:pPr>
              <w:spacing w:after="0" w:line="20" w:lineRule="exact"/>
              <w:rPr>
                <w:sz w:val="1"/>
                <w:szCs w:val="1"/>
                <w:color w:val="auto"/>
              </w:rPr>
            </w:pPr>
          </w:p>
        </w:tc>
      </w:tr>
      <w:tr>
        <w:trPr>
          <w:trHeight w:val="203"/>
        </w:trPr>
        <w:tc>
          <w:tcPr>
            <w:tcW w:w="2500" w:type="dxa"/>
            <w:vAlign w:val="bottom"/>
            <w:vMerge w:val="continue"/>
          </w:tcPr>
          <w:p>
            <w:pPr>
              <w:spacing w:after="0"/>
              <w:rPr>
                <w:sz w:val="17"/>
                <w:szCs w:val="17"/>
                <w:color w:val="auto"/>
              </w:rPr>
            </w:pPr>
          </w:p>
        </w:tc>
        <w:tc>
          <w:tcPr>
            <w:tcW w:w="820" w:type="dxa"/>
            <w:vAlign w:val="bottom"/>
          </w:tcPr>
          <w:p>
            <w:pPr>
              <w:jc w:val="right"/>
              <w:spacing w:after="0" w:line="203" w:lineRule="exact"/>
              <w:rPr>
                <w:sz w:val="20"/>
                <w:szCs w:val="20"/>
                <w:color w:val="auto"/>
              </w:rPr>
            </w:pPr>
            <w:r>
              <w:rPr>
                <w:rFonts w:ascii="Arial" w:cs="Arial" w:eastAsia="Arial" w:hAnsi="Arial"/>
                <w:sz w:val="18"/>
                <w:szCs w:val="18"/>
                <w:color w:val="auto"/>
              </w:rPr>
              <w:t>7,437</w:t>
            </w:r>
          </w:p>
        </w:tc>
        <w:tc>
          <w:tcPr>
            <w:tcW w:w="220" w:type="dxa"/>
            <w:vAlign w:val="bottom"/>
            <w:gridSpan w:val="2"/>
            <w:vMerge w:val="continue"/>
          </w:tcPr>
          <w:p>
            <w:pPr>
              <w:spacing w:after="0"/>
              <w:rPr>
                <w:sz w:val="17"/>
                <w:szCs w:val="17"/>
                <w:color w:val="auto"/>
              </w:rPr>
            </w:pPr>
          </w:p>
        </w:tc>
        <w:tc>
          <w:tcPr>
            <w:tcW w:w="860" w:type="dxa"/>
            <w:vAlign w:val="bottom"/>
            <w:vMerge w:val="continue"/>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jc w:val="right"/>
              <w:spacing w:after="0" w:line="203" w:lineRule="exact"/>
              <w:rPr>
                <w:sz w:val="20"/>
                <w:szCs w:val="20"/>
                <w:color w:val="auto"/>
              </w:rPr>
            </w:pPr>
            <w:r>
              <w:rPr>
                <w:rFonts w:ascii="Arial" w:cs="Arial" w:eastAsia="Arial" w:hAnsi="Arial"/>
                <w:sz w:val="18"/>
                <w:szCs w:val="18"/>
                <w:color w:val="auto"/>
              </w:rPr>
              <w:t>143</w:t>
            </w:r>
          </w:p>
        </w:tc>
        <w:tc>
          <w:tcPr>
            <w:tcW w:w="520" w:type="dxa"/>
            <w:vAlign w:val="bottom"/>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860" w:type="dxa"/>
            <w:vAlign w:val="bottom"/>
            <w:vMerge w:val="continue"/>
          </w:tcPr>
          <w:p>
            <w:pPr>
              <w:spacing w:after="0"/>
              <w:rPr>
                <w:sz w:val="17"/>
                <w:szCs w:val="17"/>
                <w:color w:val="auto"/>
              </w:rPr>
            </w:pPr>
          </w:p>
        </w:tc>
        <w:tc>
          <w:tcPr>
            <w:tcW w:w="100" w:type="dxa"/>
            <w:vAlign w:val="bottom"/>
          </w:tcPr>
          <w:p>
            <w:pPr>
              <w:spacing w:after="0"/>
              <w:rPr>
                <w:sz w:val="17"/>
                <w:szCs w:val="17"/>
                <w:color w:val="auto"/>
              </w:rPr>
            </w:pPr>
          </w:p>
        </w:tc>
        <w:tc>
          <w:tcPr>
            <w:tcW w:w="820" w:type="dxa"/>
            <w:vAlign w:val="bottom"/>
          </w:tcPr>
          <w:p>
            <w:pPr>
              <w:jc w:val="right"/>
              <w:spacing w:after="0" w:line="203" w:lineRule="exact"/>
              <w:rPr>
                <w:sz w:val="20"/>
                <w:szCs w:val="20"/>
                <w:color w:val="auto"/>
              </w:rPr>
            </w:pPr>
            <w:r>
              <w:rPr>
                <w:rFonts w:ascii="Arial" w:cs="Arial" w:eastAsia="Arial" w:hAnsi="Arial"/>
                <w:sz w:val="18"/>
                <w:szCs w:val="18"/>
                <w:color w:val="auto"/>
              </w:rPr>
              <w:t>989</w:t>
            </w:r>
          </w:p>
        </w:tc>
        <w:tc>
          <w:tcPr>
            <w:tcW w:w="420" w:type="dxa"/>
            <w:vAlign w:val="bottom"/>
            <w:vMerge w:val="continue"/>
          </w:tcPr>
          <w:p>
            <w:pPr>
              <w:spacing w:after="0"/>
              <w:rPr>
                <w:sz w:val="17"/>
                <w:szCs w:val="17"/>
                <w:color w:val="auto"/>
              </w:rPr>
            </w:pPr>
          </w:p>
        </w:tc>
        <w:tc>
          <w:tcPr>
            <w:tcW w:w="140" w:type="dxa"/>
            <w:vAlign w:val="bottom"/>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100" w:type="dxa"/>
            <w:vAlign w:val="bottom"/>
          </w:tcPr>
          <w:p>
            <w:pPr>
              <w:spacing w:after="0"/>
              <w:rPr>
                <w:sz w:val="17"/>
                <w:szCs w:val="17"/>
                <w:color w:val="auto"/>
              </w:rPr>
            </w:pPr>
          </w:p>
        </w:tc>
        <w:tc>
          <w:tcPr>
            <w:tcW w:w="820" w:type="dxa"/>
            <w:vAlign w:val="bottom"/>
          </w:tcPr>
          <w:p>
            <w:pPr>
              <w:jc w:val="right"/>
              <w:spacing w:after="0" w:line="203" w:lineRule="exact"/>
              <w:rPr>
                <w:sz w:val="20"/>
                <w:szCs w:val="20"/>
                <w:color w:val="auto"/>
              </w:rPr>
            </w:pPr>
            <w:r>
              <w:rPr>
                <w:rFonts w:ascii="Arial" w:cs="Arial" w:eastAsia="Arial" w:hAnsi="Arial"/>
                <w:sz w:val="18"/>
                <w:szCs w:val="18"/>
                <w:color w:val="auto"/>
              </w:rPr>
              <w:t>8,569</w:t>
            </w:r>
          </w:p>
        </w:tc>
        <w:tc>
          <w:tcPr>
            <w:tcW w:w="240" w:type="dxa"/>
            <w:vAlign w:val="bottom"/>
            <w:gridSpan w:val="2"/>
            <w:vMerge w:val="continue"/>
          </w:tcPr>
          <w:p>
            <w:pPr>
              <w:spacing w:after="0"/>
              <w:rPr>
                <w:sz w:val="17"/>
                <w:szCs w:val="17"/>
                <w:color w:val="auto"/>
              </w:rPr>
            </w:pPr>
          </w:p>
        </w:tc>
        <w:tc>
          <w:tcPr>
            <w:tcW w:w="9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Vested</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(9,287)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21.28</w:t>
            </w:r>
          </w:p>
        </w:tc>
        <w:tc>
          <w:tcPr>
            <w:tcW w:w="10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w:t>
            </w:r>
          </w:p>
        </w:tc>
        <w:tc>
          <w:tcPr>
            <w:tcW w:w="52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w:t>
            </w:r>
          </w:p>
        </w:tc>
        <w:tc>
          <w:tcPr>
            <w:tcW w:w="42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14.60</w:t>
            </w:r>
          </w:p>
        </w:tc>
        <w:tc>
          <w:tcPr>
            <w:tcW w:w="10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(10,005)</w:t>
            </w:r>
          </w:p>
        </w:tc>
        <w:tc>
          <w:tcPr>
            <w:tcW w:w="240" w:type="dxa"/>
            <w:vAlign w:val="bottom"/>
            <w:gridSpan w:val="2"/>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20.79</w:t>
            </w: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Canceled/Forfeited</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(2,090)</w:t>
            </w:r>
          </w:p>
        </w:tc>
        <w:tc>
          <w:tcPr>
            <w:tcW w:w="2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22.89</w:t>
            </w:r>
          </w:p>
        </w:tc>
        <w:tc>
          <w:tcPr>
            <w:tcW w:w="100" w:type="dxa"/>
            <w:vAlign w:val="bottom"/>
            <w:tcBorders>
              <w:bottom w:val="single" w:sz="8" w:color="CCEEFF"/>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w:t>
            </w:r>
          </w:p>
        </w:tc>
        <w:tc>
          <w:tcPr>
            <w:tcW w:w="52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21.32</w:t>
            </w:r>
          </w:p>
        </w:tc>
        <w:tc>
          <w:tcPr>
            <w:tcW w:w="100" w:type="dxa"/>
            <w:vAlign w:val="bottom"/>
            <w:tcBorders>
              <w:bottom w:val="single" w:sz="8" w:color="CCEEFF"/>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w:t>
            </w:r>
          </w:p>
        </w:tc>
        <w:tc>
          <w:tcPr>
            <w:tcW w:w="420" w:type="dxa"/>
            <w:vAlign w:val="bottom"/>
            <w:tcBorders>
              <w:bottom w:val="single" w:sz="8" w:color="CCEEFF"/>
            </w:tcBorders>
          </w:tcPr>
          <w:p>
            <w:pPr>
              <w:spacing w:after="0"/>
              <w:rPr>
                <w:sz w:val="19"/>
                <w:szCs w:val="19"/>
                <w:color w:val="auto"/>
              </w:rPr>
            </w:pP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18.86</w:t>
            </w:r>
          </w:p>
        </w:tc>
        <w:tc>
          <w:tcPr>
            <w:tcW w:w="100" w:type="dxa"/>
            <w:vAlign w:val="bottom"/>
            <w:tcBorders>
              <w:bottom w:val="single" w:sz="8" w:color="CCEEFF"/>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(2,390)</w:t>
            </w:r>
          </w:p>
        </w:tc>
        <w:tc>
          <w:tcPr>
            <w:tcW w:w="240" w:type="dxa"/>
            <w:vAlign w:val="bottom"/>
            <w:tcBorders>
              <w:bottom w:val="single" w:sz="8" w:color="CCEEFF"/>
            </w:tcBorders>
            <w:gridSpan w:val="2"/>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22.39</w:t>
            </w:r>
          </w:p>
        </w:tc>
        <w:tc>
          <w:tcPr>
            <w:tcW w:w="0" w:type="dxa"/>
            <w:vAlign w:val="bottom"/>
          </w:tcPr>
          <w:p>
            <w:pPr>
              <w:spacing w:after="0"/>
              <w:rPr>
                <w:sz w:val="1"/>
                <w:szCs w:val="1"/>
                <w:color w:val="auto"/>
              </w:rPr>
            </w:pPr>
          </w:p>
        </w:tc>
      </w:tr>
      <w:tr>
        <w:trPr>
          <w:trHeight w:val="248"/>
        </w:trPr>
        <w:tc>
          <w:tcPr>
            <w:tcW w:w="2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30, 2021</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11,344</w:t>
            </w:r>
          </w:p>
        </w:tc>
        <w:tc>
          <w:tcPr>
            <w:tcW w:w="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24.27</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260</w:t>
            </w:r>
          </w:p>
        </w:tc>
        <w:tc>
          <w:tcPr>
            <w:tcW w:w="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21.06</w:t>
            </w:r>
          </w:p>
        </w:tc>
        <w:tc>
          <w:tcPr>
            <w:tcW w:w="10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4,278</w:t>
            </w:r>
          </w:p>
        </w:tc>
        <w:tc>
          <w:tcPr>
            <w:tcW w:w="4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15,882</w:t>
            </w:r>
          </w:p>
        </w:tc>
        <w:tc>
          <w:tcPr>
            <w:tcW w:w="240" w:type="dxa"/>
            <w:vAlign w:val="bottom"/>
            <w:tcBorders>
              <w:bottom w:val="single" w:sz="8" w:color="CCEEFF"/>
            </w:tcBorders>
            <w:gridSpan w:val="2"/>
            <w:shd w:val="clear" w:color="auto" w:fill="CCEEFF"/>
          </w:tcPr>
          <w:p>
            <w:pPr>
              <w:jc w:val="center"/>
              <w:ind w:left="11"/>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5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4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660" w:right="400" w:hanging="652"/>
        <w:spacing w:after="0" w:line="277" w:lineRule="auto"/>
        <w:tabs>
          <w:tab w:leader="none" w:pos="392" w:val="left"/>
        </w:tabs>
        <w:numPr>
          <w:ilvl w:val="0"/>
          <w:numId w:val="31"/>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performance goals is achieved.</w:t>
      </w:r>
    </w:p>
    <w:p>
      <w:pPr>
        <w:spacing w:after="0" w:line="62" w:lineRule="exact"/>
        <w:rPr>
          <w:rFonts w:ascii="Arial" w:cs="Arial" w:eastAsia="Arial" w:hAnsi="Arial"/>
          <w:sz w:val="18"/>
          <w:szCs w:val="18"/>
          <w:color w:val="auto"/>
        </w:rPr>
      </w:pPr>
    </w:p>
    <w:p>
      <w:pPr>
        <w:ind w:left="380" w:hanging="372"/>
        <w:spacing w:after="0"/>
        <w:tabs>
          <w:tab w:leader="none" w:pos="3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Amount represents the number of restricted stock unit goal shares.</w:t>
      </w:r>
    </w:p>
    <w:p>
      <w:pPr>
        <w:spacing w:after="0" w:line="117" w:lineRule="exact"/>
        <w:rPr>
          <w:rFonts w:ascii="Arial" w:cs="Arial" w:eastAsia="Arial" w:hAnsi="Arial"/>
          <w:sz w:val="18"/>
          <w:szCs w:val="18"/>
          <w:color w:val="auto"/>
        </w:rPr>
      </w:pPr>
    </w:p>
    <w:p>
      <w:pPr>
        <w:ind w:left="660" w:right="360" w:hanging="652"/>
        <w:spacing w:after="0" w:line="277" w:lineRule="auto"/>
        <w:tabs>
          <w:tab w:leader="none" w:pos="392" w:val="left"/>
        </w:tabs>
        <w:numPr>
          <w:ilvl w:val="0"/>
          <w:numId w:val="31"/>
        </w:numPr>
        <w:rPr>
          <w:rFonts w:ascii="Arial" w:cs="Arial" w:eastAsia="Arial" w:hAnsi="Arial"/>
          <w:sz w:val="18"/>
          <w:szCs w:val="18"/>
          <w:color w:val="auto"/>
        </w:rPr>
      </w:pPr>
      <w:r>
        <w:rPr>
          <w:rFonts w:ascii="Arial" w:cs="Arial" w:eastAsia="Arial" w:hAnsi="Arial"/>
          <w:sz w:val="18"/>
          <w:szCs w:val="18"/>
          <w:color w:val="auto"/>
        </w:rPr>
        <w:t>Amount represents the target number of restricted stock units at grant date and restricted stock unit goal shares, including 989 TSR RSU shares in fiscal 2021 and 824 TSR RSU shares and 2,797 VCA RSU shares in fiscal 2020.</w:t>
      </w:r>
    </w:p>
    <w:p>
      <w:pPr>
        <w:spacing w:after="0" w:line="62" w:lineRule="exact"/>
        <w:rPr>
          <w:rFonts w:ascii="Arial" w:cs="Arial" w:eastAsia="Arial" w:hAnsi="Arial"/>
          <w:sz w:val="18"/>
          <w:szCs w:val="18"/>
          <w:color w:val="auto"/>
        </w:rPr>
      </w:pPr>
    </w:p>
    <w:p>
      <w:pPr>
        <w:ind w:left="400" w:hanging="392"/>
        <w:spacing w:after="0"/>
        <w:tabs>
          <w:tab w:leader="none" w:pos="4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See “Note 4 - Business Combinations” for additional information.</w:t>
      </w:r>
    </w:p>
    <w:p>
      <w:pPr>
        <w:spacing w:after="0" w:line="117"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The aggregate intrinsic value of restricted stock units expected to vest as of January 30, 2021 was $817.3 million. The number of restricted stock units that are expected to vest is 15.9 million shares. The Company’s closing stock price of $51.46 as reported on the Nasdaq Global Select Market as of January 30, 2021 was used to calculate the aggregate intrinsic value for the restricted stock units.</w:t>
      </w:r>
    </w:p>
    <w:p>
      <w:pPr>
        <w:spacing w:after="0" w:line="76" w:lineRule="exact"/>
        <w:rPr>
          <w:sz w:val="20"/>
          <w:szCs w:val="20"/>
          <w:color w:val="auto"/>
        </w:rPr>
      </w:pPr>
    </w:p>
    <w:p>
      <w:pPr>
        <w:ind w:right="160" w:firstLine="405"/>
        <w:spacing w:after="0" w:line="342" w:lineRule="auto"/>
        <w:rPr>
          <w:sz w:val="20"/>
          <w:szCs w:val="20"/>
          <w:color w:val="auto"/>
        </w:rPr>
      </w:pPr>
      <w:r>
        <w:rPr>
          <w:rFonts w:ascii="Arial" w:cs="Arial" w:eastAsia="Arial" w:hAnsi="Arial"/>
          <w:sz w:val="16"/>
          <w:szCs w:val="16"/>
          <w:color w:val="auto"/>
        </w:rPr>
        <w:t>As of January 30, 2021, unamortized compensation expense related to restricted stock units was $293.7 million. The unamortized compensation expense for restricted stock units will be amortized on a straight-line basis and is expected to be recognized over a weighted-average period of 1.62 years.</w:t>
      </w: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0" w:name="page91"/>
    <w:bookmarkEnd w:id="9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Option Plan and Stock Award Activity</w:t>
      </w:r>
    </w:p>
    <w:p>
      <w:pPr>
        <w:spacing w:after="0" w:line="117" w:lineRule="exact"/>
        <w:rPr>
          <w:sz w:val="20"/>
          <w:szCs w:val="20"/>
          <w:color w:val="auto"/>
        </w:rPr>
      </w:pPr>
    </w:p>
    <w:p>
      <w:pPr>
        <w:ind w:firstLine="405"/>
        <w:spacing w:after="0" w:line="269"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tbl>
      <w:tblPr>
        <w:tblLayout w:type="fixed"/>
        <w:tblInd w:w="40" w:type="dxa"/>
        <w:tblCellMar>
          <w:top w:w="0" w:type="dxa"/>
          <w:left w:w="0" w:type="dxa"/>
          <w:bottom w:w="0" w:type="dxa"/>
          <w:right w:w="0" w:type="dxa"/>
        </w:tblCellMar>
      </w:tblPr>
      <w:tr>
        <w:trPr>
          <w:trHeight w:val="144"/>
        </w:trPr>
        <w:tc>
          <w:tcPr>
            <w:tcW w:w="608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5"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6080" w:type="dxa"/>
            <w:vAlign w:val="bottom"/>
          </w:tcPr>
          <w:p>
            <w:pPr>
              <w:spacing w:after="0"/>
              <w:rPr>
                <w:sz w:val="11"/>
                <w:szCs w:val="11"/>
                <w:color w:val="auto"/>
              </w:rPr>
            </w:pPr>
          </w:p>
        </w:tc>
        <w:tc>
          <w:tcPr>
            <w:tcW w:w="1760" w:type="dxa"/>
            <w:vAlign w:val="bottom"/>
            <w:vMerge w:val="restart"/>
          </w:tcPr>
          <w:p>
            <w:pPr>
              <w:jc w:val="center"/>
              <w:ind w:left="668"/>
              <w:spacing w:after="0"/>
              <w:rPr>
                <w:sz w:val="20"/>
                <w:szCs w:val="20"/>
                <w:color w:val="auto"/>
              </w:rPr>
            </w:pPr>
            <w:r>
              <w:rPr>
                <w:rFonts w:ascii="Arial" w:cs="Arial" w:eastAsia="Arial" w:hAnsi="Arial"/>
                <w:sz w:val="14"/>
                <w:szCs w:val="14"/>
                <w:b w:val="1"/>
                <w:bCs w:val="1"/>
                <w:color w:val="auto"/>
                <w:w w:val="94"/>
              </w:rPr>
              <w:t>Number of</w:t>
            </w: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980" w:type="dxa"/>
            <w:vAlign w:val="bottom"/>
          </w:tcPr>
          <w:p>
            <w:pPr>
              <w:jc w:val="center"/>
              <w:ind w:right="434"/>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6080" w:type="dxa"/>
            <w:vAlign w:val="bottom"/>
          </w:tcPr>
          <w:p>
            <w:pPr>
              <w:spacing w:after="0"/>
              <w:rPr>
                <w:sz w:val="11"/>
                <w:szCs w:val="11"/>
                <w:color w:val="auto"/>
              </w:rPr>
            </w:pPr>
          </w:p>
        </w:tc>
        <w:tc>
          <w:tcPr>
            <w:tcW w:w="1760" w:type="dxa"/>
            <w:vAlign w:val="bottom"/>
            <w:vMerge w:val="continue"/>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980" w:type="dxa"/>
            <w:vAlign w:val="bottom"/>
          </w:tcPr>
          <w:p>
            <w:pPr>
              <w:jc w:val="center"/>
              <w:ind w:right="434"/>
              <w:spacing w:after="0" w:line="135"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88"/>
        </w:trPr>
        <w:tc>
          <w:tcPr>
            <w:tcW w:w="6080" w:type="dxa"/>
            <w:vAlign w:val="bottom"/>
            <w:tcBorders>
              <w:bottom w:val="single" w:sz="8" w:color="CCEEFF"/>
            </w:tcBorders>
          </w:tcPr>
          <w:p>
            <w:pPr>
              <w:spacing w:after="0"/>
              <w:rPr>
                <w:sz w:val="16"/>
                <w:szCs w:val="16"/>
                <w:color w:val="auto"/>
              </w:rPr>
            </w:pPr>
          </w:p>
        </w:tc>
        <w:tc>
          <w:tcPr>
            <w:tcW w:w="1760" w:type="dxa"/>
            <w:vAlign w:val="bottom"/>
            <w:tcBorders>
              <w:bottom w:val="single" w:sz="8" w:color="auto"/>
            </w:tcBorders>
          </w:tcPr>
          <w:p>
            <w:pPr>
              <w:jc w:val="center"/>
              <w:ind w:left="668"/>
              <w:spacing w:after="0"/>
              <w:rPr>
                <w:sz w:val="20"/>
                <w:szCs w:val="20"/>
                <w:color w:val="auto"/>
              </w:rPr>
            </w:pPr>
            <w:r>
              <w:rPr>
                <w:rFonts w:ascii="Arial" w:cs="Arial" w:eastAsia="Arial" w:hAnsi="Arial"/>
                <w:sz w:val="14"/>
                <w:szCs w:val="14"/>
                <w:b w:val="1"/>
                <w:bCs w:val="1"/>
                <w:color w:val="auto"/>
                <w:w w:val="89"/>
              </w:rPr>
              <w:t>Shares</w:t>
            </w:r>
          </w:p>
        </w:tc>
        <w:tc>
          <w:tcPr>
            <w:tcW w:w="7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tcPr>
          <w:p>
            <w:pPr>
              <w:jc w:val="center"/>
              <w:ind w:right="414"/>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24"/>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3, 2018</w:t>
            </w:r>
          </w:p>
        </w:tc>
        <w:tc>
          <w:tcPr>
            <w:tcW w:w="176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11,772</w:t>
            </w:r>
          </w:p>
        </w:tc>
        <w:tc>
          <w:tcPr>
            <w:tcW w:w="100" w:type="dxa"/>
            <w:vAlign w:val="bottom"/>
            <w:shd w:val="clear" w:color="auto" w:fill="CCEEFF"/>
          </w:tcPr>
          <w:p>
            <w:pPr>
              <w:spacing w:after="0"/>
              <w:rPr>
                <w:sz w:val="19"/>
                <w:szCs w:val="19"/>
                <w:color w:val="auto"/>
              </w:rPr>
            </w:pPr>
          </w:p>
        </w:tc>
        <w:tc>
          <w:tcPr>
            <w:tcW w:w="520" w:type="dxa"/>
            <w:vAlign w:val="bottom"/>
            <w:shd w:val="clear" w:color="auto" w:fill="CCEEFF"/>
          </w:tcPr>
          <w:p>
            <w:pPr>
              <w:jc w:val="right"/>
              <w:ind w:right="310"/>
              <w:spacing w:after="0"/>
              <w:rPr>
                <w:sz w:val="20"/>
                <w:szCs w:val="20"/>
                <w:color w:val="auto"/>
              </w:rPr>
            </w:pPr>
            <w:r>
              <w:rPr>
                <w:rFonts w:ascii="Arial" w:cs="Arial" w:eastAsia="Arial" w:hAnsi="Arial"/>
                <w:sz w:val="18"/>
                <w:szCs w:val="18"/>
                <w:color w:val="auto"/>
                <w:w w:val="99"/>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12.36</w:t>
            </w:r>
          </w:p>
        </w:tc>
        <w:tc>
          <w:tcPr>
            <w:tcW w:w="0" w:type="dxa"/>
            <w:vAlign w:val="bottom"/>
          </w:tcPr>
          <w:p>
            <w:pPr>
              <w:spacing w:after="0"/>
              <w:rPr>
                <w:sz w:val="1"/>
                <w:szCs w:val="1"/>
                <w:color w:val="auto"/>
              </w:rPr>
            </w:pPr>
          </w:p>
        </w:tc>
      </w:tr>
      <w:tr>
        <w:trPr>
          <w:trHeight w:val="230"/>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Assumed upon acquisition*</w:t>
            </w:r>
          </w:p>
        </w:tc>
        <w:tc>
          <w:tcPr>
            <w:tcW w:w="740" w:type="dxa"/>
            <w:vAlign w:val="bottom"/>
          </w:tcPr>
          <w:p>
            <w:pPr>
              <w:jc w:val="right"/>
              <w:spacing w:after="0"/>
              <w:rPr>
                <w:sz w:val="20"/>
                <w:szCs w:val="20"/>
                <w:color w:val="auto"/>
              </w:rPr>
            </w:pPr>
            <w:r>
              <w:rPr>
                <w:rFonts w:ascii="Arial" w:cs="Arial" w:eastAsia="Arial" w:hAnsi="Arial"/>
                <w:sz w:val="18"/>
                <w:szCs w:val="18"/>
                <w:color w:val="auto"/>
              </w:rPr>
              <w:t>3,026</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11.85</w:t>
            </w:r>
          </w:p>
        </w:tc>
        <w:tc>
          <w:tcPr>
            <w:tcW w:w="0" w:type="dxa"/>
            <w:vAlign w:val="bottom"/>
          </w:tcPr>
          <w:p>
            <w:pPr>
              <w:spacing w:after="0"/>
              <w:rPr>
                <w:sz w:val="1"/>
                <w:szCs w:val="1"/>
                <w:color w:val="auto"/>
              </w:rPr>
            </w:pPr>
          </w:p>
        </w:tc>
      </w:tr>
      <w:tr>
        <w:trPr>
          <w:trHeight w:val="229"/>
        </w:trPr>
        <w:tc>
          <w:tcPr>
            <w:tcW w:w="78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Granted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Exercised</w:t>
            </w:r>
          </w:p>
        </w:tc>
        <w:tc>
          <w:tcPr>
            <w:tcW w:w="740" w:type="dxa"/>
            <w:vAlign w:val="bottom"/>
          </w:tcPr>
          <w:p>
            <w:pPr>
              <w:jc w:val="right"/>
              <w:spacing w:after="0"/>
              <w:rPr>
                <w:sz w:val="20"/>
                <w:szCs w:val="20"/>
                <w:color w:val="auto"/>
              </w:rPr>
            </w:pPr>
            <w:r>
              <w:rPr>
                <w:rFonts w:ascii="Arial" w:cs="Arial" w:eastAsia="Arial" w:hAnsi="Arial"/>
                <w:sz w:val="18"/>
                <w:szCs w:val="18"/>
                <w:color w:val="auto"/>
              </w:rPr>
              <w:t>(4,812)</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10.93</w:t>
            </w:r>
          </w:p>
        </w:tc>
        <w:tc>
          <w:tcPr>
            <w:tcW w:w="0" w:type="dxa"/>
            <w:vAlign w:val="bottom"/>
          </w:tcPr>
          <w:p>
            <w:pPr>
              <w:spacing w:after="0"/>
              <w:rPr>
                <w:sz w:val="1"/>
                <w:szCs w:val="1"/>
                <w:color w:val="auto"/>
              </w:rPr>
            </w:pPr>
          </w:p>
        </w:tc>
      </w:tr>
      <w:tr>
        <w:trPr>
          <w:trHeight w:val="230"/>
        </w:trPr>
        <w:tc>
          <w:tcPr>
            <w:tcW w:w="78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Canceled/Forfeited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13.64</w:t>
            </w:r>
          </w:p>
        </w:tc>
        <w:tc>
          <w:tcPr>
            <w:tcW w:w="0" w:type="dxa"/>
            <w:vAlign w:val="bottom"/>
          </w:tcPr>
          <w:p>
            <w:pPr>
              <w:spacing w:after="0"/>
              <w:rPr>
                <w:sz w:val="1"/>
                <w:szCs w:val="1"/>
                <w:color w:val="auto"/>
              </w:rPr>
            </w:pPr>
          </w:p>
        </w:tc>
      </w:tr>
      <w:tr>
        <w:trPr>
          <w:trHeight w:val="223"/>
        </w:trPr>
        <w:tc>
          <w:tcPr>
            <w:tcW w:w="6080" w:type="dxa"/>
            <w:vAlign w:val="bottom"/>
          </w:tcPr>
          <w:p>
            <w:pPr>
              <w:spacing w:after="0"/>
              <w:rPr>
                <w:sz w:val="20"/>
                <w:szCs w:val="20"/>
                <w:color w:val="auto"/>
              </w:rPr>
            </w:pPr>
            <w:r>
              <w:rPr>
                <w:rFonts w:ascii="Arial" w:cs="Arial" w:eastAsia="Arial" w:hAnsi="Arial"/>
                <w:sz w:val="18"/>
                <w:szCs w:val="18"/>
                <w:color w:val="auto"/>
              </w:rPr>
              <w:t>Balance at February 2, 2019</w:t>
            </w:r>
          </w:p>
        </w:tc>
        <w:tc>
          <w:tcPr>
            <w:tcW w:w="176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9,624</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12.87</w:t>
            </w:r>
          </w:p>
        </w:tc>
        <w:tc>
          <w:tcPr>
            <w:tcW w:w="0" w:type="dxa"/>
            <w:vAlign w:val="bottom"/>
          </w:tcPr>
          <w:p>
            <w:pPr>
              <w:spacing w:after="0"/>
              <w:rPr>
                <w:sz w:val="1"/>
                <w:szCs w:val="1"/>
                <w:color w:val="auto"/>
              </w:rPr>
            </w:pPr>
          </w:p>
        </w:tc>
      </w:tr>
      <w:tr>
        <w:trPr>
          <w:trHeight w:val="230"/>
        </w:trPr>
        <w:tc>
          <w:tcPr>
            <w:tcW w:w="78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Assumed upon acquisition*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808</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w:t>
            </w:r>
          </w:p>
        </w:tc>
        <w:tc>
          <w:tcPr>
            <w:tcW w:w="0" w:type="dxa"/>
            <w:vAlign w:val="bottom"/>
          </w:tcPr>
          <w:p>
            <w:pPr>
              <w:spacing w:after="0"/>
              <w:rPr>
                <w:sz w:val="1"/>
                <w:szCs w:val="1"/>
                <w:color w:val="auto"/>
              </w:rPr>
            </w:pPr>
          </w:p>
        </w:tc>
      </w:tr>
      <w:tr>
        <w:trPr>
          <w:trHeight w:val="229"/>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8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Exercised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(6,178)</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12.67</w:t>
            </w:r>
          </w:p>
        </w:tc>
        <w:tc>
          <w:tcPr>
            <w:tcW w:w="0" w:type="dxa"/>
            <w:vAlign w:val="bottom"/>
          </w:tcPr>
          <w:p>
            <w:pPr>
              <w:spacing w:after="0"/>
              <w:rPr>
                <w:sz w:val="1"/>
                <w:szCs w:val="1"/>
                <w:color w:val="auto"/>
              </w:rPr>
            </w:pPr>
          </w:p>
        </w:tc>
      </w:tr>
      <w:tr>
        <w:trPr>
          <w:trHeight w:val="230"/>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Canceled/Forfeited</w:t>
            </w:r>
          </w:p>
        </w:tc>
        <w:tc>
          <w:tcPr>
            <w:tcW w:w="740" w:type="dxa"/>
            <w:vAlign w:val="bottom"/>
          </w:tcPr>
          <w:p>
            <w:pPr>
              <w:jc w:val="right"/>
              <w:spacing w:after="0"/>
              <w:rPr>
                <w:sz w:val="20"/>
                <w:szCs w:val="20"/>
                <w:color w:val="auto"/>
              </w:rPr>
            </w:pPr>
            <w:r>
              <w:rPr>
                <w:rFonts w:ascii="Arial" w:cs="Arial" w:eastAsia="Arial" w:hAnsi="Arial"/>
                <w:sz w:val="18"/>
                <w:szCs w:val="18"/>
                <w:color w:val="auto"/>
              </w:rPr>
              <w:t>(37)</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13.57</w:t>
            </w:r>
          </w:p>
        </w:tc>
        <w:tc>
          <w:tcPr>
            <w:tcW w:w="0" w:type="dxa"/>
            <w:vAlign w:val="bottom"/>
          </w:tcPr>
          <w:p>
            <w:pPr>
              <w:spacing w:after="0"/>
              <w:rPr>
                <w:sz w:val="1"/>
                <w:szCs w:val="1"/>
                <w:color w:val="auto"/>
              </w:rPr>
            </w:pPr>
          </w:p>
        </w:tc>
      </w:tr>
      <w:tr>
        <w:trPr>
          <w:trHeight w:val="223"/>
        </w:trPr>
        <w:tc>
          <w:tcPr>
            <w:tcW w:w="60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1, 2020</w:t>
            </w:r>
          </w:p>
        </w:tc>
        <w:tc>
          <w:tcPr>
            <w:tcW w:w="1760" w:type="dxa"/>
            <w:vAlign w:val="bottom"/>
            <w:tcBorders>
              <w:top w:val="single" w:sz="8" w:color="auto"/>
            </w:tcBorders>
            <w:shd w:val="clear" w:color="auto" w:fill="CCEEFF"/>
          </w:tcPr>
          <w:p>
            <w:pPr>
              <w:spacing w:after="0"/>
              <w:rPr>
                <w:sz w:val="19"/>
                <w:szCs w:val="19"/>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4,217</w:t>
            </w:r>
          </w:p>
        </w:tc>
        <w:tc>
          <w:tcPr>
            <w:tcW w:w="620" w:type="dxa"/>
            <w:vAlign w:val="bottom"/>
            <w:tcBorders>
              <w:top w:val="single" w:sz="8" w:color="CCEEFF"/>
            </w:tcBorders>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12.44</w:t>
            </w:r>
          </w:p>
        </w:tc>
        <w:tc>
          <w:tcPr>
            <w:tcW w:w="0" w:type="dxa"/>
            <w:vAlign w:val="bottom"/>
          </w:tcPr>
          <w:p>
            <w:pPr>
              <w:spacing w:after="0"/>
              <w:rPr>
                <w:sz w:val="1"/>
                <w:szCs w:val="1"/>
                <w:color w:val="auto"/>
              </w:rPr>
            </w:pPr>
          </w:p>
        </w:tc>
      </w:tr>
      <w:tr>
        <w:trPr>
          <w:trHeight w:val="230"/>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8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Exercised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(1,301)</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w:t>
            </w:r>
          </w:p>
        </w:tc>
        <w:tc>
          <w:tcPr>
            <w:tcW w:w="0" w:type="dxa"/>
            <w:vAlign w:val="bottom"/>
          </w:tcPr>
          <w:p>
            <w:pPr>
              <w:spacing w:after="0"/>
              <w:rPr>
                <w:sz w:val="1"/>
                <w:szCs w:val="1"/>
                <w:color w:val="auto"/>
              </w:rPr>
            </w:pPr>
          </w:p>
        </w:tc>
      </w:tr>
      <w:tr>
        <w:trPr>
          <w:trHeight w:val="230"/>
        </w:trPr>
        <w:tc>
          <w:tcPr>
            <w:tcW w:w="7840" w:type="dxa"/>
            <w:vAlign w:val="bottom"/>
            <w:gridSpan w:val="2"/>
          </w:tcPr>
          <w:p>
            <w:pPr>
              <w:ind w:left="340"/>
              <w:spacing w:after="0"/>
              <w:rPr>
                <w:sz w:val="20"/>
                <w:szCs w:val="20"/>
                <w:color w:val="auto"/>
              </w:rPr>
            </w:pPr>
            <w:r>
              <w:rPr>
                <w:rFonts w:ascii="Arial" w:cs="Arial" w:eastAsia="Arial" w:hAnsi="Arial"/>
                <w:sz w:val="18"/>
                <w:szCs w:val="18"/>
                <w:color w:val="auto"/>
              </w:rPr>
              <w:t>Canceled/Forfeited</w:t>
            </w:r>
          </w:p>
        </w:tc>
        <w:tc>
          <w:tcPr>
            <w:tcW w:w="740" w:type="dxa"/>
            <w:vAlign w:val="bottom"/>
          </w:tcPr>
          <w:p>
            <w:pPr>
              <w:jc w:val="right"/>
              <w:spacing w:after="0"/>
              <w:rPr>
                <w:sz w:val="20"/>
                <w:szCs w:val="20"/>
                <w:color w:val="auto"/>
              </w:rPr>
            </w:pPr>
            <w:r>
              <w:rPr>
                <w:rFonts w:ascii="Arial" w:cs="Arial" w:eastAsia="Arial" w:hAnsi="Arial"/>
                <w:sz w:val="18"/>
                <w:szCs w:val="18"/>
                <w:color w:val="auto"/>
              </w:rPr>
              <w:t>(21)</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12.88</w:t>
            </w:r>
          </w:p>
        </w:tc>
        <w:tc>
          <w:tcPr>
            <w:tcW w:w="0" w:type="dxa"/>
            <w:vAlign w:val="bottom"/>
          </w:tcPr>
          <w:p>
            <w:pPr>
              <w:spacing w:after="0"/>
              <w:rPr>
                <w:sz w:val="1"/>
                <w:szCs w:val="1"/>
                <w:color w:val="auto"/>
              </w:rPr>
            </w:pPr>
          </w:p>
        </w:tc>
      </w:tr>
      <w:tr>
        <w:trPr>
          <w:trHeight w:val="223"/>
        </w:trPr>
        <w:tc>
          <w:tcPr>
            <w:tcW w:w="60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30, 2021</w:t>
            </w:r>
          </w:p>
        </w:tc>
        <w:tc>
          <w:tcPr>
            <w:tcW w:w="1760" w:type="dxa"/>
            <w:vAlign w:val="bottom"/>
            <w:tcBorders>
              <w:top w:val="single" w:sz="8" w:color="auto"/>
              <w:bottom w:val="single" w:sz="8" w:color="auto"/>
            </w:tcBorders>
            <w:shd w:val="clear" w:color="auto" w:fill="CCEEFF"/>
          </w:tcPr>
          <w:p>
            <w:pPr>
              <w:spacing w:after="0"/>
              <w:rPr>
                <w:sz w:val="19"/>
                <w:szCs w:val="19"/>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2,895</w:t>
            </w:r>
          </w:p>
        </w:tc>
        <w:tc>
          <w:tcPr>
            <w:tcW w:w="620" w:type="dxa"/>
            <w:vAlign w:val="bottom"/>
            <w:tcBorders>
              <w:top w:val="single" w:sz="8" w:color="CCEEFF"/>
            </w:tcBorders>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12.81</w:t>
            </w:r>
          </w:p>
        </w:tc>
        <w:tc>
          <w:tcPr>
            <w:tcW w:w="0" w:type="dxa"/>
            <w:vAlign w:val="bottom"/>
          </w:tcPr>
          <w:p>
            <w:pPr>
              <w:spacing w:after="0"/>
              <w:rPr>
                <w:sz w:val="1"/>
                <w:szCs w:val="1"/>
                <w:color w:val="auto"/>
              </w:rPr>
            </w:pPr>
          </w:p>
        </w:tc>
      </w:tr>
      <w:tr>
        <w:trPr>
          <w:trHeight w:val="223"/>
        </w:trPr>
        <w:tc>
          <w:tcPr>
            <w:tcW w:w="6080" w:type="dxa"/>
            <w:vAlign w:val="bottom"/>
          </w:tcPr>
          <w:p>
            <w:pPr>
              <w:spacing w:after="0"/>
              <w:rPr>
                <w:sz w:val="20"/>
                <w:szCs w:val="20"/>
                <w:color w:val="auto"/>
              </w:rPr>
            </w:pPr>
            <w:r>
              <w:rPr>
                <w:rFonts w:ascii="Arial" w:cs="Arial" w:eastAsia="Arial" w:hAnsi="Arial"/>
                <w:sz w:val="18"/>
                <w:szCs w:val="18"/>
                <w:color w:val="auto"/>
              </w:rPr>
              <w:t>Vested or expected to vest at January 30, 2021</w:t>
            </w:r>
          </w:p>
        </w:tc>
        <w:tc>
          <w:tcPr>
            <w:tcW w:w="17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2,895</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608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460"/>
        <w:spacing w:after="0"/>
        <w:tabs>
          <w:tab w:leader="none" w:pos="70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See “Note 4 - Business Combinations” for more information.</w:t>
      </w:r>
    </w:p>
    <w:p>
      <w:pPr>
        <w:spacing w:after="0" w:line="117" w:lineRule="exact"/>
        <w:rPr>
          <w:sz w:val="20"/>
          <w:szCs w:val="20"/>
          <w:color w:val="auto"/>
        </w:rPr>
      </w:pPr>
    </w:p>
    <w:p>
      <w:pPr>
        <w:ind w:right="180" w:firstLine="405"/>
        <w:spacing w:after="0" w:line="301" w:lineRule="auto"/>
        <w:rPr>
          <w:sz w:val="20"/>
          <w:szCs w:val="20"/>
          <w:color w:val="auto"/>
        </w:rPr>
      </w:pPr>
      <w:r>
        <w:rPr>
          <w:rFonts w:ascii="Arial" w:cs="Arial" w:eastAsia="Arial" w:hAnsi="Arial"/>
          <w:sz w:val="16"/>
          <w:szCs w:val="16"/>
          <w:color w:val="auto"/>
        </w:rPr>
        <w:t>For stock options vested and expected to vest at January 30, 2021, the aggregate intrinsic value was $111.9 million. For stock options exercisable at January 30, 2021, the aggregate intrinsic value was $111.0 million. The aggregate intrinsic value of stock options exercised during fiscal 2021, 2021 and 2020 was $25.1 million, $70.5 million and $40.6 million, respectively. The Company’s closing stock price of $51.46 as reported on the Nasdaq Global Select Market as of January 30, 2021 was used to calculate the aggregate intrinsic value for all in-the-money options.</w:t>
      </w:r>
    </w:p>
    <w:p>
      <w:pPr>
        <w:spacing w:after="0" w:line="4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Outstanding options and exercisable options information by range of exercise prices as of January 30, 2021 was as follows: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50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Outstanding Options</w:t>
            </w: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120" w:type="dxa"/>
            <w:vAlign w:val="bottom"/>
            <w:tcBorders>
              <w:bottom w:val="single" w:sz="8" w:color="auto"/>
            </w:tcBorders>
            <w:gridSpan w:val="3"/>
          </w:tcPr>
          <w:p>
            <w:pPr>
              <w:jc w:val="right"/>
              <w:ind w:right="856"/>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16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w:t>
            </w:r>
          </w:p>
        </w:tc>
        <w:tc>
          <w:tcPr>
            <w:tcW w:w="26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5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16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Average</w:t>
            </w:r>
          </w:p>
        </w:tc>
        <w:tc>
          <w:tcPr>
            <w:tcW w:w="260" w:type="dxa"/>
            <w:vAlign w:val="bottom"/>
          </w:tcPr>
          <w:p>
            <w:pPr>
              <w:spacing w:after="0"/>
              <w:rPr>
                <w:sz w:val="11"/>
                <w:szCs w:val="11"/>
                <w:color w:val="auto"/>
              </w:rPr>
            </w:pPr>
          </w:p>
        </w:tc>
        <w:tc>
          <w:tcPr>
            <w:tcW w:w="14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1"/>
              </w:rPr>
              <w:t>Weighted-</w:t>
            </w:r>
          </w:p>
        </w:tc>
        <w:tc>
          <w:tcPr>
            <w:tcW w:w="15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320" w:type="dxa"/>
            <w:vAlign w:val="bottom"/>
          </w:tcPr>
          <w:p>
            <w:pPr>
              <w:spacing w:after="0"/>
              <w:rPr>
                <w:sz w:val="11"/>
                <w:szCs w:val="11"/>
                <w:color w:val="auto"/>
              </w:rPr>
            </w:pPr>
          </w:p>
        </w:tc>
        <w:tc>
          <w:tcPr>
            <w:tcW w:w="1300" w:type="dxa"/>
            <w:vAlign w:val="bottom"/>
            <w:vMerge w:val="restart"/>
          </w:tcPr>
          <w:p>
            <w:pPr>
              <w:jc w:val="center"/>
              <w:ind w:right="116"/>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1560" w:type="dxa"/>
            <w:vAlign w:val="bottom"/>
            <w:gridSpan w:val="2"/>
            <w:vMerge w:val="restart"/>
          </w:tcPr>
          <w:p>
            <w:pPr>
              <w:jc w:val="right"/>
              <w:ind w:right="390"/>
              <w:spacing w:after="0"/>
              <w:rPr>
                <w:sz w:val="20"/>
                <w:szCs w:val="20"/>
                <w:color w:val="auto"/>
              </w:rPr>
            </w:pPr>
            <w:r>
              <w:rPr>
                <w:rFonts w:ascii="Arial" w:cs="Arial" w:eastAsia="Arial" w:hAnsi="Arial"/>
                <w:sz w:val="14"/>
                <w:szCs w:val="14"/>
                <w:b w:val="1"/>
                <w:bCs w:val="1"/>
                <w:color w:val="auto"/>
              </w:rPr>
              <w:t>Range of</w:t>
            </w:r>
          </w:p>
        </w:tc>
        <w:tc>
          <w:tcPr>
            <w:tcW w:w="880" w:type="dxa"/>
            <w:vAlign w:val="bottom"/>
          </w:tcPr>
          <w:p>
            <w:pPr>
              <w:spacing w:after="0"/>
              <w:rPr>
                <w:sz w:val="11"/>
                <w:szCs w:val="11"/>
                <w:color w:val="auto"/>
              </w:rPr>
            </w:pPr>
          </w:p>
        </w:tc>
        <w:tc>
          <w:tcPr>
            <w:tcW w:w="1500" w:type="dxa"/>
            <w:vAlign w:val="bottom"/>
            <w:vMerge w:val="continue"/>
          </w:tcPr>
          <w:p>
            <w:pPr>
              <w:spacing w:after="0"/>
              <w:rPr>
                <w:sz w:val="11"/>
                <w:szCs w:val="11"/>
                <w:color w:val="auto"/>
              </w:rPr>
            </w:pPr>
          </w:p>
        </w:tc>
        <w:tc>
          <w:tcPr>
            <w:tcW w:w="16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Remaining</w:t>
            </w:r>
          </w:p>
        </w:tc>
        <w:tc>
          <w:tcPr>
            <w:tcW w:w="260" w:type="dxa"/>
            <w:vAlign w:val="bottom"/>
          </w:tcPr>
          <w:p>
            <w:pPr>
              <w:spacing w:after="0"/>
              <w:rPr>
                <w:sz w:val="11"/>
                <w:szCs w:val="11"/>
                <w:color w:val="auto"/>
              </w:rPr>
            </w:pPr>
          </w:p>
        </w:tc>
        <w:tc>
          <w:tcPr>
            <w:tcW w:w="1420" w:type="dxa"/>
            <w:vAlign w:val="bottom"/>
            <w:gridSpan w:val="2"/>
            <w:vMerge w:val="continue"/>
          </w:tcPr>
          <w:p>
            <w:pPr>
              <w:spacing w:after="0"/>
              <w:rPr>
                <w:sz w:val="11"/>
                <w:szCs w:val="11"/>
                <w:color w:val="auto"/>
              </w:rPr>
            </w:pPr>
          </w:p>
        </w:tc>
        <w:tc>
          <w:tcPr>
            <w:tcW w:w="1500" w:type="dxa"/>
            <w:vAlign w:val="bottom"/>
            <w:vMerge w:val="continue"/>
          </w:tcPr>
          <w:p>
            <w:pPr>
              <w:spacing w:after="0"/>
              <w:rPr>
                <w:sz w:val="11"/>
                <w:szCs w:val="11"/>
                <w:color w:val="auto"/>
              </w:rPr>
            </w:pPr>
          </w:p>
        </w:tc>
        <w:tc>
          <w:tcPr>
            <w:tcW w:w="320" w:type="dxa"/>
            <w:vAlign w:val="bottom"/>
          </w:tcPr>
          <w:p>
            <w:pPr>
              <w:spacing w:after="0"/>
              <w:rPr>
                <w:sz w:val="11"/>
                <w:szCs w:val="11"/>
                <w:color w:val="auto"/>
              </w:rPr>
            </w:pPr>
          </w:p>
        </w:tc>
        <w:tc>
          <w:tcPr>
            <w:tcW w:w="13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880" w:type="dxa"/>
            <w:vAlign w:val="bottom"/>
          </w:tcPr>
          <w:p>
            <w:pPr>
              <w:spacing w:after="0"/>
              <w:rPr>
                <w:sz w:val="11"/>
                <w:szCs w:val="11"/>
                <w:color w:val="auto"/>
              </w:rPr>
            </w:pPr>
          </w:p>
        </w:tc>
        <w:tc>
          <w:tcPr>
            <w:tcW w:w="15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Shares</w:t>
            </w:r>
          </w:p>
        </w:tc>
        <w:tc>
          <w:tcPr>
            <w:tcW w:w="16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Contractual Term</w:t>
            </w:r>
          </w:p>
        </w:tc>
        <w:tc>
          <w:tcPr>
            <w:tcW w:w="260" w:type="dxa"/>
            <w:vAlign w:val="bottom"/>
          </w:tcPr>
          <w:p>
            <w:pPr>
              <w:spacing w:after="0"/>
              <w:rPr>
                <w:sz w:val="11"/>
                <w:szCs w:val="11"/>
                <w:color w:val="auto"/>
              </w:rPr>
            </w:pPr>
          </w:p>
        </w:tc>
        <w:tc>
          <w:tcPr>
            <w:tcW w:w="142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0"/>
              </w:rPr>
              <w:t>Average</w:t>
            </w:r>
          </w:p>
        </w:tc>
        <w:tc>
          <w:tcPr>
            <w:tcW w:w="15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Shares</w:t>
            </w:r>
          </w:p>
        </w:tc>
        <w:tc>
          <w:tcPr>
            <w:tcW w:w="320" w:type="dxa"/>
            <w:vAlign w:val="bottom"/>
          </w:tcPr>
          <w:p>
            <w:pPr>
              <w:spacing w:after="0"/>
              <w:rPr>
                <w:sz w:val="11"/>
                <w:szCs w:val="11"/>
                <w:color w:val="auto"/>
              </w:rPr>
            </w:pPr>
          </w:p>
        </w:tc>
        <w:tc>
          <w:tcPr>
            <w:tcW w:w="1300" w:type="dxa"/>
            <w:vAlign w:val="bottom"/>
          </w:tcPr>
          <w:p>
            <w:pPr>
              <w:jc w:val="center"/>
              <w:ind w:right="116"/>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88"/>
        </w:trPr>
        <w:tc>
          <w:tcPr>
            <w:tcW w:w="72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2"/>
          </w:tcPr>
          <w:p>
            <w:pPr>
              <w:jc w:val="right"/>
              <w:ind w:right="190"/>
              <w:spacing w:after="0"/>
              <w:rPr>
                <w:sz w:val="20"/>
                <w:szCs w:val="20"/>
                <w:color w:val="auto"/>
              </w:rPr>
            </w:pPr>
            <w:r>
              <w:rPr>
                <w:rFonts w:ascii="Arial" w:cs="Arial" w:eastAsia="Arial" w:hAnsi="Arial"/>
                <w:sz w:val="14"/>
                <w:szCs w:val="14"/>
                <w:b w:val="1"/>
                <w:bCs w:val="1"/>
                <w:color w:val="auto"/>
              </w:rPr>
              <w:t>Exercise Prices</w:t>
            </w:r>
          </w:p>
        </w:tc>
        <w:tc>
          <w:tcPr>
            <w:tcW w:w="88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(in thousands)</w:t>
            </w:r>
          </w:p>
        </w:tc>
        <w:tc>
          <w:tcPr>
            <w:tcW w:w="1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years)</w:t>
            </w:r>
          </w:p>
        </w:tc>
        <w:tc>
          <w:tcPr>
            <w:tcW w:w="26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89"/>
              </w:rPr>
              <w:t>Exercise Price</w:t>
            </w:r>
          </w:p>
        </w:tc>
        <w:tc>
          <w:tcPr>
            <w:tcW w:w="1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(in thousands)</w:t>
            </w:r>
          </w:p>
        </w:tc>
        <w:tc>
          <w:tcPr>
            <w:tcW w:w="32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89"/>
              </w:rPr>
              <w:t>Exercise Price</w:t>
            </w:r>
          </w:p>
        </w:tc>
        <w:tc>
          <w:tcPr>
            <w:tcW w:w="0" w:type="dxa"/>
            <w:vAlign w:val="bottom"/>
          </w:tcPr>
          <w:p>
            <w:pPr>
              <w:spacing w:after="0"/>
              <w:rPr>
                <w:sz w:val="1"/>
                <w:szCs w:val="1"/>
                <w:color w:val="auto"/>
              </w:rPr>
            </w:pPr>
          </w:p>
        </w:tc>
      </w:tr>
      <w:tr>
        <w:trPr>
          <w:trHeight w:val="224"/>
        </w:trPr>
        <w:tc>
          <w:tcPr>
            <w:tcW w:w="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3.89</w:t>
            </w:r>
          </w:p>
        </w:tc>
        <w:tc>
          <w:tcPr>
            <w:tcW w:w="68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10.31</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9.06</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9.06</w:t>
            </w:r>
          </w:p>
        </w:tc>
        <w:tc>
          <w:tcPr>
            <w:tcW w:w="0" w:type="dxa"/>
            <w:vAlign w:val="bottom"/>
          </w:tcPr>
          <w:p>
            <w:pPr>
              <w:spacing w:after="0"/>
              <w:rPr>
                <w:sz w:val="1"/>
                <w:szCs w:val="1"/>
                <w:color w:val="auto"/>
              </w:rPr>
            </w:pPr>
          </w:p>
        </w:tc>
      </w:tr>
      <w:tr>
        <w:trPr>
          <w:trHeight w:val="230"/>
        </w:trPr>
        <w:tc>
          <w:tcPr>
            <w:tcW w:w="720" w:type="dxa"/>
            <w:vAlign w:val="bottom"/>
          </w:tcPr>
          <w:p>
            <w:pPr>
              <w:ind w:left="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5"/>
              <w:spacing w:after="0"/>
              <w:rPr>
                <w:sz w:val="20"/>
                <w:szCs w:val="20"/>
                <w:color w:val="auto"/>
              </w:rPr>
            </w:pPr>
            <w:r>
              <w:rPr>
                <w:rFonts w:ascii="Arial" w:cs="Arial" w:eastAsia="Arial" w:hAnsi="Arial"/>
                <w:sz w:val="18"/>
                <w:szCs w:val="18"/>
                <w:color w:val="auto"/>
              </w:rPr>
              <w:t>10.76</w:t>
            </w:r>
          </w:p>
        </w:tc>
        <w:tc>
          <w:tcPr>
            <w:tcW w:w="680" w:type="dxa"/>
            <w:vAlign w:val="bottom"/>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0"/>
              <w:spacing w:after="0"/>
              <w:rPr>
                <w:sz w:val="20"/>
                <w:szCs w:val="20"/>
                <w:color w:val="auto"/>
              </w:rPr>
            </w:pPr>
            <w:r>
              <w:rPr>
                <w:rFonts w:ascii="Arial" w:cs="Arial" w:eastAsia="Arial" w:hAnsi="Arial"/>
                <w:sz w:val="18"/>
                <w:szCs w:val="18"/>
                <w:color w:val="auto"/>
              </w:rPr>
              <w:t>10.76</w:t>
            </w:r>
          </w:p>
        </w:tc>
        <w:tc>
          <w:tcPr>
            <w:tcW w:w="1500" w:type="dxa"/>
            <w:vAlign w:val="bottom"/>
          </w:tcPr>
          <w:p>
            <w:pPr>
              <w:jc w:val="right"/>
              <w:spacing w:after="0"/>
              <w:rPr>
                <w:sz w:val="20"/>
                <w:szCs w:val="20"/>
                <w:color w:val="auto"/>
              </w:rPr>
            </w:pPr>
            <w:r>
              <w:rPr>
                <w:rFonts w:ascii="Arial" w:cs="Arial" w:eastAsia="Arial" w:hAnsi="Arial"/>
                <w:sz w:val="18"/>
                <w:szCs w:val="18"/>
                <w:color w:val="auto"/>
              </w:rPr>
              <w:t>897</w:t>
            </w:r>
          </w:p>
        </w:tc>
        <w:tc>
          <w:tcPr>
            <w:tcW w:w="1680" w:type="dxa"/>
            <w:vAlign w:val="bottom"/>
          </w:tcPr>
          <w:p>
            <w:pPr>
              <w:jc w:val="right"/>
              <w:spacing w:after="0"/>
              <w:rPr>
                <w:sz w:val="20"/>
                <w:szCs w:val="20"/>
                <w:color w:val="auto"/>
              </w:rPr>
            </w:pPr>
            <w:r>
              <w:rPr>
                <w:rFonts w:ascii="Arial" w:cs="Arial" w:eastAsia="Arial" w:hAnsi="Arial"/>
                <w:sz w:val="18"/>
                <w:szCs w:val="18"/>
                <w:color w:val="auto"/>
              </w:rPr>
              <w:t>2.25</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10.76</w:t>
            </w:r>
          </w:p>
        </w:tc>
        <w:tc>
          <w:tcPr>
            <w:tcW w:w="120" w:type="dxa"/>
            <w:vAlign w:val="bottom"/>
          </w:tcPr>
          <w:p>
            <w:pPr>
              <w:spacing w:after="0"/>
              <w:rPr>
                <w:sz w:val="19"/>
                <w:szCs w:val="19"/>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897</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29"/>
        </w:trPr>
        <w:tc>
          <w:tcPr>
            <w:tcW w:w="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10.89</w:t>
            </w:r>
          </w:p>
        </w:tc>
        <w:tc>
          <w:tcPr>
            <w:tcW w:w="68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14.35</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874</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w:t>
            </w:r>
          </w:p>
        </w:tc>
        <w:tc>
          <w:tcPr>
            <w:tcW w:w="0" w:type="dxa"/>
            <w:vAlign w:val="bottom"/>
          </w:tcPr>
          <w:p>
            <w:pPr>
              <w:spacing w:after="0"/>
              <w:rPr>
                <w:sz w:val="1"/>
                <w:szCs w:val="1"/>
                <w:color w:val="auto"/>
              </w:rPr>
            </w:pPr>
          </w:p>
        </w:tc>
      </w:tr>
      <w:tr>
        <w:trPr>
          <w:trHeight w:val="230"/>
        </w:trPr>
        <w:tc>
          <w:tcPr>
            <w:tcW w:w="720" w:type="dxa"/>
            <w:vAlign w:val="bottom"/>
          </w:tcPr>
          <w:p>
            <w:pPr>
              <w:ind w:left="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5"/>
              <w:spacing w:after="0"/>
              <w:rPr>
                <w:sz w:val="20"/>
                <w:szCs w:val="20"/>
                <w:color w:val="auto"/>
              </w:rPr>
            </w:pPr>
            <w:r>
              <w:rPr>
                <w:rFonts w:ascii="Arial" w:cs="Arial" w:eastAsia="Arial" w:hAnsi="Arial"/>
                <w:sz w:val="18"/>
                <w:szCs w:val="18"/>
                <w:color w:val="auto"/>
              </w:rPr>
              <w:t>14.45</w:t>
            </w:r>
          </w:p>
        </w:tc>
        <w:tc>
          <w:tcPr>
            <w:tcW w:w="680" w:type="dxa"/>
            <w:vAlign w:val="bottom"/>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0"/>
              <w:spacing w:after="0"/>
              <w:rPr>
                <w:sz w:val="20"/>
                <w:szCs w:val="20"/>
                <w:color w:val="auto"/>
              </w:rPr>
            </w:pPr>
            <w:r>
              <w:rPr>
                <w:rFonts w:ascii="Arial" w:cs="Arial" w:eastAsia="Arial" w:hAnsi="Arial"/>
                <w:sz w:val="18"/>
                <w:szCs w:val="18"/>
                <w:color w:val="auto"/>
              </w:rPr>
              <w:t>15.87</w:t>
            </w:r>
          </w:p>
        </w:tc>
        <w:tc>
          <w:tcPr>
            <w:tcW w:w="1500" w:type="dxa"/>
            <w:vAlign w:val="bottom"/>
          </w:tcPr>
          <w:p>
            <w:pPr>
              <w:jc w:val="right"/>
              <w:spacing w:after="0"/>
              <w:rPr>
                <w:sz w:val="20"/>
                <w:szCs w:val="20"/>
                <w:color w:val="auto"/>
              </w:rPr>
            </w:pPr>
            <w:r>
              <w:rPr>
                <w:rFonts w:ascii="Arial" w:cs="Arial" w:eastAsia="Arial" w:hAnsi="Arial"/>
                <w:sz w:val="18"/>
                <w:szCs w:val="18"/>
                <w:color w:val="auto"/>
              </w:rPr>
              <w:t>651</w:t>
            </w:r>
          </w:p>
        </w:tc>
        <w:tc>
          <w:tcPr>
            <w:tcW w:w="1680" w:type="dxa"/>
            <w:vAlign w:val="bottom"/>
          </w:tcPr>
          <w:p>
            <w:pPr>
              <w:jc w:val="right"/>
              <w:spacing w:after="0"/>
              <w:rPr>
                <w:sz w:val="20"/>
                <w:szCs w:val="20"/>
                <w:color w:val="auto"/>
              </w:rPr>
            </w:pPr>
            <w:r>
              <w:rPr>
                <w:rFonts w:ascii="Arial" w:cs="Arial" w:eastAsia="Arial" w:hAnsi="Arial"/>
                <w:sz w:val="18"/>
                <w:szCs w:val="18"/>
                <w:color w:val="auto"/>
              </w:rPr>
              <w:t>2.67</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15.64</w:t>
            </w:r>
          </w:p>
        </w:tc>
        <w:tc>
          <w:tcPr>
            <w:tcW w:w="120" w:type="dxa"/>
            <w:vAlign w:val="bottom"/>
          </w:tcPr>
          <w:p>
            <w:pPr>
              <w:spacing w:after="0"/>
              <w:rPr>
                <w:sz w:val="19"/>
                <w:szCs w:val="19"/>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651</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15.64</w:t>
            </w:r>
          </w:p>
        </w:tc>
        <w:tc>
          <w:tcPr>
            <w:tcW w:w="0" w:type="dxa"/>
            <w:vAlign w:val="bottom"/>
          </w:tcPr>
          <w:p>
            <w:pPr>
              <w:spacing w:after="0"/>
              <w:rPr>
                <w:sz w:val="1"/>
                <w:szCs w:val="1"/>
                <w:color w:val="auto"/>
              </w:rPr>
            </w:pPr>
          </w:p>
        </w:tc>
      </w:tr>
      <w:tr>
        <w:trPr>
          <w:trHeight w:val="230"/>
        </w:trPr>
        <w:tc>
          <w:tcPr>
            <w:tcW w:w="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15.91</w:t>
            </w:r>
          </w:p>
        </w:tc>
        <w:tc>
          <w:tcPr>
            <w:tcW w:w="68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22.27</w:t>
            </w:r>
          </w:p>
        </w:tc>
        <w:tc>
          <w:tcPr>
            <w:tcW w:w="1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16.60</w:t>
            </w:r>
          </w:p>
        </w:tc>
        <w:tc>
          <w:tcPr>
            <w:tcW w:w="0" w:type="dxa"/>
            <w:vAlign w:val="bottom"/>
          </w:tcPr>
          <w:p>
            <w:pPr>
              <w:spacing w:after="0"/>
              <w:rPr>
                <w:sz w:val="1"/>
                <w:szCs w:val="1"/>
                <w:color w:val="auto"/>
              </w:rPr>
            </w:pPr>
          </w:p>
        </w:tc>
      </w:tr>
      <w:tr>
        <w:trPr>
          <w:trHeight w:val="223"/>
        </w:trPr>
        <w:tc>
          <w:tcPr>
            <w:tcW w:w="720" w:type="dxa"/>
            <w:vAlign w:val="bottom"/>
          </w:tcPr>
          <w:p>
            <w:pPr>
              <w:ind w:left="20"/>
              <w:spacing w:after="0"/>
              <w:rPr>
                <w:sz w:val="20"/>
                <w:szCs w:val="20"/>
                <w:color w:val="auto"/>
              </w:rPr>
            </w:pPr>
            <w:r>
              <w:rPr>
                <w:rFonts w:ascii="Arial" w:cs="Arial" w:eastAsia="Arial" w:hAnsi="Arial"/>
                <w:sz w:val="18"/>
                <w:szCs w:val="18"/>
                <w:color w:val="auto"/>
              </w:rPr>
              <w:t>Total</w:t>
            </w:r>
          </w:p>
        </w:tc>
        <w:tc>
          <w:tcPr>
            <w:tcW w:w="8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2,894</w:t>
            </w:r>
          </w:p>
        </w:tc>
        <w:tc>
          <w:tcPr>
            <w:tcW w:w="1680" w:type="dxa"/>
            <w:vAlign w:val="bottom"/>
          </w:tcPr>
          <w:p>
            <w:pPr>
              <w:jc w:val="right"/>
              <w:spacing w:after="0"/>
              <w:rPr>
                <w:sz w:val="20"/>
                <w:szCs w:val="20"/>
                <w:color w:val="auto"/>
              </w:rPr>
            </w:pPr>
            <w:r>
              <w:rPr>
                <w:rFonts w:ascii="Arial" w:cs="Arial" w:eastAsia="Arial" w:hAnsi="Arial"/>
                <w:sz w:val="18"/>
                <w:szCs w:val="18"/>
                <w:color w:val="auto"/>
              </w:rPr>
              <w:t>3.08</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12.81</w:t>
            </w:r>
          </w:p>
        </w:tc>
        <w:tc>
          <w:tcPr>
            <w:tcW w:w="120" w:type="dxa"/>
            <w:vAlign w:val="bottom"/>
          </w:tcPr>
          <w:p>
            <w:pPr>
              <w:spacing w:after="0"/>
              <w:rPr>
                <w:sz w:val="19"/>
                <w:szCs w:val="19"/>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2,870</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12.79</w:t>
            </w: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right="460" w:firstLine="405"/>
        <w:spacing w:after="0" w:line="308" w:lineRule="auto"/>
        <w:rPr>
          <w:sz w:val="20"/>
          <w:szCs w:val="20"/>
          <w:color w:val="auto"/>
        </w:rPr>
      </w:pPr>
      <w:r>
        <w:rPr>
          <w:rFonts w:ascii="Arial" w:cs="Arial" w:eastAsia="Arial" w:hAnsi="Arial"/>
          <w:sz w:val="17"/>
          <w:szCs w:val="17"/>
          <w:color w:val="auto"/>
        </w:rPr>
        <w:t>As of January 30, 2021, the unamortized compensation expense for stock options was $0.2 million. The unamortized compensation expense for options will be amortized on a straight-line basis and is expected to be recognized over a weighted-average period of 0.43 years.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Valuation of Employee Share-Based Awards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expected volatility for awards granted during fiscal 2021, 2020 and 2019 was based on historical stock price volatility.</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91" w:name="page92"/>
    <w:bookmarkEnd w:id="9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expected dividend yield is calculated by dividing the current annualized dividend by the closing stock price on the date of grant of the option.</w:t>
      </w:r>
    </w:p>
    <w:p>
      <w:pPr>
        <w:spacing w:after="0" w:line="140"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There were no options granted in fiscal 2021, 2020 and 2019 except for the ones the Company assumed from the Cavium and Aquantia acquisitions as described above.</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ESPP on the date of grant using the Black-Scholes option pricing model:</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gridSpan w:val="2"/>
          </w:tcPr>
          <w:p>
            <w:pPr>
              <w:jc w:val="center"/>
              <w:ind w:right="36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r>
      <w:tr>
        <w:trPr>
          <w:trHeight w:val="135"/>
        </w:trPr>
        <w:tc>
          <w:tcPr>
            <w:tcW w:w="65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8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1"/>
                <w:szCs w:val="11"/>
                <w:color w:val="auto"/>
              </w:rPr>
            </w:pPr>
          </w:p>
        </w:tc>
        <w:tc>
          <w:tcPr>
            <w:tcW w:w="13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60" w:type="dxa"/>
            <w:vAlign w:val="bottom"/>
          </w:tcPr>
          <w:p>
            <w:pPr>
              <w:jc w:val="right"/>
              <w:ind w:right="295"/>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5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7"/>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2019</w:t>
            </w:r>
          </w:p>
        </w:tc>
      </w:tr>
      <w:tr>
        <w:trPr>
          <w:trHeight w:val="211"/>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Employee Stock Purchase Plan:</w:t>
            </w: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Estimated fair value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ind w:right="135"/>
              <w:spacing w:after="0"/>
              <w:rPr>
                <w:sz w:val="20"/>
                <w:szCs w:val="20"/>
                <w:color w:val="auto"/>
              </w:rPr>
            </w:pPr>
            <w:r>
              <w:rPr>
                <w:rFonts w:ascii="Arial" w:cs="Arial" w:eastAsia="Arial" w:hAnsi="Arial"/>
                <w:sz w:val="18"/>
                <w:szCs w:val="18"/>
                <w:color w:val="auto"/>
              </w:rPr>
              <w:t>15.12</w:t>
            </w:r>
          </w:p>
        </w:tc>
        <w:tc>
          <w:tcPr>
            <w:tcW w:w="12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ind w:right="137"/>
              <w:spacing w:after="0"/>
              <w:rPr>
                <w:sz w:val="20"/>
                <w:szCs w:val="20"/>
                <w:color w:val="auto"/>
              </w:rPr>
            </w:pPr>
            <w:r>
              <w:rPr>
                <w:rFonts w:ascii="Arial" w:cs="Arial" w:eastAsia="Arial" w:hAnsi="Arial"/>
                <w:sz w:val="18"/>
                <w:szCs w:val="18"/>
                <w:color w:val="auto"/>
              </w:rPr>
              <w:t>7.06</w:t>
            </w:r>
          </w:p>
        </w:tc>
        <w:tc>
          <w:tcPr>
            <w:tcW w:w="10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ind w:right="135"/>
              <w:spacing w:after="0"/>
              <w:rPr>
                <w:sz w:val="20"/>
                <w:szCs w:val="20"/>
                <w:color w:val="auto"/>
              </w:rPr>
            </w:pPr>
            <w:r>
              <w:rPr>
                <w:rFonts w:ascii="Arial" w:cs="Arial" w:eastAsia="Arial" w:hAnsi="Arial"/>
                <w:sz w:val="18"/>
                <w:szCs w:val="18"/>
                <w:color w:val="auto"/>
              </w:rPr>
              <w:t>4.91</w:t>
            </w:r>
          </w:p>
        </w:tc>
      </w:tr>
      <w:tr>
        <w:trPr>
          <w:trHeight w:val="229"/>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33 %</w:t>
            </w:r>
          </w:p>
        </w:tc>
      </w:tr>
      <w:tr>
        <w:trPr>
          <w:trHeight w:val="229"/>
        </w:trPr>
        <w:tc>
          <w:tcPr>
            <w:tcW w:w="652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2.6 %</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0.6 %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1.4 %</w:t>
            </w:r>
          </w:p>
        </w:tc>
      </w:tr>
    </w:tbl>
    <w:p>
      <w:pPr>
        <w:spacing w:after="0" w:line="9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Total Shareholder Return performance awards on the date of grant using the Monte Carlo pricing model:</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1520" w:type="dxa"/>
            <w:vAlign w:val="bottom"/>
            <w:tcBorders>
              <w:bottom w:val="single" w:sz="8" w:color="auto"/>
            </w:tcBorders>
          </w:tcPr>
          <w:p>
            <w:pPr>
              <w:spacing w:after="0"/>
              <w:rPr>
                <w:sz w:val="16"/>
                <w:szCs w:val="16"/>
                <w:color w:val="auto"/>
              </w:rPr>
            </w:pPr>
          </w:p>
        </w:tc>
      </w:tr>
      <w:tr>
        <w:trPr>
          <w:trHeight w:val="134"/>
        </w:trPr>
        <w:tc>
          <w:tcPr>
            <w:tcW w:w="6480" w:type="dxa"/>
            <w:vAlign w:val="bottom"/>
          </w:tcPr>
          <w:p>
            <w:pPr>
              <w:spacing w:after="0"/>
              <w:rPr>
                <w:sz w:val="11"/>
                <w:szCs w:val="11"/>
                <w:color w:val="auto"/>
              </w:rPr>
            </w:pPr>
          </w:p>
        </w:tc>
        <w:tc>
          <w:tcPr>
            <w:tcW w:w="1620" w:type="dxa"/>
            <w:vAlign w:val="bottom"/>
            <w:gridSpan w:val="2"/>
          </w:tcPr>
          <w:p>
            <w:pPr>
              <w:ind w:left="400"/>
              <w:spacing w:after="0" w:line="135" w:lineRule="exact"/>
              <w:rPr>
                <w:sz w:val="20"/>
                <w:szCs w:val="20"/>
                <w:color w:val="auto"/>
              </w:rPr>
            </w:pPr>
            <w:r>
              <w:rPr>
                <w:rFonts w:ascii="Arial" w:cs="Arial" w:eastAsia="Arial" w:hAnsi="Arial"/>
                <w:sz w:val="14"/>
                <w:szCs w:val="14"/>
                <w:b w:val="1"/>
                <w:bCs w:val="1"/>
                <w:color w:val="auto"/>
              </w:rPr>
              <w:t>January 30,</w:t>
            </w:r>
          </w:p>
        </w:tc>
        <w:tc>
          <w:tcPr>
            <w:tcW w:w="162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5"/>
              </w:rPr>
              <w:t>February 1,</w:t>
            </w:r>
          </w:p>
        </w:tc>
        <w:tc>
          <w:tcPr>
            <w:tcW w:w="1520" w:type="dxa"/>
            <w:vAlign w:val="bottom"/>
          </w:tcPr>
          <w:p>
            <w:pPr>
              <w:jc w:val="right"/>
              <w:ind w:right="315"/>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48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2019</w:t>
            </w:r>
          </w:p>
        </w:tc>
      </w:tr>
      <w:tr>
        <w:trPr>
          <w:trHeight w:val="211"/>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Shareholder Return Awards:</w:t>
            </w: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r>
      <w:tr>
        <w:trPr>
          <w:trHeight w:val="229"/>
        </w:trPr>
        <w:tc>
          <w:tcPr>
            <w:tcW w:w="648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1520" w:type="dxa"/>
            <w:vAlign w:val="bottom"/>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29"/>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35 %</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Average correlation coefficient of peer companies</w:t>
            </w:r>
          </w:p>
        </w:tc>
        <w:tc>
          <w:tcPr>
            <w:tcW w:w="1520" w:type="dxa"/>
            <w:vAlign w:val="bottom"/>
          </w:tcPr>
          <w:p>
            <w:pPr>
              <w:jc w:val="right"/>
              <w:ind w:right="135"/>
              <w:spacing w:after="0"/>
              <w:rPr>
                <w:sz w:val="20"/>
                <w:szCs w:val="20"/>
                <w:color w:val="auto"/>
              </w:rPr>
            </w:pPr>
            <w:r>
              <w:rPr>
                <w:rFonts w:ascii="Arial" w:cs="Arial" w:eastAsia="Arial" w:hAnsi="Arial"/>
                <w:sz w:val="18"/>
                <w:szCs w:val="18"/>
                <w:color w:val="auto"/>
              </w:rPr>
              <w:t>0.7</w:t>
            </w:r>
          </w:p>
        </w:tc>
        <w:tc>
          <w:tcPr>
            <w:tcW w:w="100" w:type="dxa"/>
            <w:vAlign w:val="bottom"/>
          </w:tcPr>
          <w:p>
            <w:pPr>
              <w:spacing w:after="0"/>
              <w:rPr>
                <w:sz w:val="19"/>
                <w:szCs w:val="19"/>
                <w:color w:val="auto"/>
              </w:rPr>
            </w:pPr>
          </w:p>
        </w:tc>
        <w:tc>
          <w:tcPr>
            <w:tcW w:w="1520" w:type="dxa"/>
            <w:vAlign w:val="bottom"/>
          </w:tcPr>
          <w:p>
            <w:pPr>
              <w:jc w:val="right"/>
              <w:ind w:right="137"/>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9"/>
                <w:szCs w:val="19"/>
                <w:color w:val="auto"/>
              </w:rPr>
            </w:pPr>
          </w:p>
        </w:tc>
        <w:tc>
          <w:tcPr>
            <w:tcW w:w="1520" w:type="dxa"/>
            <w:vAlign w:val="bottom"/>
          </w:tcPr>
          <w:p>
            <w:pPr>
              <w:jc w:val="right"/>
              <w:ind w:right="135"/>
              <w:spacing w:after="0"/>
              <w:rPr>
                <w:sz w:val="20"/>
                <w:szCs w:val="20"/>
                <w:color w:val="auto"/>
              </w:rPr>
            </w:pPr>
            <w:r>
              <w:rPr>
                <w:rFonts w:ascii="Arial" w:cs="Arial" w:eastAsia="Arial" w:hAnsi="Arial"/>
                <w:sz w:val="18"/>
                <w:szCs w:val="18"/>
                <w:color w:val="auto"/>
              </w:rPr>
              <w:t>0.5</w:t>
            </w:r>
          </w:p>
        </w:tc>
      </w:tr>
      <w:tr>
        <w:trPr>
          <w:trHeight w:val="230"/>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2.5 %</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1520" w:type="dxa"/>
            <w:vAlign w:val="bottom"/>
          </w:tcPr>
          <w:p>
            <w:pPr>
              <w:jc w:val="right"/>
              <w:spacing w:after="0"/>
              <w:rPr>
                <w:sz w:val="20"/>
                <w:szCs w:val="20"/>
                <w:color w:val="auto"/>
              </w:rPr>
            </w:pPr>
            <w:r>
              <w:rPr>
                <w:rFonts w:ascii="Arial" w:cs="Arial" w:eastAsia="Arial" w:hAnsi="Arial"/>
                <w:sz w:val="18"/>
                <w:szCs w:val="18"/>
                <w:color w:val="auto"/>
              </w:rPr>
              <w:t>0.9 %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1.1 %</w:t>
            </w:r>
          </w:p>
        </w:tc>
      </w:tr>
    </w:tbl>
    <w:p>
      <w:pPr>
        <w:spacing w:after="0" w:line="93"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62" w:lineRule="exact"/>
        <w:rPr>
          <w:sz w:val="20"/>
          <w:szCs w:val="20"/>
          <w:color w:val="auto"/>
        </w:rPr>
      </w:pPr>
    </w:p>
    <w:p>
      <w:pPr>
        <w:ind w:right="100" w:firstLine="405"/>
        <w:spacing w:after="0" w:line="269" w:lineRule="auto"/>
        <w:rPr>
          <w:sz w:val="20"/>
          <w:szCs w:val="20"/>
          <w:color w:val="auto"/>
        </w:rPr>
      </w:pPr>
      <w:r>
        <w:rPr>
          <w:rFonts w:ascii="Arial" w:cs="Arial" w:eastAsia="Arial" w:hAnsi="Arial"/>
          <w:sz w:val="18"/>
          <w:szCs w:val="18"/>
          <w:color w:val="auto"/>
        </w:rPr>
        <w:t>The following weighted-average assumptions were used for estimating the fair value of common shares to be issued under VCA RSUs on the date of grant using the Monte Carlo pricing model:</w:t>
      </w:r>
    </w:p>
    <w:tbl>
      <w:tblPr>
        <w:tblLayout w:type="fixed"/>
        <w:tblInd w:w="0" w:type="dxa"/>
        <w:tblCellMar>
          <w:top w:w="0" w:type="dxa"/>
          <w:left w:w="0" w:type="dxa"/>
          <w:bottom w:w="0" w:type="dxa"/>
          <w:right w:w="0" w:type="dxa"/>
        </w:tblCellMar>
      </w:tblPr>
      <w:tr>
        <w:trPr>
          <w:trHeight w:val="192"/>
        </w:trPr>
        <w:tc>
          <w:tcPr>
            <w:tcW w:w="9680" w:type="dxa"/>
            <w:vAlign w:val="bottom"/>
          </w:tcPr>
          <w:p>
            <w:pPr>
              <w:spacing w:after="0"/>
              <w:rPr>
                <w:sz w:val="16"/>
                <w:szCs w:val="16"/>
                <w:color w:val="auto"/>
              </w:rPr>
            </w:pPr>
          </w:p>
        </w:tc>
        <w:tc>
          <w:tcPr>
            <w:tcW w:w="1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Year Ended</w:t>
            </w:r>
          </w:p>
        </w:tc>
      </w:tr>
      <w:tr>
        <w:trPr>
          <w:trHeight w:val="134"/>
        </w:trPr>
        <w:tc>
          <w:tcPr>
            <w:tcW w:w="9680" w:type="dxa"/>
            <w:vAlign w:val="bottom"/>
          </w:tcPr>
          <w:p>
            <w:pPr>
              <w:spacing w:after="0"/>
              <w:rPr>
                <w:sz w:val="11"/>
                <w:szCs w:val="11"/>
                <w:color w:val="auto"/>
              </w:rPr>
            </w:pPr>
          </w:p>
        </w:tc>
        <w:tc>
          <w:tcPr>
            <w:tcW w:w="15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5"/>
              </w:rPr>
              <w:t>February 1,</w:t>
            </w:r>
          </w:p>
        </w:tc>
      </w:tr>
      <w:tr>
        <w:trPr>
          <w:trHeight w:val="188"/>
        </w:trPr>
        <w:tc>
          <w:tcPr>
            <w:tcW w:w="9680" w:type="dxa"/>
            <w:vAlign w:val="bottom"/>
            <w:tcBorders>
              <w:bottom w:val="single" w:sz="8" w:color="CCEEFF"/>
            </w:tcBorders>
          </w:tcPr>
          <w:p>
            <w:pPr>
              <w:spacing w:after="0"/>
              <w:rPr>
                <w:sz w:val="16"/>
                <w:szCs w:val="16"/>
                <w:color w:val="auto"/>
              </w:rPr>
            </w:pPr>
          </w:p>
        </w:tc>
        <w:tc>
          <w:tcPr>
            <w:tcW w:w="1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2020</w:t>
            </w:r>
          </w:p>
        </w:tc>
      </w:tr>
      <w:tr>
        <w:trPr>
          <w:trHeight w:val="211"/>
        </w:trPr>
        <w:tc>
          <w:tcPr>
            <w:tcW w:w="96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Value Creation Awards:</w:t>
            </w:r>
          </w:p>
        </w:tc>
        <w:tc>
          <w:tcPr>
            <w:tcW w:w="1560" w:type="dxa"/>
            <w:vAlign w:val="bottom"/>
            <w:shd w:val="clear" w:color="auto" w:fill="CCEEFF"/>
          </w:tcPr>
          <w:p>
            <w:pPr>
              <w:spacing w:after="0"/>
              <w:rPr>
                <w:sz w:val="18"/>
                <w:szCs w:val="18"/>
                <w:color w:val="auto"/>
              </w:rPr>
            </w:pPr>
          </w:p>
        </w:tc>
      </w:tr>
      <w:tr>
        <w:trPr>
          <w:trHeight w:val="230"/>
        </w:trPr>
        <w:tc>
          <w:tcPr>
            <w:tcW w:w="968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1560" w:type="dxa"/>
            <w:vAlign w:val="bottom"/>
          </w:tcPr>
          <w:p>
            <w:pPr>
              <w:jc w:val="right"/>
              <w:spacing w:after="0"/>
              <w:rPr>
                <w:sz w:val="20"/>
                <w:szCs w:val="20"/>
                <w:color w:val="auto"/>
              </w:rPr>
            </w:pPr>
            <w:r>
              <w:rPr>
                <w:rFonts w:ascii="Arial" w:cs="Arial" w:eastAsia="Arial" w:hAnsi="Arial"/>
                <w:sz w:val="18"/>
                <w:szCs w:val="18"/>
                <w:color w:val="auto"/>
              </w:rPr>
              <w:t>4.66</w:t>
            </w:r>
          </w:p>
        </w:tc>
      </w:tr>
      <w:tr>
        <w:trPr>
          <w:trHeight w:val="229"/>
        </w:trPr>
        <w:tc>
          <w:tcPr>
            <w:tcW w:w="9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1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35 %</w:t>
            </w:r>
          </w:p>
        </w:tc>
      </w:tr>
      <w:tr>
        <w:trPr>
          <w:trHeight w:val="230"/>
        </w:trPr>
        <w:tc>
          <w:tcPr>
            <w:tcW w:w="9680" w:type="dxa"/>
            <w:vAlign w:val="bottom"/>
          </w:tcPr>
          <w:p>
            <w:pPr>
              <w:ind w:left="20"/>
              <w:spacing w:after="0"/>
              <w:rPr>
                <w:sz w:val="20"/>
                <w:szCs w:val="20"/>
                <w:color w:val="auto"/>
              </w:rPr>
            </w:pPr>
            <w:r>
              <w:rPr>
                <w:rFonts w:ascii="Arial" w:cs="Arial" w:eastAsia="Arial" w:hAnsi="Arial"/>
                <w:sz w:val="18"/>
                <w:szCs w:val="18"/>
                <w:color w:val="auto"/>
              </w:rPr>
              <w:t>Risk-free interest rate</w:t>
            </w:r>
          </w:p>
        </w:tc>
        <w:tc>
          <w:tcPr>
            <w:tcW w:w="1560" w:type="dxa"/>
            <w:vAlign w:val="bottom"/>
          </w:tcPr>
          <w:p>
            <w:pPr>
              <w:jc w:val="right"/>
              <w:spacing w:after="0"/>
              <w:rPr>
                <w:sz w:val="20"/>
                <w:szCs w:val="20"/>
                <w:color w:val="auto"/>
              </w:rPr>
            </w:pPr>
            <w:r>
              <w:rPr>
                <w:rFonts w:ascii="Arial" w:cs="Arial" w:eastAsia="Arial" w:hAnsi="Arial"/>
                <w:sz w:val="18"/>
                <w:szCs w:val="18"/>
                <w:color w:val="auto"/>
              </w:rPr>
              <w:t>1.8 %</w:t>
            </w:r>
          </w:p>
        </w:tc>
      </w:tr>
      <w:tr>
        <w:trPr>
          <w:trHeight w:val="230"/>
        </w:trPr>
        <w:tc>
          <w:tcPr>
            <w:tcW w:w="9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dividend yield</w:t>
            </w:r>
          </w:p>
        </w:tc>
        <w:tc>
          <w:tcPr>
            <w:tcW w:w="1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1.0 %</w:t>
            </w:r>
          </w:p>
        </w:tc>
      </w:tr>
    </w:tbl>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401(k) Plans</w:t>
      </w:r>
    </w:p>
    <w:p>
      <w:pPr>
        <w:spacing w:after="0" w:line="11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The Company sponsors a 401(k) savings and investment plan that allows eligible U.S. employees to participate by making pre-tax contributions to the 401(k) plan ranging from 1% to 75% of eligible earnings subject to a required annual limit. The Company currently matches 100% of the first 4% of the employee’s contribution and 50% of the next 2%, up to a $4,000 maximum contribution effective from January 1, 2018, and up to a $5,000 maximum contribution effective from January 1, 2021. The Company made matching contributions to employees of $11.1 million in fiscal 2021, $11.0 million in fiscal 2020 and $8.6 million in fiscal 2019. As of January 30, 2021, the 401(k) plan offers a variety of investment alternatives, representing different asset classes. Employees may not invest in the Company’s common shares through the 401(k) plan.</w:t>
      </w:r>
    </w:p>
    <w:p>
      <w:pPr>
        <w:spacing w:after="0" w:line="70" w:lineRule="exact"/>
        <w:rPr>
          <w:sz w:val="20"/>
          <w:szCs w:val="20"/>
          <w:color w:val="auto"/>
        </w:rPr>
      </w:pPr>
    </w:p>
    <w:p>
      <w:pPr>
        <w:ind w:right="600" w:firstLine="405"/>
        <w:spacing w:after="0" w:line="342" w:lineRule="auto"/>
        <w:rPr>
          <w:sz w:val="20"/>
          <w:szCs w:val="20"/>
          <w:color w:val="auto"/>
        </w:rPr>
      </w:pPr>
      <w:r>
        <w:rPr>
          <w:rFonts w:ascii="Arial" w:cs="Arial" w:eastAsia="Arial" w:hAnsi="Arial"/>
          <w:sz w:val="16"/>
          <w:szCs w:val="16"/>
          <w:color w:val="auto"/>
        </w:rPr>
        <w:t>The Company also has voluntary defined contribution plans in various non-U.S. locations. In connection with these plans, the Company made contributions on behalf of employees totaling $11.3 million, $9.6 million and $16.8 million during fiscal 2021, 2020 and 2019, respectively.</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Income Taxes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U.S. and non-U.S. components of income (loss) from continuing operations before income taxes consist of the following (in thousands):</w:t>
      </w:r>
    </w:p>
    <w:p>
      <w:pPr>
        <w:spacing w:after="0" w:line="16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5"/>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center"/>
              <w:ind w:right="155"/>
              <w:spacing w:after="0" w:line="135" w:lineRule="exact"/>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88"/>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2019</w:t>
            </w:r>
          </w:p>
        </w:tc>
        <w:tc>
          <w:tcPr>
            <w:tcW w:w="0" w:type="dxa"/>
            <w:vAlign w:val="bottom"/>
          </w:tcPr>
          <w:p>
            <w:pPr>
              <w:spacing w:after="0"/>
              <w:rPr>
                <w:sz w:val="1"/>
                <w:szCs w:val="1"/>
                <w:color w:val="auto"/>
              </w:rPr>
            </w:pPr>
          </w:p>
        </w:tc>
      </w:tr>
      <w:tr>
        <w:trPr>
          <w:trHeight w:val="224"/>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U.S. operations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(95,884)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666,508</w:t>
            </w:r>
          </w:p>
        </w:tc>
        <w:tc>
          <w:tcPr>
            <w:tcW w:w="0" w:type="dxa"/>
            <w:vAlign w:val="bottom"/>
          </w:tcPr>
          <w:p>
            <w:pPr>
              <w:spacing w:after="0"/>
              <w:rPr>
                <w:sz w:val="1"/>
                <w:szCs w:val="1"/>
                <w:color w:val="auto"/>
              </w:rPr>
            </w:pPr>
          </w:p>
        </w:tc>
      </w:tr>
      <w:tr>
        <w:trPr>
          <w:trHeight w:val="229"/>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Non-U.S. operations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(303,967)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894,267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(671,155)</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(322,168)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798,383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(4,647)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20"/>
              <w:spacing w:after="0"/>
              <w:rPr>
                <w:sz w:val="20"/>
                <w:szCs w:val="20"/>
                <w:color w:val="auto"/>
              </w:rPr>
            </w:pPr>
            <w:r>
              <w:rPr>
                <w:rFonts w:ascii="Arial" w:cs="Arial" w:eastAsia="Arial" w:hAnsi="Arial"/>
                <w:sz w:val="18"/>
                <w:szCs w:val="18"/>
                <w:color w:val="auto"/>
                <w:w w:val="99"/>
              </w:rPr>
              <w:t>The provision (benefit) for income taxes consists of the following (in thousands):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8"/>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674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4"/>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5"/>
              </w:rPr>
              <w:t>January 30,</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1"/>
                <w:szCs w:val="11"/>
                <w:color w:val="auto"/>
              </w:rPr>
            </w:pPr>
          </w:p>
        </w:tc>
        <w:tc>
          <w:tcPr>
            <w:tcW w:w="1200" w:type="dxa"/>
            <w:vAlign w:val="bottom"/>
          </w:tcPr>
          <w:p>
            <w:pPr>
              <w:jc w:val="center"/>
              <w:ind w:right="155"/>
              <w:spacing w:after="0" w:line="135" w:lineRule="exact"/>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88"/>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2019</w:t>
            </w:r>
          </w:p>
        </w:tc>
        <w:tc>
          <w:tcPr>
            <w:tcW w:w="0" w:type="dxa"/>
            <w:vAlign w:val="bottom"/>
          </w:tcPr>
          <w:p>
            <w:pPr>
              <w:spacing w:after="0"/>
              <w:rPr>
                <w:sz w:val="1"/>
                <w:szCs w:val="1"/>
                <w:color w:val="auto"/>
              </w:rPr>
            </w:pPr>
          </w:p>
        </w:tc>
      </w:tr>
      <w:tr>
        <w:trPr>
          <w:trHeight w:val="211"/>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Current income tax provision (benefit):</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Federal</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3,210</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5,223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46,519</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State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5,959</w:t>
            </w:r>
          </w:p>
        </w:tc>
        <w:tc>
          <w:tcPr>
            <w:tcW w:w="0" w:type="dxa"/>
            <w:vAlign w:val="bottom"/>
          </w:tcPr>
          <w:p>
            <w:pPr>
              <w:spacing w:after="0"/>
              <w:rPr>
                <w:sz w:val="1"/>
                <w:szCs w:val="1"/>
                <w:color w:val="auto"/>
              </w:rPr>
            </w:pPr>
          </w:p>
        </w:tc>
      </w:tr>
      <w:tr>
        <w:trPr>
          <w:trHeight w:val="230"/>
        </w:trPr>
        <w:tc>
          <w:tcPr>
            <w:tcW w:w="6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Foreign</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(12,028)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(4,137)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3,322</w:t>
            </w:r>
          </w:p>
        </w:tc>
        <w:tc>
          <w:tcPr>
            <w:tcW w:w="0" w:type="dxa"/>
            <w:vAlign w:val="bottom"/>
          </w:tcPr>
          <w:p>
            <w:pPr>
              <w:spacing w:after="0"/>
              <w:rPr>
                <w:sz w:val="1"/>
                <w:szCs w:val="1"/>
                <w:color w:val="auto"/>
              </w:rPr>
            </w:pPr>
          </w:p>
        </w:tc>
      </w:tr>
      <w:tr>
        <w:trPr>
          <w:trHeight w:val="223"/>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current income tax provision (benefit)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(5,379)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0" w:type="dxa"/>
            <w:vAlign w:val="bottom"/>
          </w:tcPr>
          <w:p>
            <w:pPr>
              <w:spacing w:after="0"/>
              <w:rPr>
                <w:sz w:val="1"/>
                <w:szCs w:val="1"/>
                <w:color w:val="auto"/>
              </w:rPr>
            </w:pPr>
          </w:p>
        </w:tc>
      </w:tr>
      <w:tr>
        <w:trPr>
          <w:trHeight w:val="210"/>
        </w:trPr>
        <w:tc>
          <w:tcPr>
            <w:tcW w:w="6740" w:type="dxa"/>
            <w:vAlign w:val="bottom"/>
          </w:tcPr>
          <w:p>
            <w:pPr>
              <w:ind w:left="20"/>
              <w:spacing w:after="0"/>
              <w:rPr>
                <w:sz w:val="20"/>
                <w:szCs w:val="20"/>
                <w:color w:val="auto"/>
              </w:rPr>
            </w:pPr>
            <w:r>
              <w:rPr>
                <w:rFonts w:ascii="Arial" w:cs="Arial" w:eastAsia="Arial" w:hAnsi="Arial"/>
                <w:sz w:val="18"/>
                <w:szCs w:val="18"/>
                <w:color w:val="auto"/>
              </w:rPr>
              <w:t>Deferred income tax provision (benefit):</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(125,892)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134,336</w:t>
            </w: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State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870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(9,382)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(6,567)</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(25,960)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(649,884)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(9,122)</w:t>
            </w:r>
          </w:p>
        </w:tc>
        <w:tc>
          <w:tcPr>
            <w:tcW w:w="0" w:type="dxa"/>
            <w:vAlign w:val="bottom"/>
          </w:tcPr>
          <w:p>
            <w:pPr>
              <w:spacing w:after="0"/>
              <w:rPr>
                <w:sz w:val="1"/>
                <w:szCs w:val="1"/>
                <w:color w:val="auto"/>
              </w:rPr>
            </w:pPr>
          </w:p>
        </w:tc>
      </w:tr>
      <w:tr>
        <w:trPr>
          <w:trHeight w:val="223"/>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Total deferred income tax provision (benefit)</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(39,491)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(785,158)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118,647</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provision (benefit) for income taxes</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(44,870)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(786,009)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174,447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both"/>
        <w:ind w:right="100" w:firstLine="405"/>
        <w:spacing w:after="0" w:line="278" w:lineRule="auto"/>
        <w:rPr>
          <w:sz w:val="20"/>
          <w:szCs w:val="20"/>
          <w:color w:val="auto"/>
        </w:rPr>
      </w:pPr>
      <w:r>
        <w:rPr>
          <w:rFonts w:ascii="Arial" w:cs="Arial" w:eastAsia="Arial" w:hAnsi="Arial"/>
          <w:sz w:val="17"/>
          <w:szCs w:val="17"/>
          <w:color w:val="auto"/>
        </w:rPr>
        <w:t>The Company consists of a Bermuda parent holding company with various foreign and U.S. subsidiaries. The applicable statutory rate in Bermuda is zero for the Company for fiscal 2021, 2020, and 2019. For purposes of the reconciliation between the provision (benefit) for income taxes at the statutory rate and the effective tax rate, a U.S. statutory tax rate of 21% for fiscal years 2021, 2020 and 2019 is applied as follows: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gridSpan w:val="2"/>
          </w:tcPr>
          <w:p>
            <w:pPr>
              <w:jc w:val="center"/>
              <w:ind w:right="28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r>
      <w:tr>
        <w:trPr>
          <w:trHeight w:val="135"/>
        </w:trPr>
        <w:tc>
          <w:tcPr>
            <w:tcW w:w="6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6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20" w:type="dxa"/>
            <w:vAlign w:val="bottom"/>
          </w:tcPr>
          <w:p>
            <w:pPr>
              <w:spacing w:after="0"/>
              <w:rPr>
                <w:sz w:val="11"/>
                <w:szCs w:val="11"/>
                <w:color w:val="auto"/>
              </w:rPr>
            </w:pPr>
          </w:p>
        </w:tc>
        <w:tc>
          <w:tcPr>
            <w:tcW w:w="1180" w:type="dxa"/>
            <w:vAlign w:val="bottom"/>
          </w:tcPr>
          <w:p>
            <w:pPr>
              <w:jc w:val="right"/>
              <w:ind w:right="253"/>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9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3"/>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2019</w:t>
            </w:r>
          </w:p>
        </w:tc>
      </w:tr>
      <w:tr>
        <w:trPr>
          <w:trHeight w:val="224"/>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at U.S. statutory rate</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(67,655)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167,660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w:t>
            </w:r>
          </w:p>
        </w:tc>
      </w:tr>
      <w:tr>
        <w:trPr>
          <w:trHeight w:val="230"/>
        </w:trPr>
        <w:tc>
          <w:tcPr>
            <w:tcW w:w="6900" w:type="dxa"/>
            <w:vAlign w:val="bottom"/>
          </w:tcPr>
          <w:p>
            <w:pPr>
              <w:ind w:left="20"/>
              <w:spacing w:after="0"/>
              <w:rPr>
                <w:sz w:val="20"/>
                <w:szCs w:val="20"/>
                <w:color w:val="auto"/>
              </w:rPr>
            </w:pPr>
            <w:r>
              <w:rPr>
                <w:rFonts w:ascii="Arial" w:cs="Arial" w:eastAsia="Arial" w:hAnsi="Arial"/>
                <w:sz w:val="18"/>
                <w:szCs w:val="18"/>
                <w:color w:val="auto"/>
              </w:rPr>
              <w:t>State taxes, net of federal benefit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327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(9,878)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(9,652)</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Difference in U.S. and non-U.S. tax rates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38,118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(181,625)</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46,988</w:t>
            </w:r>
          </w:p>
        </w:tc>
      </w:tr>
      <w:tr>
        <w:trPr>
          <w:trHeight w:val="230"/>
        </w:trPr>
        <w:tc>
          <w:tcPr>
            <w:tcW w:w="6900" w:type="dxa"/>
            <w:vAlign w:val="bottom"/>
          </w:tcPr>
          <w:p>
            <w:pPr>
              <w:ind w:left="20"/>
              <w:spacing w:after="0"/>
              <w:rPr>
                <w:sz w:val="20"/>
                <w:szCs w:val="20"/>
                <w:color w:val="auto"/>
              </w:rPr>
            </w:pPr>
            <w:r>
              <w:rPr>
                <w:rFonts w:ascii="Arial" w:cs="Arial" w:eastAsia="Arial" w:hAnsi="Arial"/>
                <w:sz w:val="18"/>
                <w:szCs w:val="18"/>
                <w:color w:val="auto"/>
              </w:rPr>
              <w:t>Foreign income inclusion in U.S.</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861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13,736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167,093</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Non-deductible compensation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6,196</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13,215</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Intellectual property transaction</w:t>
            </w:r>
          </w:p>
        </w:tc>
        <w:tc>
          <w:tcPr>
            <w:tcW w:w="22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(762,933)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93,777</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Federal research and development credits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(49,315)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(29,503)</w:t>
            </w:r>
          </w:p>
        </w:tc>
      </w:tr>
      <w:tr>
        <w:trPr>
          <w:trHeight w:val="230"/>
        </w:trPr>
        <w:tc>
          <w:tcPr>
            <w:tcW w:w="6900" w:type="dxa"/>
            <w:vAlign w:val="bottom"/>
          </w:tcPr>
          <w:p>
            <w:pPr>
              <w:ind w:left="20"/>
              <w:spacing w:after="0"/>
              <w:rPr>
                <w:sz w:val="20"/>
                <w:szCs w:val="20"/>
                <w:color w:val="auto"/>
              </w:rPr>
            </w:pPr>
            <w:r>
              <w:rPr>
                <w:rFonts w:ascii="Arial" w:cs="Arial" w:eastAsia="Arial" w:hAnsi="Arial"/>
                <w:sz w:val="18"/>
                <w:szCs w:val="18"/>
                <w:color w:val="auto"/>
              </w:rPr>
              <w:t>Uncertain tax positions</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(19,957)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(3,913)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4,238</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Change in valuation allowance</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49,315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26,971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(110,921)</w:t>
            </w:r>
          </w:p>
        </w:tc>
      </w:tr>
      <w:tr>
        <w:trPr>
          <w:trHeight w:val="229"/>
        </w:trPr>
        <w:tc>
          <w:tcPr>
            <w:tcW w:w="69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(672)</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381</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188</w:t>
            </w:r>
          </w:p>
        </w:tc>
      </w:tr>
      <w:tr>
        <w:trPr>
          <w:trHeight w:val="248"/>
        </w:trPr>
        <w:tc>
          <w:tcPr>
            <w:tcW w:w="6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tax provision (benefit)</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(44,870)</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(786,009)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174,447</w:t>
            </w:r>
          </w:p>
        </w:tc>
      </w:tr>
      <w:tr>
        <w:trPr>
          <w:trHeight w:val="20"/>
        </w:trPr>
        <w:tc>
          <w:tcPr>
            <w:tcW w:w="69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3" w:name="page94"/>
    <w:bookmarkEnd w:id="9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right="120" w:firstLine="405"/>
        <w:spacing w:after="0" w:line="270" w:lineRule="auto"/>
        <w:rPr>
          <w:sz w:val="20"/>
          <w:szCs w:val="20"/>
          <w:color w:val="auto"/>
        </w:rPr>
      </w:pPr>
      <w:r>
        <w:rPr>
          <w:rFonts w:ascii="Arial" w:cs="Arial" w:eastAsia="Arial" w:hAnsi="Arial"/>
          <w:sz w:val="16"/>
          <w:szCs w:val="16"/>
          <w:color w:val="auto"/>
        </w:rPr>
        <w:t>The income tax benefit for fiscal 2021 is primarily attributable to the pretax losses of the Company’s subsidiaries with income tax rates that differ from the U.S. statutory tax rate, combined with a net reduction of unrecognized tax benefits inclusive of interest and penalties, offset by tax expense attributable to non-deductible compensation. The income tax benefit for fiscal 2020 was primarily the result of the recognition of a $763.0 million tax benefit for the intra-entity transfer of the majority of the Company’s intellectual property to a subsidiary in Singapore. This resulted in the recognition of a deferred tax asset and tax benefit of $659.0 million related to the Singapore tax basis in the intellectual property. In addition, the Company recognized $104.0 million of income tax benefit from the reversal of deferred tax liabilities primarily related to previously acquired intangible assets. The income tax expense for fiscal 2019 was primarily the result of restructurings involving the transfer of certain assets and intellectual property used in the business among various subsidiaries and represented the estimated U.S. tax to be paid currently and in future years on income generated from the intellectual property transfer. The prior period transactions aligned the global economic ownership of the Company's intellectual property rights with its current and future business operations. The Company continues to evaluate potential changes to its legal entity structure in response to guidelines and requirements in various international tax jurisdictions, as well as in response to changes in our operations, and acquisitions and divestitures.</w:t>
      </w:r>
    </w:p>
    <w:p>
      <w:pPr>
        <w:spacing w:after="0" w:line="5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Deferred tax assets consist of the following (in thousands):</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2"/>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Net operating losses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78,253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105,925</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 and California income tax credits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713,799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631,805</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629,290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632,537</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Reserves and accruals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69,654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22,719</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Share-based compensation</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4,798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4,117</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liabilities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28,176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32,120</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Gross deferred tax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1,523,970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1,429,223</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Valuation allowance</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(749,468)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(676,780)</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Total deferred tax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774,502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752,443</w:t>
            </w: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(50,557)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(69,771)</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Fixed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(27,549)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(27,540)</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Unremitted earnings of non-U.S. subsidiaries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(20,173)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(21,284)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Right of use assets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(26,158)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(25,290)</w:t>
            </w:r>
          </w:p>
        </w:tc>
      </w:tr>
      <w:tr>
        <w:trPr>
          <w:trHeight w:val="223"/>
        </w:trPr>
        <w:tc>
          <w:tcPr>
            <w:tcW w:w="82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Total deferred tax liabilities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(124,437)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(143,885)</w:t>
            </w:r>
          </w:p>
        </w:tc>
      </w:tr>
      <w:tr>
        <w:trPr>
          <w:trHeight w:val="24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deferred tax assets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650,065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608,558</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deferred tax assets and liabilities based on tax jurisdictions are presented on our consolidated balance sheet as follows: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4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4"/>
                <w:szCs w:val="14"/>
                <w:color w:val="auto"/>
              </w:rPr>
            </w:pPr>
          </w:p>
        </w:tc>
        <w:tc>
          <w:tcPr>
            <w:tcW w:w="1200" w:type="dxa"/>
            <w:vAlign w:val="bottom"/>
          </w:tcPr>
          <w:p>
            <w:pPr>
              <w:jc w:val="center"/>
              <w:ind w:right="157"/>
              <w:spacing w:after="0"/>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88"/>
        </w:trPr>
        <w:tc>
          <w:tcPr>
            <w:tcW w:w="4040" w:type="dxa"/>
            <w:vAlign w:val="bottom"/>
            <w:tcBorders>
              <w:bottom w:val="single" w:sz="8" w:color="CCEEFF"/>
            </w:tcBorders>
          </w:tcPr>
          <w:p>
            <w:pPr>
              <w:spacing w:after="0"/>
              <w:rPr>
                <w:sz w:val="16"/>
                <w:szCs w:val="16"/>
                <w:color w:val="auto"/>
              </w:rPr>
            </w:pPr>
          </w:p>
        </w:tc>
        <w:tc>
          <w:tcPr>
            <w:tcW w:w="42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24"/>
        </w:trPr>
        <w:tc>
          <w:tcPr>
            <w:tcW w:w="40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Non-current deferred tax assets</w:t>
            </w:r>
          </w:p>
        </w:tc>
        <w:tc>
          <w:tcPr>
            <w:tcW w:w="422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ind w:left="540"/>
              <w:spacing w:after="0"/>
              <w:rPr>
                <w:sz w:val="20"/>
                <w:szCs w:val="20"/>
                <w:color w:val="auto"/>
              </w:rPr>
            </w:pPr>
            <w:r>
              <w:rPr>
                <w:rFonts w:ascii="Arial" w:cs="Arial" w:eastAsia="Arial" w:hAnsi="Arial"/>
                <w:sz w:val="18"/>
                <w:szCs w:val="18"/>
                <w:color w:val="auto"/>
                <w:w w:val="98"/>
              </w:rPr>
              <w:t>672,424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ind w:left="540"/>
              <w:spacing w:after="0"/>
              <w:rPr>
                <w:sz w:val="20"/>
                <w:szCs w:val="20"/>
                <w:color w:val="auto"/>
              </w:rPr>
            </w:pPr>
            <w:r>
              <w:rPr>
                <w:rFonts w:ascii="Arial" w:cs="Arial" w:eastAsia="Arial" w:hAnsi="Arial"/>
                <w:sz w:val="18"/>
                <w:szCs w:val="18"/>
                <w:color w:val="auto"/>
                <w:w w:val="98"/>
              </w:rPr>
              <w:t>639,791</w:t>
            </w:r>
          </w:p>
        </w:tc>
        <w:tc>
          <w:tcPr>
            <w:tcW w:w="0" w:type="dxa"/>
            <w:vAlign w:val="bottom"/>
          </w:tcPr>
          <w:p>
            <w:pPr>
              <w:spacing w:after="0"/>
              <w:rPr>
                <w:sz w:val="1"/>
                <w:szCs w:val="1"/>
                <w:color w:val="auto"/>
              </w:rPr>
            </w:pPr>
          </w:p>
        </w:tc>
      </w:tr>
      <w:tr>
        <w:trPr>
          <w:trHeight w:val="230"/>
        </w:trPr>
        <w:tc>
          <w:tcPr>
            <w:tcW w:w="40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Non-current deferred tax liabilities</w:t>
            </w:r>
          </w:p>
        </w:tc>
        <w:tc>
          <w:tcPr>
            <w:tcW w:w="42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w w:val="92"/>
              </w:rPr>
              <w:t>(22,359)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w w:val="92"/>
              </w:rPr>
              <w:t>(31,233)</w:t>
            </w:r>
          </w:p>
        </w:tc>
        <w:tc>
          <w:tcPr>
            <w:tcW w:w="0" w:type="dxa"/>
            <w:vAlign w:val="bottom"/>
          </w:tcPr>
          <w:p>
            <w:pPr>
              <w:spacing w:after="0"/>
              <w:rPr>
                <w:sz w:val="1"/>
                <w:szCs w:val="1"/>
                <w:color w:val="auto"/>
              </w:rPr>
            </w:pPr>
          </w:p>
        </w:tc>
      </w:tr>
      <w:tr>
        <w:trPr>
          <w:trHeight w:val="248"/>
        </w:trPr>
        <w:tc>
          <w:tcPr>
            <w:tcW w:w="40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deferred tax assets (liabilities)</w:t>
            </w:r>
          </w:p>
        </w:tc>
        <w:tc>
          <w:tcPr>
            <w:tcW w:w="4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540"/>
              <w:spacing w:after="0"/>
              <w:rPr>
                <w:sz w:val="20"/>
                <w:szCs w:val="20"/>
                <w:color w:val="auto"/>
              </w:rPr>
            </w:pPr>
            <w:r>
              <w:rPr>
                <w:rFonts w:ascii="Arial" w:cs="Arial" w:eastAsia="Arial" w:hAnsi="Arial"/>
                <w:sz w:val="18"/>
                <w:szCs w:val="18"/>
                <w:color w:val="auto"/>
                <w:w w:val="98"/>
              </w:rPr>
              <w:t>650,065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540"/>
              <w:spacing w:after="0"/>
              <w:rPr>
                <w:sz w:val="20"/>
                <w:szCs w:val="20"/>
                <w:color w:val="auto"/>
              </w:rPr>
            </w:pPr>
            <w:r>
              <w:rPr>
                <w:rFonts w:ascii="Arial" w:cs="Arial" w:eastAsia="Arial" w:hAnsi="Arial"/>
                <w:sz w:val="18"/>
                <w:szCs w:val="18"/>
                <w:color w:val="auto"/>
                <w:w w:val="98"/>
              </w:rPr>
              <w:t>608,558</w:t>
            </w:r>
          </w:p>
        </w:tc>
        <w:tc>
          <w:tcPr>
            <w:tcW w:w="0" w:type="dxa"/>
            <w:vAlign w:val="bottom"/>
          </w:tcPr>
          <w:p>
            <w:pPr>
              <w:spacing w:after="0"/>
              <w:rPr>
                <w:sz w:val="1"/>
                <w:szCs w:val="1"/>
                <w:color w:val="auto"/>
              </w:rPr>
            </w:pPr>
          </w:p>
        </w:tc>
      </w:tr>
      <w:tr>
        <w:trPr>
          <w:trHeight w:val="20"/>
        </w:trPr>
        <w:tc>
          <w:tcPr>
            <w:tcW w:w="4040" w:type="dxa"/>
            <w:vAlign w:val="bottom"/>
            <w:tcBorders>
              <w:top w:val="single" w:sz="8" w:color="CCEEFF"/>
            </w:tcBorders>
          </w:tcPr>
          <w:p>
            <w:pPr>
              <w:spacing w:after="0" w:line="20" w:lineRule="exact"/>
              <w:rPr>
                <w:sz w:val="1"/>
                <w:szCs w:val="1"/>
                <w:color w:val="auto"/>
              </w:rPr>
            </w:pPr>
          </w:p>
        </w:tc>
        <w:tc>
          <w:tcPr>
            <w:tcW w:w="4220" w:type="dxa"/>
            <w:vAlign w:val="bottom"/>
            <w:tcBorders>
              <w:top w:val="single" w:sz="8" w:color="CCEEFF"/>
              <w:bottom w:val="single" w:sz="8" w:color="CCEEFF"/>
            </w:tcBorders>
            <w:vMerge w:val="restart"/>
          </w:tcPr>
          <w:p>
            <w:pPr>
              <w:jc w:val="right"/>
              <w:ind w:right="2450"/>
              <w:spacing w:after="0"/>
              <w:rPr>
                <w:sz w:val="20"/>
                <w:szCs w:val="20"/>
                <w:color w:val="auto"/>
              </w:rPr>
            </w:pPr>
            <w:r>
              <w:rPr>
                <w:rFonts w:ascii="Arial" w:cs="Arial" w:eastAsia="Arial" w:hAnsi="Arial"/>
                <w:sz w:val="18"/>
                <w:szCs w:val="18"/>
                <w:color w:val="auto"/>
              </w:rPr>
              <w:t>91</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2"/>
        </w:trPr>
        <w:tc>
          <w:tcPr>
            <w:tcW w:w="4040" w:type="dxa"/>
            <w:vAlign w:val="bottom"/>
          </w:tcPr>
          <w:p>
            <w:pPr>
              <w:spacing w:after="0"/>
              <w:rPr>
                <w:sz w:val="24"/>
                <w:szCs w:val="24"/>
                <w:color w:val="auto"/>
              </w:rPr>
            </w:pPr>
          </w:p>
        </w:tc>
        <w:tc>
          <w:tcPr>
            <w:tcW w:w="422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4040" w:type="dxa"/>
            <w:vAlign w:val="bottom"/>
            <w:tcBorders>
              <w:bottom w:val="single" w:sz="8" w:color="9A9A9A"/>
            </w:tcBorders>
          </w:tcPr>
          <w:p>
            <w:pPr>
              <w:spacing w:after="0"/>
              <w:rPr>
                <w:sz w:val="24"/>
                <w:szCs w:val="24"/>
                <w:color w:val="auto"/>
              </w:rPr>
            </w:pPr>
          </w:p>
        </w:tc>
        <w:tc>
          <w:tcPr>
            <w:tcW w:w="422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4" w:name="page95"/>
    <w:bookmarkEnd w:id="9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In assessing the realization of deferred tax assets, management considers whether it is more likely than not that some portion or all of the deferred assets will be realized. The ultimate realization of the deferred tax assets is dependent upon the generation of future taxable income during the periods in which those temporary differences become deductible or creditable. The Company weighs all positive and negative evidence including our earnings history, results of recent operations, reversals of deferred tax liabilities, projected future taxable income, and tax planning strategies. As of January 30, 2021, the Company recorded a valuation allowance of $749.5 million which is an increase of $72.7 million from fiscal 2020. The Company provided a full valuation allowance against its federal and state research and development and other tax credits. Based on the available objectively verifiable positive and negative evidence, the Company determined that it is more likely than not that these tax credits and a limited amount of net operating losses will not be realized in the future. The Company also provided a valuation allowance against the deferred tax assets of a portion of its operations in Israel, which has cumulative losses in recent years and is not projecting sufficient future taxable income to realize the benefit of its deferred tax assets, as well as a valuation allowance against Canadian research and development credits. It is also possible that significant negative evidence may become available that causes the Company to conclude that a valuation allowance is needed on certain of its other deferred tax assets, which would adversely affect the Company's income tax provision in the period of such change in judgment.</w:t>
      </w:r>
    </w:p>
    <w:p>
      <w:pPr>
        <w:spacing w:after="0" w:line="67" w:lineRule="exact"/>
        <w:rPr>
          <w:sz w:val="20"/>
          <w:szCs w:val="20"/>
          <w:color w:val="auto"/>
        </w:rPr>
      </w:pPr>
    </w:p>
    <w:p>
      <w:pPr>
        <w:ind w:right="40" w:firstLine="405"/>
        <w:spacing w:after="0" w:line="272" w:lineRule="auto"/>
        <w:rPr>
          <w:sz w:val="20"/>
          <w:szCs w:val="20"/>
          <w:color w:val="auto"/>
        </w:rPr>
      </w:pPr>
      <w:r>
        <w:rPr>
          <w:rFonts w:ascii="Arial" w:cs="Arial" w:eastAsia="Arial" w:hAnsi="Arial"/>
          <w:sz w:val="17"/>
          <w:szCs w:val="17"/>
          <w:color w:val="auto"/>
        </w:rPr>
        <w:t>As of January 30, 2021, the Company had net operating loss carryforwards available to offset future taxable income of approximately $832.6 million, $517.3 million and $815.1 million for U.S. federal, state of California and foreign purposes, respectively. The federal carryforwards will begin to expire in fiscal year 2022, and the California carryforwards will begin to expire in fiscal year 2028, if not utilized before these years. The majority of the Company’s foreign losses carry forward indefinitely. The Company also had federal research and other tax credit carryforwards of approximately $360.3 million which will begin to expire in fiscal 2022. As of January 30, 2021, the Company also had California research tax credit carryforwards of approximately $478.6 million, which can be carried forward indefinitely. The Company also has research and other tax credit carryforwards of approximately $28.8 million in other U.S. states which will begin to expire in fiscal 2022 due to the statutes of limitation.</w:t>
      </w:r>
    </w:p>
    <w:p>
      <w:pPr>
        <w:spacing w:after="0" w:line="69"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Utilization of the Company's U.S. federal and state net operating loss and credit carryforwards may be subject to annual limitations due to ownership change provisions by the Internal Revenue Code of 1986, as amended, and similar state provisions. The annual limitation may result in the expiration of net operating losses and credits before utilization. Future changes in the Company's stock ownership, some of which are outside of the Company's control, could result in an ownership change under Section 382 and result in a limitation on US tax attributes. As of January 30, 2021, the Company had approximately $801.1 million and $120.4 million of federal net operating loss and tax credit carryforwards, respectively, in the U.S. subject to an annual limitation. The Company does not expect these limitations to result in any permanent loss of its tax benefits.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reflects changes in the unrecognized tax benefits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135"/>
        </w:trPr>
        <w:tc>
          <w:tcPr>
            <w:tcW w:w="69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220" w:type="dxa"/>
            <w:vAlign w:val="bottom"/>
          </w:tcPr>
          <w:p>
            <w:pPr>
              <w:spacing w:after="0"/>
              <w:rPr>
                <w:sz w:val="11"/>
                <w:szCs w:val="11"/>
                <w:color w:val="auto"/>
              </w:rPr>
            </w:pPr>
          </w:p>
        </w:tc>
        <w:tc>
          <w:tcPr>
            <w:tcW w:w="12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7"/>
              </w:rPr>
              <w:t>February 1,</w:t>
            </w:r>
          </w:p>
        </w:tc>
        <w:tc>
          <w:tcPr>
            <w:tcW w:w="200" w:type="dxa"/>
            <w:vAlign w:val="bottom"/>
          </w:tcPr>
          <w:p>
            <w:pPr>
              <w:spacing w:after="0"/>
              <w:rPr>
                <w:sz w:val="11"/>
                <w:szCs w:val="11"/>
                <w:color w:val="auto"/>
              </w:rPr>
            </w:pPr>
          </w:p>
        </w:tc>
        <w:tc>
          <w:tcPr>
            <w:tcW w:w="1160" w:type="dxa"/>
            <w:vAlign w:val="bottom"/>
          </w:tcPr>
          <w:p>
            <w:pPr>
              <w:jc w:val="right"/>
              <w:ind w:right="233"/>
              <w:spacing w:after="0" w:line="135" w:lineRule="exact"/>
              <w:rPr>
                <w:sz w:val="20"/>
                <w:szCs w:val="20"/>
                <w:color w:val="auto"/>
              </w:rPr>
            </w:pPr>
            <w:r>
              <w:rPr>
                <w:rFonts w:ascii="Arial" w:cs="Arial" w:eastAsia="Arial" w:hAnsi="Arial"/>
                <w:sz w:val="14"/>
                <w:szCs w:val="14"/>
                <w:b w:val="1"/>
                <w:bCs w:val="1"/>
                <w:color w:val="auto"/>
              </w:rPr>
              <w:t>February 2,</w:t>
            </w:r>
          </w:p>
        </w:tc>
      </w:tr>
      <w:tr>
        <w:trPr>
          <w:trHeight w:val="188"/>
        </w:trPr>
        <w:tc>
          <w:tcPr>
            <w:tcW w:w="69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15"/>
              <w:spacing w:after="0"/>
              <w:rPr>
                <w:sz w:val="20"/>
                <w:szCs w:val="20"/>
                <w:color w:val="auto"/>
              </w:rPr>
            </w:pPr>
            <w:r>
              <w:rPr>
                <w:rFonts w:ascii="Arial" w:cs="Arial" w:eastAsia="Arial" w:hAnsi="Arial"/>
                <w:sz w:val="14"/>
                <w:szCs w:val="14"/>
                <w:b w:val="1"/>
                <w:bCs w:val="1"/>
                <w:color w:val="auto"/>
                <w:w w:val="96"/>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2019</w:t>
            </w:r>
          </w:p>
        </w:tc>
      </w:tr>
      <w:tr>
        <w:trPr>
          <w:trHeight w:val="224"/>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Unrecognized tax benefits as of the beginning of the period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166,828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158,323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23,252</w:t>
            </w:r>
          </w:p>
        </w:tc>
      </w:tr>
      <w:tr>
        <w:trPr>
          <w:trHeight w:val="230"/>
        </w:trPr>
        <w:tc>
          <w:tcPr>
            <w:tcW w:w="6940" w:type="dxa"/>
            <w:vAlign w:val="bottom"/>
          </w:tcPr>
          <w:p>
            <w:pPr>
              <w:ind w:left="20"/>
              <w:spacing w:after="0"/>
              <w:rPr>
                <w:sz w:val="20"/>
                <w:szCs w:val="20"/>
                <w:color w:val="auto"/>
              </w:rPr>
            </w:pPr>
            <w:r>
              <w:rPr>
                <w:rFonts w:ascii="Arial" w:cs="Arial" w:eastAsia="Arial" w:hAnsi="Arial"/>
                <w:sz w:val="18"/>
                <w:szCs w:val="18"/>
                <w:color w:val="auto"/>
              </w:rPr>
              <w:t>Increases related to acquired tax positions</w:t>
            </w:r>
          </w:p>
        </w:tc>
        <w:tc>
          <w:tcPr>
            <w:tcW w:w="20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9,215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131,631</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Increases related to prior year tax positions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77,878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1,789</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1,836</w:t>
            </w:r>
          </w:p>
        </w:tc>
      </w:tr>
      <w:tr>
        <w:trPr>
          <w:trHeight w:val="229"/>
        </w:trPr>
        <w:tc>
          <w:tcPr>
            <w:tcW w:w="6940" w:type="dxa"/>
            <w:vAlign w:val="bottom"/>
          </w:tcPr>
          <w:p>
            <w:pPr>
              <w:ind w:left="20"/>
              <w:spacing w:after="0"/>
              <w:rPr>
                <w:sz w:val="20"/>
                <w:szCs w:val="20"/>
                <w:color w:val="auto"/>
              </w:rPr>
            </w:pPr>
            <w:r>
              <w:rPr>
                <w:rFonts w:ascii="Arial" w:cs="Arial" w:eastAsia="Arial" w:hAnsi="Arial"/>
                <w:sz w:val="18"/>
                <w:szCs w:val="18"/>
                <w:color w:val="auto"/>
              </w:rPr>
              <w:t>Decreases related to prior year tax positions</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(1,106)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(6,747)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(6,259)</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Increases related to current year tax positions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7,614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11,154</w:t>
            </w:r>
          </w:p>
        </w:tc>
      </w:tr>
      <w:tr>
        <w:trPr>
          <w:trHeight w:val="230"/>
        </w:trPr>
        <w:tc>
          <w:tcPr>
            <w:tcW w:w="6940" w:type="dxa"/>
            <w:vAlign w:val="bottom"/>
          </w:tcPr>
          <w:p>
            <w:pPr>
              <w:ind w:left="20"/>
              <w:spacing w:after="0"/>
              <w:rPr>
                <w:sz w:val="20"/>
                <w:szCs w:val="20"/>
                <w:color w:val="auto"/>
              </w:rPr>
            </w:pPr>
            <w:r>
              <w:rPr>
                <w:rFonts w:ascii="Arial" w:cs="Arial" w:eastAsia="Arial" w:hAnsi="Arial"/>
                <w:sz w:val="18"/>
                <w:szCs w:val="18"/>
                <w:color w:val="auto"/>
              </w:rPr>
              <w:t>Settlements</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(476)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Lapse in the statute of limitations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(3,198)</w:t>
            </w:r>
          </w:p>
        </w:tc>
      </w:tr>
      <w:tr>
        <w:trPr>
          <w:trHeight w:val="229"/>
        </w:trPr>
        <w:tc>
          <w:tcPr>
            <w:tcW w:w="69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Foreign exchange (gain) loss</w:t>
            </w: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1,616</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1,121</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w:t>
            </w:r>
          </w:p>
        </w:tc>
      </w:tr>
      <w:tr>
        <w:trPr>
          <w:trHeight w:val="248"/>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242,150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166,828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158,323</w:t>
            </w:r>
          </w:p>
        </w:tc>
      </w:tr>
      <w:tr>
        <w:trPr>
          <w:trHeight w:val="20"/>
        </w:trPr>
        <w:tc>
          <w:tcPr>
            <w:tcW w:w="69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Included in the balances as of January 30, 2021 is $171.5 million of unrecognized tax benefit that would affect the effective income tax rate if recognized. Also, in the year ended January 30, 2021, the Company increased its uncertain prior year tax positions by $77.9 million which included $75.1 million related to items that had been previously accrued as deferred tax liabilities and are now reflected as reductions to deferred tax assets at January 30, 2021, as a result of a current year change in the Company's assessment of its future income tax filing positions for these items. Finally, $221.7 million, $146.6 million and $135.6 million of the gross unrecognized tax benefits presented in the table above are offset against deferred tax assets in the consolidated balance sheets as of January 30, 2021, February 1, 2020 and February 2, 2019, respectively.</w:t>
      </w:r>
    </w:p>
    <w:p>
      <w:pPr>
        <w:spacing w:after="0" w:line="3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5" w:name="page96"/>
    <w:bookmarkEnd w:id="95"/>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20" w:firstLine="405"/>
        <w:spacing w:after="0" w:line="301" w:lineRule="auto"/>
        <w:rPr>
          <w:sz w:val="20"/>
          <w:szCs w:val="20"/>
          <w:color w:val="auto"/>
        </w:rPr>
      </w:pPr>
      <w:r>
        <w:rPr>
          <w:rFonts w:ascii="Arial" w:cs="Arial" w:eastAsia="Arial" w:hAnsi="Arial"/>
          <w:sz w:val="16"/>
          <w:szCs w:val="16"/>
          <w:color w:val="auto"/>
        </w:rPr>
        <w:t>The amounts in the table above do not include the related interest and penalties. The amount of interest and penalties accrued was approximately $4.0 million, $12.4 million, and $15.1 million as of January 30, 2021, February 1, 2020, and February 2, 2019, respectively. The Company’s policy is to recognize these interest and penalties as a component of income tax expense. The consolidated statements of operations for fiscal 2021, 2020, and 2019 included $1.0 million, $1.4 million, and $2.7 million, respectively, of interest and penalties related to the unrecognized tax benefits.</w:t>
      </w:r>
    </w:p>
    <w:p>
      <w:pPr>
        <w:spacing w:after="0" w:line="49"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The Company's major tax jurisdictions are the United States, the states of California and Massachusetts, China, India, Israel, and Singapore. 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30, 2021, the Company is subject to examination in material jurisdictions including China, India, Israel, Singapore, Germany, and the United States for fiscal years 2001 through 2021.</w:t>
      </w:r>
    </w:p>
    <w:p>
      <w:pPr>
        <w:spacing w:after="0" w:line="80" w:lineRule="exact"/>
        <w:rPr>
          <w:sz w:val="20"/>
          <w:szCs w:val="20"/>
          <w:color w:val="auto"/>
        </w:rPr>
      </w:pPr>
    </w:p>
    <w:p>
      <w:pPr>
        <w:ind w:right="40" w:firstLine="405"/>
        <w:spacing w:after="0" w:line="301" w:lineRule="auto"/>
        <w:rPr>
          <w:sz w:val="20"/>
          <w:szCs w:val="20"/>
          <w:color w:val="auto"/>
        </w:rPr>
      </w:pPr>
      <w:r>
        <w:rPr>
          <w:rFonts w:ascii="Arial" w:cs="Arial" w:eastAsia="Arial" w:hAnsi="Arial"/>
          <w:sz w:val="16"/>
          <w:szCs w:val="16"/>
          <w:color w:val="auto"/>
        </w:rPr>
        <w:t>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$5.4 million from the lapse of the statutes of limitation in various jurisdictions during the next 12 months.</w:t>
      </w:r>
    </w:p>
    <w:p>
      <w:pPr>
        <w:spacing w:after="0" w:line="49"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The Singapore Economic Development Board (“EDB”) initially granted a 10-year Pioneer Status in July 1999 to the Company’s Singapore subsidiary. In October 2004, the Company’s subsidiary in Singapore was granted a second incentive known as the Development and Expansion Incentive (“DEI”), and in June 2006, the EDB agreed to extend the Pioneer status for 15 years to June 2014. The Company renegotiated with the Singapore government and in fiscal 2015, they extended the DEI tax incentives to the Company until June 2019. The Company renegotiated again with the Singapore government and during the second quarter of fiscal 2020, they extended the DEI tax incentives until June 2024. In the future, the Company may negotiate a further extension of these incentives. In order to retain these tax benefits in Singapore, the Company must meet certain operating conditions relating to, among other things, certain headcount and investment requirements, as well as maintenance of a regional headquarters function, and certain research and development activities in Singapore. There was no such benefit in fiscal 2021, 2020, and 2019.</w:t>
      </w:r>
    </w:p>
    <w:p>
      <w:pPr>
        <w:spacing w:after="0" w:line="70" w:lineRule="exact"/>
        <w:rPr>
          <w:sz w:val="20"/>
          <w:szCs w:val="20"/>
          <w:color w:val="auto"/>
        </w:rPr>
      </w:pPr>
    </w:p>
    <w:p>
      <w:pPr>
        <w:ind w:right="40" w:firstLine="405"/>
        <w:spacing w:after="0" w:line="275" w:lineRule="auto"/>
        <w:rPr>
          <w:sz w:val="20"/>
          <w:szCs w:val="20"/>
          <w:color w:val="auto"/>
        </w:rPr>
      </w:pPr>
      <w:r>
        <w:rPr>
          <w:rFonts w:ascii="Arial" w:cs="Arial" w:eastAsia="Arial" w:hAnsi="Arial"/>
          <w:sz w:val="17"/>
          <w:szCs w:val="17"/>
          <w:color w:val="auto"/>
        </w:rPr>
        <w:t>Under the Israeli Encouragement law of “approved or benefited enterprise,” Marvell Israel (M.I.S.L) Ltd., is entitled to approved and benefited tax programs that include reduced tax rates and exemption of certain income with respect to its Galileo switches activity, subject to various operating and other conditions. Income from the approved or benefited enterprises, with the exception of capital gains, is eligible up to fiscal 2027. In fiscal 2021, tax savings associated with these tax holidays were approximately $2.1 million, which if paid would impact the Company’s earnings per share by less than $0.01 per share in fiscal 2021. There was no such benefit recognized in fiscal 2020 or fiscal 2019.</w:t>
      </w:r>
    </w:p>
    <w:p>
      <w:pPr>
        <w:spacing w:after="0" w:line="68"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Coronavirus Aid, Relief, and Economic Security (“CARES”) Act was enacted into US federal law on March 27, 2020. The CARES Act provided numerous tax provisions and other stimulus measures, including temporary changes regarding the prior and future utilization of net operating losses, temporary changes to the prior and future limitations on interest deductions, and technical corrections from prior tax legislation for tax depreciation of certain qualified improvement property. The Company evaluated the provisions of the CARES Act and concluded that there was no material impact on its financial statements. The tax effects of other related foreign government assistance enacted into law this period are also not material to the Company this period.</w:t>
      </w:r>
    </w:p>
    <w:p>
      <w:pPr>
        <w:spacing w:after="0" w:line="84" w:lineRule="exact"/>
        <w:rPr>
          <w:sz w:val="20"/>
          <w:szCs w:val="20"/>
          <w:color w:val="auto"/>
        </w:rPr>
      </w:pPr>
    </w:p>
    <w:p>
      <w:pPr>
        <w:ind w:right="20" w:firstLine="405"/>
        <w:spacing w:after="0" w:line="301" w:lineRule="auto"/>
        <w:rPr>
          <w:sz w:val="20"/>
          <w:szCs w:val="20"/>
          <w:color w:val="auto"/>
        </w:rPr>
      </w:pPr>
      <w:r>
        <w:rPr>
          <w:rFonts w:ascii="Arial" w:cs="Arial" w:eastAsia="Arial" w:hAnsi="Arial"/>
          <w:sz w:val="16"/>
          <w:szCs w:val="16"/>
          <w:color w:val="auto"/>
        </w:rPr>
        <w:t>The Company’s principal source of liquidity as of January 30, 2021 consisted of approximately $748.5 million of cash and cash equivalents, of which approximately $618.1 million was held by subsidiaries outside of Bermuda. The Company has not recognized a deferred tax liability on $264.2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96" w:name="page97"/>
    <w:bookmarkEnd w:id="9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Net Income (Loss) Per Share</w:t>
      </w:r>
    </w:p>
    <w:p>
      <w:pPr>
        <w:spacing w:after="0" w:line="121" w:lineRule="exact"/>
        <w:rPr>
          <w:sz w:val="20"/>
          <w:szCs w:val="20"/>
          <w:color w:val="auto"/>
        </w:rPr>
      </w:pPr>
    </w:p>
    <w:p>
      <w:pPr>
        <w:jc w:val="both"/>
        <w:ind w:right="100" w:firstLine="405"/>
        <w:spacing w:after="0" w:line="259" w:lineRule="auto"/>
        <w:rPr>
          <w:sz w:val="20"/>
          <w:szCs w:val="20"/>
          <w:color w:val="auto"/>
        </w:rPr>
      </w:pPr>
      <w:r>
        <w:rPr>
          <w:rFonts w:ascii="Arial" w:cs="Arial" w:eastAsia="Arial" w:hAnsi="Arial"/>
          <w:sz w:val="18"/>
          <w:szCs w:val="18"/>
          <w:color w:val="auto"/>
        </w:rPr>
        <w:t>The Company reports both basic net income (loss) per share, which is based on the weighted-average number of common shares outstanding during the period, and diluted net income (loss) per share, which is based on the weighted-average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9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220" w:type="dxa"/>
            <w:vAlign w:val="bottom"/>
          </w:tcPr>
          <w:p>
            <w:pPr>
              <w:spacing w:after="0"/>
              <w:rPr>
                <w:sz w:val="11"/>
                <w:szCs w:val="11"/>
                <w:color w:val="auto"/>
              </w:rPr>
            </w:pPr>
          </w:p>
        </w:tc>
        <w:tc>
          <w:tcPr>
            <w:tcW w:w="12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7"/>
              </w:rPr>
              <w:t>February 1,</w:t>
            </w:r>
          </w:p>
        </w:tc>
        <w:tc>
          <w:tcPr>
            <w:tcW w:w="200" w:type="dxa"/>
            <w:vAlign w:val="bottom"/>
          </w:tcPr>
          <w:p>
            <w:pPr>
              <w:spacing w:after="0"/>
              <w:rPr>
                <w:sz w:val="11"/>
                <w:szCs w:val="11"/>
                <w:color w:val="auto"/>
              </w:rPr>
            </w:pPr>
          </w:p>
        </w:tc>
        <w:tc>
          <w:tcPr>
            <w:tcW w:w="1160" w:type="dxa"/>
            <w:vAlign w:val="bottom"/>
          </w:tcPr>
          <w:p>
            <w:pPr>
              <w:jc w:val="right"/>
              <w:ind w:right="235"/>
              <w:spacing w:after="0" w:line="135" w:lineRule="exact"/>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88"/>
        </w:trPr>
        <w:tc>
          <w:tcPr>
            <w:tcW w:w="69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96"/>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11"/>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940" w:type="dxa"/>
            <w:vAlign w:val="bottom"/>
          </w:tcPr>
          <w:p>
            <w:pPr>
              <w:ind w:left="26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(277,298)</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1,584,391</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(179,094)</w:t>
            </w:r>
          </w:p>
        </w:tc>
        <w:tc>
          <w:tcPr>
            <w:tcW w:w="0" w:type="dxa"/>
            <w:vAlign w:val="bottom"/>
          </w:tcPr>
          <w:p>
            <w:pPr>
              <w:spacing w:after="0"/>
              <w:rPr>
                <w:sz w:val="1"/>
                <w:szCs w:val="1"/>
                <w:color w:val="auto"/>
              </w:rPr>
            </w:pP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6940" w:type="dxa"/>
            <w:vAlign w:val="bottom"/>
          </w:tcPr>
          <w:p>
            <w:pPr>
              <w:ind w:left="240"/>
              <w:spacing w:after="0"/>
              <w:rPr>
                <w:sz w:val="20"/>
                <w:szCs w:val="20"/>
                <w:color w:val="auto"/>
              </w:rPr>
            </w:pPr>
            <w:r>
              <w:rPr>
                <w:rFonts w:ascii="Arial" w:cs="Arial" w:eastAsia="Arial" w:hAnsi="Arial"/>
                <w:sz w:val="18"/>
                <w:szCs w:val="18"/>
                <w:color w:val="auto"/>
              </w:rPr>
              <w:t>Weighted-average shares — basic</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668,772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664,709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591,232</w:t>
            </w:r>
          </w:p>
        </w:tc>
        <w:tc>
          <w:tcPr>
            <w:tcW w:w="0" w:type="dxa"/>
            <w:vAlign w:val="bottom"/>
          </w:tcPr>
          <w:p>
            <w:pPr>
              <w:spacing w:after="0"/>
              <w:rPr>
                <w:sz w:val="1"/>
                <w:szCs w:val="1"/>
                <w:color w:val="auto"/>
              </w:rPr>
            </w:pP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940" w:type="dxa"/>
            <w:vAlign w:val="bottom"/>
          </w:tcPr>
          <w:p>
            <w:pPr>
              <w:ind w:left="260"/>
              <w:spacing w:after="0"/>
              <w:rPr>
                <w:sz w:val="20"/>
                <w:szCs w:val="20"/>
                <w:color w:val="auto"/>
              </w:rPr>
            </w:pPr>
            <w:r>
              <w:rPr>
                <w:rFonts w:ascii="Arial" w:cs="Arial" w:eastAsia="Arial" w:hAnsi="Arial"/>
                <w:sz w:val="18"/>
                <w:szCs w:val="18"/>
                <w:color w:val="auto"/>
              </w:rPr>
              <w:t>Share-based awards</w:t>
            </w:r>
          </w:p>
        </w:tc>
        <w:tc>
          <w:tcPr>
            <w:tcW w:w="20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11,385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6940" w:type="dxa"/>
            <w:vAlign w:val="bottom"/>
            <w:tcBorders>
              <w:top w:val="single" w:sz="8" w:color="CCEEFF"/>
              <w:bottom w:val="single" w:sz="8" w:color="CCEEFF"/>
            </w:tcBorders>
            <w:shd w:val="clear" w:color="auto" w:fill="CCEEFF"/>
          </w:tcPr>
          <w:p>
            <w:pPr>
              <w:ind w:left="240"/>
              <w:spacing w:after="0" w:line="196" w:lineRule="exact"/>
              <w:rPr>
                <w:sz w:val="20"/>
                <w:szCs w:val="20"/>
                <w:color w:val="auto"/>
              </w:rPr>
            </w:pPr>
            <w:r>
              <w:rPr>
                <w:rFonts w:ascii="Arial" w:cs="Arial" w:eastAsia="Arial" w:hAnsi="Arial"/>
                <w:sz w:val="18"/>
                <w:szCs w:val="18"/>
                <w:color w:val="auto"/>
              </w:rPr>
              <w:t>Weighted-average shares — diluted</w:t>
            </w: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668,772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676,094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591,232</w:t>
            </w:r>
          </w:p>
        </w:tc>
        <w:tc>
          <w:tcPr>
            <w:tcW w:w="0" w:type="dxa"/>
            <w:vAlign w:val="bottom"/>
          </w:tcPr>
          <w:p>
            <w:pPr>
              <w:spacing w:after="0"/>
              <w:rPr>
                <w:sz w:val="1"/>
                <w:szCs w:val="1"/>
                <w:color w:val="auto"/>
              </w:rPr>
            </w:pPr>
          </w:p>
        </w:tc>
      </w:tr>
      <w:tr>
        <w:trPr>
          <w:trHeight w:val="20"/>
        </w:trPr>
        <w:tc>
          <w:tcPr>
            <w:tcW w:w="69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33"/>
        </w:trPr>
        <w:tc>
          <w:tcPr>
            <w:tcW w:w="694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9"/>
        </w:trPr>
        <w:tc>
          <w:tcPr>
            <w:tcW w:w="6940" w:type="dxa"/>
            <w:vAlign w:val="bottom"/>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30"/>
        </w:trPr>
        <w:tc>
          <w:tcPr>
            <w:tcW w:w="69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(0.41)</w:t>
            </w:r>
          </w:p>
        </w:tc>
        <w:tc>
          <w:tcPr>
            <w:tcW w:w="100" w:type="dxa"/>
            <w:vAlign w:val="bottom"/>
          </w:tcPr>
          <w:p>
            <w:pPr>
              <w:spacing w:after="0"/>
              <w:rPr>
                <w:sz w:val="20"/>
                <w:szCs w:val="20"/>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2.34</w:t>
            </w:r>
          </w:p>
        </w:tc>
        <w:tc>
          <w:tcPr>
            <w:tcW w:w="120" w:type="dxa"/>
            <w:vAlign w:val="bottom"/>
          </w:tcPr>
          <w:p>
            <w:pPr>
              <w:spacing w:after="0"/>
              <w:rPr>
                <w:sz w:val="20"/>
                <w:szCs w:val="20"/>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bl>
    <w:p>
      <w:pPr>
        <w:spacing w:after="0" w:line="93"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40" w:type="dxa"/>
            <w:vAlign w:val="bottom"/>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1360" w:type="dxa"/>
            <w:vAlign w:val="bottom"/>
            <w:tcBorders>
              <w:bottom w:val="single" w:sz="8" w:color="auto"/>
            </w:tcBorders>
          </w:tcPr>
          <w:p>
            <w:pPr>
              <w:spacing w:after="0"/>
              <w:rPr>
                <w:sz w:val="16"/>
                <w:szCs w:val="16"/>
                <w:color w:val="auto"/>
              </w:rPr>
            </w:pPr>
          </w:p>
        </w:tc>
      </w:tr>
      <w:tr>
        <w:trPr>
          <w:trHeight w:val="135"/>
        </w:trPr>
        <w:tc>
          <w:tcPr>
            <w:tcW w:w="6940" w:type="dxa"/>
            <w:vAlign w:val="bottom"/>
          </w:tcPr>
          <w:p>
            <w:pPr>
              <w:spacing w:after="0"/>
              <w:rPr>
                <w:sz w:val="11"/>
                <w:szCs w:val="11"/>
                <w:color w:val="auto"/>
              </w:rPr>
            </w:pPr>
          </w:p>
        </w:tc>
        <w:tc>
          <w:tcPr>
            <w:tcW w:w="146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January 30,</w:t>
            </w:r>
          </w:p>
        </w:tc>
        <w:tc>
          <w:tcPr>
            <w:tcW w:w="14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7"/>
              </w:rPr>
              <w:t>February 1,</w:t>
            </w:r>
          </w:p>
        </w:tc>
        <w:tc>
          <w:tcPr>
            <w:tcW w:w="13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5"/>
              </w:rPr>
              <w:t>February 2,</w:t>
            </w:r>
          </w:p>
        </w:tc>
      </w:tr>
      <w:tr>
        <w:trPr>
          <w:trHeight w:val="188"/>
        </w:trPr>
        <w:tc>
          <w:tcPr>
            <w:tcW w:w="694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2020</w:t>
            </w:r>
          </w:p>
        </w:tc>
        <w:tc>
          <w:tcPr>
            <w:tcW w:w="12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r>
      <w:tr>
        <w:trPr>
          <w:trHeight w:val="211"/>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r>
      <w:tr>
        <w:trPr>
          <w:trHeight w:val="229"/>
        </w:trPr>
        <w:tc>
          <w:tcPr>
            <w:tcW w:w="694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360" w:type="dxa"/>
            <w:vAlign w:val="bottom"/>
            <w:tcBorders>
              <w:bottom w:val="single" w:sz="8" w:color="auto"/>
            </w:tcBorders>
          </w:tcPr>
          <w:p>
            <w:pPr>
              <w:jc w:val="right"/>
              <w:ind w:right="2"/>
              <w:spacing w:after="0"/>
              <w:rPr>
                <w:sz w:val="20"/>
                <w:szCs w:val="20"/>
                <w:color w:val="auto"/>
              </w:rPr>
            </w:pPr>
            <w:r>
              <w:rPr>
                <w:rFonts w:ascii="Arial" w:cs="Arial" w:eastAsia="Arial" w:hAnsi="Arial"/>
                <w:sz w:val="18"/>
                <w:szCs w:val="18"/>
                <w:color w:val="auto"/>
              </w:rPr>
              <w:t>11,268</w:t>
            </w:r>
          </w:p>
        </w:tc>
        <w:tc>
          <w:tcPr>
            <w:tcW w:w="100" w:type="dxa"/>
            <w:vAlign w:val="bottom"/>
          </w:tcPr>
          <w:p>
            <w:pPr>
              <w:spacing w:after="0"/>
              <w:rPr>
                <w:sz w:val="19"/>
                <w:szCs w:val="19"/>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1,124</w:t>
            </w:r>
          </w:p>
        </w:tc>
        <w:tc>
          <w:tcPr>
            <w:tcW w:w="120" w:type="dxa"/>
            <w:vAlign w:val="bottom"/>
          </w:tcPr>
          <w:p>
            <w:pPr>
              <w:spacing w:after="0"/>
              <w:rPr>
                <w:sz w:val="19"/>
                <w:szCs w:val="19"/>
                <w:color w:val="auto"/>
              </w:rPr>
            </w:pPr>
          </w:p>
        </w:tc>
        <w:tc>
          <w:tcPr>
            <w:tcW w:w="1360" w:type="dxa"/>
            <w:vAlign w:val="bottom"/>
            <w:tcBorders>
              <w:bottom w:val="single" w:sz="8" w:color="auto"/>
            </w:tcBorders>
          </w:tcPr>
          <w:p>
            <w:pPr>
              <w:jc w:val="right"/>
              <w:ind w:right="2"/>
              <w:spacing w:after="0"/>
              <w:rPr>
                <w:sz w:val="20"/>
                <w:szCs w:val="20"/>
                <w:color w:val="auto"/>
              </w:rPr>
            </w:pPr>
            <w:r>
              <w:rPr>
                <w:rFonts w:ascii="Arial" w:cs="Arial" w:eastAsia="Arial" w:hAnsi="Arial"/>
                <w:sz w:val="18"/>
                <w:szCs w:val="18"/>
                <w:color w:val="auto"/>
              </w:rPr>
              <w:t>20,435</w:t>
            </w:r>
          </w:p>
        </w:tc>
      </w:tr>
      <w:tr>
        <w:trPr>
          <w:trHeight w:val="21"/>
        </w:trPr>
        <w:tc>
          <w:tcPr>
            <w:tcW w:w="694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40" w:firstLine="405"/>
        <w:spacing w:after="0" w:line="279" w:lineRule="auto"/>
        <w:rPr>
          <w:sz w:val="20"/>
          <w:szCs w:val="20"/>
          <w:color w:val="auto"/>
        </w:rPr>
      </w:pPr>
      <w:r>
        <w:rPr>
          <w:rFonts w:ascii="Arial" w:cs="Arial" w:eastAsia="Arial" w:hAnsi="Arial"/>
          <w:sz w:val="17"/>
          <w:szCs w:val="17"/>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years ended January 30, 2021 and February 2, 2019 due to the net losses reported in those periods.</w:t>
      </w:r>
    </w:p>
    <w:p>
      <w:pPr>
        <w:spacing w:after="0" w:line="200" w:lineRule="exact"/>
        <w:rPr>
          <w:sz w:val="20"/>
          <w:szCs w:val="20"/>
          <w:color w:val="auto"/>
        </w:rPr>
      </w:pP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7" w:name="page98"/>
    <w:bookmarkEnd w:id="9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17 — Segment and Geographic Information</w:t>
      </w:r>
    </w:p>
    <w:p>
      <w:pPr>
        <w:spacing w:after="0" w:line="121" w:lineRule="exact"/>
        <w:rPr>
          <w:sz w:val="20"/>
          <w:szCs w:val="20"/>
          <w:color w:val="auto"/>
        </w:rPr>
      </w:pPr>
    </w:p>
    <w:p>
      <w:pPr>
        <w:ind w:right="300" w:firstLine="405"/>
        <w:spacing w:after="0" w:line="311" w:lineRule="auto"/>
        <w:rPr>
          <w:sz w:val="20"/>
          <w:szCs w:val="20"/>
          <w:color w:val="auto"/>
        </w:rPr>
      </w:pPr>
      <w:r>
        <w:rPr>
          <w:rFonts w:ascii="Arial" w:cs="Arial" w:eastAsia="Arial" w:hAnsi="Arial"/>
          <w:sz w:val="16"/>
          <w:szCs w:val="16"/>
          <w:color w:val="auto"/>
        </w:rPr>
        <w:t>The Company operates in one reportable segment — the design, development and sale of integrated circuits. The chief executive officer was identified as the chief operating decision maker (“CODM”) and is ultimately responsible for and actively involved in the allocation of resources and the assessment of the Company’s performance. The fact that the Company operates in only one reportable segment is based on the following:</w:t>
      </w:r>
    </w:p>
    <w:p>
      <w:pPr>
        <w:spacing w:after="0" w:line="41" w:lineRule="exact"/>
        <w:rPr>
          <w:sz w:val="20"/>
          <w:szCs w:val="20"/>
          <w:color w:val="auto"/>
        </w:rPr>
      </w:pPr>
    </w:p>
    <w:p>
      <w:pPr>
        <w:ind w:left="660" w:right="60" w:hanging="328"/>
        <w:spacing w:after="0" w:line="255" w:lineRule="auto"/>
        <w:tabs>
          <w:tab w:leader="none" w:pos="65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2" w:lineRule="exact"/>
        <w:rPr>
          <w:rFonts w:ascii="Arial" w:cs="Arial" w:eastAsia="Arial" w:hAnsi="Arial"/>
          <w:sz w:val="18"/>
          <w:szCs w:val="18"/>
          <w:color w:val="auto"/>
        </w:rPr>
      </w:pPr>
    </w:p>
    <w:p>
      <w:pPr>
        <w:ind w:left="660" w:right="260" w:hanging="328"/>
        <w:spacing w:after="0" w:line="250" w:lineRule="auto"/>
        <w:tabs>
          <w:tab w:leader="none" w:pos="65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ind w:left="660" w:right="180" w:hanging="328"/>
        <w:spacing w:after="0" w:line="250" w:lineRule="auto"/>
        <w:tabs>
          <w:tab w:leader="none" w:pos="65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ind w:left="660" w:right="680" w:hanging="328"/>
        <w:spacing w:after="0" w:line="260" w:lineRule="auto"/>
        <w:tabs>
          <w:tab w:leader="none" w:pos="65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direct involvement with the Company’s operations and product development.</w:t>
      </w:r>
    </w:p>
    <w:p>
      <w:pPr>
        <w:spacing w:after="0" w:line="7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long-lived asset information based on the physical location of the assets by geographic region (in thousands):</w:t>
      </w:r>
    </w:p>
    <w:p>
      <w:pPr>
        <w:spacing w:after="0" w:line="1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United States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245,471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265,685</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Singapore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29,603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37,717</w:t>
            </w: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India</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18,832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20,815</w:t>
            </w: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Israel</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15,808</w:t>
            </w: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China</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12,810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11,979</w:t>
            </w: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5,088</w:t>
            </w:r>
          </w:p>
        </w:tc>
      </w:tr>
      <w:tr>
        <w:trPr>
          <w:trHeight w:val="223"/>
        </w:trPr>
        <w:tc>
          <w:tcPr>
            <w:tcW w:w="826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326,125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357,092</w:t>
            </w: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8" w:name="page99"/>
    <w:bookmarkEnd w:id="98"/>
    <w:p>
      <w:pPr>
        <w:spacing w:after="0"/>
        <w:tabs>
          <w:tab w:leader="none" w:pos="88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64"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12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January 30, 2021.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effective as of January 30, 2021.</w:t>
      </w:r>
    </w:p>
    <w:p>
      <w:pPr>
        <w:spacing w:after="0" w:line="87" w:lineRule="exact"/>
        <w:rPr>
          <w:sz w:val="20"/>
          <w:szCs w:val="20"/>
          <w:color w:val="auto"/>
        </w:rPr>
      </w:pPr>
    </w:p>
    <w:p>
      <w:pPr>
        <w:ind w:right="80" w:firstLine="405"/>
        <w:spacing w:after="0" w:line="342" w:lineRule="auto"/>
        <w:rPr>
          <w:sz w:val="20"/>
          <w:szCs w:val="20"/>
          <w:color w:val="auto"/>
        </w:rPr>
      </w:pPr>
      <w:r>
        <w:rPr>
          <w:rFonts w:ascii="Arial" w:cs="Arial" w:eastAsia="Arial" w:hAnsi="Arial"/>
          <w:sz w:val="16"/>
          <w:szCs w:val="16"/>
          <w:color w:val="auto"/>
        </w:rPr>
        <w:t>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121"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Management is responsible for establishing and maintaining adequate internal control over financial reporting as defined in Rule 13a-15(f)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69" w:lineRule="exact"/>
        <w:rPr>
          <w:sz w:val="20"/>
          <w:szCs w:val="20"/>
          <w:color w:val="auto"/>
        </w:rPr>
      </w:pPr>
    </w:p>
    <w:p>
      <w:pPr>
        <w:ind w:right="40" w:firstLine="405"/>
        <w:spacing w:after="0" w:line="301" w:lineRule="auto"/>
        <w:rPr>
          <w:sz w:val="20"/>
          <w:szCs w:val="20"/>
          <w:color w:val="auto"/>
        </w:rPr>
      </w:pPr>
      <w:r>
        <w:rPr>
          <w:rFonts w:ascii="Arial" w:cs="Arial" w:eastAsia="Arial" w:hAnsi="Arial"/>
          <w:sz w:val="16"/>
          <w:szCs w:val="16"/>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49"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Under the supervision and with the participation of our management, including our principal executive officer and principal financial officer, we conducted an evaluation of the effectiveness of our internal control over financial reporting as of January 30, 2021 using the criteria for effective internal control over financial reporting as described in “Internal Control-Integrated Framework,” issued by the Committee of Sponsoring Organization of the Treadway Commission (2013 framework) (the COSO Criteria). Based on this assessment, management concluded that our internal control over financial reporting was effective as of January 30, 2021.</w:t>
      </w:r>
    </w:p>
    <w:p>
      <w:pPr>
        <w:spacing w:after="0" w:line="80"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effectiveness of our internal control over financial reporting as of January 30, 2021 has been audited by Deloitte &amp; Touche LLP, our independent registered public accounting firm, as stated in its report that is included herein.</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121" w:lineRule="exact"/>
        <w:rPr>
          <w:sz w:val="20"/>
          <w:szCs w:val="20"/>
          <w:color w:val="auto"/>
        </w:rPr>
      </w:pPr>
    </w:p>
    <w:p>
      <w:pPr>
        <w:ind w:right="200" w:firstLine="405"/>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0" w:right="359" w:bottom="1440" w:gutter="0" w:footer="0" w:header="0"/>
        </w:sectPr>
      </w:pPr>
    </w:p>
    <w:bookmarkStart w:id="99" w:name="page100"/>
    <w:bookmarkEnd w:id="99"/>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121" w:lineRule="exact"/>
        <w:rPr>
          <w:sz w:val="20"/>
          <w:szCs w:val="20"/>
          <w:color w:val="auto"/>
        </w:rPr>
      </w:pPr>
    </w:p>
    <w:p>
      <w:pPr>
        <w:ind w:firstLine="405"/>
        <w:spacing w:after="0" w:line="296" w:lineRule="auto"/>
        <w:rPr>
          <w:sz w:val="20"/>
          <w:szCs w:val="20"/>
          <w:color w:val="auto"/>
        </w:rPr>
      </w:pPr>
      <w:r>
        <w:rPr>
          <w:rFonts w:ascii="Arial" w:cs="Arial" w:eastAsia="Arial" w:hAnsi="Arial"/>
          <w:sz w:val="16"/>
          <w:szCs w:val="16"/>
          <w:color w:val="auto"/>
        </w:rPr>
        <w:t>No change in the Company's internal control over financial reporting (as defined in Rule 13a-15(f) under the Securities Exchange Act of 1934) occurred during the three months ended January 30, 2021 that has materially affected, or is reasonably likely to materially affect, the Company's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92"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0" w:right="359" w:bottom="1440" w:gutter="0" w:footer="0" w:header="0"/>
        </w:sectPr>
      </w:pPr>
    </w:p>
    <w:bookmarkStart w:id="100" w:name="page101"/>
    <w:bookmarkEnd w:id="100"/>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Internal Control over Financial Reporting</w:t>
      </w:r>
    </w:p>
    <w:p>
      <w:pPr>
        <w:spacing w:after="0" w:line="175"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 xml:space="preserve">We have audited the internal control over financial reporting of Marvell Technology Group Ltd. and subsidiaries (the “Company”) as of January 30, 2021,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the Committee of Sponsoring Organizations of the Treadway Commission (COSO). In our opinion, the Company maintained, in all material respects, effective internal control over financial reporting as of January 30, 2021,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COSO.</w:t>
      </w:r>
    </w:p>
    <w:p>
      <w:pPr>
        <w:spacing w:after="0" w:line="171"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(PCAOB), the consolidated financial statements as of and for the year ended January 30, 2021, of the Company and our report dated March 16, 2021, expressed an unqualified opinion on those financial statements.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75" w:lineRule="exact"/>
        <w:rPr>
          <w:sz w:val="20"/>
          <w:szCs w:val="20"/>
          <w:color w:val="auto"/>
        </w:rPr>
      </w:pPr>
    </w:p>
    <w:p>
      <w:pPr>
        <w:ind w:right="80"/>
        <w:spacing w:after="0" w:line="275" w:lineRule="auto"/>
        <w:rPr>
          <w:sz w:val="20"/>
          <w:szCs w:val="20"/>
          <w:color w:val="auto"/>
        </w:rPr>
      </w:pPr>
      <w:r>
        <w:rPr>
          <w:rFonts w:ascii="Arial" w:cs="Arial" w:eastAsia="Arial" w:hAnsi="Arial"/>
          <w:sz w:val="17"/>
          <w:szCs w:val="17"/>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7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the assessed risk, and performing such other procedures as we considered necessary in the circumstances. We believe that our audit provides a reasonable basis for our opinion.</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Definition and Limitations of Internal Control over Financial Reporting</w:t>
      </w:r>
    </w:p>
    <w:p>
      <w:pPr>
        <w:spacing w:after="0" w:line="175"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92" w:lineRule="exact"/>
        <w:rPr>
          <w:sz w:val="20"/>
          <w:szCs w:val="20"/>
          <w:color w:val="auto"/>
        </w:rPr>
      </w:pPr>
    </w:p>
    <w:p>
      <w:pPr>
        <w:ind w:right="40"/>
        <w:spacing w:after="0" w:line="263"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16, 2021</w:t>
      </w:r>
    </w:p>
    <w:p>
      <w:pPr>
        <w:spacing w:after="0" w:line="3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90" w:right="379" w:bottom="1440" w:gutter="0" w:footer="0" w:header="0"/>
        </w:sectPr>
      </w:pPr>
    </w:p>
    <w:bookmarkStart w:id="101" w:name="page102"/>
    <w:bookmarkEnd w:id="101"/>
    <w:p>
      <w:pPr>
        <w:jc w:val="center"/>
        <w:ind w:right="-59"/>
        <w:spacing w:after="0"/>
        <w:rPr>
          <w:sz w:val="20"/>
          <w:szCs w:val="20"/>
          <w:color w:val="auto"/>
        </w:rPr>
      </w:pPr>
      <w:r>
        <w:rPr>
          <w:rFonts w:ascii="Arial" w:cs="Arial" w:eastAsia="Arial" w:hAnsi="Arial"/>
          <w:sz w:val="18"/>
          <w:szCs w:val="18"/>
          <w:b w:val="1"/>
          <w:bCs w:val="1"/>
          <w:color w:val="auto"/>
        </w:rPr>
        <w:t>PART III</w:t>
      </w:r>
    </w:p>
    <w:p>
      <w:pPr>
        <w:spacing w:after="0" w:line="121" w:lineRule="exact"/>
        <w:rPr>
          <w:sz w:val="20"/>
          <w:szCs w:val="20"/>
          <w:color w:val="auto"/>
        </w:rPr>
      </w:pPr>
    </w:p>
    <w:p>
      <w:pPr>
        <w:jc w:val="both"/>
        <w:ind w:left="80" w:right="40" w:firstLine="405"/>
        <w:spacing w:after="0" w:line="263" w:lineRule="auto"/>
        <w:rPr>
          <w:sz w:val="20"/>
          <w:szCs w:val="20"/>
          <w:color w:val="auto"/>
        </w:rPr>
      </w:pPr>
      <w:r>
        <w:rPr>
          <w:rFonts w:ascii="Arial" w:cs="Arial" w:eastAsia="Arial" w:hAnsi="Arial"/>
          <w:sz w:val="18"/>
          <w:szCs w:val="18"/>
          <w:color w:val="auto"/>
        </w:rPr>
        <w:t>Unless we file an amendment to this Form 10-K within 120 days after January 30, 2021 to include the Part III information, we intend to incorporate such information by reference to our definitive proxy statement in connection with our 2021 annual general meeting of shareholders to be held on June 3, 2021 (the “2021 Proxy Statement”), as described above.</w:t>
      </w:r>
    </w:p>
    <w:p>
      <w:pPr>
        <w:spacing w:after="0" w:line="72"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121" w:lineRule="exact"/>
        <w:rPr>
          <w:sz w:val="20"/>
          <w:szCs w:val="20"/>
          <w:color w:val="auto"/>
        </w:rPr>
      </w:pPr>
    </w:p>
    <w:p>
      <w:pPr>
        <w:ind w:firstLine="405"/>
        <w:spacing w:after="0" w:line="279" w:lineRule="auto"/>
        <w:rPr>
          <w:sz w:val="20"/>
          <w:szCs w:val="20"/>
          <w:color w:val="auto"/>
        </w:rPr>
      </w:pPr>
      <w:r>
        <w:rPr>
          <w:rFonts w:ascii="Arial" w:cs="Arial" w:eastAsia="Arial" w:hAnsi="Arial"/>
          <w:sz w:val="17"/>
          <w:szCs w:val="17"/>
          <w:color w:val="auto"/>
        </w:rPr>
        <w:t>The information required by Items 401 and 407(c)(3) of Regulation S-K with respect to our directors, director nominees, executive officers and corporate governance is incorporated by reference herein to the information set forth under the captions “Board of Directors and Committees of the Board” and “Information About Our Executive Officers” in our definitive proxy statement in connection with our 2021 annual general meeting of shareholders to be held June 3, 2021 (the “2021 Proxy Statement”), which will be filed with the SEC no later than 120 days after January 30, 2021.</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Delinquent Section 16(a) Reports</w:t>
      </w:r>
    </w:p>
    <w:p>
      <w:pPr>
        <w:spacing w:after="0" w:line="121"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The information required by Item 405 of Regulation S-K is incorporated by reference herein, as applicable, to the information set forth under the caption “Delinquent Section 16(a) Reports” in our 2021 Proxy Statement.</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121"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in March 2021.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our website is part of our Annual Report on Form 10-K or is incorporated by reference herein.</w:t>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121"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2021 Proxy Statement.</w:t>
      </w:r>
    </w:p>
    <w:p>
      <w:pPr>
        <w:spacing w:after="0" w:line="200" w:lineRule="exact"/>
        <w:rPr>
          <w:sz w:val="20"/>
          <w:szCs w:val="20"/>
          <w:color w:val="auto"/>
        </w:rPr>
      </w:pPr>
    </w:p>
    <w:p>
      <w:pPr>
        <w:spacing w:after="0" w:line="22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121" w:lineRule="exact"/>
        <w:rPr>
          <w:sz w:val="20"/>
          <w:szCs w:val="20"/>
          <w:color w:val="auto"/>
        </w:rPr>
      </w:pPr>
    </w:p>
    <w:p>
      <w:pPr>
        <w:ind w:right="260" w:firstLine="405"/>
        <w:spacing w:after="0" w:line="263"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captions “Board of Directors and Committees of the Board - Director Compensation Table,” “Executive Compensation” and “Executive Compensation Committee Interlocks and Insider Participation” in our 2021 Proxy Statement.</w:t>
      </w:r>
    </w:p>
    <w:p>
      <w:pPr>
        <w:spacing w:after="0" w:line="200" w:lineRule="exact"/>
        <w:rPr>
          <w:sz w:val="20"/>
          <w:szCs w:val="20"/>
          <w:color w:val="auto"/>
        </w:rPr>
      </w:pPr>
    </w:p>
    <w:p>
      <w:pPr>
        <w:spacing w:after="0" w:line="223"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121"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2021 Proxy Statement.</w:t>
      </w:r>
    </w:p>
    <w:p>
      <w:pPr>
        <w:spacing w:after="0" w:line="3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90" w:right="399" w:bottom="1440" w:gutter="0" w:footer="0" w:header="0"/>
        </w:sectPr>
      </w:pPr>
    </w:p>
    <w:bookmarkStart w:id="102" w:name="page103"/>
    <w:bookmarkEnd w:id="102"/>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30, 2021:</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35"/>
        </w:trPr>
        <w:tc>
          <w:tcPr>
            <w:tcW w:w="4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8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rPr>
              <w:t>(a)</w:t>
            </w:r>
          </w:p>
        </w:tc>
        <w:tc>
          <w:tcPr>
            <w:tcW w:w="160" w:type="dxa"/>
            <w:vAlign w:val="bottom"/>
          </w:tcPr>
          <w:p>
            <w:pPr>
              <w:spacing w:after="0"/>
              <w:rPr>
                <w:sz w:val="11"/>
                <w:szCs w:val="11"/>
                <w:color w:val="auto"/>
              </w:rPr>
            </w:pPr>
          </w:p>
        </w:tc>
        <w:tc>
          <w:tcPr>
            <w:tcW w:w="1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rPr>
              <w:t>(b)</w:t>
            </w: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35"/>
        </w:trPr>
        <w:tc>
          <w:tcPr>
            <w:tcW w:w="4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8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1900" w:type="dxa"/>
            <w:vAlign w:val="bottom"/>
            <w:gridSpan w:val="2"/>
            <w:vMerge w:val="continue"/>
          </w:tcPr>
          <w:p>
            <w:pPr>
              <w:spacing w:after="0"/>
              <w:rPr>
                <w:sz w:val="11"/>
                <w:szCs w:val="11"/>
                <w:color w:val="auto"/>
              </w:rPr>
            </w:pP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Securities Remaining</w:t>
            </w:r>
          </w:p>
        </w:tc>
        <w:tc>
          <w:tcPr>
            <w:tcW w:w="0" w:type="dxa"/>
            <w:vAlign w:val="bottom"/>
          </w:tcPr>
          <w:p>
            <w:pPr>
              <w:spacing w:after="0"/>
              <w:rPr>
                <w:sz w:val="1"/>
                <w:szCs w:val="1"/>
                <w:color w:val="auto"/>
              </w:rPr>
            </w:pPr>
          </w:p>
        </w:tc>
      </w:tr>
      <w:tr>
        <w:trPr>
          <w:trHeight w:val="135"/>
        </w:trPr>
        <w:tc>
          <w:tcPr>
            <w:tcW w:w="4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4"/>
              </w:rPr>
              <w:t>Number of</w:t>
            </w:r>
          </w:p>
        </w:tc>
        <w:tc>
          <w:tcPr>
            <w:tcW w:w="160" w:type="dxa"/>
            <w:vAlign w:val="bottom"/>
          </w:tcPr>
          <w:p>
            <w:pPr>
              <w:spacing w:after="0"/>
              <w:rPr>
                <w:sz w:val="11"/>
                <w:szCs w:val="11"/>
                <w:color w:val="auto"/>
              </w:rPr>
            </w:pPr>
          </w:p>
        </w:tc>
        <w:tc>
          <w:tcPr>
            <w:tcW w:w="19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1"/>
              </w:rPr>
              <w:t>Weighted-</w:t>
            </w: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Available for Future</w:t>
            </w:r>
          </w:p>
        </w:tc>
        <w:tc>
          <w:tcPr>
            <w:tcW w:w="0" w:type="dxa"/>
            <w:vAlign w:val="bottom"/>
          </w:tcPr>
          <w:p>
            <w:pPr>
              <w:spacing w:after="0"/>
              <w:rPr>
                <w:sz w:val="1"/>
                <w:szCs w:val="1"/>
                <w:color w:val="auto"/>
              </w:rPr>
            </w:pPr>
          </w:p>
        </w:tc>
      </w:tr>
      <w:tr>
        <w:trPr>
          <w:trHeight w:val="135"/>
        </w:trPr>
        <w:tc>
          <w:tcPr>
            <w:tcW w:w="4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89"/>
              </w:rPr>
              <w:t>Securities to Be Issued</w:t>
            </w:r>
          </w:p>
        </w:tc>
        <w:tc>
          <w:tcPr>
            <w:tcW w:w="160" w:type="dxa"/>
            <w:vAlign w:val="bottom"/>
          </w:tcPr>
          <w:p>
            <w:pPr>
              <w:spacing w:after="0"/>
              <w:rPr>
                <w:sz w:val="11"/>
                <w:szCs w:val="11"/>
                <w:color w:val="auto"/>
              </w:rPr>
            </w:pPr>
          </w:p>
        </w:tc>
        <w:tc>
          <w:tcPr>
            <w:tcW w:w="19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1"/>
              </w:rPr>
              <w:t>Average Exercise Price</w:t>
            </w: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3"/>
              </w:rPr>
              <w:t>Issuance under Equity</w:t>
            </w:r>
          </w:p>
        </w:tc>
        <w:tc>
          <w:tcPr>
            <w:tcW w:w="0" w:type="dxa"/>
            <w:vAlign w:val="bottom"/>
          </w:tcPr>
          <w:p>
            <w:pPr>
              <w:spacing w:after="0"/>
              <w:rPr>
                <w:sz w:val="1"/>
                <w:szCs w:val="1"/>
                <w:color w:val="auto"/>
              </w:rPr>
            </w:pPr>
          </w:p>
        </w:tc>
      </w:tr>
      <w:tr>
        <w:trPr>
          <w:trHeight w:val="135"/>
        </w:trPr>
        <w:tc>
          <w:tcPr>
            <w:tcW w:w="4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2"/>
              </w:rPr>
              <w:t>Upon Exercise of Outstanding</w:t>
            </w:r>
          </w:p>
        </w:tc>
        <w:tc>
          <w:tcPr>
            <w:tcW w:w="160" w:type="dxa"/>
            <w:vAlign w:val="bottom"/>
          </w:tcPr>
          <w:p>
            <w:pPr>
              <w:spacing w:after="0"/>
              <w:rPr>
                <w:sz w:val="11"/>
                <w:szCs w:val="11"/>
                <w:color w:val="auto"/>
              </w:rPr>
            </w:pPr>
          </w:p>
        </w:tc>
        <w:tc>
          <w:tcPr>
            <w:tcW w:w="19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2"/>
              </w:rPr>
              <w:t>of Outstanding Options,</w:t>
            </w: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Compensation Plans</w:t>
            </w:r>
          </w:p>
        </w:tc>
        <w:tc>
          <w:tcPr>
            <w:tcW w:w="0" w:type="dxa"/>
            <w:vAlign w:val="bottom"/>
          </w:tcPr>
          <w:p>
            <w:pPr>
              <w:spacing w:after="0"/>
              <w:rPr>
                <w:sz w:val="1"/>
                <w:szCs w:val="1"/>
                <w:color w:val="auto"/>
              </w:rPr>
            </w:pPr>
          </w:p>
        </w:tc>
      </w:tr>
      <w:tr>
        <w:trPr>
          <w:trHeight w:val="135"/>
        </w:trPr>
        <w:tc>
          <w:tcPr>
            <w:tcW w:w="49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Plan Category</w:t>
            </w:r>
          </w:p>
        </w:tc>
        <w:tc>
          <w:tcPr>
            <w:tcW w:w="20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Options, Warrants</w:t>
            </w:r>
          </w:p>
        </w:tc>
        <w:tc>
          <w:tcPr>
            <w:tcW w:w="160" w:type="dxa"/>
            <w:vAlign w:val="bottom"/>
          </w:tcPr>
          <w:p>
            <w:pPr>
              <w:spacing w:after="0"/>
              <w:rPr>
                <w:sz w:val="11"/>
                <w:szCs w:val="11"/>
                <w:color w:val="auto"/>
              </w:rPr>
            </w:pPr>
          </w:p>
        </w:tc>
        <w:tc>
          <w:tcPr>
            <w:tcW w:w="19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6"/>
              </w:rPr>
              <w:t>Warrants, and</w:t>
            </w:r>
          </w:p>
        </w:tc>
        <w:tc>
          <w:tcPr>
            <w:tcW w:w="21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(Excluding Securities</w:t>
            </w:r>
          </w:p>
        </w:tc>
        <w:tc>
          <w:tcPr>
            <w:tcW w:w="0" w:type="dxa"/>
            <w:vAlign w:val="bottom"/>
          </w:tcPr>
          <w:p>
            <w:pPr>
              <w:spacing w:after="0"/>
              <w:rPr>
                <w:sz w:val="1"/>
                <w:szCs w:val="1"/>
                <w:color w:val="auto"/>
              </w:rPr>
            </w:pPr>
          </w:p>
        </w:tc>
      </w:tr>
      <w:tr>
        <w:trPr>
          <w:trHeight w:val="188"/>
        </w:trPr>
        <w:tc>
          <w:tcPr>
            <w:tcW w:w="4940" w:type="dxa"/>
            <w:vAlign w:val="bottom"/>
            <w:gridSpan w:val="2"/>
            <w:vMerge w:val="continue"/>
          </w:tcPr>
          <w:p>
            <w:pPr>
              <w:spacing w:after="0"/>
              <w:rPr>
                <w:sz w:val="16"/>
                <w:szCs w:val="16"/>
                <w:color w:val="auto"/>
              </w:rPr>
            </w:pPr>
          </w:p>
        </w:tc>
        <w:tc>
          <w:tcPr>
            <w:tcW w:w="20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and Rights (1)</w:t>
            </w:r>
          </w:p>
        </w:tc>
        <w:tc>
          <w:tcPr>
            <w:tcW w:w="160" w:type="dxa"/>
            <w:vAlign w:val="bottom"/>
          </w:tcPr>
          <w:p>
            <w:pPr>
              <w:spacing w:after="0"/>
              <w:rPr>
                <w:sz w:val="16"/>
                <w:szCs w:val="16"/>
                <w:color w:val="auto"/>
              </w:rPr>
            </w:pPr>
          </w:p>
        </w:tc>
        <w:tc>
          <w:tcPr>
            <w:tcW w:w="19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Rights (2)</w:t>
            </w: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4"/>
              </w:rPr>
              <w:t>Reflected in Column (a)</w:t>
            </w:r>
          </w:p>
        </w:tc>
        <w:tc>
          <w:tcPr>
            <w:tcW w:w="0" w:type="dxa"/>
            <w:vAlign w:val="bottom"/>
          </w:tcPr>
          <w:p>
            <w:pPr>
              <w:spacing w:after="0"/>
              <w:rPr>
                <w:sz w:val="1"/>
                <w:szCs w:val="1"/>
                <w:color w:val="auto"/>
              </w:rPr>
            </w:pPr>
          </w:p>
        </w:tc>
      </w:tr>
      <w:tr>
        <w:trPr>
          <w:trHeight w:val="224"/>
        </w:trPr>
        <w:tc>
          <w:tcPr>
            <w:tcW w:w="48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6"/>
              </w:rPr>
              <w:t>Equity compensation plans approved by security holders (3)(4)</w:t>
            </w:r>
          </w:p>
        </w:tc>
        <w:tc>
          <w:tcPr>
            <w:tcW w:w="100" w:type="dxa"/>
            <w:vAlign w:val="bottom"/>
            <w:tcBorders>
              <w:top w:val="single" w:sz="8" w:color="CCEEFF"/>
            </w:tcBorders>
            <w:shd w:val="clear" w:color="auto" w:fill="CCEEFF"/>
          </w:tcPr>
          <w:p>
            <w:pPr>
              <w:spacing w:after="0"/>
              <w:rPr>
                <w:sz w:val="19"/>
                <w:szCs w:val="19"/>
                <w:color w:val="auto"/>
              </w:rPr>
            </w:pPr>
          </w:p>
        </w:tc>
        <w:tc>
          <w:tcPr>
            <w:tcW w:w="1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16,567,652</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rPr>
              <w:t>17.15</w:t>
            </w:r>
          </w:p>
        </w:tc>
        <w:tc>
          <w:tcPr>
            <w:tcW w:w="100" w:type="dxa"/>
            <w:vAlign w:val="bottom"/>
            <w:tcBorders>
              <w:top w:val="single" w:sz="8" w:color="CCEEFF"/>
            </w:tcBorders>
            <w:shd w:val="clear" w:color="auto" w:fill="CCEEFF"/>
          </w:tcPr>
          <w:p>
            <w:pPr>
              <w:spacing w:after="0"/>
              <w:rPr>
                <w:sz w:val="19"/>
                <w:szCs w:val="19"/>
                <w:color w:val="auto"/>
              </w:rPr>
            </w:pPr>
          </w:p>
        </w:tc>
        <w:tc>
          <w:tcPr>
            <w:tcW w:w="216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rPr>
              <w:t>110,427,347</w:t>
            </w:r>
          </w:p>
        </w:tc>
        <w:tc>
          <w:tcPr>
            <w:tcW w:w="0" w:type="dxa"/>
            <w:vAlign w:val="bottom"/>
          </w:tcPr>
          <w:p>
            <w:pPr>
              <w:spacing w:after="0"/>
              <w:rPr>
                <w:sz w:val="1"/>
                <w:szCs w:val="1"/>
                <w:color w:val="auto"/>
              </w:rPr>
            </w:pPr>
          </w:p>
        </w:tc>
      </w:tr>
      <w:tr>
        <w:trPr>
          <w:trHeight w:val="230"/>
        </w:trPr>
        <w:tc>
          <w:tcPr>
            <w:tcW w:w="4940" w:type="dxa"/>
            <w:vAlign w:val="bottom"/>
            <w:gridSpan w:val="2"/>
          </w:tcPr>
          <w:p>
            <w:pPr>
              <w:ind w:left="20"/>
              <w:spacing w:after="0"/>
              <w:rPr>
                <w:sz w:val="20"/>
                <w:szCs w:val="20"/>
                <w:color w:val="auto"/>
              </w:rPr>
            </w:pPr>
            <w:r>
              <w:rPr>
                <w:rFonts w:ascii="Arial" w:cs="Arial" w:eastAsia="Arial" w:hAnsi="Arial"/>
                <w:sz w:val="18"/>
                <w:szCs w:val="18"/>
                <w:color w:val="auto"/>
                <w:w w:val="96"/>
              </w:rPr>
              <w:t>Equity compensation plans not approved by security holders (5)</w:t>
            </w:r>
          </w:p>
        </w:tc>
        <w:tc>
          <w:tcPr>
            <w:tcW w:w="1960" w:type="dxa"/>
            <w:vAlign w:val="bottom"/>
          </w:tcPr>
          <w:p>
            <w:pPr>
              <w:jc w:val="right"/>
              <w:spacing w:after="0"/>
              <w:rPr>
                <w:sz w:val="20"/>
                <w:szCs w:val="20"/>
                <w:color w:val="auto"/>
              </w:rPr>
            </w:pPr>
            <w:r>
              <w:rPr>
                <w:rFonts w:ascii="Arial" w:cs="Arial" w:eastAsia="Arial" w:hAnsi="Arial"/>
                <w:sz w:val="18"/>
                <w:szCs w:val="18"/>
                <w:color w:val="auto"/>
              </w:rPr>
              <w:t>2,208,951</w:t>
            </w:r>
          </w:p>
        </w:tc>
        <w:tc>
          <w:tcPr>
            <w:tcW w:w="120" w:type="dxa"/>
            <w:vAlign w:val="bottom"/>
          </w:tcPr>
          <w:p>
            <w:pPr>
              <w:spacing w:after="0"/>
              <w:rPr>
                <w:sz w:val="20"/>
                <w:szCs w:val="20"/>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800" w:type="dxa"/>
            <w:vAlign w:val="bottom"/>
          </w:tcPr>
          <w:p>
            <w:pPr>
              <w:jc w:val="right"/>
              <w:ind w:right="4"/>
              <w:spacing w:after="0"/>
              <w:rPr>
                <w:sz w:val="20"/>
                <w:szCs w:val="20"/>
                <w:color w:val="auto"/>
              </w:rPr>
            </w:pPr>
            <w:r>
              <w:rPr>
                <w:rFonts w:ascii="Arial" w:cs="Arial" w:eastAsia="Arial" w:hAnsi="Arial"/>
                <w:sz w:val="18"/>
                <w:szCs w:val="18"/>
                <w:color w:val="auto"/>
              </w:rPr>
              <w:t>12.38</w:t>
            </w:r>
          </w:p>
        </w:tc>
        <w:tc>
          <w:tcPr>
            <w:tcW w:w="100" w:type="dxa"/>
            <w:vAlign w:val="bottom"/>
          </w:tcPr>
          <w:p>
            <w:pPr>
              <w:spacing w:after="0"/>
              <w:rPr>
                <w:sz w:val="20"/>
                <w:szCs w:val="20"/>
                <w:color w:val="auto"/>
              </w:rPr>
            </w:pPr>
          </w:p>
        </w:tc>
        <w:tc>
          <w:tcPr>
            <w:tcW w:w="2160" w:type="dxa"/>
            <w:vAlign w:val="bottom"/>
          </w:tcPr>
          <w:p>
            <w:pPr>
              <w:jc w:val="right"/>
              <w:ind w:right="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79" w:lineRule="exact"/>
        <w:rPr>
          <w:sz w:val="20"/>
          <w:szCs w:val="20"/>
          <w:color w:val="auto"/>
        </w:rPr>
      </w:pPr>
    </w:p>
    <w:p>
      <w:pPr>
        <w:ind w:left="660" w:right="540" w:hanging="652"/>
        <w:spacing w:after="0" w:line="277" w:lineRule="auto"/>
        <w:tabs>
          <w:tab w:leader="none" w:pos="654"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30, 2021).</w:t>
      </w:r>
    </w:p>
    <w:p>
      <w:pPr>
        <w:spacing w:after="0" w:line="8" w:lineRule="exact"/>
        <w:rPr>
          <w:rFonts w:ascii="Arial" w:cs="Arial" w:eastAsia="Arial" w:hAnsi="Arial"/>
          <w:sz w:val="18"/>
          <w:szCs w:val="18"/>
          <w:color w:val="auto"/>
        </w:rPr>
      </w:pPr>
    </w:p>
    <w:p>
      <w:pPr>
        <w:ind w:left="660" w:right="700" w:hanging="652"/>
        <w:spacing w:after="0" w:line="277" w:lineRule="auto"/>
        <w:tabs>
          <w:tab w:leader="none" w:pos="654"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weighted-average exercise price calculation does not take into account any restricted stock units as those units vest, without any cash consideration or other payment required for such shares.</w:t>
      </w:r>
    </w:p>
    <w:p>
      <w:pPr>
        <w:spacing w:after="0" w:line="8" w:lineRule="exact"/>
        <w:rPr>
          <w:rFonts w:ascii="Arial" w:cs="Arial" w:eastAsia="Arial" w:hAnsi="Arial"/>
          <w:sz w:val="18"/>
          <w:szCs w:val="18"/>
          <w:color w:val="auto"/>
        </w:rPr>
      </w:pPr>
    </w:p>
    <w:p>
      <w:pPr>
        <w:ind w:left="640" w:hanging="632"/>
        <w:spacing w:after="0"/>
        <w:tabs>
          <w:tab w:leader="none" w:pos="640" w:val="left"/>
        </w:tabs>
        <w:numPr>
          <w:ilvl w:val="0"/>
          <w:numId w:val="33"/>
        </w:numPr>
        <w:rPr>
          <w:rFonts w:ascii="Arial" w:cs="Arial" w:eastAsia="Arial" w:hAnsi="Arial"/>
          <w:sz w:val="17"/>
          <w:szCs w:val="17"/>
          <w:color w:val="auto"/>
        </w:rPr>
      </w:pPr>
      <w:r>
        <w:rPr>
          <w:rFonts w:ascii="Arial" w:cs="Arial" w:eastAsia="Arial" w:hAnsi="Arial"/>
          <w:sz w:val="17"/>
          <w:szCs w:val="17"/>
          <w:color w:val="auto"/>
        </w:rPr>
        <w:t>Includes our Amended and Restated 1995 Stock Option Plan, our Amended 2000 Employee Stock Purchase Plan (the “2000 ESPP”).</w:t>
      </w:r>
    </w:p>
    <w:p>
      <w:pPr>
        <w:spacing w:after="0" w:line="74" w:lineRule="exact"/>
        <w:rPr>
          <w:rFonts w:ascii="Arial" w:cs="Arial" w:eastAsia="Arial" w:hAnsi="Arial"/>
          <w:sz w:val="17"/>
          <w:szCs w:val="17"/>
          <w:color w:val="auto"/>
        </w:rPr>
      </w:pPr>
    </w:p>
    <w:p>
      <w:pPr>
        <w:ind w:left="640" w:hanging="632"/>
        <w:spacing w:after="0"/>
        <w:tabs>
          <w:tab w:leader="none" w:pos="640" w:val="left"/>
        </w:tabs>
        <w:numPr>
          <w:ilvl w:val="0"/>
          <w:numId w:val="33"/>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46" w:lineRule="exact"/>
        <w:rPr>
          <w:rFonts w:ascii="Arial" w:cs="Arial" w:eastAsia="Arial" w:hAnsi="Arial"/>
          <w:sz w:val="16"/>
          <w:szCs w:val="16"/>
          <w:color w:val="auto"/>
        </w:rPr>
      </w:pPr>
    </w:p>
    <w:p>
      <w:pPr>
        <w:ind w:left="660" w:right="240"/>
        <w:spacing w:after="0" w:line="260"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23" w:lineRule="exact"/>
        <w:rPr>
          <w:rFonts w:ascii="Arial" w:cs="Arial" w:eastAsia="Arial" w:hAnsi="Arial"/>
          <w:sz w:val="16"/>
          <w:szCs w:val="16"/>
          <w:color w:val="auto"/>
        </w:rPr>
      </w:pPr>
    </w:p>
    <w:p>
      <w:pPr>
        <w:ind w:left="660" w:right="360" w:hanging="652"/>
        <w:spacing w:after="0" w:line="308" w:lineRule="auto"/>
        <w:tabs>
          <w:tab w:leader="none" w:pos="654" w:val="left"/>
        </w:tabs>
        <w:numPr>
          <w:ilvl w:val="0"/>
          <w:numId w:val="33"/>
        </w:numPr>
        <w:rPr>
          <w:rFonts w:ascii="Arial" w:cs="Arial" w:eastAsia="Arial" w:hAnsi="Arial"/>
          <w:sz w:val="17"/>
          <w:szCs w:val="17"/>
          <w:color w:val="auto"/>
        </w:rPr>
      </w:pPr>
      <w:r>
        <w:rPr>
          <w:rFonts w:ascii="Arial" w:cs="Arial" w:eastAsia="Arial" w:hAnsi="Arial"/>
          <w:sz w:val="17"/>
          <w:szCs w:val="17"/>
          <w:color w:val="auto"/>
        </w:rPr>
        <w:t>Plans not approved by security holders consists of the Cavium 2007, 2016 and Qlogic equity incentive plans which we assumed in our merger with Cavium Inc and Aquantia 2004, 2015 and 2017 equity incentive plans which we assumed in our merger with Aquantia.</w:t>
      </w:r>
    </w:p>
    <w:p>
      <w:pPr>
        <w:spacing w:after="0" w:line="331"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121"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2021 Proxy Statement.</w:t>
      </w:r>
    </w:p>
    <w:p>
      <w:pPr>
        <w:spacing w:after="0" w:line="62"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2021 Proxy Statement.</w:t>
      </w:r>
    </w:p>
    <w:p>
      <w:pPr>
        <w:spacing w:after="0" w:line="32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121"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2021 Proxy Statement.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03" w:name="page104"/>
    <w:bookmarkEnd w:id="103"/>
    <w:p>
      <w:pPr>
        <w:jc w:val="center"/>
        <w:spacing w:after="0"/>
        <w:rPr>
          <w:sz w:val="20"/>
          <w:szCs w:val="20"/>
          <w:color w:val="auto"/>
        </w:rPr>
      </w:pPr>
      <w:r>
        <w:rPr>
          <w:rFonts w:ascii="Arial" w:cs="Arial" w:eastAsia="Arial" w:hAnsi="Arial"/>
          <w:sz w:val="18"/>
          <w:szCs w:val="18"/>
          <w:b w:val="1"/>
          <w:bCs w:val="1"/>
          <w:color w:val="auto"/>
        </w:rPr>
        <w:t>PART IV</w:t>
      </w:r>
    </w:p>
    <w:p>
      <w:pPr>
        <w:spacing w:after="0" w:line="117"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p>
      <w:pPr>
        <w:spacing w:after="0" w:line="117" w:lineRule="exact"/>
        <w:rPr>
          <w:sz w:val="20"/>
          <w:szCs w:val="20"/>
          <w:color w:val="auto"/>
        </w:rPr>
      </w:pPr>
    </w:p>
    <w:p>
      <w:pPr>
        <w:ind w:left="660" w:hanging="328"/>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1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the “Index to Consolidated Financial Statements” on page 52 of this Annual Report on Form 10-K.</w:t>
      </w:r>
    </w:p>
    <w:p>
      <w:pPr>
        <w:spacing w:after="0" w:line="117" w:lineRule="exact"/>
        <w:rPr>
          <w:sz w:val="20"/>
          <w:szCs w:val="20"/>
          <w:color w:val="auto"/>
        </w:rPr>
      </w:pPr>
    </w:p>
    <w:p>
      <w:pPr>
        <w:ind w:left="660" w:hanging="328"/>
        <w:spacing w:after="0"/>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“Schedule II — Valuation and Qualifying Accounts” on page 108 of this Annual Report on Form 10-K:</w:t>
      </w:r>
    </w:p>
    <w:p>
      <w:pPr>
        <w:spacing w:after="0" w:line="117"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p>
      <w:pPr>
        <w:ind w:left="660" w:hanging="328"/>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8"/>
              </w:rPr>
              <w:t>Exhibit</w:t>
            </w: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620" w:type="dxa"/>
            <w:vAlign w:val="bottom"/>
          </w:tcPr>
          <w:p>
            <w:pPr>
              <w:ind w:left="340"/>
              <w:spacing w:after="0"/>
              <w:rPr>
                <w:sz w:val="20"/>
                <w:szCs w:val="20"/>
                <w:color w:val="auto"/>
              </w:rPr>
            </w:pPr>
            <w:r>
              <w:rPr>
                <w:rFonts w:ascii="Arial" w:cs="Arial" w:eastAsia="Arial" w:hAnsi="Arial"/>
                <w:sz w:val="14"/>
                <w:szCs w:val="14"/>
                <w:b w:val="1"/>
                <w:bCs w:val="1"/>
                <w:color w:val="auto"/>
              </w:rPr>
              <w:t>Incorporated by</w:t>
            </w:r>
          </w:p>
        </w:tc>
        <w:tc>
          <w:tcPr>
            <w:tcW w:w="16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220" w:type="dxa"/>
            <w:vAlign w:val="bottom"/>
            <w:gridSpan w:val="2"/>
            <w:vMerge w:val="continue"/>
          </w:tcPr>
          <w:p>
            <w:pPr>
              <w:spacing w:after="0"/>
              <w:rPr>
                <w:sz w:val="11"/>
                <w:szCs w:val="11"/>
                <w:color w:val="auto"/>
              </w:rPr>
            </w:pPr>
          </w:p>
        </w:tc>
        <w:tc>
          <w:tcPr>
            <w:tcW w:w="20" w:type="dxa"/>
            <w:vAlign w:val="bottom"/>
          </w:tcPr>
          <w:p>
            <w:pPr>
              <w:spacing w:after="0"/>
              <w:rPr>
                <w:sz w:val="11"/>
                <w:szCs w:val="11"/>
                <w:color w:val="auto"/>
              </w:rPr>
            </w:pPr>
          </w:p>
        </w:tc>
        <w:tc>
          <w:tcPr>
            <w:tcW w:w="4580" w:type="dxa"/>
            <w:vAlign w:val="bottom"/>
            <w:gridSpan w:val="24"/>
            <w:vMerge w:val="restart"/>
          </w:tcPr>
          <w:p>
            <w:pPr>
              <w:spacing w:after="0"/>
              <w:rPr>
                <w:sz w:val="20"/>
                <w:szCs w:val="20"/>
                <w:color w:val="auto"/>
              </w:rPr>
            </w:pPr>
            <w:r>
              <w:rPr>
                <w:rFonts w:ascii="Arial" w:cs="Arial" w:eastAsia="Arial" w:hAnsi="Arial"/>
                <w:sz w:val="14"/>
                <w:szCs w:val="14"/>
                <w:b w:val="1"/>
                <w:bCs w:val="1"/>
                <w:color w:val="auto"/>
              </w:rPr>
              <w:t>Description</w:t>
            </w:r>
          </w:p>
        </w:tc>
        <w:tc>
          <w:tcPr>
            <w:tcW w:w="74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Form</w:t>
            </w:r>
          </w:p>
        </w:tc>
        <w:tc>
          <w:tcPr>
            <w:tcW w:w="142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File Number</w:t>
            </w:r>
          </w:p>
        </w:tc>
        <w:tc>
          <w:tcPr>
            <w:tcW w:w="1620" w:type="dxa"/>
            <w:vAlign w:val="bottom"/>
          </w:tcPr>
          <w:p>
            <w:pPr>
              <w:ind w:left="340"/>
              <w:spacing w:after="0" w:line="135" w:lineRule="exact"/>
              <w:rPr>
                <w:sz w:val="20"/>
                <w:szCs w:val="20"/>
                <w:color w:val="auto"/>
              </w:rPr>
            </w:pPr>
            <w:r>
              <w:rPr>
                <w:rFonts w:ascii="Arial" w:cs="Arial" w:eastAsia="Arial" w:hAnsi="Arial"/>
                <w:sz w:val="14"/>
                <w:szCs w:val="14"/>
                <w:b w:val="1"/>
                <w:bCs w:val="1"/>
                <w:color w:val="auto"/>
              </w:rPr>
              <w:t>Reference from</w:t>
            </w:r>
          </w:p>
        </w:tc>
        <w:tc>
          <w:tcPr>
            <w:tcW w:w="164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88"/>
        </w:trPr>
        <w:tc>
          <w:tcPr>
            <w:tcW w:w="12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7"/>
              </w:rPr>
              <w:t>No.</w:t>
            </w:r>
          </w:p>
        </w:tc>
        <w:tc>
          <w:tcPr>
            <w:tcW w:w="20" w:type="dxa"/>
            <w:vAlign w:val="bottom"/>
          </w:tcPr>
          <w:p>
            <w:pPr>
              <w:spacing w:after="0"/>
              <w:rPr>
                <w:sz w:val="16"/>
                <w:szCs w:val="16"/>
                <w:color w:val="auto"/>
              </w:rPr>
            </w:pPr>
          </w:p>
        </w:tc>
        <w:tc>
          <w:tcPr>
            <w:tcW w:w="4580" w:type="dxa"/>
            <w:vAlign w:val="bottom"/>
            <w:gridSpan w:val="24"/>
            <w:vMerge w:val="continue"/>
          </w:tcPr>
          <w:p>
            <w:pPr>
              <w:spacing w:after="0"/>
              <w:rPr>
                <w:sz w:val="16"/>
                <w:szCs w:val="16"/>
                <w:color w:val="auto"/>
              </w:rPr>
            </w:pPr>
          </w:p>
        </w:tc>
        <w:tc>
          <w:tcPr>
            <w:tcW w:w="740" w:type="dxa"/>
            <w:vAlign w:val="bottom"/>
            <w:vMerge w:val="continue"/>
          </w:tcPr>
          <w:p>
            <w:pPr>
              <w:spacing w:after="0"/>
              <w:rPr>
                <w:sz w:val="16"/>
                <w:szCs w:val="16"/>
                <w:color w:val="auto"/>
              </w:rPr>
            </w:pPr>
          </w:p>
        </w:tc>
        <w:tc>
          <w:tcPr>
            <w:tcW w:w="1420" w:type="dxa"/>
            <w:vAlign w:val="bottom"/>
            <w:vMerge w:val="continue"/>
          </w:tcPr>
          <w:p>
            <w:pPr>
              <w:spacing w:after="0"/>
              <w:rPr>
                <w:sz w:val="16"/>
                <w:szCs w:val="16"/>
                <w:color w:val="auto"/>
              </w:rPr>
            </w:pPr>
          </w:p>
        </w:tc>
        <w:tc>
          <w:tcPr>
            <w:tcW w:w="1620" w:type="dxa"/>
            <w:vAlign w:val="bottom"/>
          </w:tcPr>
          <w:p>
            <w:pPr>
              <w:ind w:left="340"/>
              <w:spacing w:after="0"/>
              <w:rPr>
                <w:sz w:val="20"/>
                <w:szCs w:val="20"/>
                <w:color w:val="auto"/>
              </w:rPr>
            </w:pPr>
            <w:r>
              <w:rPr>
                <w:rFonts w:ascii="Arial" w:cs="Arial" w:eastAsia="Arial" w:hAnsi="Arial"/>
                <w:sz w:val="14"/>
                <w:szCs w:val="14"/>
                <w:b w:val="1"/>
                <w:bCs w:val="1"/>
                <w:color w:val="auto"/>
              </w:rPr>
              <w:t>Exhibit Number</w:t>
            </w:r>
          </w:p>
        </w:tc>
        <w:tc>
          <w:tcPr>
            <w:tcW w:w="16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332"/>
        </w:trPr>
        <w:tc>
          <w:tcPr>
            <w:tcW w:w="1040" w:type="dxa"/>
            <w:vAlign w:val="bottom"/>
            <w:tcBorders>
              <w:top w:val="single" w:sz="8" w:color="auto"/>
            </w:tcBorders>
          </w:tcPr>
          <w:p>
            <w:pPr>
              <w:jc w:val="right"/>
              <w:ind w:right="573"/>
              <w:spacing w:after="0"/>
              <w:rPr>
                <w:sz w:val="20"/>
                <w:szCs w:val="20"/>
                <w:color w:val="auto"/>
              </w:rPr>
            </w:pPr>
            <w:r>
              <w:rPr>
                <w:rFonts w:ascii="Arial" w:cs="Arial" w:eastAsia="Arial" w:hAnsi="Arial"/>
                <w:sz w:val="18"/>
                <w:szCs w:val="18"/>
                <w:color w:val="auto"/>
              </w:rPr>
              <w:t>2.1</w:t>
            </w:r>
          </w:p>
        </w:tc>
        <w:tc>
          <w:tcPr>
            <w:tcW w:w="18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580" w:type="dxa"/>
            <w:vAlign w:val="bottom"/>
            <w:tcBorders>
              <w:top w:val="single" w:sz="8" w:color="auto"/>
            </w:tcBorders>
            <w:gridSpan w:val="24"/>
          </w:tcPr>
          <w:p>
            <w:pPr>
              <w:spacing w:after="0"/>
              <w:rPr>
                <w:rFonts w:ascii="Arial" w:cs="Arial" w:eastAsia="Arial" w:hAnsi="Arial"/>
                <w:sz w:val="18"/>
                <w:szCs w:val="18"/>
                <w:color w:val="0000FF"/>
                <w:w w:val="94"/>
              </w:rPr>
            </w:pPr>
            <w:hyperlink r:id="rId127">
              <w:r>
                <w:rPr>
                  <w:rFonts w:ascii="Arial" w:cs="Arial" w:eastAsia="Arial" w:hAnsi="Arial"/>
                  <w:sz w:val="18"/>
                  <w:szCs w:val="18"/>
                  <w:color w:val="0000FF"/>
                  <w:w w:val="94"/>
                </w:rPr>
                <w:t>Agreement and Plan of Merger by and among the Company,</w:t>
              </w:r>
            </w:hyperlink>
          </w:p>
        </w:tc>
        <w:tc>
          <w:tcPr>
            <w:tcW w:w="740" w:type="dxa"/>
            <w:vAlign w:val="bottom"/>
            <w:tcBorders>
              <w:top w:val="single" w:sz="8" w:color="auto"/>
            </w:tcBorders>
          </w:tcPr>
          <w:p>
            <w:pPr>
              <w:ind w:left="80"/>
              <w:spacing w:after="0"/>
              <w:rPr>
                <w:sz w:val="20"/>
                <w:szCs w:val="20"/>
                <w:color w:val="auto"/>
              </w:rPr>
            </w:pPr>
            <w:r>
              <w:rPr>
                <w:rFonts w:ascii="Arial" w:cs="Arial" w:eastAsia="Arial" w:hAnsi="Arial"/>
                <w:sz w:val="18"/>
                <w:szCs w:val="18"/>
                <w:color w:val="auto"/>
              </w:rPr>
              <w:t>8-K</w:t>
            </w:r>
          </w:p>
        </w:tc>
        <w:tc>
          <w:tcPr>
            <w:tcW w:w="1420" w:type="dxa"/>
            <w:vAlign w:val="bottom"/>
            <w:tcBorders>
              <w:top w:val="single" w:sz="8" w:color="auto"/>
            </w:tcBorders>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Borders>
              <w:top w:val="single" w:sz="8" w:color="auto"/>
            </w:tcBorders>
          </w:tcPr>
          <w:p>
            <w:pPr>
              <w:ind w:left="340"/>
              <w:spacing w:after="0"/>
              <w:rPr>
                <w:sz w:val="20"/>
                <w:szCs w:val="20"/>
                <w:color w:val="auto"/>
              </w:rPr>
            </w:pPr>
            <w:r>
              <w:rPr>
                <w:rFonts w:ascii="Arial" w:cs="Arial" w:eastAsia="Arial" w:hAnsi="Arial"/>
                <w:sz w:val="18"/>
                <w:szCs w:val="18"/>
                <w:color w:val="auto"/>
              </w:rPr>
              <w:t>2.1</w:t>
            </w:r>
          </w:p>
        </w:tc>
        <w:tc>
          <w:tcPr>
            <w:tcW w:w="1640" w:type="dxa"/>
            <w:vAlign w:val="bottom"/>
            <w:tcBorders>
              <w:top w:val="single" w:sz="8" w:color="auto"/>
            </w:tcBorders>
          </w:tcPr>
          <w:p>
            <w:pPr>
              <w:ind w:left="300"/>
              <w:spacing w:after="0"/>
              <w:rPr>
                <w:sz w:val="20"/>
                <w:szCs w:val="20"/>
                <w:color w:val="auto"/>
              </w:rPr>
            </w:pPr>
            <w:r>
              <w:rPr>
                <w:rFonts w:ascii="Arial" w:cs="Arial" w:eastAsia="Arial" w:hAnsi="Arial"/>
                <w:sz w:val="18"/>
                <w:szCs w:val="18"/>
                <w:color w:val="auto"/>
              </w:rPr>
              <w:t>11/20/2017</w:t>
            </w: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0" w:type="dxa"/>
            <w:vAlign w:val="bottom"/>
            <w:tcBorders>
              <w:top w:val="single" w:sz="8" w:color="0000FF"/>
            </w:tcBorders>
            <w:gridSpan w:val="20"/>
          </w:tcPr>
          <w:p>
            <w:pPr>
              <w:spacing w:after="0" w:line="156" w:lineRule="exact"/>
              <w:rPr>
                <w:rFonts w:ascii="Arial" w:cs="Arial" w:eastAsia="Arial" w:hAnsi="Arial"/>
                <w:sz w:val="18"/>
                <w:szCs w:val="18"/>
                <w:color w:val="0000FF"/>
              </w:rPr>
            </w:pPr>
            <w:hyperlink r:id="rId127">
              <w:r>
                <w:rPr>
                  <w:rFonts w:ascii="Arial" w:cs="Arial" w:eastAsia="Arial" w:hAnsi="Arial"/>
                  <w:sz w:val="18"/>
                  <w:szCs w:val="18"/>
                  <w:color w:val="0000FF"/>
                </w:rPr>
                <w:t>Kauai Acquisition Corp., and Cavium, Inc. dated as of</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89"/>
              </w:rPr>
            </w:pPr>
            <w:hyperlink r:id="rId127">
              <w:r>
                <w:rPr>
                  <w:rFonts w:ascii="Arial" w:cs="Arial" w:eastAsia="Arial" w:hAnsi="Arial"/>
                  <w:sz w:val="18"/>
                  <w:szCs w:val="18"/>
                  <w:color w:val="0000FF"/>
                  <w:w w:val="89"/>
                </w:rPr>
                <w:t>November 19, 2017</w:t>
              </w:r>
            </w:hyperlink>
          </w:p>
        </w:tc>
        <w:tc>
          <w:tcPr>
            <w:tcW w:w="2480" w:type="dxa"/>
            <w:vAlign w:val="bottom"/>
            <w:tcBorders>
              <w:top w:val="single" w:sz="8" w:color="0000FF"/>
            </w:tcBorders>
            <w:gridSpan w:val="5"/>
          </w:tcPr>
          <w:p>
            <w:pPr>
              <w:spacing w:after="0"/>
              <w:rPr>
                <w:sz w:val="13"/>
                <w:szCs w:val="13"/>
                <w:color w:val="auto"/>
              </w:rPr>
            </w:pPr>
          </w:p>
        </w:tc>
        <w:tc>
          <w:tcPr>
            <w:tcW w:w="1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58"/>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4"/>
              </w:rPr>
            </w:pPr>
            <w:hyperlink r:id="rId128">
              <w:r>
                <w:rPr>
                  <w:rFonts w:ascii="Arial" w:cs="Arial" w:eastAsia="Arial" w:hAnsi="Arial"/>
                  <w:sz w:val="18"/>
                  <w:szCs w:val="18"/>
                  <w:color w:val="0000FF"/>
                  <w:w w:val="94"/>
                </w:rPr>
                <w:t>Asset Purchase Agreement between Marvell and NXP dated</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2.1</w:t>
            </w:r>
          </w:p>
        </w:tc>
        <w:tc>
          <w:tcPr>
            <w:tcW w:w="1640" w:type="dxa"/>
            <w:vAlign w:val="bottom"/>
          </w:tcPr>
          <w:p>
            <w:pPr>
              <w:ind w:left="300"/>
              <w:spacing w:after="0"/>
              <w:rPr>
                <w:sz w:val="20"/>
                <w:szCs w:val="20"/>
                <w:color w:val="auto"/>
              </w:rPr>
            </w:pPr>
            <w:r>
              <w:rPr>
                <w:rFonts w:ascii="Arial" w:cs="Arial" w:eastAsia="Arial" w:hAnsi="Arial"/>
                <w:sz w:val="18"/>
                <w:szCs w:val="18"/>
                <w:color w:val="auto"/>
              </w:rPr>
              <w:t>9/4/2019</w:t>
            </w: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38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28">
              <w:r>
                <w:rPr>
                  <w:rFonts w:ascii="Arial" w:cs="Arial" w:eastAsia="Arial" w:hAnsi="Arial"/>
                  <w:sz w:val="18"/>
                  <w:szCs w:val="18"/>
                  <w:color w:val="0000FF"/>
                </w:rPr>
                <w:t>May 29, 2019</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2.3</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3"/>
              </w:rPr>
            </w:pPr>
            <w:hyperlink r:id="rId129">
              <w:r>
                <w:rPr>
                  <w:rFonts w:ascii="Arial" w:cs="Arial" w:eastAsia="Arial" w:hAnsi="Arial"/>
                  <w:sz w:val="18"/>
                  <w:szCs w:val="18"/>
                  <w:color w:val="0000FF"/>
                  <w:w w:val="93"/>
                </w:rPr>
                <w:t>Agreement and Plan of Merger and Reorganization, dated as</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ind w:left="300"/>
              <w:spacing w:after="0"/>
              <w:rPr>
                <w:sz w:val="20"/>
                <w:szCs w:val="20"/>
                <w:color w:val="auto"/>
              </w:rPr>
            </w:pPr>
            <w:r>
              <w:rPr>
                <w:rFonts w:ascii="Arial" w:cs="Arial" w:eastAsia="Arial" w:hAnsi="Arial"/>
                <w:sz w:val="18"/>
                <w:szCs w:val="18"/>
                <w:color w:val="auto"/>
              </w:rPr>
              <w:t>003-30877</w:t>
            </w:r>
          </w:p>
        </w:tc>
        <w:tc>
          <w:tcPr>
            <w:tcW w:w="1620" w:type="dxa"/>
            <w:vAlign w:val="bottom"/>
          </w:tcPr>
          <w:p>
            <w:pPr>
              <w:ind w:left="340"/>
              <w:spacing w:after="0"/>
              <w:rPr>
                <w:sz w:val="20"/>
                <w:szCs w:val="20"/>
                <w:color w:val="auto"/>
              </w:rPr>
            </w:pPr>
            <w:r>
              <w:rPr>
                <w:rFonts w:ascii="Arial" w:cs="Arial" w:eastAsia="Arial" w:hAnsi="Arial"/>
                <w:sz w:val="18"/>
                <w:szCs w:val="18"/>
                <w:color w:val="auto"/>
              </w:rPr>
              <w:t>2.1</w:t>
            </w:r>
          </w:p>
        </w:tc>
        <w:tc>
          <w:tcPr>
            <w:tcW w:w="1640" w:type="dxa"/>
            <w:vAlign w:val="bottom"/>
          </w:tcPr>
          <w:p>
            <w:pPr>
              <w:ind w:left="300"/>
              <w:spacing w:after="0"/>
              <w:rPr>
                <w:sz w:val="20"/>
                <w:szCs w:val="20"/>
                <w:color w:val="auto"/>
              </w:rPr>
            </w:pPr>
            <w:r>
              <w:rPr>
                <w:rFonts w:ascii="Arial" w:cs="Arial" w:eastAsia="Arial" w:hAnsi="Arial"/>
                <w:sz w:val="18"/>
                <w:szCs w:val="18"/>
                <w:color w:val="auto"/>
              </w:rPr>
              <w:t>10/30/2020</w:t>
            </w: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20" w:type="dxa"/>
            <w:vAlign w:val="bottom"/>
            <w:tcBorders>
              <w:top w:val="single" w:sz="8" w:color="0000FF"/>
            </w:tcBorders>
            <w:gridSpan w:val="21"/>
          </w:tcPr>
          <w:p>
            <w:pPr>
              <w:spacing w:after="0" w:line="156" w:lineRule="exact"/>
              <w:rPr>
                <w:rFonts w:ascii="Arial" w:cs="Arial" w:eastAsia="Arial" w:hAnsi="Arial"/>
                <w:sz w:val="18"/>
                <w:szCs w:val="18"/>
                <w:color w:val="0000FF"/>
                <w:w w:val="99"/>
              </w:rPr>
            </w:pPr>
            <w:hyperlink r:id="rId129">
              <w:r>
                <w:rPr>
                  <w:rFonts w:ascii="Arial" w:cs="Arial" w:eastAsia="Arial" w:hAnsi="Arial"/>
                  <w:sz w:val="18"/>
                  <w:szCs w:val="18"/>
                  <w:color w:val="0000FF"/>
                  <w:w w:val="99"/>
                </w:rPr>
                <w:t>of October 29, 2020, by and among Marvell Technology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6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92"/>
              </w:rPr>
            </w:pPr>
            <w:hyperlink r:id="rId129">
              <w:r>
                <w:rPr>
                  <w:rFonts w:ascii="Arial" w:cs="Arial" w:eastAsia="Arial" w:hAnsi="Arial"/>
                  <w:sz w:val="18"/>
                  <w:szCs w:val="18"/>
                  <w:color w:val="0000FF"/>
                  <w:w w:val="92"/>
                </w:rPr>
                <w:t>Group Ltd., Inphi Corporation, Maui HoldCo, Inc., Maui</w:t>
              </w:r>
            </w:hyperlink>
          </w:p>
        </w:tc>
        <w:tc>
          <w:tcPr>
            <w:tcW w:w="40" w:type="dxa"/>
            <w:vAlign w:val="bottom"/>
            <w:tcBorders>
              <w:bottom w:val="single" w:sz="8" w:color="0000FF"/>
            </w:tcBorders>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24"/>
        </w:trPr>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100" w:type="dxa"/>
            <w:vAlign w:val="bottom"/>
            <w:gridSpan w:val="13"/>
          </w:tcPr>
          <w:p>
            <w:pPr>
              <w:spacing w:after="0"/>
              <w:rPr>
                <w:rFonts w:ascii="Arial" w:cs="Arial" w:eastAsia="Arial" w:hAnsi="Arial"/>
                <w:sz w:val="18"/>
                <w:szCs w:val="18"/>
                <w:u w:val="single" w:color="auto"/>
                <w:color w:val="0000FF"/>
                <w:w w:val="95"/>
              </w:rPr>
            </w:pPr>
            <w:hyperlink r:id="rId129">
              <w:r>
                <w:rPr>
                  <w:rFonts w:ascii="Arial" w:cs="Arial" w:eastAsia="Arial" w:hAnsi="Arial"/>
                  <w:sz w:val="18"/>
                  <w:szCs w:val="18"/>
                  <w:u w:val="single" w:color="auto"/>
                  <w:color w:val="0000FF"/>
                  <w:w w:val="95"/>
                </w:rPr>
                <w:t>Acquisition Company Ltd and Indigo Acquisition Corp.</w:t>
              </w:r>
            </w:hyperlink>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gridSpan w:val="2"/>
          </w:tcPr>
          <w:p>
            <w:pPr>
              <w:spacing w:after="0"/>
              <w:rPr>
                <w:sz w:val="19"/>
                <w:szCs w:val="19"/>
                <w:color w:val="auto"/>
              </w:rPr>
            </w:pPr>
          </w:p>
        </w:tc>
        <w:tc>
          <w:tcPr>
            <w:tcW w:w="40" w:type="dxa"/>
            <w:vAlign w:val="bottom"/>
            <w:gridSpan w:val="2"/>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3"/>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3.1</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8"/>
              </w:rPr>
            </w:pPr>
            <w:hyperlink r:id="rId130">
              <w:r>
                <w:rPr>
                  <w:rFonts w:ascii="Arial" w:cs="Arial" w:eastAsia="Arial" w:hAnsi="Arial"/>
                  <w:sz w:val="18"/>
                  <w:szCs w:val="18"/>
                  <w:color w:val="0000FF"/>
                  <w:w w:val="98"/>
                </w:rPr>
                <w:t>Memorandum of Association of Marvell Technology Group</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10-K</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3.1</w:t>
            </w:r>
          </w:p>
        </w:tc>
        <w:tc>
          <w:tcPr>
            <w:tcW w:w="1640" w:type="dxa"/>
            <w:vAlign w:val="bottom"/>
          </w:tcPr>
          <w:p>
            <w:pPr>
              <w:ind w:left="300"/>
              <w:spacing w:after="0"/>
              <w:rPr>
                <w:sz w:val="20"/>
                <w:szCs w:val="20"/>
                <w:color w:val="auto"/>
              </w:rPr>
            </w:pPr>
            <w:r>
              <w:rPr>
                <w:rFonts w:ascii="Arial" w:cs="Arial" w:eastAsia="Arial" w:hAnsi="Arial"/>
                <w:sz w:val="18"/>
                <w:szCs w:val="18"/>
                <w:color w:val="auto"/>
              </w:rPr>
              <w:t>03/29/2018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0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93"/>
              </w:rPr>
            </w:pPr>
            <w:hyperlink r:id="rId130">
              <w:r>
                <w:rPr>
                  <w:rFonts w:ascii="Arial" w:cs="Arial" w:eastAsia="Arial" w:hAnsi="Arial"/>
                  <w:sz w:val="18"/>
                  <w:szCs w:val="18"/>
                  <w:color w:val="0000FF"/>
                  <w:w w:val="93"/>
                </w:rPr>
                <w:t>Ltd.</w:t>
              </w:r>
            </w:hyperlink>
          </w:p>
        </w:tc>
        <w:tc>
          <w:tcPr>
            <w:tcW w:w="4040" w:type="dxa"/>
            <w:vAlign w:val="bottom"/>
            <w:tcBorders>
              <w:top w:val="single" w:sz="8" w:color="0000FF"/>
            </w:tcBorders>
            <w:gridSpan w:val="16"/>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3.2</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rPr>
            </w:pPr>
            <w:hyperlink r:id="rId131">
              <w:r>
                <w:rPr>
                  <w:rFonts w:ascii="Arial" w:cs="Arial" w:eastAsia="Arial" w:hAnsi="Arial"/>
                  <w:sz w:val="18"/>
                  <w:szCs w:val="18"/>
                  <w:color w:val="0000FF"/>
                </w:rPr>
                <w:t>Fourth Amended and Restated Bye-Laws of Marvell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3.1</w:t>
            </w:r>
          </w:p>
        </w:tc>
        <w:tc>
          <w:tcPr>
            <w:tcW w:w="1640" w:type="dxa"/>
            <w:vAlign w:val="bottom"/>
          </w:tcPr>
          <w:p>
            <w:pPr>
              <w:ind w:left="300"/>
              <w:spacing w:after="0"/>
              <w:rPr>
                <w:sz w:val="20"/>
                <w:szCs w:val="20"/>
                <w:color w:val="auto"/>
              </w:rPr>
            </w:pPr>
            <w:r>
              <w:rPr>
                <w:rFonts w:ascii="Arial" w:cs="Arial" w:eastAsia="Arial" w:hAnsi="Arial"/>
                <w:sz w:val="18"/>
                <w:szCs w:val="18"/>
                <w:color w:val="auto"/>
              </w:rPr>
              <w:t>11/10/2016</w:t>
            </w: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70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1"/>
              </w:rPr>
            </w:pPr>
            <w:hyperlink r:id="rId131">
              <w:r>
                <w:rPr>
                  <w:rFonts w:ascii="Arial" w:cs="Arial" w:eastAsia="Arial" w:hAnsi="Arial"/>
                  <w:sz w:val="18"/>
                  <w:szCs w:val="18"/>
                  <w:color w:val="0000FF"/>
                  <w:w w:val="91"/>
                </w:rPr>
                <w:t>Technology Group Ltd.</w:t>
              </w:r>
            </w:hyperlink>
          </w:p>
        </w:tc>
        <w:tc>
          <w:tcPr>
            <w:tcW w:w="2080" w:type="dxa"/>
            <w:vAlign w:val="bottom"/>
            <w:tcBorders>
              <w:top w:val="single" w:sz="8" w:color="0000FF"/>
            </w:tcBorders>
            <w:gridSpan w:val="2"/>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gridSpan w:val="4"/>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3.3</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rPr>
            </w:pPr>
            <w:hyperlink r:id="rId132">
              <w:r>
                <w:rPr>
                  <w:rFonts w:ascii="Arial" w:cs="Arial" w:eastAsia="Arial" w:hAnsi="Arial"/>
                  <w:sz w:val="18"/>
                  <w:szCs w:val="18"/>
                  <w:color w:val="0000FF"/>
                </w:rPr>
                <w:t>Memorandum of Increase of Share Capital of Marvell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3.5</w:t>
            </w:r>
          </w:p>
        </w:tc>
        <w:tc>
          <w:tcPr>
            <w:tcW w:w="1640" w:type="dxa"/>
            <w:vAlign w:val="bottom"/>
          </w:tcPr>
          <w:p>
            <w:pPr>
              <w:ind w:left="30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8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91"/>
              </w:rPr>
            </w:pPr>
            <w:hyperlink r:id="rId132">
              <w:r>
                <w:rPr>
                  <w:rFonts w:ascii="Arial" w:cs="Arial" w:eastAsia="Arial" w:hAnsi="Arial"/>
                  <w:sz w:val="18"/>
                  <w:szCs w:val="18"/>
                  <w:color w:val="0000FF"/>
                  <w:w w:val="91"/>
                </w:rPr>
                <w:t>Technology Group Ltd. dated June 29, 2006, June 7,</w:t>
              </w:r>
            </w:hyperlink>
          </w:p>
        </w:tc>
        <w:tc>
          <w:tcPr>
            <w:tcW w:w="340" w:type="dxa"/>
            <w:vAlign w:val="bottom"/>
            <w:tcBorders>
              <w:bottom w:val="single" w:sz="8" w:color="0000FF"/>
            </w:tcBorders>
            <w:gridSpan w:val="5"/>
          </w:tcPr>
          <w:p>
            <w:pPr>
              <w:jc w:val="right"/>
              <w:spacing w:after="0" w:line="156" w:lineRule="exact"/>
              <w:rPr>
                <w:rFonts w:ascii="Arial" w:cs="Arial" w:eastAsia="Arial" w:hAnsi="Arial"/>
                <w:sz w:val="18"/>
                <w:szCs w:val="18"/>
                <w:color w:val="0000FF"/>
                <w:w w:val="70"/>
              </w:rPr>
            </w:pPr>
            <w:hyperlink r:id="rId132">
              <w:r>
                <w:rPr>
                  <w:rFonts w:ascii="Arial" w:cs="Arial" w:eastAsia="Arial" w:hAnsi="Arial"/>
                  <w:sz w:val="18"/>
                  <w:szCs w:val="18"/>
                  <w:color w:val="0000FF"/>
                  <w:w w:val="70"/>
                </w:rPr>
                <w:t>2004,</w:t>
              </w:r>
            </w:hyperlink>
          </w:p>
        </w:tc>
        <w:tc>
          <w:tcPr>
            <w:tcW w:w="10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80" w:type="dxa"/>
            <w:vAlign w:val="bottom"/>
            <w:gridSpan w:val="24"/>
          </w:tcPr>
          <w:p>
            <w:pPr>
              <w:spacing w:after="0" w:line="156" w:lineRule="exact"/>
              <w:rPr>
                <w:rFonts w:ascii="Arial" w:cs="Arial" w:eastAsia="Arial" w:hAnsi="Arial"/>
                <w:sz w:val="18"/>
                <w:szCs w:val="18"/>
                <w:color w:val="0000FF"/>
                <w:w w:val="96"/>
              </w:rPr>
            </w:pPr>
            <w:hyperlink r:id="rId132">
              <w:r>
                <w:rPr>
                  <w:rFonts w:ascii="Arial" w:cs="Arial" w:eastAsia="Arial" w:hAnsi="Arial"/>
                  <w:sz w:val="18"/>
                  <w:szCs w:val="18"/>
                  <w:color w:val="0000FF"/>
                  <w:w w:val="96"/>
                </w:rPr>
                <w:t>April 25, 2000, July 16, 1999, July 22, 1998, September 26,</w:t>
              </w:r>
            </w:hyperlink>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6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89"/>
              </w:rPr>
            </w:pPr>
            <w:hyperlink r:id="rId132">
              <w:r>
                <w:rPr>
                  <w:rFonts w:ascii="Arial" w:cs="Arial" w:eastAsia="Arial" w:hAnsi="Arial"/>
                  <w:sz w:val="18"/>
                  <w:szCs w:val="18"/>
                  <w:color w:val="0000FF"/>
                  <w:w w:val="89"/>
                </w:rPr>
                <w:t>1996 and March 10, 1995</w:t>
              </w:r>
            </w:hyperlink>
          </w:p>
        </w:tc>
        <w:tc>
          <w:tcPr>
            <w:tcW w:w="2460" w:type="dxa"/>
            <w:vAlign w:val="bottom"/>
            <w:tcBorders>
              <w:top w:val="single" w:sz="8" w:color="0000FF"/>
            </w:tcBorders>
            <w:gridSpan w:val="8"/>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3.4</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rPr>
            </w:pPr>
            <w:hyperlink r:id="rId133">
              <w:r>
                <w:rPr>
                  <w:rFonts w:ascii="Arial" w:cs="Arial" w:eastAsia="Arial" w:hAnsi="Arial"/>
                  <w:sz w:val="18"/>
                  <w:szCs w:val="18"/>
                  <w:color w:val="0000FF"/>
                </w:rPr>
                <w:t>Certificate of Incorporation of Marvell Technology Group</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3.2</w:t>
            </w:r>
          </w:p>
        </w:tc>
        <w:tc>
          <w:tcPr>
            <w:tcW w:w="1640" w:type="dxa"/>
            <w:vAlign w:val="bottom"/>
          </w:tcPr>
          <w:p>
            <w:pPr>
              <w:ind w:left="30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0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93"/>
              </w:rPr>
            </w:pPr>
            <w:hyperlink r:id="rId133">
              <w:r>
                <w:rPr>
                  <w:rFonts w:ascii="Arial" w:cs="Arial" w:eastAsia="Arial" w:hAnsi="Arial"/>
                  <w:sz w:val="18"/>
                  <w:szCs w:val="18"/>
                  <w:color w:val="0000FF"/>
                  <w:w w:val="93"/>
                </w:rPr>
                <w:t>Ltd.</w:t>
              </w:r>
            </w:hyperlink>
          </w:p>
        </w:tc>
        <w:tc>
          <w:tcPr>
            <w:tcW w:w="3880" w:type="dxa"/>
            <w:vAlign w:val="bottom"/>
            <w:tcBorders>
              <w:top w:val="single" w:sz="8" w:color="0000FF"/>
            </w:tcBorders>
            <w:gridSpan w:val="13"/>
          </w:tcPr>
          <w:p>
            <w:pPr>
              <w:spacing w:after="0"/>
              <w:rPr>
                <w:sz w:val="13"/>
                <w:szCs w:val="13"/>
                <w:color w:val="auto"/>
              </w:rPr>
            </w:pPr>
          </w:p>
        </w:tc>
        <w:tc>
          <w:tcPr>
            <w:tcW w:w="180" w:type="dxa"/>
            <w:vAlign w:val="bottom"/>
            <w:gridSpan w:val="4"/>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3.5</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5"/>
              </w:rPr>
            </w:pPr>
            <w:hyperlink r:id="rId134">
              <w:r>
                <w:rPr>
                  <w:rFonts w:ascii="Arial" w:cs="Arial" w:eastAsia="Arial" w:hAnsi="Arial"/>
                  <w:sz w:val="18"/>
                  <w:szCs w:val="18"/>
                  <w:color w:val="0000FF"/>
                  <w:w w:val="95"/>
                </w:rPr>
                <w:t>Memorandum of Reduction of Share Premium dated August</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3.4</w:t>
            </w:r>
          </w:p>
        </w:tc>
        <w:tc>
          <w:tcPr>
            <w:tcW w:w="1640" w:type="dxa"/>
            <w:vAlign w:val="bottom"/>
          </w:tcPr>
          <w:p>
            <w:pPr>
              <w:ind w:left="30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4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6"/>
              </w:rPr>
            </w:pPr>
            <w:hyperlink r:id="rId134">
              <w:r>
                <w:rPr>
                  <w:rFonts w:ascii="Arial" w:cs="Arial" w:eastAsia="Arial" w:hAnsi="Arial"/>
                  <w:sz w:val="18"/>
                  <w:szCs w:val="18"/>
                  <w:color w:val="0000FF"/>
                  <w:w w:val="86"/>
                </w:rPr>
                <w:t>8, 2011</w:t>
              </w:r>
            </w:hyperlink>
          </w:p>
        </w:tc>
        <w:tc>
          <w:tcPr>
            <w:tcW w:w="14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20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26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192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4.1</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6"/>
              </w:rPr>
            </w:pPr>
            <w:hyperlink r:id="rId135">
              <w:r>
                <w:rPr>
                  <w:rFonts w:ascii="Arial" w:cs="Arial" w:eastAsia="Arial" w:hAnsi="Arial"/>
                  <w:sz w:val="18"/>
                  <w:szCs w:val="18"/>
                  <w:color w:val="0000FF"/>
                  <w:w w:val="96"/>
                </w:rPr>
                <w:t>Specimen common share certificate for Marvell Technology</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10-K</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4.1</w:t>
            </w:r>
          </w:p>
        </w:tc>
        <w:tc>
          <w:tcPr>
            <w:tcW w:w="1640" w:type="dxa"/>
            <w:vAlign w:val="bottom"/>
          </w:tcPr>
          <w:p>
            <w:pPr>
              <w:ind w:left="300"/>
              <w:spacing w:after="0"/>
              <w:rPr>
                <w:sz w:val="20"/>
                <w:szCs w:val="20"/>
                <w:color w:val="auto"/>
              </w:rPr>
            </w:pPr>
            <w:r>
              <w:rPr>
                <w:rFonts w:ascii="Arial" w:cs="Arial" w:eastAsia="Arial" w:hAnsi="Arial"/>
                <w:sz w:val="18"/>
                <w:szCs w:val="18"/>
                <w:color w:val="auto"/>
              </w:rPr>
              <w:t>03/29/2018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360" w:type="dxa"/>
            <w:vAlign w:val="bottom"/>
            <w:tcBorders>
              <w:top w:val="single" w:sz="8" w:color="0000FF"/>
            </w:tcBorders>
            <w:gridSpan w:val="18"/>
          </w:tcPr>
          <w:p>
            <w:pPr>
              <w:spacing w:after="0" w:line="156" w:lineRule="exact"/>
              <w:rPr>
                <w:rFonts w:ascii="Arial" w:cs="Arial" w:eastAsia="Arial" w:hAnsi="Arial"/>
                <w:sz w:val="18"/>
                <w:szCs w:val="18"/>
                <w:color w:val="0000FF"/>
              </w:rPr>
            </w:pPr>
            <w:hyperlink r:id="rId135">
              <w:r>
                <w:rPr>
                  <w:rFonts w:ascii="Arial" w:cs="Arial" w:eastAsia="Arial" w:hAnsi="Arial"/>
                  <w:sz w:val="18"/>
                  <w:szCs w:val="18"/>
                  <w:color w:val="0000FF"/>
                </w:rPr>
                <w:t>Group Ltd.</w:t>
              </w:r>
            </w:hyperlink>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3640" w:type="dxa"/>
            <w:vAlign w:val="bottom"/>
            <w:gridSpan w:val="18"/>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040" w:type="dxa"/>
            <w:vAlign w:val="bottom"/>
          </w:tcPr>
          <w:p>
            <w:pPr>
              <w:jc w:val="right"/>
              <w:ind w:right="573"/>
              <w:spacing w:after="0"/>
              <w:rPr>
                <w:sz w:val="20"/>
                <w:szCs w:val="20"/>
                <w:color w:val="auto"/>
              </w:rPr>
            </w:pPr>
            <w:r>
              <w:rPr>
                <w:rFonts w:ascii="Arial" w:cs="Arial" w:eastAsia="Arial" w:hAnsi="Arial"/>
                <w:sz w:val="18"/>
                <w:szCs w:val="18"/>
                <w:color w:val="auto"/>
              </w:rPr>
              <w:t>4.2</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580" w:type="dxa"/>
            <w:vAlign w:val="bottom"/>
            <w:gridSpan w:val="24"/>
          </w:tcPr>
          <w:p>
            <w:pPr>
              <w:spacing w:after="0"/>
              <w:rPr>
                <w:rFonts w:ascii="Arial" w:cs="Arial" w:eastAsia="Arial" w:hAnsi="Arial"/>
                <w:sz w:val="18"/>
                <w:szCs w:val="18"/>
                <w:color w:val="0000FF"/>
                <w:w w:val="92"/>
              </w:rPr>
            </w:pPr>
            <w:hyperlink r:id="rId136">
              <w:r>
                <w:rPr>
                  <w:rFonts w:ascii="Arial" w:cs="Arial" w:eastAsia="Arial" w:hAnsi="Arial"/>
                  <w:sz w:val="18"/>
                  <w:szCs w:val="18"/>
                  <w:color w:val="0000FF"/>
                  <w:w w:val="92"/>
                </w:rPr>
                <w:t>Indenture, dated as of June 22, 2018, by and between Marvell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620" w:type="dxa"/>
            <w:vAlign w:val="bottom"/>
          </w:tcPr>
          <w:p>
            <w:pPr>
              <w:ind w:left="340"/>
              <w:spacing w:after="0"/>
              <w:rPr>
                <w:sz w:val="20"/>
                <w:szCs w:val="20"/>
                <w:color w:val="auto"/>
              </w:rPr>
            </w:pPr>
            <w:r>
              <w:rPr>
                <w:rFonts w:ascii="Arial" w:cs="Arial" w:eastAsia="Arial" w:hAnsi="Arial"/>
                <w:sz w:val="18"/>
                <w:szCs w:val="18"/>
                <w:color w:val="auto"/>
              </w:rPr>
              <w:t>4.1</w:t>
            </w:r>
          </w:p>
        </w:tc>
        <w:tc>
          <w:tcPr>
            <w:tcW w:w="1640" w:type="dxa"/>
            <w:vAlign w:val="bottom"/>
          </w:tcPr>
          <w:p>
            <w:pPr>
              <w:ind w:left="300"/>
              <w:spacing w:after="0"/>
              <w:rPr>
                <w:sz w:val="20"/>
                <w:szCs w:val="20"/>
                <w:color w:val="auto"/>
              </w:rPr>
            </w:pPr>
            <w:r>
              <w:rPr>
                <w:rFonts w:ascii="Arial" w:cs="Arial" w:eastAsia="Arial" w:hAnsi="Arial"/>
                <w:sz w:val="18"/>
                <w:szCs w:val="18"/>
                <w:color w:val="auto"/>
              </w:rPr>
              <w:t>06/22/2018</w:t>
            </w:r>
          </w:p>
        </w:tc>
        <w:tc>
          <w:tcPr>
            <w:tcW w:w="0" w:type="dxa"/>
            <w:vAlign w:val="bottom"/>
          </w:tcPr>
          <w:p>
            <w:pPr>
              <w:spacing w:after="0"/>
              <w:rPr>
                <w:sz w:val="1"/>
                <w:szCs w:val="1"/>
                <w:color w:val="auto"/>
              </w:rPr>
            </w:pPr>
          </w:p>
        </w:tc>
      </w:tr>
      <w:tr>
        <w:trPr>
          <w:trHeight w:val="155"/>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60" w:type="dxa"/>
            <w:vAlign w:val="bottom"/>
            <w:tcBorders>
              <w:top w:val="single" w:sz="8" w:color="0000FF"/>
            </w:tcBorders>
            <w:gridSpan w:val="23"/>
          </w:tcPr>
          <w:p>
            <w:pPr>
              <w:spacing w:after="0" w:line="156" w:lineRule="exact"/>
              <w:rPr>
                <w:rFonts w:ascii="Arial" w:cs="Arial" w:eastAsia="Arial" w:hAnsi="Arial"/>
                <w:sz w:val="18"/>
                <w:szCs w:val="18"/>
                <w:color w:val="0000FF"/>
                <w:w w:val="93"/>
              </w:rPr>
            </w:pPr>
            <w:hyperlink r:id="rId136">
              <w:r>
                <w:rPr>
                  <w:rFonts w:ascii="Arial" w:cs="Arial" w:eastAsia="Arial" w:hAnsi="Arial"/>
                  <w:sz w:val="18"/>
                  <w:szCs w:val="18"/>
                  <w:color w:val="0000FF"/>
                  <w:w w:val="93"/>
                </w:rPr>
                <w:t>Technology Group Ltd. and U.S. Bank National Association,</w:t>
              </w:r>
            </w:hyperlink>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83"/>
              </w:rPr>
            </w:pPr>
            <w:hyperlink r:id="rId136">
              <w:r>
                <w:rPr>
                  <w:rFonts w:ascii="Arial" w:cs="Arial" w:eastAsia="Arial" w:hAnsi="Arial"/>
                  <w:sz w:val="18"/>
                  <w:szCs w:val="18"/>
                  <w:color w:val="0000FF"/>
                  <w:w w:val="83"/>
                </w:rPr>
                <w:t>as trustee</w:t>
              </w:r>
            </w:hyperlink>
          </w:p>
        </w:tc>
        <w:tc>
          <w:tcPr>
            <w:tcW w:w="3760" w:type="dxa"/>
            <w:vAlign w:val="bottom"/>
            <w:tcBorders>
              <w:top w:val="single" w:sz="8" w:color="0000FF"/>
            </w:tcBorders>
            <w:gridSpan w:val="19"/>
          </w:tcPr>
          <w:p>
            <w:pPr>
              <w:spacing w:after="0"/>
              <w:rPr>
                <w:sz w:val="13"/>
                <w:szCs w:val="13"/>
                <w:color w:val="auto"/>
              </w:rPr>
            </w:pPr>
          </w:p>
        </w:tc>
        <w:tc>
          <w:tcPr>
            <w:tcW w:w="14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7"/>
        </w:trPr>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0" w:type="dxa"/>
            <w:vAlign w:val="bottom"/>
            <w:gridSpan w:val="25"/>
          </w:tcPr>
          <w:p>
            <w:pPr>
              <w:jc w:val="right"/>
              <w:ind w:right="60"/>
              <w:spacing w:after="0"/>
              <w:rPr>
                <w:sz w:val="20"/>
                <w:szCs w:val="20"/>
                <w:color w:val="auto"/>
              </w:rPr>
            </w:pPr>
            <w:r>
              <w:rPr>
                <w:rFonts w:ascii="Arial" w:cs="Arial" w:eastAsia="Arial" w:hAnsi="Arial"/>
                <w:sz w:val="18"/>
                <w:szCs w:val="18"/>
                <w:color w:val="auto"/>
              </w:rPr>
              <w:t>101</w:t>
            </w:r>
          </w:p>
        </w:tc>
        <w:tc>
          <w:tcPr>
            <w:tcW w:w="7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104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200" w:type="dxa"/>
            <w:vAlign w:val="bottom"/>
            <w:tcBorders>
              <w:bottom w:val="single" w:sz="8" w:color="9A9A9A"/>
            </w:tcBorders>
          </w:tcPr>
          <w:p>
            <w:pPr>
              <w:spacing w:after="0"/>
              <w:rPr>
                <w:sz w:val="24"/>
                <w:szCs w:val="24"/>
                <w:color w:val="auto"/>
              </w:rPr>
            </w:pPr>
          </w:p>
        </w:tc>
        <w:tc>
          <w:tcPr>
            <w:tcW w:w="44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19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740" w:type="dxa"/>
            <w:vAlign w:val="bottom"/>
            <w:tcBorders>
              <w:bottom w:val="single" w:sz="8" w:color="9A9A9A"/>
            </w:tcBorders>
          </w:tcPr>
          <w:p>
            <w:pPr>
              <w:spacing w:after="0"/>
              <w:rPr>
                <w:sz w:val="24"/>
                <w:szCs w:val="24"/>
                <w:color w:val="auto"/>
              </w:rPr>
            </w:pPr>
          </w:p>
        </w:tc>
        <w:tc>
          <w:tcPr>
            <w:tcW w:w="1420" w:type="dxa"/>
            <w:vAlign w:val="bottom"/>
            <w:tcBorders>
              <w:bottom w:val="single" w:sz="8" w:color="9A9A9A"/>
            </w:tcBorders>
          </w:tcPr>
          <w:p>
            <w:pPr>
              <w:spacing w:after="0"/>
              <w:rPr>
                <w:sz w:val="24"/>
                <w:szCs w:val="24"/>
                <w:color w:val="auto"/>
              </w:rPr>
            </w:pPr>
          </w:p>
        </w:tc>
        <w:tc>
          <w:tcPr>
            <w:tcW w:w="1620" w:type="dxa"/>
            <w:vAlign w:val="bottom"/>
            <w:tcBorders>
              <w:bottom w:val="single" w:sz="8" w:color="9A9A9A"/>
            </w:tcBorders>
          </w:tcPr>
          <w:p>
            <w:pPr>
              <w:spacing w:after="0"/>
              <w:rPr>
                <w:sz w:val="24"/>
                <w:szCs w:val="24"/>
                <w:color w:val="auto"/>
              </w:rPr>
            </w:pPr>
          </w:p>
        </w:tc>
        <w:tc>
          <w:tcPr>
            <w:tcW w:w="16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7">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8">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104" w:name="page105"/>
    <w:bookmarkEnd w:id="104"/>
    <w:tbl>
      <w:tblPr>
        <w:tblLayout w:type="fixed"/>
        <w:tblInd w:w="0" w:type="dxa"/>
        <w:tblCellMar>
          <w:top w:w="0" w:type="dxa"/>
          <w:left w:w="0" w:type="dxa"/>
          <w:bottom w:w="0" w:type="dxa"/>
          <w:right w:w="0" w:type="dxa"/>
        </w:tblCellMar>
      </w:tblPr>
      <w:tr>
        <w:trPr>
          <w:trHeight w:val="207"/>
        </w:trPr>
        <w:tc>
          <w:tcPr>
            <w:tcW w:w="1100" w:type="dxa"/>
            <w:vAlign w:val="bottom"/>
          </w:tcPr>
          <w:p>
            <w:pPr>
              <w:spacing w:after="0"/>
              <w:rPr>
                <w:sz w:val="20"/>
                <w:szCs w:val="20"/>
                <w:color w:val="auto"/>
              </w:rPr>
            </w:pPr>
            <w:r>
              <w:rPr>
                <w:rFonts w:ascii="Arial" w:cs="Arial" w:eastAsia="Arial" w:hAnsi="Arial"/>
                <w:sz w:val="18"/>
                <w:szCs w:val="18"/>
                <w:color w:val="auto"/>
              </w:rPr>
              <w:t>4.3</w:t>
            </w:r>
          </w:p>
        </w:tc>
        <w:tc>
          <w:tcPr>
            <w:tcW w:w="4520" w:type="dxa"/>
            <w:vAlign w:val="bottom"/>
            <w:gridSpan w:val="31"/>
          </w:tcPr>
          <w:p>
            <w:pPr>
              <w:spacing w:after="0"/>
              <w:rPr>
                <w:rFonts w:ascii="Arial" w:cs="Arial" w:eastAsia="Arial" w:hAnsi="Arial"/>
                <w:sz w:val="18"/>
                <w:szCs w:val="18"/>
                <w:color w:val="0000FF"/>
                <w:w w:val="94"/>
              </w:rPr>
            </w:pPr>
            <w:hyperlink r:id="rId139">
              <w:r>
                <w:rPr>
                  <w:rFonts w:ascii="Arial" w:cs="Arial" w:eastAsia="Arial" w:hAnsi="Arial"/>
                  <w:sz w:val="18"/>
                  <w:szCs w:val="18"/>
                  <w:color w:val="0000FF"/>
                  <w:w w:val="94"/>
                </w:rPr>
                <w:t>First Supplemental Indenture, dated as of June 22, 2018, by</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4340" w:type="dxa"/>
            <w:vAlign w:val="bottom"/>
            <w:tcBorders>
              <w:top w:val="single" w:sz="8" w:color="0000FF"/>
              <w:bottom w:val="single" w:sz="8" w:color="0000FF"/>
            </w:tcBorders>
            <w:gridSpan w:val="25"/>
          </w:tcPr>
          <w:p>
            <w:pPr>
              <w:spacing w:after="0" w:line="156" w:lineRule="exact"/>
              <w:rPr>
                <w:rFonts w:ascii="Arial" w:cs="Arial" w:eastAsia="Arial" w:hAnsi="Arial"/>
                <w:sz w:val="18"/>
                <w:szCs w:val="18"/>
                <w:color w:val="0000FF"/>
                <w:w w:val="90"/>
              </w:rPr>
            </w:pPr>
            <w:hyperlink r:id="rId139">
              <w:r>
                <w:rPr>
                  <w:rFonts w:ascii="Arial" w:cs="Arial" w:eastAsia="Arial" w:hAnsi="Arial"/>
                  <w:sz w:val="18"/>
                  <w:szCs w:val="18"/>
                  <w:color w:val="0000FF"/>
                  <w:w w:val="90"/>
                </w:rPr>
                <w:t>and between Marvell Technology Group Ltd. and U.S. Bank</w:t>
              </w:r>
            </w:hyperlink>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2280" w:type="dxa"/>
            <w:vAlign w:val="bottom"/>
            <w:tcBorders>
              <w:bottom w:val="single" w:sz="8" w:color="0000FF"/>
            </w:tcBorders>
            <w:gridSpan w:val="8"/>
          </w:tcPr>
          <w:p>
            <w:pPr>
              <w:spacing w:after="0" w:line="156" w:lineRule="exact"/>
              <w:rPr>
                <w:rFonts w:ascii="Arial" w:cs="Arial" w:eastAsia="Arial" w:hAnsi="Arial"/>
                <w:sz w:val="18"/>
                <w:szCs w:val="18"/>
                <w:color w:val="0000FF"/>
                <w:w w:val="89"/>
              </w:rPr>
            </w:pPr>
            <w:hyperlink r:id="rId139">
              <w:r>
                <w:rPr>
                  <w:rFonts w:ascii="Arial" w:cs="Arial" w:eastAsia="Arial" w:hAnsi="Arial"/>
                  <w:sz w:val="18"/>
                  <w:szCs w:val="18"/>
                  <w:color w:val="0000FF"/>
                  <w:w w:val="89"/>
                </w:rPr>
                <w:t>National Association, as trustee</w:t>
              </w:r>
            </w:hyperlink>
          </w:p>
        </w:tc>
        <w:tc>
          <w:tcPr>
            <w:tcW w:w="2100" w:type="dxa"/>
            <w:vAlign w:val="bottom"/>
            <w:gridSpan w:val="19"/>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614"/>
        </w:trPr>
        <w:tc>
          <w:tcPr>
            <w:tcW w:w="1100" w:type="dxa"/>
            <w:vAlign w:val="bottom"/>
          </w:tcPr>
          <w:p>
            <w:pPr>
              <w:spacing w:after="0"/>
              <w:rPr>
                <w:sz w:val="20"/>
                <w:szCs w:val="20"/>
                <w:color w:val="auto"/>
              </w:rPr>
            </w:pPr>
            <w:r>
              <w:rPr>
                <w:rFonts w:ascii="Arial" w:cs="Arial" w:eastAsia="Arial" w:hAnsi="Arial"/>
                <w:sz w:val="18"/>
                <w:szCs w:val="18"/>
                <w:color w:val="auto"/>
              </w:rPr>
              <w:t>4.4</w:t>
            </w:r>
          </w:p>
        </w:tc>
        <w:tc>
          <w:tcPr>
            <w:tcW w:w="4520" w:type="dxa"/>
            <w:vAlign w:val="bottom"/>
            <w:gridSpan w:val="31"/>
          </w:tcPr>
          <w:p>
            <w:pPr>
              <w:spacing w:after="0"/>
              <w:rPr>
                <w:rFonts w:ascii="Arial" w:cs="Arial" w:eastAsia="Arial" w:hAnsi="Arial"/>
                <w:sz w:val="18"/>
                <w:szCs w:val="18"/>
                <w:color w:val="0000FF"/>
                <w:w w:val="95"/>
              </w:rPr>
            </w:pPr>
            <w:hyperlink r:id="rId139">
              <w:r>
                <w:rPr>
                  <w:rFonts w:ascii="Arial" w:cs="Arial" w:eastAsia="Arial" w:hAnsi="Arial"/>
                  <w:sz w:val="18"/>
                  <w:szCs w:val="18"/>
                  <w:color w:val="0000FF"/>
                  <w:w w:val="95"/>
                </w:rPr>
                <w:t>Form of 4.200% Senior Notes due 2023 (included in Exhibit</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2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3"/>
              </w:rPr>
            </w:pPr>
            <w:hyperlink r:id="rId139">
              <w:r>
                <w:rPr>
                  <w:rFonts w:ascii="Arial" w:cs="Arial" w:eastAsia="Arial" w:hAnsi="Arial"/>
                  <w:sz w:val="18"/>
                  <w:szCs w:val="18"/>
                  <w:color w:val="0000FF"/>
                  <w:w w:val="83"/>
                </w:rPr>
                <w:t>4.</w:t>
              </w:r>
              <w:r>
                <w:rPr>
                  <w:rFonts w:ascii="Arial" w:cs="Arial" w:eastAsia="Arial" w:hAnsi="Arial"/>
                  <w:sz w:val="18"/>
                  <w:szCs w:val="18"/>
                  <w:u w:val="single" w:color="auto"/>
                  <w:color w:val="0000FF"/>
                  <w:w w:val="83"/>
                </w:rPr>
                <w:t>3)</w:t>
              </w:r>
            </w:hyperlink>
          </w:p>
        </w:tc>
        <w:tc>
          <w:tcPr>
            <w:tcW w:w="140" w:type="dxa"/>
            <w:vAlign w:val="bottom"/>
            <w:tcBorders>
              <w:top w:val="single" w:sz="8" w:color="0000FF"/>
            </w:tcBorders>
          </w:tcPr>
          <w:p>
            <w:pPr>
              <w:spacing w:after="0"/>
              <w:rPr>
                <w:sz w:val="13"/>
                <w:szCs w:val="13"/>
                <w:color w:val="auto"/>
              </w:rPr>
            </w:pPr>
          </w:p>
        </w:tc>
        <w:tc>
          <w:tcPr>
            <w:tcW w:w="88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5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4.5</w:t>
            </w:r>
          </w:p>
        </w:tc>
        <w:tc>
          <w:tcPr>
            <w:tcW w:w="4520" w:type="dxa"/>
            <w:vAlign w:val="bottom"/>
            <w:gridSpan w:val="31"/>
          </w:tcPr>
          <w:p>
            <w:pPr>
              <w:spacing w:after="0"/>
              <w:rPr>
                <w:rFonts w:ascii="Arial" w:cs="Arial" w:eastAsia="Arial" w:hAnsi="Arial"/>
                <w:sz w:val="18"/>
                <w:szCs w:val="18"/>
                <w:color w:val="0000FF"/>
                <w:w w:val="97"/>
              </w:rPr>
            </w:pPr>
            <w:hyperlink r:id="rId139">
              <w:r>
                <w:rPr>
                  <w:rFonts w:ascii="Arial" w:cs="Arial" w:eastAsia="Arial" w:hAnsi="Arial"/>
                  <w:sz w:val="18"/>
                  <w:szCs w:val="18"/>
                  <w:color w:val="0000FF"/>
                  <w:w w:val="97"/>
                </w:rPr>
                <w:t>Form of 4.87% Senior Notes due 2028 (included in Exhibit</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2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3"/>
              </w:rPr>
            </w:pPr>
            <w:hyperlink r:id="rId139">
              <w:r>
                <w:rPr>
                  <w:rFonts w:ascii="Arial" w:cs="Arial" w:eastAsia="Arial" w:hAnsi="Arial"/>
                  <w:sz w:val="18"/>
                  <w:szCs w:val="18"/>
                  <w:color w:val="0000FF"/>
                  <w:w w:val="83"/>
                </w:rPr>
                <w:t>4.</w:t>
              </w:r>
              <w:r>
                <w:rPr>
                  <w:rFonts w:ascii="Arial" w:cs="Arial" w:eastAsia="Arial" w:hAnsi="Arial"/>
                  <w:sz w:val="18"/>
                  <w:szCs w:val="18"/>
                  <w:u w:val="single" w:color="auto"/>
                  <w:color w:val="0000FF"/>
                  <w:w w:val="83"/>
                </w:rPr>
                <w:t>3)</w:t>
              </w:r>
            </w:hyperlink>
          </w:p>
        </w:tc>
        <w:tc>
          <w:tcPr>
            <w:tcW w:w="140" w:type="dxa"/>
            <w:vAlign w:val="bottom"/>
            <w:tcBorders>
              <w:top w:val="single" w:sz="8" w:color="0000FF"/>
            </w:tcBorders>
          </w:tcPr>
          <w:p>
            <w:pPr>
              <w:spacing w:after="0"/>
              <w:rPr>
                <w:sz w:val="13"/>
                <w:szCs w:val="13"/>
                <w:color w:val="auto"/>
              </w:rPr>
            </w:pPr>
          </w:p>
        </w:tc>
        <w:tc>
          <w:tcPr>
            <w:tcW w:w="88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5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4.6</w:t>
            </w:r>
          </w:p>
        </w:tc>
        <w:tc>
          <w:tcPr>
            <w:tcW w:w="4520" w:type="dxa"/>
            <w:vAlign w:val="bottom"/>
            <w:gridSpan w:val="31"/>
          </w:tcPr>
          <w:p>
            <w:pPr>
              <w:spacing w:after="0"/>
              <w:rPr>
                <w:rFonts w:ascii="Arial" w:cs="Arial" w:eastAsia="Arial" w:hAnsi="Arial"/>
                <w:sz w:val="18"/>
                <w:szCs w:val="18"/>
                <w:color w:val="0000FF"/>
                <w:w w:val="96"/>
              </w:rPr>
            </w:pPr>
            <w:hyperlink r:id="rId140">
              <w:r>
                <w:rPr>
                  <w:rFonts w:ascii="Arial" w:cs="Arial" w:eastAsia="Arial" w:hAnsi="Arial"/>
                  <w:sz w:val="18"/>
                  <w:szCs w:val="18"/>
                  <w:color w:val="0000FF"/>
                  <w:w w:val="96"/>
                </w:rPr>
                <w:t>Description of Marvell Securities Registered under Section</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17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0"/>
              </w:rPr>
            </w:pPr>
            <w:hyperlink r:id="rId140">
              <w:r>
                <w:rPr>
                  <w:rFonts w:ascii="Arial" w:cs="Arial" w:eastAsia="Arial" w:hAnsi="Arial"/>
                  <w:sz w:val="18"/>
                  <w:szCs w:val="18"/>
                  <w:color w:val="0000FF"/>
                  <w:w w:val="90"/>
                </w:rPr>
                <w:t>12 of the Exchange Act</w:t>
              </w:r>
            </w:hyperlink>
          </w:p>
        </w:tc>
        <w:tc>
          <w:tcPr>
            <w:tcW w:w="258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9"/>
        </w:trPr>
        <w:tc>
          <w:tcPr>
            <w:tcW w:w="1100" w:type="dxa"/>
            <w:vAlign w:val="bottom"/>
          </w:tcPr>
          <w:p>
            <w:pPr>
              <w:spacing w:after="0"/>
              <w:rPr>
                <w:sz w:val="20"/>
                <w:szCs w:val="20"/>
                <w:color w:val="auto"/>
              </w:rPr>
            </w:pPr>
            <w:r>
              <w:rPr>
                <w:rFonts w:ascii="Arial" w:cs="Arial" w:eastAsia="Arial" w:hAnsi="Arial"/>
                <w:sz w:val="18"/>
                <w:szCs w:val="18"/>
                <w:color w:val="auto"/>
              </w:rPr>
              <w:t>10.2#</w:t>
            </w:r>
          </w:p>
        </w:tc>
        <w:tc>
          <w:tcPr>
            <w:tcW w:w="4520" w:type="dxa"/>
            <w:vAlign w:val="bottom"/>
            <w:gridSpan w:val="31"/>
          </w:tcPr>
          <w:p>
            <w:pPr>
              <w:spacing w:after="0"/>
              <w:rPr>
                <w:rFonts w:ascii="Arial" w:cs="Arial" w:eastAsia="Arial" w:hAnsi="Arial"/>
                <w:sz w:val="18"/>
                <w:szCs w:val="18"/>
                <w:color w:val="0000FF"/>
              </w:rPr>
            </w:pPr>
            <w:hyperlink r:id="rId141">
              <w:r>
                <w:rPr>
                  <w:rFonts w:ascii="Arial" w:cs="Arial" w:eastAsia="Arial" w:hAnsi="Arial"/>
                  <w:sz w:val="18"/>
                  <w:szCs w:val="18"/>
                  <w:color w:val="0000FF"/>
                </w:rPr>
                <w:t>2000 Employee Stock Purchase Plan (as amended and</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390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41">
              <w:r>
                <w:rPr>
                  <w:rFonts w:ascii="Arial" w:cs="Arial" w:eastAsia="Arial" w:hAnsi="Arial"/>
                  <w:sz w:val="18"/>
                  <w:szCs w:val="18"/>
                  <w:color w:val="0000FF"/>
                </w:rPr>
                <w:t>restated as of October 31, 2011)</w:t>
              </w:r>
            </w:hyperlink>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00" w:type="dxa"/>
            <w:vAlign w:val="bottom"/>
          </w:tcPr>
          <w:p>
            <w:pPr>
              <w:spacing w:after="0" w:line="20" w:lineRule="exact"/>
              <w:rPr>
                <w:sz w:val="1"/>
                <w:szCs w:val="1"/>
                <w:color w:val="auto"/>
              </w:rPr>
            </w:pPr>
          </w:p>
        </w:tc>
        <w:tc>
          <w:tcPr>
            <w:tcW w:w="420" w:type="dxa"/>
            <w:vAlign w:val="bottom"/>
            <w:gridSpan w:val="2"/>
            <w:shd w:val="clear" w:color="auto" w:fill="0000FF"/>
          </w:tcPr>
          <w:p>
            <w:pPr>
              <w:spacing w:after="0" w:line="20" w:lineRule="exact"/>
              <w:rPr>
                <w:sz w:val="1"/>
                <w:szCs w:val="1"/>
                <w:color w:val="auto"/>
              </w:rPr>
            </w:pPr>
          </w:p>
        </w:tc>
        <w:tc>
          <w:tcPr>
            <w:tcW w:w="88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10.2.1#</w:t>
            </w:r>
          </w:p>
        </w:tc>
        <w:tc>
          <w:tcPr>
            <w:tcW w:w="4520" w:type="dxa"/>
            <w:vAlign w:val="bottom"/>
            <w:gridSpan w:val="31"/>
          </w:tcPr>
          <w:p>
            <w:pPr>
              <w:spacing w:after="0"/>
              <w:rPr>
                <w:rFonts w:ascii="Arial" w:cs="Arial" w:eastAsia="Arial" w:hAnsi="Arial"/>
                <w:sz w:val="18"/>
                <w:szCs w:val="18"/>
                <w:color w:val="0000FF"/>
                <w:w w:val="96"/>
              </w:rPr>
            </w:pPr>
            <w:hyperlink r:id="rId142">
              <w:r>
                <w:rPr>
                  <w:rFonts w:ascii="Arial" w:cs="Arial" w:eastAsia="Arial" w:hAnsi="Arial"/>
                  <w:sz w:val="18"/>
                  <w:szCs w:val="18"/>
                  <w:color w:val="0000FF"/>
                  <w:w w:val="96"/>
                </w:rPr>
                <w:t>2000 Employee Stock Purchase Plan Form of Subscription</w:t>
              </w:r>
            </w:hyperlink>
          </w:p>
        </w:tc>
        <w:tc>
          <w:tcPr>
            <w:tcW w:w="0" w:type="dxa"/>
            <w:vAlign w:val="bottom"/>
          </w:tcPr>
          <w:p>
            <w:pPr>
              <w:spacing w:after="0"/>
              <w:rPr>
                <w:sz w:val="1"/>
                <w:szCs w:val="1"/>
                <w:color w:val="auto"/>
              </w:rPr>
            </w:pPr>
          </w:p>
        </w:tc>
      </w:tr>
      <w:tr>
        <w:trPr>
          <w:trHeight w:val="169"/>
        </w:trPr>
        <w:tc>
          <w:tcPr>
            <w:tcW w:w="1100" w:type="dxa"/>
            <w:vAlign w:val="bottom"/>
          </w:tcPr>
          <w:p>
            <w:pPr>
              <w:spacing w:after="0"/>
              <w:rPr>
                <w:sz w:val="14"/>
                <w:szCs w:val="14"/>
                <w:color w:val="auto"/>
              </w:rPr>
            </w:pPr>
          </w:p>
        </w:tc>
        <w:tc>
          <w:tcPr>
            <w:tcW w:w="4260" w:type="dxa"/>
            <w:vAlign w:val="bottom"/>
            <w:tcBorders>
              <w:top w:val="single" w:sz="8" w:color="0000FF"/>
            </w:tcBorders>
            <w:gridSpan w:val="21"/>
          </w:tcPr>
          <w:p>
            <w:pPr>
              <w:spacing w:after="0" w:line="169" w:lineRule="exact"/>
              <w:rPr>
                <w:rFonts w:ascii="Arial" w:cs="Arial" w:eastAsia="Arial" w:hAnsi="Arial"/>
                <w:sz w:val="18"/>
                <w:szCs w:val="18"/>
                <w:color w:val="0000FF"/>
              </w:rPr>
            </w:pPr>
            <w:hyperlink r:id="rId142">
              <w:r>
                <w:rPr>
                  <w:rFonts w:ascii="Arial" w:cs="Arial" w:eastAsia="Arial" w:hAnsi="Arial"/>
                  <w:sz w:val="18"/>
                  <w:szCs w:val="18"/>
                  <w:color w:val="0000FF"/>
                </w:rPr>
                <w:t>Agreement as amended September 2020</w:t>
              </w:r>
            </w:hyperlink>
          </w:p>
        </w:tc>
        <w:tc>
          <w:tcPr>
            <w:tcW w:w="4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gridSpan w:val="2"/>
          </w:tcPr>
          <w:p>
            <w:pPr>
              <w:spacing w:after="0"/>
              <w:rPr>
                <w:sz w:val="14"/>
                <w:szCs w:val="14"/>
                <w:color w:val="auto"/>
              </w:rPr>
            </w:pPr>
          </w:p>
        </w:tc>
        <w:tc>
          <w:tcPr>
            <w:tcW w:w="4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00" w:type="dxa"/>
            <w:vAlign w:val="bottom"/>
            <w:vMerge w:val="restart"/>
          </w:tcPr>
          <w:p>
            <w:pPr>
              <w:spacing w:after="0"/>
              <w:rPr>
                <w:sz w:val="20"/>
                <w:szCs w:val="20"/>
                <w:color w:val="auto"/>
              </w:rPr>
            </w:pPr>
            <w:r>
              <w:rPr>
                <w:rFonts w:ascii="Arial" w:cs="Arial" w:eastAsia="Arial" w:hAnsi="Arial"/>
                <w:sz w:val="18"/>
                <w:szCs w:val="18"/>
                <w:color w:val="auto"/>
              </w:rPr>
              <w:t>10.3#</w:t>
            </w:r>
          </w:p>
        </w:tc>
        <w:tc>
          <w:tcPr>
            <w:tcW w:w="420" w:type="dxa"/>
            <w:vAlign w:val="bottom"/>
            <w:gridSpan w:val="2"/>
            <w:shd w:val="clear" w:color="auto" w:fill="0000FF"/>
          </w:tcPr>
          <w:p>
            <w:pPr>
              <w:spacing w:after="0" w:line="20" w:lineRule="exact"/>
              <w:rPr>
                <w:sz w:val="1"/>
                <w:szCs w:val="1"/>
                <w:color w:val="auto"/>
              </w:rPr>
            </w:pPr>
          </w:p>
        </w:tc>
        <w:tc>
          <w:tcPr>
            <w:tcW w:w="88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80" w:type="dxa"/>
            <w:vAlign w:val="bottom"/>
            <w:gridSpan w:val="3"/>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98"/>
        </w:trPr>
        <w:tc>
          <w:tcPr>
            <w:tcW w:w="1100" w:type="dxa"/>
            <w:vAlign w:val="bottom"/>
            <w:vMerge w:val="continue"/>
          </w:tcPr>
          <w:p>
            <w:pPr>
              <w:spacing w:after="0"/>
              <w:rPr>
                <w:sz w:val="24"/>
                <w:szCs w:val="24"/>
                <w:color w:val="auto"/>
              </w:rPr>
            </w:pPr>
          </w:p>
        </w:tc>
        <w:tc>
          <w:tcPr>
            <w:tcW w:w="4520" w:type="dxa"/>
            <w:vAlign w:val="bottom"/>
            <w:gridSpan w:val="31"/>
          </w:tcPr>
          <w:p>
            <w:pPr>
              <w:spacing w:after="0"/>
              <w:rPr>
                <w:rFonts w:ascii="Arial" w:cs="Arial" w:eastAsia="Arial" w:hAnsi="Arial"/>
                <w:sz w:val="18"/>
                <w:szCs w:val="18"/>
                <w:color w:val="0000FF"/>
                <w:w w:val="96"/>
              </w:rPr>
            </w:pPr>
            <w:hyperlink r:id="rId143">
              <w:r>
                <w:rPr>
                  <w:rFonts w:ascii="Arial" w:cs="Arial" w:eastAsia="Arial" w:hAnsi="Arial"/>
                  <w:sz w:val="18"/>
                  <w:szCs w:val="18"/>
                  <w:color w:val="0000FF"/>
                  <w:w w:val="96"/>
                </w:rPr>
                <w:t>Amended and Restated 1995 Stock Option Plan, amended</w:t>
              </w:r>
            </w:hyperlink>
          </w:p>
        </w:tc>
        <w:tc>
          <w:tcPr>
            <w:tcW w:w="0" w:type="dxa"/>
            <w:vAlign w:val="bottom"/>
          </w:tcPr>
          <w:p>
            <w:pPr>
              <w:spacing w:after="0"/>
              <w:rPr>
                <w:sz w:val="1"/>
                <w:szCs w:val="1"/>
                <w:color w:val="auto"/>
              </w:rPr>
            </w:pPr>
          </w:p>
        </w:tc>
      </w:tr>
      <w:tr>
        <w:trPr>
          <w:trHeight w:val="183"/>
        </w:trPr>
        <w:tc>
          <w:tcPr>
            <w:tcW w:w="1100" w:type="dxa"/>
            <w:vAlign w:val="bottom"/>
          </w:tcPr>
          <w:p>
            <w:pPr>
              <w:spacing w:after="0"/>
              <w:rPr>
                <w:sz w:val="15"/>
                <w:szCs w:val="15"/>
                <w:color w:val="auto"/>
              </w:rPr>
            </w:pPr>
          </w:p>
        </w:tc>
        <w:tc>
          <w:tcPr>
            <w:tcW w:w="1780" w:type="dxa"/>
            <w:vAlign w:val="bottom"/>
            <w:tcBorders>
              <w:top w:val="single" w:sz="8" w:color="0000FF"/>
              <w:bottom w:val="single" w:sz="8" w:color="0000FF"/>
            </w:tcBorders>
            <w:gridSpan w:val="7"/>
          </w:tcPr>
          <w:p>
            <w:pPr>
              <w:spacing w:after="0" w:line="182" w:lineRule="exact"/>
              <w:rPr>
                <w:rFonts w:ascii="Arial" w:cs="Arial" w:eastAsia="Arial" w:hAnsi="Arial"/>
                <w:sz w:val="18"/>
                <w:szCs w:val="18"/>
                <w:color w:val="0000FF"/>
                <w:w w:val="88"/>
              </w:rPr>
            </w:pPr>
            <w:hyperlink r:id="rId143">
              <w:r>
                <w:rPr>
                  <w:rFonts w:ascii="Arial" w:cs="Arial" w:eastAsia="Arial" w:hAnsi="Arial"/>
                  <w:sz w:val="18"/>
                  <w:szCs w:val="18"/>
                  <w:color w:val="0000FF"/>
                  <w:w w:val="88"/>
                </w:rPr>
                <w:t>through September 2020</w:t>
              </w:r>
            </w:hyperlink>
          </w:p>
        </w:tc>
        <w:tc>
          <w:tcPr>
            <w:tcW w:w="2420" w:type="dxa"/>
            <w:vAlign w:val="bottom"/>
            <w:tcBorders>
              <w:top w:val="single" w:sz="8" w:color="0000FF"/>
            </w:tcBorders>
            <w:gridSpan w:val="11"/>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gridSpan w:val="2"/>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gridSpan w:val="2"/>
          </w:tcPr>
          <w:p>
            <w:pPr>
              <w:spacing w:after="0"/>
              <w:rPr>
                <w:sz w:val="15"/>
                <w:szCs w:val="15"/>
                <w:color w:val="auto"/>
              </w:rPr>
            </w:pPr>
          </w:p>
        </w:tc>
        <w:tc>
          <w:tcPr>
            <w:tcW w:w="40" w:type="dxa"/>
            <w:vAlign w:val="bottom"/>
            <w:gridSpan w:val="2"/>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99"/>
        </w:trPr>
        <w:tc>
          <w:tcPr>
            <w:tcW w:w="1100" w:type="dxa"/>
            <w:vAlign w:val="bottom"/>
          </w:tcPr>
          <w:p>
            <w:pPr>
              <w:spacing w:after="0"/>
              <w:rPr>
                <w:sz w:val="20"/>
                <w:szCs w:val="20"/>
                <w:color w:val="auto"/>
              </w:rPr>
            </w:pPr>
            <w:r>
              <w:rPr>
                <w:rFonts w:ascii="Arial" w:cs="Arial" w:eastAsia="Arial" w:hAnsi="Arial"/>
                <w:sz w:val="18"/>
                <w:szCs w:val="18"/>
                <w:color w:val="auto"/>
              </w:rPr>
              <w:t>10.3.1#</w:t>
            </w:r>
          </w:p>
        </w:tc>
        <w:tc>
          <w:tcPr>
            <w:tcW w:w="4520" w:type="dxa"/>
            <w:vAlign w:val="bottom"/>
            <w:gridSpan w:val="31"/>
          </w:tcPr>
          <w:p>
            <w:pPr>
              <w:spacing w:after="0"/>
              <w:rPr>
                <w:rFonts w:ascii="Arial" w:cs="Arial" w:eastAsia="Arial" w:hAnsi="Arial"/>
                <w:sz w:val="18"/>
                <w:szCs w:val="18"/>
                <w:color w:val="0000FF"/>
                <w:w w:val="97"/>
              </w:rPr>
            </w:pPr>
            <w:hyperlink r:id="rId144">
              <w:r>
                <w:rPr>
                  <w:rFonts w:ascii="Arial" w:cs="Arial" w:eastAsia="Arial" w:hAnsi="Arial"/>
                  <w:sz w:val="18"/>
                  <w:szCs w:val="18"/>
                  <w:color w:val="0000FF"/>
                  <w:w w:val="97"/>
                </w:rPr>
                <w:t>Form of Stock Unit Agreement and Notice of Grant for use</w:t>
              </w:r>
            </w:hyperlink>
          </w:p>
        </w:tc>
        <w:tc>
          <w:tcPr>
            <w:tcW w:w="0" w:type="dxa"/>
            <w:vAlign w:val="bottom"/>
          </w:tcPr>
          <w:p>
            <w:pPr>
              <w:spacing w:after="0"/>
              <w:rPr>
                <w:sz w:val="1"/>
                <w:szCs w:val="1"/>
                <w:color w:val="auto"/>
              </w:rPr>
            </w:pPr>
          </w:p>
        </w:tc>
      </w:tr>
      <w:tr>
        <w:trPr>
          <w:trHeight w:val="183"/>
        </w:trPr>
        <w:tc>
          <w:tcPr>
            <w:tcW w:w="1100" w:type="dxa"/>
            <w:vAlign w:val="bottom"/>
          </w:tcPr>
          <w:p>
            <w:pPr>
              <w:spacing w:after="0"/>
              <w:rPr>
                <w:sz w:val="15"/>
                <w:szCs w:val="15"/>
                <w:color w:val="auto"/>
              </w:rPr>
            </w:pPr>
          </w:p>
        </w:tc>
        <w:tc>
          <w:tcPr>
            <w:tcW w:w="4300" w:type="dxa"/>
            <w:vAlign w:val="bottom"/>
            <w:tcBorders>
              <w:top w:val="single" w:sz="8" w:color="0000FF"/>
            </w:tcBorders>
            <w:gridSpan w:val="23"/>
          </w:tcPr>
          <w:p>
            <w:pPr>
              <w:spacing w:after="0" w:line="182" w:lineRule="exact"/>
              <w:rPr>
                <w:rFonts w:ascii="Arial" w:cs="Arial" w:eastAsia="Arial" w:hAnsi="Arial"/>
                <w:sz w:val="18"/>
                <w:szCs w:val="18"/>
                <w:color w:val="0000FF"/>
                <w:w w:val="95"/>
              </w:rPr>
            </w:pPr>
            <w:hyperlink r:id="rId144">
              <w:r>
                <w:rPr>
                  <w:rFonts w:ascii="Arial" w:cs="Arial" w:eastAsia="Arial" w:hAnsi="Arial"/>
                  <w:sz w:val="18"/>
                  <w:szCs w:val="18"/>
                  <w:color w:val="0000FF"/>
                  <w:w w:val="95"/>
                </w:rPr>
                <w:t>with 1995 Stock Option Plan (amended as of September</w:t>
              </w:r>
            </w:hyperlink>
          </w:p>
        </w:tc>
        <w:tc>
          <w:tcPr>
            <w:tcW w:w="20" w:type="dxa"/>
            <w:vAlign w:val="bottom"/>
          </w:tcPr>
          <w:p>
            <w:pPr>
              <w:spacing w:after="0"/>
              <w:rPr>
                <w:sz w:val="15"/>
                <w:szCs w:val="15"/>
                <w:color w:val="auto"/>
              </w:rPr>
            </w:pPr>
          </w:p>
        </w:tc>
        <w:tc>
          <w:tcPr>
            <w:tcW w:w="40" w:type="dxa"/>
            <w:vAlign w:val="bottom"/>
            <w:gridSpan w:val="2"/>
          </w:tcPr>
          <w:p>
            <w:pPr>
              <w:spacing w:after="0"/>
              <w:rPr>
                <w:sz w:val="15"/>
                <w:szCs w:val="15"/>
                <w:color w:val="auto"/>
              </w:rPr>
            </w:pPr>
          </w:p>
        </w:tc>
        <w:tc>
          <w:tcPr>
            <w:tcW w:w="40" w:type="dxa"/>
            <w:vAlign w:val="bottom"/>
            <w:gridSpan w:val="2"/>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1100" w:type="dxa"/>
            <w:vAlign w:val="bottom"/>
          </w:tcPr>
          <w:p>
            <w:pPr>
              <w:spacing w:after="0"/>
              <w:rPr>
                <w:sz w:val="15"/>
                <w:szCs w:val="15"/>
                <w:color w:val="auto"/>
              </w:rPr>
            </w:pPr>
          </w:p>
        </w:tc>
        <w:tc>
          <w:tcPr>
            <w:tcW w:w="1300" w:type="dxa"/>
            <w:vAlign w:val="bottom"/>
            <w:tcBorders>
              <w:top w:val="single" w:sz="8" w:color="0000FF"/>
            </w:tcBorders>
            <w:gridSpan w:val="3"/>
          </w:tcPr>
          <w:p>
            <w:pPr>
              <w:spacing w:after="0" w:line="182" w:lineRule="exact"/>
              <w:rPr>
                <w:rFonts w:ascii="Arial" w:cs="Arial" w:eastAsia="Arial" w:hAnsi="Arial"/>
                <w:sz w:val="18"/>
                <w:szCs w:val="18"/>
                <w:color w:val="0000FF"/>
              </w:rPr>
            </w:pPr>
            <w:hyperlink r:id="rId144">
              <w:r>
                <w:rPr>
                  <w:rFonts w:ascii="Arial" w:cs="Arial" w:eastAsia="Arial" w:hAnsi="Arial"/>
                  <w:sz w:val="18"/>
                  <w:szCs w:val="18"/>
                  <w:color w:val="0000FF"/>
                </w:rPr>
                <w:t>2020)</w:t>
              </w:r>
            </w:hyperlink>
          </w:p>
        </w:tc>
        <w:tc>
          <w:tcPr>
            <w:tcW w:w="240" w:type="dxa"/>
            <w:vAlign w:val="bottom"/>
            <w:tcBorders>
              <w:top w:val="single" w:sz="8" w:color="0000FF"/>
            </w:tcBorders>
          </w:tcPr>
          <w:p>
            <w:pPr>
              <w:spacing w:after="0"/>
              <w:rPr>
                <w:sz w:val="15"/>
                <w:szCs w:val="15"/>
                <w:color w:val="auto"/>
              </w:rPr>
            </w:pPr>
          </w:p>
        </w:tc>
        <w:tc>
          <w:tcPr>
            <w:tcW w:w="160" w:type="dxa"/>
            <w:vAlign w:val="bottom"/>
            <w:tcBorders>
              <w:top w:val="single" w:sz="8" w:color="0000FF"/>
            </w:tcBorders>
          </w:tcPr>
          <w:p>
            <w:pPr>
              <w:spacing w:after="0"/>
              <w:rPr>
                <w:sz w:val="15"/>
                <w:szCs w:val="15"/>
                <w:color w:val="auto"/>
              </w:rPr>
            </w:pPr>
          </w:p>
        </w:tc>
        <w:tc>
          <w:tcPr>
            <w:tcW w:w="20" w:type="dxa"/>
            <w:vAlign w:val="bottom"/>
            <w:tcBorders>
              <w:top w:val="single" w:sz="8" w:color="0000FF"/>
            </w:tcBorders>
          </w:tcPr>
          <w:p>
            <w:pPr>
              <w:spacing w:after="0"/>
              <w:rPr>
                <w:sz w:val="15"/>
                <w:szCs w:val="15"/>
                <w:color w:val="auto"/>
              </w:rPr>
            </w:pPr>
          </w:p>
        </w:tc>
        <w:tc>
          <w:tcPr>
            <w:tcW w:w="60" w:type="dxa"/>
            <w:vAlign w:val="bottom"/>
            <w:tcBorders>
              <w:top w:val="single" w:sz="8" w:color="0000FF"/>
            </w:tcBorders>
          </w:tcPr>
          <w:p>
            <w:pPr>
              <w:spacing w:after="0"/>
              <w:rPr>
                <w:sz w:val="15"/>
                <w:szCs w:val="15"/>
                <w:color w:val="auto"/>
              </w:rPr>
            </w:pPr>
          </w:p>
        </w:tc>
        <w:tc>
          <w:tcPr>
            <w:tcW w:w="500" w:type="dxa"/>
            <w:vAlign w:val="bottom"/>
            <w:tcBorders>
              <w:top w:val="single" w:sz="8" w:color="0000FF"/>
            </w:tcBorders>
          </w:tcPr>
          <w:p>
            <w:pPr>
              <w:spacing w:after="0"/>
              <w:rPr>
                <w:sz w:val="15"/>
                <w:szCs w:val="15"/>
                <w:color w:val="auto"/>
              </w:rPr>
            </w:pPr>
          </w:p>
        </w:tc>
        <w:tc>
          <w:tcPr>
            <w:tcW w:w="20" w:type="dxa"/>
            <w:vAlign w:val="bottom"/>
            <w:tcBorders>
              <w:top w:val="single" w:sz="8" w:color="0000FF"/>
            </w:tcBorders>
          </w:tcPr>
          <w:p>
            <w:pPr>
              <w:spacing w:after="0"/>
              <w:rPr>
                <w:sz w:val="15"/>
                <w:szCs w:val="15"/>
                <w:color w:val="auto"/>
              </w:rPr>
            </w:pPr>
          </w:p>
        </w:tc>
        <w:tc>
          <w:tcPr>
            <w:tcW w:w="160" w:type="dxa"/>
            <w:vAlign w:val="bottom"/>
            <w:tcBorders>
              <w:top w:val="single" w:sz="8" w:color="0000FF"/>
            </w:tcBorders>
          </w:tcPr>
          <w:p>
            <w:pPr>
              <w:spacing w:after="0"/>
              <w:rPr>
                <w:sz w:val="15"/>
                <w:szCs w:val="15"/>
                <w:color w:val="auto"/>
              </w:rPr>
            </w:pPr>
          </w:p>
        </w:tc>
        <w:tc>
          <w:tcPr>
            <w:tcW w:w="440" w:type="dxa"/>
            <w:vAlign w:val="bottom"/>
            <w:tcBorders>
              <w:top w:val="single" w:sz="8" w:color="0000FF"/>
            </w:tcBorders>
          </w:tcPr>
          <w:p>
            <w:pPr>
              <w:spacing w:after="0"/>
              <w:rPr>
                <w:sz w:val="15"/>
                <w:szCs w:val="15"/>
                <w:color w:val="auto"/>
              </w:rPr>
            </w:pPr>
          </w:p>
        </w:tc>
        <w:tc>
          <w:tcPr>
            <w:tcW w:w="940" w:type="dxa"/>
            <w:vAlign w:val="bottom"/>
            <w:tcBorders>
              <w:top w:val="single" w:sz="8" w:color="0000FF"/>
            </w:tcBorders>
          </w:tcPr>
          <w:p>
            <w:pPr>
              <w:spacing w:after="0"/>
              <w:rPr>
                <w:sz w:val="15"/>
                <w:szCs w:val="15"/>
                <w:color w:val="auto"/>
              </w:rPr>
            </w:pPr>
          </w:p>
        </w:tc>
        <w:tc>
          <w:tcPr>
            <w:tcW w:w="60" w:type="dxa"/>
            <w:vAlign w:val="bottom"/>
            <w:tcBorders>
              <w:top w:val="single" w:sz="8" w:color="0000FF"/>
            </w:tcBorders>
          </w:tcPr>
          <w:p>
            <w:pPr>
              <w:spacing w:after="0"/>
              <w:rPr>
                <w:sz w:val="15"/>
                <w:szCs w:val="15"/>
                <w:color w:val="auto"/>
              </w:rPr>
            </w:pPr>
          </w:p>
        </w:tc>
        <w:tc>
          <w:tcPr>
            <w:tcW w:w="120" w:type="dxa"/>
            <w:vAlign w:val="bottom"/>
            <w:tcBorders>
              <w:top w:val="single" w:sz="8" w:color="0000FF"/>
            </w:tcBorders>
          </w:tcPr>
          <w:p>
            <w:pPr>
              <w:spacing w:after="0"/>
              <w:rPr>
                <w:sz w:val="15"/>
                <w:szCs w:val="15"/>
                <w:color w:val="auto"/>
              </w:rPr>
            </w:pPr>
          </w:p>
        </w:tc>
        <w:tc>
          <w:tcPr>
            <w:tcW w:w="20" w:type="dxa"/>
            <w:vAlign w:val="bottom"/>
            <w:tcBorders>
              <w:top w:val="single" w:sz="8" w:color="0000FF"/>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1100" w:type="dxa"/>
            <w:vAlign w:val="bottom"/>
          </w:tcPr>
          <w:p>
            <w:pPr>
              <w:spacing w:after="0" w:line="20" w:lineRule="exact"/>
              <w:rPr>
                <w:sz w:val="1"/>
                <w:szCs w:val="1"/>
                <w:color w:val="auto"/>
              </w:rPr>
            </w:pPr>
          </w:p>
        </w:tc>
        <w:tc>
          <w:tcPr>
            <w:tcW w:w="420" w:type="dxa"/>
            <w:vAlign w:val="bottom"/>
            <w:gridSpan w:val="2"/>
            <w:shd w:val="clear" w:color="auto" w:fill="0000FF"/>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740" w:type="dxa"/>
            <w:vAlign w:val="bottom"/>
            <w:gridSpan w:val="4"/>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00" w:type="dxa"/>
            <w:vAlign w:val="bottom"/>
          </w:tcPr>
          <w:p>
            <w:pPr>
              <w:spacing w:after="0"/>
              <w:rPr>
                <w:sz w:val="20"/>
                <w:szCs w:val="20"/>
                <w:color w:val="auto"/>
              </w:rPr>
            </w:pPr>
            <w:r>
              <w:rPr>
                <w:rFonts w:ascii="Arial" w:cs="Arial" w:eastAsia="Arial" w:hAnsi="Arial"/>
                <w:sz w:val="18"/>
                <w:szCs w:val="18"/>
                <w:color w:val="auto"/>
              </w:rPr>
              <w:t>10.3.2#</w:t>
            </w:r>
          </w:p>
        </w:tc>
        <w:tc>
          <w:tcPr>
            <w:tcW w:w="4520" w:type="dxa"/>
            <w:vAlign w:val="bottom"/>
            <w:gridSpan w:val="31"/>
          </w:tcPr>
          <w:p>
            <w:pPr>
              <w:spacing w:after="0"/>
              <w:rPr>
                <w:rFonts w:ascii="Arial" w:cs="Arial" w:eastAsia="Arial" w:hAnsi="Arial"/>
                <w:sz w:val="18"/>
                <w:szCs w:val="18"/>
                <w:color w:val="0000FF"/>
              </w:rPr>
            </w:pPr>
            <w:hyperlink r:id="rId145">
              <w:r>
                <w:rPr>
                  <w:rFonts w:ascii="Arial" w:cs="Arial" w:eastAsia="Arial" w:hAnsi="Arial"/>
                  <w:sz w:val="18"/>
                  <w:szCs w:val="18"/>
                  <w:color w:val="0000FF"/>
                </w:rPr>
                <w:t>Form of Stock Option Agreement and Notice of Grant of</w:t>
              </w:r>
            </w:hyperlink>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4100" w:type="dxa"/>
            <w:vAlign w:val="bottom"/>
            <w:tcBorders>
              <w:top w:val="single" w:sz="8" w:color="0000FF"/>
            </w:tcBorders>
            <w:gridSpan w:val="16"/>
          </w:tcPr>
          <w:p>
            <w:pPr>
              <w:spacing w:after="0" w:line="156" w:lineRule="exact"/>
              <w:rPr>
                <w:rFonts w:ascii="Arial" w:cs="Arial" w:eastAsia="Arial" w:hAnsi="Arial"/>
                <w:sz w:val="18"/>
                <w:szCs w:val="18"/>
                <w:color w:val="0000FF"/>
                <w:w w:val="92"/>
              </w:rPr>
            </w:pPr>
            <w:hyperlink r:id="rId145">
              <w:r>
                <w:rPr>
                  <w:rFonts w:ascii="Arial" w:cs="Arial" w:eastAsia="Arial" w:hAnsi="Arial"/>
                  <w:sz w:val="18"/>
                  <w:szCs w:val="18"/>
                  <w:color w:val="0000FF"/>
                  <w:w w:val="92"/>
                </w:rPr>
                <w:t>Stock Options and Option Agreement for use with 1995</w:t>
              </w:r>
            </w:hyperlink>
          </w:p>
        </w:tc>
        <w:tc>
          <w:tcPr>
            <w:tcW w:w="8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4020" w:type="dxa"/>
            <w:vAlign w:val="bottom"/>
            <w:tcBorders>
              <w:top w:val="single" w:sz="8" w:color="0000FF"/>
            </w:tcBorders>
            <w:gridSpan w:val="14"/>
          </w:tcPr>
          <w:p>
            <w:pPr>
              <w:spacing w:after="0" w:line="156" w:lineRule="exact"/>
              <w:rPr>
                <w:rFonts w:ascii="Arial" w:cs="Arial" w:eastAsia="Arial" w:hAnsi="Arial"/>
                <w:sz w:val="18"/>
                <w:szCs w:val="18"/>
                <w:color w:val="0000FF"/>
                <w:w w:val="91"/>
              </w:rPr>
            </w:pPr>
            <w:hyperlink r:id="rId145">
              <w:r>
                <w:rPr>
                  <w:rFonts w:ascii="Arial" w:cs="Arial" w:eastAsia="Arial" w:hAnsi="Arial"/>
                  <w:sz w:val="18"/>
                  <w:szCs w:val="18"/>
                  <w:color w:val="0000FF"/>
                  <w:w w:val="91"/>
                </w:rPr>
                <w:t>Stock Option Plan (for options granted after September</w:t>
              </w:r>
            </w:hyperlink>
          </w:p>
        </w:tc>
        <w:tc>
          <w:tcPr>
            <w:tcW w:w="300" w:type="dxa"/>
            <w:vAlign w:val="bottom"/>
            <w:gridSpan w:val="10"/>
          </w:tcPr>
          <w:p>
            <w:pPr>
              <w:jc w:val="right"/>
              <w:ind w:right="60"/>
              <w:spacing w:after="0" w:line="156" w:lineRule="exact"/>
              <w:rPr>
                <w:rFonts w:ascii="Arial" w:cs="Arial" w:eastAsia="Arial" w:hAnsi="Arial"/>
                <w:sz w:val="18"/>
                <w:szCs w:val="18"/>
                <w:color w:val="0000FF"/>
                <w:w w:val="87"/>
              </w:rPr>
            </w:pPr>
            <w:hyperlink r:id="rId145">
              <w:r>
                <w:rPr>
                  <w:rFonts w:ascii="Arial" w:cs="Arial" w:eastAsia="Arial" w:hAnsi="Arial"/>
                  <w:sz w:val="18"/>
                  <w:szCs w:val="18"/>
                  <w:color w:val="0000FF"/>
                  <w:w w:val="87"/>
                </w:rPr>
                <w:t>20,</w:t>
              </w:r>
            </w:hyperlink>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1300" w:type="dxa"/>
            <w:vAlign w:val="bottom"/>
            <w:tcBorders>
              <w:top w:val="single" w:sz="8" w:color="0000FF"/>
            </w:tcBorders>
            <w:gridSpan w:val="3"/>
          </w:tcPr>
          <w:p>
            <w:pPr>
              <w:spacing w:after="0" w:line="156" w:lineRule="exact"/>
              <w:rPr>
                <w:rFonts w:ascii="Arial" w:cs="Arial" w:eastAsia="Arial" w:hAnsi="Arial"/>
                <w:sz w:val="18"/>
                <w:szCs w:val="18"/>
                <w:color w:val="0000FF"/>
              </w:rPr>
            </w:pPr>
            <w:hyperlink r:id="rId145">
              <w:r>
                <w:rPr>
                  <w:rFonts w:ascii="Arial" w:cs="Arial" w:eastAsia="Arial" w:hAnsi="Arial"/>
                  <w:sz w:val="18"/>
                  <w:szCs w:val="18"/>
                  <w:color w:val="0000FF"/>
                </w:rPr>
                <w:t>2013)</w:t>
              </w:r>
            </w:hyperlink>
          </w:p>
        </w:tc>
        <w:tc>
          <w:tcPr>
            <w:tcW w:w="2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5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00" w:type="dxa"/>
            <w:vAlign w:val="bottom"/>
          </w:tcPr>
          <w:p>
            <w:pPr>
              <w:spacing w:after="0" w:line="20" w:lineRule="exact"/>
              <w:rPr>
                <w:sz w:val="1"/>
                <w:szCs w:val="1"/>
                <w:color w:val="auto"/>
              </w:rPr>
            </w:pPr>
          </w:p>
        </w:tc>
        <w:tc>
          <w:tcPr>
            <w:tcW w:w="420" w:type="dxa"/>
            <w:vAlign w:val="bottom"/>
            <w:gridSpan w:val="2"/>
            <w:shd w:val="clear" w:color="auto" w:fill="0000FF"/>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740" w:type="dxa"/>
            <w:vAlign w:val="bottom"/>
            <w:gridSpan w:val="4"/>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340" w:type="dxa"/>
            <w:vAlign w:val="bottom"/>
            <w:gridSpan w:val="5"/>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10.3.3#</w:t>
            </w:r>
          </w:p>
        </w:tc>
        <w:tc>
          <w:tcPr>
            <w:tcW w:w="4520" w:type="dxa"/>
            <w:vAlign w:val="bottom"/>
            <w:gridSpan w:val="31"/>
          </w:tcPr>
          <w:p>
            <w:pPr>
              <w:spacing w:after="0"/>
              <w:rPr>
                <w:rFonts w:ascii="Arial" w:cs="Arial" w:eastAsia="Arial" w:hAnsi="Arial"/>
                <w:sz w:val="18"/>
                <w:szCs w:val="18"/>
                <w:color w:val="0000FF"/>
                <w:w w:val="93"/>
              </w:rPr>
            </w:pPr>
            <w:hyperlink r:id="rId146">
              <w:r>
                <w:rPr>
                  <w:rFonts w:ascii="Arial" w:cs="Arial" w:eastAsia="Arial" w:hAnsi="Arial"/>
                  <w:sz w:val="18"/>
                  <w:szCs w:val="18"/>
                  <w:color w:val="0000FF"/>
                  <w:w w:val="93"/>
                </w:rPr>
                <w:t>Form of Stock Unit Agreement and Notice of Grant of Award</w:t>
              </w:r>
            </w:hyperlink>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4440" w:type="dxa"/>
            <w:vAlign w:val="bottom"/>
            <w:tcBorders>
              <w:top w:val="single" w:sz="8" w:color="0000FF"/>
            </w:tcBorders>
            <w:gridSpan w:val="30"/>
          </w:tcPr>
          <w:p>
            <w:pPr>
              <w:spacing w:after="0" w:line="156" w:lineRule="exact"/>
              <w:rPr>
                <w:rFonts w:ascii="Arial" w:cs="Arial" w:eastAsia="Arial" w:hAnsi="Arial"/>
                <w:sz w:val="18"/>
                <w:szCs w:val="18"/>
                <w:color w:val="0000FF"/>
              </w:rPr>
            </w:pPr>
            <w:hyperlink r:id="rId146">
              <w:r>
                <w:rPr>
                  <w:rFonts w:ascii="Arial" w:cs="Arial" w:eastAsia="Arial" w:hAnsi="Arial"/>
                  <w:sz w:val="18"/>
                  <w:szCs w:val="18"/>
                  <w:color w:val="0000FF"/>
                </w:rPr>
                <w:t>and Award Agreement for use with the Amended and</w:t>
              </w:r>
            </w:hyperlink>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3840" w:type="dxa"/>
            <w:vAlign w:val="bottom"/>
            <w:tcBorders>
              <w:top w:val="single" w:sz="8" w:color="0000FF"/>
            </w:tcBorders>
            <w:gridSpan w:val="12"/>
          </w:tcPr>
          <w:p>
            <w:pPr>
              <w:spacing w:after="0" w:line="156" w:lineRule="exact"/>
              <w:rPr>
                <w:rFonts w:ascii="Arial" w:cs="Arial" w:eastAsia="Arial" w:hAnsi="Arial"/>
                <w:sz w:val="18"/>
                <w:szCs w:val="18"/>
                <w:color w:val="0000FF"/>
                <w:w w:val="91"/>
              </w:rPr>
            </w:pPr>
            <w:hyperlink r:id="rId146">
              <w:r>
                <w:rPr>
                  <w:rFonts w:ascii="Arial" w:cs="Arial" w:eastAsia="Arial" w:hAnsi="Arial"/>
                  <w:sz w:val="18"/>
                  <w:szCs w:val="18"/>
                  <w:color w:val="0000FF"/>
                  <w:w w:val="91"/>
                </w:rPr>
                <w:t>Restated 1995 Stock Option Plan (for RSUs granted</w:t>
              </w:r>
            </w:hyperlink>
          </w:p>
        </w:tc>
        <w:tc>
          <w:tcPr>
            <w:tcW w:w="680" w:type="dxa"/>
            <w:vAlign w:val="bottom"/>
            <w:gridSpan w:val="19"/>
          </w:tcPr>
          <w:p>
            <w:pPr>
              <w:jc w:val="right"/>
              <w:ind w:right="340"/>
              <w:spacing w:after="0" w:line="156" w:lineRule="exact"/>
              <w:rPr>
                <w:rFonts w:ascii="Arial" w:cs="Arial" w:eastAsia="Arial" w:hAnsi="Arial"/>
                <w:sz w:val="18"/>
                <w:szCs w:val="18"/>
                <w:color w:val="0000FF"/>
                <w:w w:val="77"/>
              </w:rPr>
            </w:pPr>
            <w:hyperlink r:id="rId146">
              <w:r>
                <w:rPr>
                  <w:rFonts w:ascii="Arial" w:cs="Arial" w:eastAsia="Arial" w:hAnsi="Arial"/>
                  <w:sz w:val="18"/>
                  <w:szCs w:val="18"/>
                  <w:color w:val="0000FF"/>
                  <w:w w:val="77"/>
                </w:rPr>
                <w:t>on or</w:t>
              </w:r>
            </w:hyperlink>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154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0"/>
              </w:rPr>
            </w:pPr>
            <w:hyperlink r:id="rId146">
              <w:r>
                <w:rPr>
                  <w:rFonts w:ascii="Arial" w:cs="Arial" w:eastAsia="Arial" w:hAnsi="Arial"/>
                  <w:sz w:val="18"/>
                  <w:szCs w:val="18"/>
                  <w:color w:val="0000FF"/>
                  <w:w w:val="90"/>
                </w:rPr>
                <w:t>after August 2, 2010)</w:t>
              </w:r>
            </w:hyperlink>
          </w:p>
        </w:tc>
        <w:tc>
          <w:tcPr>
            <w:tcW w:w="2640" w:type="dxa"/>
            <w:vAlign w:val="bottom"/>
            <w:tcBorders>
              <w:top w:val="single" w:sz="8" w:color="0000FF"/>
            </w:tcBorders>
            <w:gridSpan w:val="13"/>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4"/>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10.3.4#</w:t>
            </w:r>
          </w:p>
        </w:tc>
        <w:tc>
          <w:tcPr>
            <w:tcW w:w="4520" w:type="dxa"/>
            <w:vAlign w:val="bottom"/>
            <w:gridSpan w:val="31"/>
          </w:tcPr>
          <w:p>
            <w:pPr>
              <w:spacing w:after="0"/>
              <w:rPr>
                <w:rFonts w:ascii="Arial" w:cs="Arial" w:eastAsia="Arial" w:hAnsi="Arial"/>
                <w:sz w:val="18"/>
                <w:szCs w:val="18"/>
                <w:color w:val="0000FF"/>
                <w:w w:val="93"/>
              </w:rPr>
            </w:pPr>
            <w:hyperlink r:id="rId147">
              <w:r>
                <w:rPr>
                  <w:rFonts w:ascii="Arial" w:cs="Arial" w:eastAsia="Arial" w:hAnsi="Arial"/>
                  <w:sz w:val="18"/>
                  <w:szCs w:val="18"/>
                  <w:color w:val="0000FF"/>
                  <w:w w:val="93"/>
                </w:rPr>
                <w:t>Form of Performance Award Agreement and Notice of Grant</w:t>
              </w:r>
            </w:hyperlink>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4420" w:type="dxa"/>
            <w:vAlign w:val="bottom"/>
            <w:tcBorders>
              <w:top w:val="single" w:sz="8" w:color="0000FF"/>
            </w:tcBorders>
            <w:gridSpan w:val="29"/>
          </w:tcPr>
          <w:p>
            <w:pPr>
              <w:spacing w:after="0" w:line="156" w:lineRule="exact"/>
              <w:rPr>
                <w:rFonts w:ascii="Arial" w:cs="Arial" w:eastAsia="Arial" w:hAnsi="Arial"/>
                <w:sz w:val="18"/>
                <w:szCs w:val="18"/>
                <w:color w:val="0000FF"/>
                <w:w w:val="95"/>
              </w:rPr>
            </w:pPr>
            <w:hyperlink r:id="rId147">
              <w:r>
                <w:rPr>
                  <w:rFonts w:ascii="Arial" w:cs="Arial" w:eastAsia="Arial" w:hAnsi="Arial"/>
                  <w:sz w:val="18"/>
                  <w:szCs w:val="18"/>
                  <w:color w:val="0000FF"/>
                  <w:w w:val="95"/>
                </w:rPr>
                <w:t>of Performance Award and Award Agreement for use with</w:t>
              </w:r>
            </w:hyperlink>
          </w:p>
        </w:tc>
        <w:tc>
          <w:tcPr>
            <w:tcW w:w="10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24"/>
        </w:trPr>
        <w:tc>
          <w:tcPr>
            <w:tcW w:w="1100" w:type="dxa"/>
            <w:vAlign w:val="bottom"/>
          </w:tcPr>
          <w:p>
            <w:pPr>
              <w:spacing w:after="0"/>
              <w:rPr>
                <w:sz w:val="19"/>
                <w:szCs w:val="19"/>
                <w:color w:val="auto"/>
              </w:rPr>
            </w:pPr>
          </w:p>
        </w:tc>
        <w:tc>
          <w:tcPr>
            <w:tcW w:w="4240" w:type="dxa"/>
            <w:vAlign w:val="bottom"/>
            <w:tcBorders>
              <w:top w:val="single" w:sz="8" w:color="0000FF"/>
            </w:tcBorders>
            <w:gridSpan w:val="20"/>
          </w:tcPr>
          <w:p>
            <w:pPr>
              <w:spacing w:after="0"/>
              <w:rPr>
                <w:rFonts w:ascii="Arial" w:cs="Arial" w:eastAsia="Arial" w:hAnsi="Arial"/>
                <w:sz w:val="18"/>
                <w:szCs w:val="18"/>
                <w:u w:val="single" w:color="auto"/>
                <w:color w:val="0000FF"/>
              </w:rPr>
            </w:pPr>
            <w:hyperlink r:id="rId147">
              <w:r>
                <w:rPr>
                  <w:rFonts w:ascii="Arial" w:cs="Arial" w:eastAsia="Arial" w:hAnsi="Arial"/>
                  <w:sz w:val="18"/>
                  <w:szCs w:val="18"/>
                  <w:u w:val="single" w:color="auto"/>
                  <w:color w:val="0000FF"/>
                </w:rPr>
                <w:t>the Amended and Restated 1995 Stock Option Plan</w:t>
              </w:r>
            </w:hyperlink>
          </w:p>
        </w:tc>
        <w:tc>
          <w:tcPr>
            <w:tcW w:w="80" w:type="dxa"/>
            <w:vAlign w:val="bottom"/>
            <w:gridSpan w:val="4"/>
          </w:tcPr>
          <w:p>
            <w:pPr>
              <w:spacing w:after="0"/>
              <w:rPr>
                <w:sz w:val="19"/>
                <w:szCs w:val="19"/>
                <w:color w:val="auto"/>
              </w:rPr>
            </w:pPr>
          </w:p>
        </w:tc>
        <w:tc>
          <w:tcPr>
            <w:tcW w:w="40" w:type="dxa"/>
            <w:vAlign w:val="bottom"/>
            <w:gridSpan w:val="2"/>
          </w:tcPr>
          <w:p>
            <w:pPr>
              <w:spacing w:after="0"/>
              <w:rPr>
                <w:sz w:val="19"/>
                <w:szCs w:val="19"/>
                <w:color w:val="auto"/>
              </w:rPr>
            </w:pPr>
          </w:p>
        </w:tc>
        <w:tc>
          <w:tcPr>
            <w:tcW w:w="40" w:type="dxa"/>
            <w:vAlign w:val="bottom"/>
            <w:gridSpan w:val="2"/>
          </w:tcPr>
          <w:p>
            <w:pPr>
              <w:spacing w:after="0"/>
              <w:rPr>
                <w:sz w:val="19"/>
                <w:szCs w:val="19"/>
                <w:color w:val="auto"/>
              </w:rPr>
            </w:pPr>
          </w:p>
        </w:tc>
        <w:tc>
          <w:tcPr>
            <w:tcW w:w="120" w:type="dxa"/>
            <w:vAlign w:val="bottom"/>
            <w:gridSpan w:val="3"/>
          </w:tcPr>
          <w:p>
            <w:pPr>
              <w:spacing w:after="0"/>
              <w:rPr>
                <w:sz w:val="19"/>
                <w:szCs w:val="19"/>
                <w:color w:val="auto"/>
              </w:rPr>
            </w:pPr>
          </w:p>
        </w:tc>
        <w:tc>
          <w:tcPr>
            <w:tcW w:w="0" w:type="dxa"/>
            <w:vAlign w:val="bottom"/>
          </w:tcPr>
          <w:p>
            <w:pPr>
              <w:spacing w:after="0"/>
              <w:rPr>
                <w:sz w:val="1"/>
                <w:szCs w:val="1"/>
                <w:color w:val="auto"/>
              </w:rPr>
            </w:pPr>
          </w:p>
        </w:tc>
      </w:tr>
      <w:tr>
        <w:trPr>
          <w:trHeight w:val="323"/>
        </w:trPr>
        <w:tc>
          <w:tcPr>
            <w:tcW w:w="1100" w:type="dxa"/>
            <w:vAlign w:val="bottom"/>
          </w:tcPr>
          <w:p>
            <w:pPr>
              <w:spacing w:after="0"/>
              <w:rPr>
                <w:sz w:val="20"/>
                <w:szCs w:val="20"/>
                <w:color w:val="auto"/>
              </w:rPr>
            </w:pPr>
            <w:r>
              <w:rPr>
                <w:rFonts w:ascii="Arial" w:cs="Arial" w:eastAsia="Arial" w:hAnsi="Arial"/>
                <w:sz w:val="18"/>
                <w:szCs w:val="18"/>
                <w:color w:val="auto"/>
              </w:rPr>
              <w:t>10.3.5#</w:t>
            </w:r>
          </w:p>
        </w:tc>
        <w:tc>
          <w:tcPr>
            <w:tcW w:w="4520" w:type="dxa"/>
            <w:vAlign w:val="bottom"/>
            <w:gridSpan w:val="31"/>
          </w:tcPr>
          <w:p>
            <w:pPr>
              <w:spacing w:after="0"/>
              <w:rPr>
                <w:rFonts w:ascii="Arial" w:cs="Arial" w:eastAsia="Arial" w:hAnsi="Arial"/>
                <w:sz w:val="18"/>
                <w:szCs w:val="18"/>
                <w:color w:val="0000FF"/>
                <w:w w:val="96"/>
              </w:rPr>
            </w:pPr>
            <w:hyperlink r:id="rId148">
              <w:r>
                <w:rPr>
                  <w:rFonts w:ascii="Arial" w:cs="Arial" w:eastAsia="Arial" w:hAnsi="Arial"/>
                  <w:sz w:val="18"/>
                  <w:szCs w:val="18"/>
                  <w:color w:val="0000FF"/>
                  <w:w w:val="96"/>
                </w:rPr>
                <w:t>Form of Deferral Feature Stock Unit Agreement with Stock</w:t>
              </w:r>
            </w:hyperlink>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4360" w:type="dxa"/>
            <w:vAlign w:val="bottom"/>
            <w:tcBorders>
              <w:top w:val="single" w:sz="8" w:color="0000FF"/>
            </w:tcBorders>
            <w:gridSpan w:val="26"/>
          </w:tcPr>
          <w:p>
            <w:pPr>
              <w:spacing w:after="0" w:line="156" w:lineRule="exact"/>
              <w:rPr>
                <w:rFonts w:ascii="Arial" w:cs="Arial" w:eastAsia="Arial" w:hAnsi="Arial"/>
                <w:sz w:val="18"/>
                <w:szCs w:val="18"/>
                <w:color w:val="0000FF"/>
                <w:w w:val="92"/>
              </w:rPr>
            </w:pPr>
            <w:hyperlink r:id="rId148">
              <w:r>
                <w:rPr>
                  <w:rFonts w:ascii="Arial" w:cs="Arial" w:eastAsia="Arial" w:hAnsi="Arial"/>
                  <w:sz w:val="18"/>
                  <w:szCs w:val="18"/>
                  <w:color w:val="0000FF"/>
                  <w:w w:val="92"/>
                </w:rPr>
                <w:t>Unit Election Form for use with the Amended and Restated</w:t>
              </w:r>
            </w:hyperlink>
          </w:p>
        </w:tc>
        <w:tc>
          <w:tcPr>
            <w:tcW w:w="40" w:type="dxa"/>
            <w:vAlign w:val="bottom"/>
            <w:gridSpan w:val="2"/>
          </w:tcPr>
          <w:p>
            <w:pPr>
              <w:spacing w:after="0"/>
              <w:rPr>
                <w:sz w:val="13"/>
                <w:szCs w:val="13"/>
                <w:color w:val="auto"/>
              </w:rPr>
            </w:pPr>
          </w:p>
        </w:tc>
        <w:tc>
          <w:tcPr>
            <w:tcW w:w="12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00" w:type="dxa"/>
            <w:vAlign w:val="bottom"/>
          </w:tcPr>
          <w:p>
            <w:pPr>
              <w:spacing w:after="0"/>
              <w:rPr>
                <w:sz w:val="13"/>
                <w:szCs w:val="13"/>
                <w:color w:val="auto"/>
              </w:rPr>
            </w:pPr>
          </w:p>
        </w:tc>
        <w:tc>
          <w:tcPr>
            <w:tcW w:w="432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48">
              <w:r>
                <w:rPr>
                  <w:rFonts w:ascii="Arial" w:cs="Arial" w:eastAsia="Arial" w:hAnsi="Arial"/>
                  <w:sz w:val="18"/>
                  <w:szCs w:val="18"/>
                  <w:color w:val="0000FF"/>
                </w:rPr>
                <w:t>1995 Stock Option Plan</w:t>
              </w:r>
            </w:hyperlink>
          </w:p>
        </w:tc>
        <w:tc>
          <w:tcPr>
            <w:tcW w:w="80" w:type="dxa"/>
            <w:vAlign w:val="bottom"/>
            <w:gridSpan w:val="4"/>
          </w:tcPr>
          <w:p>
            <w:pPr>
              <w:spacing w:after="0"/>
              <w:rPr>
                <w:sz w:val="13"/>
                <w:szCs w:val="13"/>
                <w:color w:val="auto"/>
              </w:rPr>
            </w:pPr>
          </w:p>
        </w:tc>
        <w:tc>
          <w:tcPr>
            <w:tcW w:w="12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00" w:type="dxa"/>
            <w:vAlign w:val="bottom"/>
          </w:tcPr>
          <w:p>
            <w:pPr>
              <w:spacing w:after="0" w:line="20" w:lineRule="exact"/>
              <w:rPr>
                <w:sz w:val="1"/>
                <w:szCs w:val="1"/>
                <w:color w:val="auto"/>
              </w:rPr>
            </w:pPr>
          </w:p>
        </w:tc>
        <w:tc>
          <w:tcPr>
            <w:tcW w:w="1300" w:type="dxa"/>
            <w:vAlign w:val="bottom"/>
            <w:gridSpan w:val="3"/>
            <w:shd w:val="clear" w:color="auto" w:fill="0000FF"/>
          </w:tcPr>
          <w:p>
            <w:pPr>
              <w:spacing w:after="0" w:line="20" w:lineRule="exact"/>
              <w:rPr>
                <w:sz w:val="1"/>
                <w:szCs w:val="1"/>
                <w:color w:val="auto"/>
              </w:rPr>
            </w:pPr>
          </w:p>
        </w:tc>
        <w:tc>
          <w:tcPr>
            <w:tcW w:w="420" w:type="dxa"/>
            <w:vAlign w:val="bottom"/>
            <w:gridSpan w:val="3"/>
            <w:shd w:val="clear" w:color="auto" w:fill="0000FF"/>
          </w:tcPr>
          <w:p>
            <w:pPr>
              <w:spacing w:after="0" w:line="20" w:lineRule="exact"/>
              <w:rPr>
                <w:sz w:val="1"/>
                <w:szCs w:val="1"/>
                <w:color w:val="auto"/>
              </w:rPr>
            </w:pPr>
          </w:p>
        </w:tc>
        <w:tc>
          <w:tcPr>
            <w:tcW w:w="740" w:type="dxa"/>
            <w:vAlign w:val="bottom"/>
            <w:gridSpan w:val="4"/>
          </w:tcPr>
          <w:p>
            <w:pPr>
              <w:spacing w:after="0" w:line="20" w:lineRule="exact"/>
              <w:rPr>
                <w:sz w:val="1"/>
                <w:szCs w:val="1"/>
                <w:color w:val="auto"/>
              </w:rPr>
            </w:pPr>
          </w:p>
        </w:tc>
        <w:tc>
          <w:tcPr>
            <w:tcW w:w="1760" w:type="dxa"/>
            <w:vAlign w:val="bottom"/>
            <w:gridSpan w:val="9"/>
          </w:tcPr>
          <w:p>
            <w:pPr>
              <w:spacing w:after="0" w:line="20" w:lineRule="exact"/>
              <w:rPr>
                <w:sz w:val="1"/>
                <w:szCs w:val="1"/>
                <w:color w:val="auto"/>
              </w:rPr>
            </w:pPr>
          </w:p>
        </w:tc>
        <w:tc>
          <w:tcPr>
            <w:tcW w:w="180" w:type="dxa"/>
            <w:vAlign w:val="bottom"/>
            <w:gridSpan w:val="9"/>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100" w:type="dxa"/>
            <w:vAlign w:val="bottom"/>
          </w:tcPr>
          <w:p>
            <w:pPr>
              <w:spacing w:after="0"/>
              <w:rPr>
                <w:sz w:val="20"/>
                <w:szCs w:val="20"/>
                <w:color w:val="auto"/>
              </w:rPr>
            </w:pPr>
            <w:r>
              <w:rPr>
                <w:rFonts w:ascii="Arial" w:cs="Arial" w:eastAsia="Arial" w:hAnsi="Arial"/>
                <w:sz w:val="18"/>
                <w:szCs w:val="18"/>
                <w:color w:val="auto"/>
              </w:rPr>
              <w:t>10.3.6#</w:t>
            </w:r>
          </w:p>
        </w:tc>
        <w:tc>
          <w:tcPr>
            <w:tcW w:w="4520" w:type="dxa"/>
            <w:vAlign w:val="bottom"/>
            <w:gridSpan w:val="31"/>
          </w:tcPr>
          <w:p>
            <w:pPr>
              <w:spacing w:after="0"/>
              <w:rPr>
                <w:rFonts w:ascii="Arial" w:cs="Arial" w:eastAsia="Arial" w:hAnsi="Arial"/>
                <w:sz w:val="18"/>
                <w:szCs w:val="18"/>
                <w:u w:val="single" w:color="auto"/>
                <w:color w:val="0000FF"/>
              </w:rPr>
            </w:pPr>
            <w:hyperlink r:id="rId149">
              <w:r>
                <w:rPr>
                  <w:rFonts w:ascii="Arial" w:cs="Arial" w:eastAsia="Arial" w:hAnsi="Arial"/>
                  <w:sz w:val="18"/>
                  <w:szCs w:val="18"/>
                  <w:u w:val="single" w:color="auto"/>
                  <w:color w:val="0000FF"/>
                </w:rPr>
                <w:t>Form of Relative TSR RSU Grant Notice</w:t>
              </w:r>
            </w:hyperlink>
          </w:p>
        </w:tc>
        <w:tc>
          <w:tcPr>
            <w:tcW w:w="0" w:type="dxa"/>
            <w:vAlign w:val="bottom"/>
          </w:tcPr>
          <w:p>
            <w:pPr>
              <w:spacing w:after="0"/>
              <w:rPr>
                <w:sz w:val="1"/>
                <w:szCs w:val="1"/>
                <w:color w:val="auto"/>
              </w:rPr>
            </w:pPr>
          </w:p>
        </w:tc>
      </w:tr>
      <w:tr>
        <w:trPr>
          <w:trHeight w:val="297"/>
        </w:trPr>
        <w:tc>
          <w:tcPr>
            <w:tcW w:w="1100" w:type="dxa"/>
            <w:vAlign w:val="bottom"/>
          </w:tcPr>
          <w:p>
            <w:pPr>
              <w:spacing w:after="0"/>
              <w:rPr>
                <w:sz w:val="20"/>
                <w:szCs w:val="20"/>
                <w:color w:val="auto"/>
              </w:rPr>
            </w:pPr>
            <w:r>
              <w:rPr>
                <w:rFonts w:ascii="Arial" w:cs="Arial" w:eastAsia="Arial" w:hAnsi="Arial"/>
                <w:sz w:val="18"/>
                <w:szCs w:val="18"/>
                <w:color w:val="auto"/>
              </w:rPr>
              <w:t>10.3.7#</w:t>
            </w:r>
          </w:p>
        </w:tc>
        <w:tc>
          <w:tcPr>
            <w:tcW w:w="4520" w:type="dxa"/>
            <w:vAlign w:val="bottom"/>
            <w:gridSpan w:val="31"/>
          </w:tcPr>
          <w:p>
            <w:pPr>
              <w:spacing w:after="0"/>
              <w:rPr>
                <w:rFonts w:ascii="Arial" w:cs="Arial" w:eastAsia="Arial" w:hAnsi="Arial"/>
                <w:sz w:val="18"/>
                <w:szCs w:val="18"/>
                <w:color w:val="0000FF"/>
                <w:w w:val="92"/>
              </w:rPr>
            </w:pPr>
            <w:hyperlink r:id="rId150">
              <w:r>
                <w:rPr>
                  <w:rFonts w:ascii="Arial" w:cs="Arial" w:eastAsia="Arial" w:hAnsi="Arial"/>
                  <w:sz w:val="18"/>
                  <w:szCs w:val="18"/>
                  <w:color w:val="0000FF"/>
                  <w:w w:val="92"/>
                </w:rPr>
                <w:t>Form of Value Creation Performance Based Restricted Stock</w:t>
              </w:r>
            </w:hyperlink>
          </w:p>
        </w:tc>
        <w:tc>
          <w:tcPr>
            <w:tcW w:w="0" w:type="dxa"/>
            <w:vAlign w:val="bottom"/>
          </w:tcPr>
          <w:p>
            <w:pPr>
              <w:spacing w:after="0"/>
              <w:rPr>
                <w:sz w:val="1"/>
                <w:szCs w:val="1"/>
                <w:color w:val="auto"/>
              </w:rPr>
            </w:pPr>
          </w:p>
        </w:tc>
      </w:tr>
      <w:tr>
        <w:trPr>
          <w:trHeight w:val="169"/>
        </w:trPr>
        <w:tc>
          <w:tcPr>
            <w:tcW w:w="1100" w:type="dxa"/>
            <w:vAlign w:val="bottom"/>
          </w:tcPr>
          <w:p>
            <w:pPr>
              <w:spacing w:after="0"/>
              <w:rPr>
                <w:sz w:val="14"/>
                <w:szCs w:val="14"/>
                <w:color w:val="auto"/>
              </w:rPr>
            </w:pPr>
          </w:p>
        </w:tc>
        <w:tc>
          <w:tcPr>
            <w:tcW w:w="4400" w:type="dxa"/>
            <w:vAlign w:val="bottom"/>
            <w:tcBorders>
              <w:top w:val="single" w:sz="8" w:color="0000FF"/>
            </w:tcBorders>
            <w:gridSpan w:val="28"/>
          </w:tcPr>
          <w:p>
            <w:pPr>
              <w:spacing w:after="0" w:line="169" w:lineRule="exact"/>
              <w:rPr>
                <w:rFonts w:ascii="Arial" w:cs="Arial" w:eastAsia="Arial" w:hAnsi="Arial"/>
                <w:sz w:val="18"/>
                <w:szCs w:val="18"/>
                <w:color w:val="0000FF"/>
              </w:rPr>
            </w:pPr>
            <w:hyperlink r:id="rId150">
              <w:r>
                <w:rPr>
                  <w:rFonts w:ascii="Arial" w:cs="Arial" w:eastAsia="Arial" w:hAnsi="Arial"/>
                  <w:sz w:val="18"/>
                  <w:szCs w:val="18"/>
                  <w:color w:val="0000FF"/>
                </w:rPr>
                <w:t>Unit Grant Notice</w:t>
              </w:r>
            </w:hyperlink>
          </w:p>
        </w:tc>
        <w:tc>
          <w:tcPr>
            <w:tcW w:w="120" w:type="dxa"/>
            <w:vAlign w:val="bottom"/>
            <w:gridSpan w:val="3"/>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00" w:type="dxa"/>
            <w:vAlign w:val="bottom"/>
          </w:tcPr>
          <w:p>
            <w:pPr>
              <w:spacing w:after="0" w:line="20" w:lineRule="exact"/>
              <w:rPr>
                <w:sz w:val="1"/>
                <w:szCs w:val="1"/>
                <w:color w:val="auto"/>
              </w:rPr>
            </w:pPr>
          </w:p>
        </w:tc>
        <w:tc>
          <w:tcPr>
            <w:tcW w:w="1300" w:type="dxa"/>
            <w:vAlign w:val="bottom"/>
            <w:gridSpan w:val="3"/>
            <w:shd w:val="clear" w:color="auto" w:fill="0000FF"/>
          </w:tcPr>
          <w:p>
            <w:pPr>
              <w:spacing w:after="0" w:line="20" w:lineRule="exact"/>
              <w:rPr>
                <w:sz w:val="1"/>
                <w:szCs w:val="1"/>
                <w:color w:val="auto"/>
              </w:rPr>
            </w:pPr>
          </w:p>
        </w:tc>
        <w:tc>
          <w:tcPr>
            <w:tcW w:w="1160" w:type="dxa"/>
            <w:vAlign w:val="bottom"/>
            <w:gridSpan w:val="7"/>
          </w:tcPr>
          <w:p>
            <w:pPr>
              <w:spacing w:after="0" w:line="20" w:lineRule="exact"/>
              <w:rPr>
                <w:sz w:val="1"/>
                <w:szCs w:val="1"/>
                <w:color w:val="auto"/>
              </w:rPr>
            </w:pPr>
          </w:p>
        </w:tc>
        <w:tc>
          <w:tcPr>
            <w:tcW w:w="1760" w:type="dxa"/>
            <w:vAlign w:val="bottom"/>
            <w:gridSpan w:val="9"/>
          </w:tcPr>
          <w:p>
            <w:pPr>
              <w:spacing w:after="0" w:line="20" w:lineRule="exact"/>
              <w:rPr>
                <w:sz w:val="1"/>
                <w:szCs w:val="1"/>
                <w:color w:val="auto"/>
              </w:rPr>
            </w:pPr>
          </w:p>
        </w:tc>
        <w:tc>
          <w:tcPr>
            <w:tcW w:w="300" w:type="dxa"/>
            <w:vAlign w:val="bottom"/>
            <w:gridSpan w:val="1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00" w:type="dxa"/>
            <w:vAlign w:val="bottom"/>
          </w:tcPr>
          <w:p>
            <w:pPr>
              <w:spacing w:after="0"/>
              <w:rPr>
                <w:sz w:val="20"/>
                <w:szCs w:val="20"/>
                <w:color w:val="auto"/>
              </w:rPr>
            </w:pPr>
            <w:r>
              <w:rPr>
                <w:rFonts w:ascii="Arial" w:cs="Arial" w:eastAsia="Arial" w:hAnsi="Arial"/>
                <w:sz w:val="18"/>
                <w:szCs w:val="18"/>
                <w:color w:val="auto"/>
              </w:rPr>
              <w:t>10.3.8#</w:t>
            </w:r>
          </w:p>
        </w:tc>
        <w:tc>
          <w:tcPr>
            <w:tcW w:w="4520" w:type="dxa"/>
            <w:vAlign w:val="bottom"/>
            <w:gridSpan w:val="31"/>
          </w:tcPr>
          <w:p>
            <w:pPr>
              <w:spacing w:after="0"/>
              <w:rPr>
                <w:rFonts w:ascii="Arial" w:cs="Arial" w:eastAsia="Arial" w:hAnsi="Arial"/>
                <w:sz w:val="18"/>
                <w:szCs w:val="18"/>
                <w:color w:val="0000FF"/>
                <w:w w:val="99"/>
              </w:rPr>
            </w:pPr>
            <w:hyperlink r:id="rId151">
              <w:r>
                <w:rPr>
                  <w:rFonts w:ascii="Arial" w:cs="Arial" w:eastAsia="Arial" w:hAnsi="Arial"/>
                  <w:sz w:val="18"/>
                  <w:szCs w:val="18"/>
                  <w:color w:val="0000FF"/>
                  <w:w w:val="99"/>
                </w:rPr>
                <w:t>Form of Stock Unit Agreement and Notice of Grant under</w:t>
              </w:r>
            </w:hyperlink>
          </w:p>
        </w:tc>
        <w:tc>
          <w:tcPr>
            <w:tcW w:w="0" w:type="dxa"/>
            <w:vAlign w:val="bottom"/>
          </w:tcPr>
          <w:p>
            <w:pPr>
              <w:spacing w:after="0"/>
              <w:rPr>
                <w:sz w:val="1"/>
                <w:szCs w:val="1"/>
                <w:color w:val="auto"/>
              </w:rPr>
            </w:pPr>
          </w:p>
        </w:tc>
      </w:tr>
      <w:tr>
        <w:trPr>
          <w:trHeight w:val="155"/>
        </w:trPr>
        <w:tc>
          <w:tcPr>
            <w:tcW w:w="1100" w:type="dxa"/>
            <w:vAlign w:val="bottom"/>
          </w:tcPr>
          <w:p>
            <w:pPr>
              <w:spacing w:after="0"/>
              <w:rPr>
                <w:sz w:val="13"/>
                <w:szCs w:val="13"/>
                <w:color w:val="auto"/>
              </w:rPr>
            </w:pPr>
          </w:p>
        </w:tc>
        <w:tc>
          <w:tcPr>
            <w:tcW w:w="422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51">
              <w:r>
                <w:rPr>
                  <w:rFonts w:ascii="Arial" w:cs="Arial" w:eastAsia="Arial" w:hAnsi="Arial"/>
                  <w:sz w:val="18"/>
                  <w:szCs w:val="18"/>
                  <w:color w:val="0000FF"/>
                </w:rPr>
                <w:t>Amended 1995 Stock Option Plan</w:t>
              </w:r>
            </w:hyperlink>
          </w:p>
        </w:tc>
        <w:tc>
          <w:tcPr>
            <w:tcW w:w="300" w:type="dxa"/>
            <w:vAlign w:val="bottom"/>
            <w:gridSpan w:val="12"/>
          </w:tcPr>
          <w:p>
            <w:pPr>
              <w:spacing w:after="0"/>
              <w:rPr>
                <w:sz w:val="13"/>
                <w:szCs w:val="13"/>
                <w:color w:val="auto"/>
              </w:rPr>
            </w:pPr>
          </w:p>
        </w:tc>
        <w:tc>
          <w:tcPr>
            <w:tcW w:w="0" w:type="dxa"/>
            <w:vAlign w:val="bottom"/>
          </w:tcPr>
          <w:p>
            <w:pPr>
              <w:spacing w:after="0"/>
              <w:rPr>
                <w:sz w:val="1"/>
                <w:szCs w:val="1"/>
                <w:color w:val="auto"/>
              </w:rPr>
            </w:pPr>
          </w:p>
        </w:tc>
      </w:tr>
      <w:tr>
        <w:trPr>
          <w:trHeight w:val="804"/>
        </w:trPr>
        <w:tc>
          <w:tcPr>
            <w:tcW w:w="1100" w:type="dxa"/>
            <w:vAlign w:val="bottom"/>
          </w:tcPr>
          <w:p>
            <w:pPr>
              <w:spacing w:after="0"/>
              <w:rPr>
                <w:sz w:val="24"/>
                <w:szCs w:val="24"/>
                <w:color w:val="auto"/>
              </w:rPr>
            </w:pPr>
          </w:p>
        </w:tc>
        <w:tc>
          <w:tcPr>
            <w:tcW w:w="2460" w:type="dxa"/>
            <w:vAlign w:val="bottom"/>
            <w:tcBorders>
              <w:top w:val="single" w:sz="8" w:color="0000FF"/>
            </w:tcBorders>
            <w:gridSpan w:val="10"/>
          </w:tcPr>
          <w:p>
            <w:pPr>
              <w:spacing w:after="0"/>
              <w:rPr>
                <w:sz w:val="24"/>
                <w:szCs w:val="24"/>
                <w:color w:val="auto"/>
              </w:rPr>
            </w:pPr>
          </w:p>
        </w:tc>
        <w:tc>
          <w:tcPr>
            <w:tcW w:w="2060" w:type="dxa"/>
            <w:vAlign w:val="bottom"/>
            <w:gridSpan w:val="21"/>
          </w:tcPr>
          <w:p>
            <w:pPr>
              <w:jc w:val="right"/>
              <w:spacing w:after="0"/>
              <w:rPr>
                <w:sz w:val="20"/>
                <w:szCs w:val="20"/>
                <w:color w:val="auto"/>
              </w:rPr>
            </w:pPr>
            <w:r>
              <w:rPr>
                <w:rFonts w:ascii="Arial" w:cs="Arial" w:eastAsia="Arial" w:hAnsi="Arial"/>
                <w:sz w:val="18"/>
                <w:szCs w:val="18"/>
                <w:color w:val="auto"/>
              </w:rPr>
              <w:t>102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-83185</wp:posOffset>
            </wp:positionH>
            <wp:positionV relativeFrom="paragraph">
              <wp:posOffset>222885</wp:posOffset>
            </wp:positionV>
            <wp:extent cx="7132320" cy="171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60" w:type="dxa"/>
            <w:vAlign w:val="bottom"/>
          </w:tcPr>
          <w:p>
            <w:pPr>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4.2</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06/22/2018</w:t>
            </w:r>
          </w:p>
        </w:tc>
      </w:tr>
      <w:tr>
        <w:trPr>
          <w:trHeight w:val="986"/>
        </w:trPr>
        <w:tc>
          <w:tcPr>
            <w:tcW w:w="660" w:type="dxa"/>
            <w:vAlign w:val="bottom"/>
          </w:tcPr>
          <w:p>
            <w:pPr>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4.3</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06/22/2018</w:t>
            </w:r>
          </w:p>
        </w:tc>
      </w:tr>
      <w:tr>
        <w:trPr>
          <w:trHeight w:val="567"/>
        </w:trPr>
        <w:tc>
          <w:tcPr>
            <w:tcW w:w="660" w:type="dxa"/>
            <w:vAlign w:val="bottom"/>
          </w:tcPr>
          <w:p>
            <w:pPr>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4.4</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06/22/2018</w:t>
            </w:r>
          </w:p>
        </w:tc>
      </w:tr>
      <w:tr>
        <w:trPr>
          <w:trHeight w:val="567"/>
        </w:trPr>
        <w:tc>
          <w:tcPr>
            <w:tcW w:w="660" w:type="dxa"/>
            <w:vAlign w:val="bottom"/>
          </w:tcPr>
          <w:p>
            <w:pPr>
              <w:spacing w:after="0"/>
              <w:rPr>
                <w:sz w:val="20"/>
                <w:szCs w:val="20"/>
                <w:color w:val="auto"/>
              </w:rPr>
            </w:pPr>
            <w:r>
              <w:rPr>
                <w:rFonts w:ascii="Arial" w:cs="Arial" w:eastAsia="Arial" w:hAnsi="Arial"/>
                <w:sz w:val="18"/>
                <w:szCs w:val="18"/>
                <w:color w:val="auto"/>
              </w:rPr>
              <w:t>10-K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4.6</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3/23/2020</w:t>
            </w:r>
          </w:p>
        </w:tc>
      </w:tr>
      <w:tr>
        <w:trPr>
          <w:trHeight w:val="675"/>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12/2/2011</w:t>
            </w:r>
          </w:p>
        </w:tc>
      </w:tr>
      <w:tr>
        <w:trPr>
          <w:trHeight w:val="567"/>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10.3</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12/4/2020</w:t>
            </w:r>
          </w:p>
        </w:tc>
      </w:tr>
      <w:tr>
        <w:trPr>
          <w:trHeight w:val="594"/>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12/4/2020</w:t>
            </w:r>
          </w:p>
        </w:tc>
      </w:tr>
      <w:tr>
        <w:trPr>
          <w:trHeight w:val="621"/>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10.2</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12/4/2020</w:t>
            </w:r>
          </w:p>
        </w:tc>
      </w:tr>
      <w:tr>
        <w:trPr>
          <w:trHeight w:val="823"/>
        </w:trPr>
        <w:tc>
          <w:tcPr>
            <w:tcW w:w="660" w:type="dxa"/>
            <w:vAlign w:val="bottom"/>
          </w:tcPr>
          <w:p>
            <w:pPr>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10.2</w:t>
            </w:r>
          </w:p>
        </w:tc>
        <w:tc>
          <w:tcPr>
            <w:tcW w:w="1300" w:type="dxa"/>
            <w:vAlign w:val="bottom"/>
          </w:tcPr>
          <w:p>
            <w:pPr>
              <w:ind w:left="480"/>
              <w:spacing w:after="0"/>
              <w:rPr>
                <w:sz w:val="20"/>
                <w:szCs w:val="20"/>
                <w:color w:val="auto"/>
              </w:rPr>
            </w:pPr>
            <w:r>
              <w:rPr>
                <w:rFonts w:ascii="Arial" w:cs="Arial" w:eastAsia="Arial" w:hAnsi="Arial"/>
                <w:sz w:val="18"/>
                <w:szCs w:val="18"/>
                <w:color w:val="auto"/>
                <w:w w:val="99"/>
              </w:rPr>
              <w:t>9/26/2013</w:t>
            </w:r>
          </w:p>
        </w:tc>
      </w:tr>
      <w:tr>
        <w:trPr>
          <w:trHeight w:val="918"/>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10.4</w:t>
            </w:r>
          </w:p>
        </w:tc>
        <w:tc>
          <w:tcPr>
            <w:tcW w:w="1300" w:type="dxa"/>
            <w:vAlign w:val="bottom"/>
          </w:tcPr>
          <w:p>
            <w:pPr>
              <w:ind w:left="480"/>
              <w:spacing w:after="0"/>
              <w:rPr>
                <w:sz w:val="20"/>
                <w:szCs w:val="20"/>
                <w:color w:val="auto"/>
              </w:rPr>
            </w:pPr>
            <w:r>
              <w:rPr>
                <w:rFonts w:ascii="Arial" w:cs="Arial" w:eastAsia="Arial" w:hAnsi="Arial"/>
                <w:sz w:val="18"/>
                <w:szCs w:val="18"/>
                <w:color w:val="auto"/>
              </w:rPr>
              <w:t>9/3/2010</w:t>
            </w:r>
          </w:p>
        </w:tc>
      </w:tr>
      <w:tr>
        <w:trPr>
          <w:trHeight w:val="918"/>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10.2</w:t>
            </w:r>
          </w:p>
        </w:tc>
        <w:tc>
          <w:tcPr>
            <w:tcW w:w="1300" w:type="dxa"/>
            <w:vAlign w:val="bottom"/>
          </w:tcPr>
          <w:p>
            <w:pPr>
              <w:ind w:left="480"/>
              <w:spacing w:after="0"/>
              <w:rPr>
                <w:sz w:val="20"/>
                <w:szCs w:val="20"/>
                <w:color w:val="auto"/>
              </w:rPr>
            </w:pPr>
            <w:r>
              <w:rPr>
                <w:rFonts w:ascii="Arial" w:cs="Arial" w:eastAsia="Arial" w:hAnsi="Arial"/>
                <w:sz w:val="18"/>
                <w:szCs w:val="18"/>
                <w:color w:val="auto"/>
              </w:rPr>
              <w:t>6/5/2014</w:t>
            </w:r>
          </w:p>
        </w:tc>
      </w:tr>
      <w:tr>
        <w:trPr>
          <w:trHeight w:val="743"/>
        </w:trPr>
        <w:tc>
          <w:tcPr>
            <w:tcW w:w="660" w:type="dxa"/>
            <w:vAlign w:val="bottom"/>
          </w:tcPr>
          <w:p>
            <w:pPr>
              <w:spacing w:after="0"/>
              <w:rPr>
                <w:sz w:val="20"/>
                <w:szCs w:val="20"/>
                <w:color w:val="auto"/>
              </w:rPr>
            </w:pPr>
            <w:r>
              <w:rPr>
                <w:rFonts w:ascii="Arial" w:cs="Arial" w:eastAsia="Arial" w:hAnsi="Arial"/>
                <w:sz w:val="18"/>
                <w:szCs w:val="18"/>
                <w:color w:val="auto"/>
              </w:rPr>
              <w:t>10-K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10.3.11#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03/29/2018</w:t>
            </w:r>
          </w:p>
        </w:tc>
      </w:tr>
      <w:tr>
        <w:trPr>
          <w:trHeight w:val="743"/>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10.3</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06/06/2019</w:t>
            </w:r>
          </w:p>
        </w:tc>
      </w:tr>
      <w:tr>
        <w:trPr>
          <w:trHeight w:val="338"/>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06/06/2019</w:t>
            </w:r>
          </w:p>
        </w:tc>
      </w:tr>
      <w:tr>
        <w:trPr>
          <w:trHeight w:val="580"/>
        </w:trPr>
        <w:tc>
          <w:tcPr>
            <w:tcW w:w="660" w:type="dxa"/>
            <w:vAlign w:val="bottom"/>
          </w:tcPr>
          <w:p>
            <w:pPr>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440" w:type="dxa"/>
            <w:vAlign w:val="bottom"/>
          </w:tcPr>
          <w:p>
            <w:pPr>
              <w:ind w:left="340"/>
              <w:spacing w:after="0"/>
              <w:rPr>
                <w:sz w:val="20"/>
                <w:szCs w:val="20"/>
                <w:color w:val="auto"/>
              </w:rPr>
            </w:pPr>
            <w:r>
              <w:rPr>
                <w:rFonts w:ascii="Arial" w:cs="Arial" w:eastAsia="Arial" w:hAnsi="Arial"/>
                <w:sz w:val="18"/>
                <w:szCs w:val="18"/>
                <w:color w:val="auto"/>
              </w:rPr>
              <w:t>10.7</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12/04/2019</w:t>
            </w:r>
          </w:p>
        </w:tc>
      </w:tr>
    </w:tbl>
    <w:p>
      <w:pPr>
        <w:sectPr>
          <w:pgSz w:w="11900" w:h="16838" w:orient="portrait"/>
          <w:cols w:equalWidth="0" w:num="2">
            <w:col w:w="5620" w:space="140"/>
            <w:col w:w="4820"/>
          </w:cols>
          <w:pgMar w:left="460" w:top="1310" w:right="859" w:bottom="1440" w:gutter="0" w:footer="0" w:header="0"/>
        </w:sectPr>
      </w:pPr>
    </w:p>
    <w:bookmarkStart w:id="105" w:name="page106"/>
    <w:bookmarkEnd w:id="10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240" w:type="dxa"/>
            <w:vAlign w:val="bottom"/>
          </w:tcPr>
          <w:p>
            <w:pPr>
              <w:ind w:left="140"/>
              <w:spacing w:after="0"/>
              <w:rPr>
                <w:sz w:val="20"/>
                <w:szCs w:val="20"/>
                <w:color w:val="auto"/>
              </w:rPr>
            </w:pPr>
            <w:r>
              <w:rPr>
                <w:rFonts w:ascii="Arial" w:cs="Arial" w:eastAsia="Arial" w:hAnsi="Arial"/>
                <w:sz w:val="18"/>
                <w:szCs w:val="18"/>
                <w:color w:val="auto"/>
              </w:rPr>
              <w:t>10.4#</w:t>
            </w:r>
          </w:p>
        </w:tc>
        <w:tc>
          <w:tcPr>
            <w:tcW w:w="4580" w:type="dxa"/>
            <w:vAlign w:val="bottom"/>
            <w:gridSpan w:val="26"/>
          </w:tcPr>
          <w:p>
            <w:pPr>
              <w:spacing w:after="0"/>
              <w:rPr>
                <w:rFonts w:ascii="Arial" w:cs="Arial" w:eastAsia="Arial" w:hAnsi="Arial"/>
                <w:sz w:val="18"/>
                <w:szCs w:val="18"/>
                <w:color w:val="0000FF"/>
              </w:rPr>
            </w:pPr>
            <w:hyperlink r:id="rId153">
              <w:r>
                <w:rPr>
                  <w:rFonts w:ascii="Arial" w:cs="Arial" w:eastAsia="Arial" w:hAnsi="Arial"/>
                  <w:sz w:val="18"/>
                  <w:szCs w:val="18"/>
                  <w:color w:val="0000FF"/>
                </w:rPr>
                <w:t>Marvell Technology Group Ltd. Executive Performance</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7/2/2015</w:t>
            </w:r>
          </w:p>
        </w:tc>
      </w:tr>
      <w:tr>
        <w:trPr>
          <w:trHeight w:val="155"/>
        </w:trPr>
        <w:tc>
          <w:tcPr>
            <w:tcW w:w="124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0"/>
              </w:rPr>
            </w:pPr>
            <w:hyperlink r:id="rId153">
              <w:r>
                <w:rPr>
                  <w:rFonts w:ascii="Arial" w:cs="Arial" w:eastAsia="Arial" w:hAnsi="Arial"/>
                  <w:sz w:val="18"/>
                  <w:szCs w:val="18"/>
                  <w:color w:val="0000FF"/>
                  <w:w w:val="90"/>
                </w:rPr>
                <w:t>Incentive Plan</w:t>
              </w:r>
            </w:hyperlink>
          </w:p>
        </w:tc>
        <w:tc>
          <w:tcPr>
            <w:tcW w:w="3000" w:type="dxa"/>
            <w:vAlign w:val="bottom"/>
            <w:tcBorders>
              <w:top w:val="single" w:sz="8" w:color="0000FF"/>
            </w:tcBorders>
            <w:gridSpan w:val="12"/>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372"/>
        </w:trPr>
        <w:tc>
          <w:tcPr>
            <w:tcW w:w="1240" w:type="dxa"/>
            <w:vAlign w:val="bottom"/>
          </w:tcPr>
          <w:p>
            <w:pPr>
              <w:ind w:left="140"/>
              <w:spacing w:after="0"/>
              <w:rPr>
                <w:sz w:val="20"/>
                <w:szCs w:val="20"/>
                <w:color w:val="auto"/>
              </w:rPr>
            </w:pPr>
            <w:r>
              <w:rPr>
                <w:rFonts w:ascii="Arial" w:cs="Arial" w:eastAsia="Arial" w:hAnsi="Arial"/>
                <w:sz w:val="18"/>
                <w:szCs w:val="18"/>
                <w:color w:val="auto"/>
              </w:rPr>
              <w:t>10.5#</w:t>
            </w:r>
          </w:p>
        </w:tc>
        <w:tc>
          <w:tcPr>
            <w:tcW w:w="4580" w:type="dxa"/>
            <w:vAlign w:val="bottom"/>
            <w:gridSpan w:val="26"/>
          </w:tcPr>
          <w:p>
            <w:pPr>
              <w:spacing w:after="0"/>
              <w:rPr>
                <w:rFonts w:ascii="Arial" w:cs="Arial" w:eastAsia="Arial" w:hAnsi="Arial"/>
                <w:sz w:val="18"/>
                <w:szCs w:val="18"/>
                <w:color w:val="0000FF"/>
              </w:rPr>
            </w:pPr>
            <w:hyperlink r:id="rId154">
              <w:r>
                <w:rPr>
                  <w:rFonts w:ascii="Arial" w:cs="Arial" w:eastAsia="Arial" w:hAnsi="Arial"/>
                  <w:sz w:val="18"/>
                  <w:szCs w:val="18"/>
                  <w:color w:val="0000FF"/>
                </w:rPr>
                <w:t>Form of Indemnification Agreement with Directors and</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10/10/2008</w:t>
            </w:r>
          </w:p>
        </w:tc>
      </w:tr>
      <w:tr>
        <w:trPr>
          <w:trHeight w:val="156"/>
        </w:trPr>
        <w:tc>
          <w:tcPr>
            <w:tcW w:w="1240" w:type="dxa"/>
            <w:vAlign w:val="bottom"/>
          </w:tcPr>
          <w:p>
            <w:pPr>
              <w:spacing w:after="0"/>
              <w:rPr>
                <w:sz w:val="13"/>
                <w:szCs w:val="13"/>
                <w:color w:val="auto"/>
              </w:rPr>
            </w:pPr>
          </w:p>
        </w:tc>
        <w:tc>
          <w:tcPr>
            <w:tcW w:w="136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2"/>
              </w:rPr>
            </w:pPr>
            <w:hyperlink r:id="rId154">
              <w:r>
                <w:rPr>
                  <w:rFonts w:ascii="Arial" w:cs="Arial" w:eastAsia="Arial" w:hAnsi="Arial"/>
                  <w:sz w:val="18"/>
                  <w:szCs w:val="18"/>
                  <w:color w:val="0000FF"/>
                  <w:w w:val="92"/>
                </w:rPr>
                <w:t>Executive Officers</w:t>
              </w:r>
            </w:hyperlink>
          </w:p>
        </w:tc>
        <w:tc>
          <w:tcPr>
            <w:tcW w:w="2640" w:type="dxa"/>
            <w:vAlign w:val="bottom"/>
            <w:tcBorders>
              <w:top w:val="single" w:sz="8" w:color="0000FF"/>
            </w:tcBorders>
            <w:gridSpan w:val="9"/>
          </w:tcPr>
          <w:p>
            <w:pPr>
              <w:spacing w:after="0"/>
              <w:rPr>
                <w:sz w:val="13"/>
                <w:szCs w:val="13"/>
                <w:color w:val="auto"/>
              </w:rPr>
            </w:pPr>
          </w:p>
        </w:tc>
        <w:tc>
          <w:tcPr>
            <w:tcW w:w="80" w:type="dxa"/>
            <w:vAlign w:val="bottom"/>
            <w:gridSpan w:val="2"/>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412"/>
        </w:trPr>
        <w:tc>
          <w:tcPr>
            <w:tcW w:w="1240" w:type="dxa"/>
            <w:vAlign w:val="bottom"/>
          </w:tcPr>
          <w:p>
            <w:pPr>
              <w:ind w:left="140"/>
              <w:spacing w:after="0"/>
              <w:rPr>
                <w:sz w:val="20"/>
                <w:szCs w:val="20"/>
                <w:color w:val="auto"/>
              </w:rPr>
            </w:pPr>
            <w:r>
              <w:rPr>
                <w:rFonts w:ascii="Arial" w:cs="Arial" w:eastAsia="Arial" w:hAnsi="Arial"/>
                <w:sz w:val="18"/>
                <w:szCs w:val="18"/>
                <w:color w:val="auto"/>
              </w:rPr>
              <w:t>10.6#</w:t>
            </w:r>
          </w:p>
        </w:tc>
        <w:tc>
          <w:tcPr>
            <w:tcW w:w="4580" w:type="dxa"/>
            <w:vAlign w:val="bottom"/>
            <w:gridSpan w:val="26"/>
          </w:tcPr>
          <w:p>
            <w:pPr>
              <w:spacing w:after="0"/>
              <w:rPr>
                <w:rFonts w:ascii="Arial" w:cs="Arial" w:eastAsia="Arial" w:hAnsi="Arial"/>
                <w:sz w:val="18"/>
                <w:szCs w:val="18"/>
                <w:u w:val="single" w:color="auto"/>
                <w:color w:val="0000FF"/>
              </w:rPr>
            </w:pPr>
            <w:hyperlink r:id="rId155">
              <w:r>
                <w:rPr>
                  <w:rFonts w:ascii="Arial" w:cs="Arial" w:eastAsia="Arial" w:hAnsi="Arial"/>
                  <w:sz w:val="18"/>
                  <w:szCs w:val="18"/>
                  <w:u w:val="single" w:color="auto"/>
                  <w:color w:val="0000FF"/>
                </w:rPr>
                <w:t>Indemnification Arrangement with Dr. Sehat Sutardja</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3/7/2011</w:t>
            </w:r>
          </w:p>
        </w:tc>
      </w:tr>
      <w:tr>
        <w:trPr>
          <w:trHeight w:val="351"/>
        </w:trPr>
        <w:tc>
          <w:tcPr>
            <w:tcW w:w="1240" w:type="dxa"/>
            <w:vAlign w:val="bottom"/>
          </w:tcPr>
          <w:p>
            <w:pPr>
              <w:ind w:left="140"/>
              <w:spacing w:after="0"/>
              <w:rPr>
                <w:sz w:val="20"/>
                <w:szCs w:val="20"/>
                <w:color w:val="auto"/>
              </w:rPr>
            </w:pPr>
            <w:r>
              <w:rPr>
                <w:rFonts w:ascii="Arial" w:cs="Arial" w:eastAsia="Arial" w:hAnsi="Arial"/>
                <w:sz w:val="18"/>
                <w:szCs w:val="18"/>
                <w:color w:val="auto"/>
              </w:rPr>
              <w:t>10.7#</w:t>
            </w:r>
          </w:p>
        </w:tc>
        <w:tc>
          <w:tcPr>
            <w:tcW w:w="4580" w:type="dxa"/>
            <w:vAlign w:val="bottom"/>
            <w:gridSpan w:val="26"/>
          </w:tcPr>
          <w:p>
            <w:pPr>
              <w:spacing w:after="0"/>
              <w:rPr>
                <w:rFonts w:ascii="Arial" w:cs="Arial" w:eastAsia="Arial" w:hAnsi="Arial"/>
                <w:sz w:val="18"/>
                <w:szCs w:val="18"/>
                <w:color w:val="0000FF"/>
              </w:rPr>
            </w:pPr>
            <w:hyperlink r:id="rId156">
              <w:r>
                <w:rPr>
                  <w:rFonts w:ascii="Arial" w:cs="Arial" w:eastAsia="Arial" w:hAnsi="Arial"/>
                  <w:sz w:val="18"/>
                  <w:szCs w:val="18"/>
                  <w:color w:val="0000FF"/>
                </w:rPr>
                <w:t>Offer Letter between the Marvell and Matthew J. Murphy</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6/20/2016</w:t>
            </w:r>
          </w:p>
        </w:tc>
      </w:tr>
      <w:tr>
        <w:trPr>
          <w:trHeight w:val="156"/>
        </w:trPr>
        <w:tc>
          <w:tcPr>
            <w:tcW w:w="1240" w:type="dxa"/>
            <w:vAlign w:val="bottom"/>
          </w:tcPr>
          <w:p>
            <w:pPr>
              <w:spacing w:after="0"/>
              <w:rPr>
                <w:sz w:val="13"/>
                <w:szCs w:val="13"/>
                <w:color w:val="auto"/>
              </w:rPr>
            </w:pPr>
          </w:p>
        </w:tc>
        <w:tc>
          <w:tcPr>
            <w:tcW w:w="4160" w:type="dxa"/>
            <w:vAlign w:val="bottom"/>
            <w:tcBorders>
              <w:top w:val="single" w:sz="8" w:color="0000FF"/>
            </w:tcBorders>
            <w:gridSpan w:val="18"/>
          </w:tcPr>
          <w:p>
            <w:pPr>
              <w:spacing w:after="0" w:line="156" w:lineRule="exact"/>
              <w:rPr>
                <w:rFonts w:ascii="Arial" w:cs="Arial" w:eastAsia="Arial" w:hAnsi="Arial"/>
                <w:sz w:val="18"/>
                <w:szCs w:val="18"/>
                <w:color w:val="0000FF"/>
                <w:w w:val="95"/>
              </w:rPr>
            </w:pPr>
            <w:hyperlink r:id="rId156">
              <w:r>
                <w:rPr>
                  <w:rFonts w:ascii="Arial" w:cs="Arial" w:eastAsia="Arial" w:hAnsi="Arial"/>
                  <w:sz w:val="18"/>
                  <w:szCs w:val="18"/>
                  <w:color w:val="0000FF"/>
                  <w:w w:val="95"/>
                </w:rPr>
                <w:t>and form of Severance Agreement attached thereto as</w:t>
              </w:r>
            </w:hyperlink>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6"/>
        </w:trPr>
        <w:tc>
          <w:tcPr>
            <w:tcW w:w="1240" w:type="dxa"/>
            <w:vAlign w:val="bottom"/>
          </w:tcPr>
          <w:p>
            <w:pPr>
              <w:spacing w:after="0"/>
              <w:rPr>
                <w:sz w:val="13"/>
                <w:szCs w:val="13"/>
                <w:color w:val="auto"/>
              </w:rPr>
            </w:pPr>
          </w:p>
        </w:tc>
        <w:tc>
          <w:tcPr>
            <w:tcW w:w="8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3"/>
              </w:rPr>
            </w:pPr>
            <w:hyperlink r:id="rId156">
              <w:r>
                <w:rPr>
                  <w:rFonts w:ascii="Arial" w:cs="Arial" w:eastAsia="Arial" w:hAnsi="Arial"/>
                  <w:sz w:val="18"/>
                  <w:szCs w:val="18"/>
                  <w:color w:val="0000FF"/>
                  <w:w w:val="93"/>
                </w:rPr>
                <w:t>Appendix B</w:t>
              </w:r>
            </w:hyperlink>
          </w:p>
        </w:tc>
        <w:tc>
          <w:tcPr>
            <w:tcW w:w="2980" w:type="dxa"/>
            <w:vAlign w:val="bottom"/>
            <w:tcBorders>
              <w:top w:val="single" w:sz="8" w:color="0000FF"/>
            </w:tcBorders>
            <w:gridSpan w:val="10"/>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gridSpan w:val="3"/>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371"/>
        </w:trPr>
        <w:tc>
          <w:tcPr>
            <w:tcW w:w="1240" w:type="dxa"/>
            <w:vAlign w:val="bottom"/>
          </w:tcPr>
          <w:p>
            <w:pPr>
              <w:ind w:left="140"/>
              <w:spacing w:after="0"/>
              <w:rPr>
                <w:sz w:val="20"/>
                <w:szCs w:val="20"/>
                <w:color w:val="auto"/>
              </w:rPr>
            </w:pPr>
            <w:r>
              <w:rPr>
                <w:rFonts w:ascii="Arial" w:cs="Arial" w:eastAsia="Arial" w:hAnsi="Arial"/>
                <w:sz w:val="18"/>
                <w:szCs w:val="18"/>
                <w:color w:val="auto"/>
              </w:rPr>
              <w:t>10.7.1#</w:t>
            </w:r>
          </w:p>
        </w:tc>
        <w:tc>
          <w:tcPr>
            <w:tcW w:w="4580" w:type="dxa"/>
            <w:vAlign w:val="bottom"/>
            <w:gridSpan w:val="26"/>
          </w:tcPr>
          <w:p>
            <w:pPr>
              <w:spacing w:after="0"/>
              <w:rPr>
                <w:rFonts w:ascii="Arial" w:cs="Arial" w:eastAsia="Arial" w:hAnsi="Arial"/>
                <w:sz w:val="18"/>
                <w:szCs w:val="18"/>
                <w:color w:val="0000FF"/>
              </w:rPr>
            </w:pPr>
            <w:hyperlink r:id="rId157">
              <w:r>
                <w:rPr>
                  <w:rFonts w:ascii="Arial" w:cs="Arial" w:eastAsia="Arial" w:hAnsi="Arial"/>
                  <w:sz w:val="18"/>
                  <w:szCs w:val="18"/>
                  <w:color w:val="0000FF"/>
                </w:rPr>
                <w:t>Severance Agreement with Matt Murphy as amended</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10.6</w:t>
            </w:r>
          </w:p>
        </w:tc>
        <w:tc>
          <w:tcPr>
            <w:tcW w:w="1940" w:type="dxa"/>
            <w:vAlign w:val="bottom"/>
          </w:tcPr>
          <w:p>
            <w:pPr>
              <w:ind w:left="600"/>
              <w:spacing w:after="0"/>
              <w:rPr>
                <w:sz w:val="20"/>
                <w:szCs w:val="20"/>
                <w:color w:val="auto"/>
              </w:rPr>
            </w:pPr>
            <w:r>
              <w:rPr>
                <w:rFonts w:ascii="Arial" w:cs="Arial" w:eastAsia="Arial" w:hAnsi="Arial"/>
                <w:sz w:val="18"/>
                <w:szCs w:val="18"/>
                <w:color w:val="auto"/>
              </w:rPr>
              <w:t>12/4/2020</w:t>
            </w:r>
          </w:p>
        </w:tc>
      </w:tr>
      <w:tr>
        <w:trPr>
          <w:trHeight w:val="156"/>
        </w:trPr>
        <w:tc>
          <w:tcPr>
            <w:tcW w:w="1240" w:type="dxa"/>
            <w:vAlign w:val="bottom"/>
          </w:tcPr>
          <w:p>
            <w:pPr>
              <w:spacing w:after="0"/>
              <w:rPr>
                <w:sz w:val="13"/>
                <w:szCs w:val="13"/>
                <w:color w:val="auto"/>
              </w:rPr>
            </w:pPr>
          </w:p>
        </w:tc>
        <w:tc>
          <w:tcPr>
            <w:tcW w:w="3840" w:type="dxa"/>
            <w:vAlign w:val="bottom"/>
            <w:tcBorders>
              <w:top w:val="single" w:sz="8" w:color="0000FF"/>
            </w:tcBorders>
            <w:gridSpan w:val="11"/>
          </w:tcPr>
          <w:p>
            <w:pPr>
              <w:spacing w:after="0" w:line="156" w:lineRule="exact"/>
              <w:rPr>
                <w:rFonts w:ascii="Arial" w:cs="Arial" w:eastAsia="Arial" w:hAnsi="Arial"/>
                <w:sz w:val="18"/>
                <w:szCs w:val="18"/>
                <w:color w:val="0000FF"/>
              </w:rPr>
            </w:pPr>
            <w:hyperlink r:id="rId157">
              <w:r>
                <w:rPr>
                  <w:rFonts w:ascii="Arial" w:cs="Arial" w:eastAsia="Arial" w:hAnsi="Arial"/>
                  <w:sz w:val="18"/>
                  <w:szCs w:val="18"/>
                  <w:color w:val="0000FF"/>
                </w:rPr>
                <w:t>December 1, 2020</w:t>
              </w:r>
            </w:hyperlink>
          </w:p>
        </w:tc>
        <w:tc>
          <w:tcPr>
            <w:tcW w:w="80" w:type="dxa"/>
            <w:vAlign w:val="bottom"/>
            <w:gridSpan w:val="2"/>
          </w:tcPr>
          <w:p>
            <w:pPr>
              <w:spacing w:after="0"/>
              <w:rPr>
                <w:sz w:val="13"/>
                <w:szCs w:val="13"/>
                <w:color w:val="auto"/>
              </w:rPr>
            </w:pPr>
          </w:p>
        </w:tc>
        <w:tc>
          <w:tcPr>
            <w:tcW w:w="160" w:type="dxa"/>
            <w:vAlign w:val="bottom"/>
            <w:gridSpan w:val="3"/>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780" w:type="dxa"/>
            <w:vAlign w:val="bottom"/>
            <w:gridSpan w:val="3"/>
            <w:shd w:val="clear" w:color="auto" w:fill="0000FF"/>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372"/>
        </w:trPr>
        <w:tc>
          <w:tcPr>
            <w:tcW w:w="1240" w:type="dxa"/>
            <w:vAlign w:val="bottom"/>
          </w:tcPr>
          <w:p>
            <w:pPr>
              <w:ind w:left="140"/>
              <w:spacing w:after="0"/>
              <w:rPr>
                <w:sz w:val="20"/>
                <w:szCs w:val="20"/>
                <w:color w:val="auto"/>
              </w:rPr>
            </w:pPr>
            <w:r>
              <w:rPr>
                <w:rFonts w:ascii="Arial" w:cs="Arial" w:eastAsia="Arial" w:hAnsi="Arial"/>
                <w:sz w:val="18"/>
                <w:szCs w:val="18"/>
                <w:color w:val="auto"/>
              </w:rPr>
              <w:t>10.8#</w:t>
            </w:r>
          </w:p>
        </w:tc>
        <w:tc>
          <w:tcPr>
            <w:tcW w:w="4580" w:type="dxa"/>
            <w:vAlign w:val="bottom"/>
            <w:gridSpan w:val="26"/>
          </w:tcPr>
          <w:p>
            <w:pPr>
              <w:spacing w:after="0"/>
              <w:rPr>
                <w:rFonts w:ascii="Arial" w:cs="Arial" w:eastAsia="Arial" w:hAnsi="Arial"/>
                <w:sz w:val="18"/>
                <w:szCs w:val="18"/>
                <w:color w:val="0000FF"/>
              </w:rPr>
            </w:pPr>
            <w:hyperlink r:id="rId158">
              <w:r>
                <w:rPr>
                  <w:rFonts w:ascii="Arial" w:cs="Arial" w:eastAsia="Arial" w:hAnsi="Arial"/>
                  <w:sz w:val="18"/>
                  <w:szCs w:val="18"/>
                  <w:color w:val="0000FF"/>
                </w:rPr>
                <w:t>Marvell Technology Group Ltd. Change in Control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8/28/2020</w:t>
            </w:r>
          </w:p>
        </w:tc>
      </w:tr>
      <w:tr>
        <w:trPr>
          <w:trHeight w:val="20"/>
        </w:trPr>
        <w:tc>
          <w:tcPr>
            <w:tcW w:w="124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1540" w:type="dxa"/>
            <w:vAlign w:val="bottom"/>
            <w:gridSpan w:val="5"/>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0" w:type="dxa"/>
            <w:vAlign w:val="bottom"/>
            <w:shd w:val="clear" w:color="auto" w:fill="0000FF"/>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169"/>
        </w:trPr>
        <w:tc>
          <w:tcPr>
            <w:tcW w:w="1240" w:type="dxa"/>
            <w:vAlign w:val="bottom"/>
          </w:tcPr>
          <w:p>
            <w:pPr>
              <w:spacing w:after="0"/>
              <w:rPr>
                <w:sz w:val="14"/>
                <w:szCs w:val="14"/>
                <w:color w:val="auto"/>
              </w:rPr>
            </w:pPr>
          </w:p>
        </w:tc>
        <w:tc>
          <w:tcPr>
            <w:tcW w:w="4580" w:type="dxa"/>
            <w:vAlign w:val="bottom"/>
            <w:gridSpan w:val="26"/>
          </w:tcPr>
          <w:p>
            <w:pPr>
              <w:spacing w:after="0" w:line="169" w:lineRule="exact"/>
              <w:rPr>
                <w:rFonts w:ascii="Arial" w:cs="Arial" w:eastAsia="Arial" w:hAnsi="Arial"/>
                <w:sz w:val="18"/>
                <w:szCs w:val="18"/>
                <w:color w:val="0000FF"/>
              </w:rPr>
            </w:pPr>
            <w:hyperlink r:id="rId158">
              <w:r>
                <w:rPr>
                  <w:rFonts w:ascii="Arial" w:cs="Arial" w:eastAsia="Arial" w:hAnsi="Arial"/>
                  <w:sz w:val="18"/>
                  <w:szCs w:val="18"/>
                  <w:color w:val="0000FF"/>
                </w:rPr>
                <w:t>Severance Plan and Summary Plan Description effective</w:t>
              </w:r>
            </w:hyperlink>
          </w:p>
        </w:tc>
        <w:tc>
          <w:tcPr>
            <w:tcW w:w="7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940" w:type="dxa"/>
            <w:vAlign w:val="bottom"/>
          </w:tcPr>
          <w:p>
            <w:pPr>
              <w:spacing w:after="0"/>
              <w:rPr>
                <w:sz w:val="14"/>
                <w:szCs w:val="14"/>
                <w:color w:val="auto"/>
              </w:rPr>
            </w:pPr>
          </w:p>
        </w:tc>
      </w:tr>
      <w:tr>
        <w:trPr>
          <w:trHeight w:val="169"/>
        </w:trPr>
        <w:tc>
          <w:tcPr>
            <w:tcW w:w="1240" w:type="dxa"/>
            <w:vAlign w:val="bottom"/>
          </w:tcPr>
          <w:p>
            <w:pPr>
              <w:spacing w:after="0"/>
              <w:rPr>
                <w:sz w:val="14"/>
                <w:szCs w:val="14"/>
                <w:color w:val="auto"/>
              </w:rPr>
            </w:pPr>
          </w:p>
        </w:tc>
        <w:tc>
          <w:tcPr>
            <w:tcW w:w="2440" w:type="dxa"/>
            <w:vAlign w:val="bottom"/>
            <w:tcBorders>
              <w:top w:val="single" w:sz="8" w:color="0000FF"/>
              <w:bottom w:val="single" w:sz="8" w:color="0000FF"/>
            </w:tcBorders>
            <w:gridSpan w:val="8"/>
          </w:tcPr>
          <w:p>
            <w:pPr>
              <w:spacing w:after="0" w:line="169" w:lineRule="exact"/>
              <w:rPr>
                <w:rFonts w:ascii="Arial" w:cs="Arial" w:eastAsia="Arial" w:hAnsi="Arial"/>
                <w:sz w:val="18"/>
                <w:szCs w:val="18"/>
                <w:color w:val="0000FF"/>
                <w:w w:val="86"/>
              </w:rPr>
            </w:pPr>
            <w:hyperlink r:id="rId158">
              <w:r>
                <w:rPr>
                  <w:rFonts w:ascii="Arial" w:cs="Arial" w:eastAsia="Arial" w:hAnsi="Arial"/>
                  <w:sz w:val="18"/>
                  <w:szCs w:val="18"/>
                  <w:color w:val="0000FF"/>
                  <w:w w:val="86"/>
                </w:rPr>
                <w:t>June 2016 and updated June 2020</w:t>
              </w:r>
            </w:hyperlink>
          </w:p>
        </w:tc>
        <w:tc>
          <w:tcPr>
            <w:tcW w:w="1640" w:type="dxa"/>
            <w:vAlign w:val="bottom"/>
            <w:tcBorders>
              <w:top w:val="single" w:sz="8" w:color="0000FF"/>
            </w:tcBorders>
            <w:gridSpan w:val="8"/>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gridSpan w:val="2"/>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940" w:type="dxa"/>
            <w:vAlign w:val="bottom"/>
          </w:tcPr>
          <w:p>
            <w:pPr>
              <w:spacing w:after="0"/>
              <w:rPr>
                <w:sz w:val="14"/>
                <w:szCs w:val="14"/>
                <w:color w:val="auto"/>
              </w:rPr>
            </w:pPr>
          </w:p>
        </w:tc>
      </w:tr>
      <w:tr>
        <w:trPr>
          <w:trHeight w:val="426"/>
        </w:trPr>
        <w:tc>
          <w:tcPr>
            <w:tcW w:w="1240" w:type="dxa"/>
            <w:vAlign w:val="bottom"/>
          </w:tcPr>
          <w:p>
            <w:pPr>
              <w:ind w:left="140"/>
              <w:spacing w:after="0"/>
              <w:rPr>
                <w:sz w:val="20"/>
                <w:szCs w:val="20"/>
                <w:color w:val="auto"/>
              </w:rPr>
            </w:pPr>
            <w:r>
              <w:rPr>
                <w:rFonts w:ascii="Arial" w:cs="Arial" w:eastAsia="Arial" w:hAnsi="Arial"/>
                <w:sz w:val="18"/>
                <w:szCs w:val="18"/>
                <w:color w:val="auto"/>
              </w:rPr>
              <w:t>10.9#</w:t>
            </w:r>
          </w:p>
        </w:tc>
        <w:tc>
          <w:tcPr>
            <w:tcW w:w="4580" w:type="dxa"/>
            <w:vAlign w:val="bottom"/>
            <w:gridSpan w:val="26"/>
          </w:tcPr>
          <w:p>
            <w:pPr>
              <w:spacing w:after="0"/>
              <w:rPr>
                <w:rFonts w:ascii="Arial" w:cs="Arial" w:eastAsia="Arial" w:hAnsi="Arial"/>
                <w:sz w:val="18"/>
                <w:szCs w:val="18"/>
                <w:u w:val="single" w:color="auto"/>
                <w:color w:val="0000FF"/>
              </w:rPr>
            </w:pPr>
            <w:hyperlink r:id="rId159">
              <w:r>
                <w:rPr>
                  <w:rFonts w:ascii="Arial" w:cs="Arial" w:eastAsia="Arial" w:hAnsi="Arial"/>
                  <w:sz w:val="18"/>
                  <w:szCs w:val="18"/>
                  <w:u w:val="single" w:color="auto"/>
                  <w:color w:val="0000FF"/>
                </w:rPr>
                <w:t>Offer Letter between Marvell and Mitchell Gaynor</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10.3</w:t>
            </w:r>
          </w:p>
        </w:tc>
        <w:tc>
          <w:tcPr>
            <w:tcW w:w="1940" w:type="dxa"/>
            <w:vAlign w:val="bottom"/>
          </w:tcPr>
          <w:p>
            <w:pPr>
              <w:ind w:left="600"/>
              <w:spacing w:after="0"/>
              <w:rPr>
                <w:sz w:val="20"/>
                <w:szCs w:val="20"/>
                <w:color w:val="auto"/>
              </w:rPr>
            </w:pPr>
            <w:r>
              <w:rPr>
                <w:rFonts w:ascii="Arial" w:cs="Arial" w:eastAsia="Arial" w:hAnsi="Arial"/>
                <w:sz w:val="18"/>
                <w:szCs w:val="18"/>
                <w:color w:val="auto"/>
              </w:rPr>
              <w:t>9/8/2016</w:t>
            </w:r>
          </w:p>
        </w:tc>
      </w:tr>
      <w:tr>
        <w:trPr>
          <w:trHeight w:val="391"/>
        </w:trPr>
        <w:tc>
          <w:tcPr>
            <w:tcW w:w="1240" w:type="dxa"/>
            <w:vAlign w:val="bottom"/>
          </w:tcPr>
          <w:p>
            <w:pPr>
              <w:ind w:left="140"/>
              <w:spacing w:after="0"/>
              <w:rPr>
                <w:sz w:val="20"/>
                <w:szCs w:val="20"/>
                <w:color w:val="auto"/>
              </w:rPr>
            </w:pPr>
            <w:r>
              <w:rPr>
                <w:rFonts w:ascii="Arial" w:cs="Arial" w:eastAsia="Arial" w:hAnsi="Arial"/>
                <w:sz w:val="18"/>
                <w:szCs w:val="18"/>
                <w:color w:val="auto"/>
              </w:rPr>
              <w:t>10.10#</w:t>
            </w:r>
          </w:p>
        </w:tc>
        <w:tc>
          <w:tcPr>
            <w:tcW w:w="4580" w:type="dxa"/>
            <w:vAlign w:val="bottom"/>
            <w:gridSpan w:val="26"/>
          </w:tcPr>
          <w:p>
            <w:pPr>
              <w:spacing w:after="0"/>
              <w:rPr>
                <w:rFonts w:ascii="Arial" w:cs="Arial" w:eastAsia="Arial" w:hAnsi="Arial"/>
                <w:sz w:val="18"/>
                <w:szCs w:val="18"/>
                <w:u w:val="single" w:color="auto"/>
                <w:color w:val="0000FF"/>
              </w:rPr>
            </w:pPr>
            <w:hyperlink r:id="rId160">
              <w:r>
                <w:rPr>
                  <w:rFonts w:ascii="Arial" w:cs="Arial" w:eastAsia="Arial" w:hAnsi="Arial"/>
                  <w:sz w:val="18"/>
                  <w:szCs w:val="18"/>
                  <w:u w:val="single" w:color="auto"/>
                  <w:color w:val="0000FF"/>
                </w:rPr>
                <w:t>Offer Letter between Marvell and Andrew Micallef</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10.5</w:t>
            </w:r>
          </w:p>
        </w:tc>
        <w:tc>
          <w:tcPr>
            <w:tcW w:w="1940" w:type="dxa"/>
            <w:vAlign w:val="bottom"/>
          </w:tcPr>
          <w:p>
            <w:pPr>
              <w:ind w:left="600"/>
              <w:spacing w:after="0"/>
              <w:rPr>
                <w:sz w:val="20"/>
                <w:szCs w:val="20"/>
                <w:color w:val="auto"/>
              </w:rPr>
            </w:pPr>
            <w:r>
              <w:rPr>
                <w:rFonts w:ascii="Arial" w:cs="Arial" w:eastAsia="Arial" w:hAnsi="Arial"/>
                <w:sz w:val="18"/>
                <w:szCs w:val="18"/>
                <w:color w:val="auto"/>
              </w:rPr>
              <w:t>9/8/2016</w:t>
            </w:r>
          </w:p>
        </w:tc>
      </w:tr>
      <w:tr>
        <w:trPr>
          <w:trHeight w:val="392"/>
        </w:trPr>
        <w:tc>
          <w:tcPr>
            <w:tcW w:w="1240" w:type="dxa"/>
            <w:vAlign w:val="bottom"/>
          </w:tcPr>
          <w:p>
            <w:pPr>
              <w:ind w:left="140"/>
              <w:spacing w:after="0"/>
              <w:rPr>
                <w:sz w:val="20"/>
                <w:szCs w:val="20"/>
                <w:color w:val="auto"/>
              </w:rPr>
            </w:pPr>
            <w:r>
              <w:rPr>
                <w:rFonts w:ascii="Arial" w:cs="Arial" w:eastAsia="Arial" w:hAnsi="Arial"/>
                <w:sz w:val="18"/>
                <w:szCs w:val="18"/>
                <w:color w:val="auto"/>
              </w:rPr>
              <w:t>10.11#</w:t>
            </w:r>
          </w:p>
        </w:tc>
        <w:tc>
          <w:tcPr>
            <w:tcW w:w="4580" w:type="dxa"/>
            <w:vAlign w:val="bottom"/>
            <w:gridSpan w:val="26"/>
          </w:tcPr>
          <w:p>
            <w:pPr>
              <w:spacing w:after="0"/>
              <w:rPr>
                <w:rFonts w:ascii="Arial" w:cs="Arial" w:eastAsia="Arial" w:hAnsi="Arial"/>
                <w:sz w:val="18"/>
                <w:szCs w:val="18"/>
                <w:u w:val="single" w:color="auto"/>
                <w:color w:val="0000FF"/>
              </w:rPr>
            </w:pPr>
            <w:hyperlink r:id="rId161">
              <w:r>
                <w:rPr>
                  <w:rFonts w:ascii="Arial" w:cs="Arial" w:eastAsia="Arial" w:hAnsi="Arial"/>
                  <w:sz w:val="18"/>
                  <w:szCs w:val="18"/>
                  <w:u w:val="single" w:color="auto"/>
                  <w:color w:val="0000FF"/>
                </w:rPr>
                <w:t>Offer Letter between the Company and Jean Hu</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8/23/2016</w:t>
            </w:r>
          </w:p>
        </w:tc>
      </w:tr>
      <w:tr>
        <w:trPr>
          <w:trHeight w:val="351"/>
        </w:trPr>
        <w:tc>
          <w:tcPr>
            <w:tcW w:w="1240" w:type="dxa"/>
            <w:vAlign w:val="bottom"/>
          </w:tcPr>
          <w:p>
            <w:pPr>
              <w:ind w:left="140"/>
              <w:spacing w:after="0"/>
              <w:rPr>
                <w:sz w:val="20"/>
                <w:szCs w:val="20"/>
                <w:color w:val="auto"/>
              </w:rPr>
            </w:pPr>
            <w:r>
              <w:rPr>
                <w:rFonts w:ascii="Arial" w:cs="Arial" w:eastAsia="Arial" w:hAnsi="Arial"/>
                <w:sz w:val="18"/>
                <w:szCs w:val="18"/>
                <w:color w:val="auto"/>
              </w:rPr>
              <w:t>10.12#</w:t>
            </w:r>
          </w:p>
        </w:tc>
        <w:tc>
          <w:tcPr>
            <w:tcW w:w="4580" w:type="dxa"/>
            <w:vAlign w:val="bottom"/>
            <w:gridSpan w:val="26"/>
          </w:tcPr>
          <w:p>
            <w:pPr>
              <w:spacing w:after="0"/>
              <w:rPr>
                <w:rFonts w:ascii="Arial" w:cs="Arial" w:eastAsia="Arial" w:hAnsi="Arial"/>
                <w:sz w:val="18"/>
                <w:szCs w:val="18"/>
                <w:color w:val="0000FF"/>
                <w:w w:val="98"/>
              </w:rPr>
            </w:pPr>
            <w:hyperlink r:id="rId162">
              <w:r>
                <w:rPr>
                  <w:rFonts w:ascii="Arial" w:cs="Arial" w:eastAsia="Arial" w:hAnsi="Arial"/>
                  <w:sz w:val="18"/>
                  <w:szCs w:val="18"/>
                  <w:color w:val="0000FF"/>
                  <w:w w:val="98"/>
                </w:rPr>
                <w:t>Severance Agreement between the Company and Mitchell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10.23</w:t>
            </w:r>
          </w:p>
        </w:tc>
        <w:tc>
          <w:tcPr>
            <w:tcW w:w="1940" w:type="dxa"/>
            <w:vAlign w:val="bottom"/>
          </w:tcPr>
          <w:p>
            <w:pPr>
              <w:ind w:left="600"/>
              <w:spacing w:after="0"/>
              <w:rPr>
                <w:sz w:val="20"/>
                <w:szCs w:val="20"/>
                <w:color w:val="auto"/>
              </w:rPr>
            </w:pPr>
            <w:r>
              <w:rPr>
                <w:rFonts w:ascii="Arial" w:cs="Arial" w:eastAsia="Arial" w:hAnsi="Arial"/>
                <w:sz w:val="18"/>
                <w:szCs w:val="18"/>
                <w:color w:val="auto"/>
              </w:rPr>
              <w:t>03/28/2017</w:t>
            </w:r>
          </w:p>
        </w:tc>
      </w:tr>
      <w:tr>
        <w:trPr>
          <w:trHeight w:val="156"/>
        </w:trPr>
        <w:tc>
          <w:tcPr>
            <w:tcW w:w="1240" w:type="dxa"/>
            <w:vAlign w:val="bottom"/>
          </w:tcPr>
          <w:p>
            <w:pPr>
              <w:spacing w:after="0"/>
              <w:rPr>
                <w:sz w:val="13"/>
                <w:szCs w:val="13"/>
                <w:color w:val="auto"/>
              </w:rPr>
            </w:pPr>
          </w:p>
        </w:tc>
        <w:tc>
          <w:tcPr>
            <w:tcW w:w="420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62">
              <w:r>
                <w:rPr>
                  <w:rFonts w:ascii="Arial" w:cs="Arial" w:eastAsia="Arial" w:hAnsi="Arial"/>
                  <w:sz w:val="18"/>
                  <w:szCs w:val="18"/>
                  <w:color w:val="0000FF"/>
                </w:rPr>
                <w:t>Gaynor</w:t>
              </w:r>
            </w:hyperlink>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1540" w:type="dxa"/>
            <w:vAlign w:val="bottom"/>
            <w:gridSpan w:val="5"/>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440" w:type="dxa"/>
            <w:vAlign w:val="bottom"/>
            <w:gridSpan w:val="4"/>
          </w:tcPr>
          <w:p>
            <w:pPr>
              <w:spacing w:after="0" w:line="20" w:lineRule="exact"/>
              <w:rPr>
                <w:sz w:val="1"/>
                <w:szCs w:val="1"/>
                <w:color w:val="auto"/>
              </w:rPr>
            </w:pPr>
          </w:p>
        </w:tc>
        <w:tc>
          <w:tcPr>
            <w:tcW w:w="20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412"/>
        </w:trPr>
        <w:tc>
          <w:tcPr>
            <w:tcW w:w="1240" w:type="dxa"/>
            <w:vAlign w:val="bottom"/>
          </w:tcPr>
          <w:p>
            <w:pPr>
              <w:ind w:left="140"/>
              <w:spacing w:after="0"/>
              <w:rPr>
                <w:sz w:val="20"/>
                <w:szCs w:val="20"/>
                <w:color w:val="auto"/>
              </w:rPr>
            </w:pPr>
            <w:r>
              <w:rPr>
                <w:rFonts w:ascii="Arial" w:cs="Arial" w:eastAsia="Arial" w:hAnsi="Arial"/>
                <w:sz w:val="18"/>
                <w:szCs w:val="18"/>
                <w:color w:val="auto"/>
              </w:rPr>
              <w:t>10.13#</w:t>
            </w:r>
          </w:p>
        </w:tc>
        <w:tc>
          <w:tcPr>
            <w:tcW w:w="4580" w:type="dxa"/>
            <w:vAlign w:val="bottom"/>
            <w:gridSpan w:val="26"/>
          </w:tcPr>
          <w:p>
            <w:pPr>
              <w:spacing w:after="0"/>
              <w:rPr>
                <w:rFonts w:ascii="Arial" w:cs="Arial" w:eastAsia="Arial" w:hAnsi="Arial"/>
                <w:sz w:val="18"/>
                <w:szCs w:val="18"/>
                <w:u w:val="single" w:color="auto"/>
                <w:color w:val="0000FF"/>
              </w:rPr>
            </w:pPr>
            <w:hyperlink r:id="rId163">
              <w:r>
                <w:rPr>
                  <w:rFonts w:ascii="Arial" w:cs="Arial" w:eastAsia="Arial" w:hAnsi="Arial"/>
                  <w:sz w:val="18"/>
                  <w:szCs w:val="18"/>
                  <w:u w:val="single" w:color="auto"/>
                  <w:color w:val="0000FF"/>
                </w:rPr>
                <w:t>Offer Letter between Marvell and Raghib Hussain</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10.3</w:t>
            </w:r>
          </w:p>
        </w:tc>
        <w:tc>
          <w:tcPr>
            <w:tcW w:w="1940" w:type="dxa"/>
            <w:vAlign w:val="bottom"/>
          </w:tcPr>
          <w:p>
            <w:pPr>
              <w:ind w:left="600"/>
              <w:spacing w:after="0"/>
              <w:rPr>
                <w:sz w:val="20"/>
                <w:szCs w:val="20"/>
                <w:color w:val="auto"/>
              </w:rPr>
            </w:pPr>
            <w:r>
              <w:rPr>
                <w:rFonts w:ascii="Arial" w:cs="Arial" w:eastAsia="Arial" w:hAnsi="Arial"/>
                <w:sz w:val="18"/>
                <w:szCs w:val="18"/>
                <w:color w:val="auto"/>
              </w:rPr>
              <w:t>09/12/28</w:t>
            </w:r>
          </w:p>
        </w:tc>
      </w:tr>
      <w:tr>
        <w:trPr>
          <w:trHeight w:val="351"/>
        </w:trPr>
        <w:tc>
          <w:tcPr>
            <w:tcW w:w="1240" w:type="dxa"/>
            <w:vAlign w:val="bottom"/>
          </w:tcPr>
          <w:p>
            <w:pPr>
              <w:ind w:left="140"/>
              <w:spacing w:after="0"/>
              <w:rPr>
                <w:sz w:val="20"/>
                <w:szCs w:val="20"/>
                <w:color w:val="auto"/>
              </w:rPr>
            </w:pPr>
            <w:r>
              <w:rPr>
                <w:rFonts w:ascii="Arial" w:cs="Arial" w:eastAsia="Arial" w:hAnsi="Arial"/>
                <w:sz w:val="18"/>
                <w:szCs w:val="18"/>
                <w:color w:val="auto"/>
              </w:rPr>
              <w:t>10.14#</w:t>
            </w:r>
          </w:p>
        </w:tc>
        <w:tc>
          <w:tcPr>
            <w:tcW w:w="4580" w:type="dxa"/>
            <w:vAlign w:val="bottom"/>
            <w:gridSpan w:val="26"/>
          </w:tcPr>
          <w:p>
            <w:pPr>
              <w:spacing w:after="0"/>
              <w:rPr>
                <w:rFonts w:ascii="Arial" w:cs="Arial" w:eastAsia="Arial" w:hAnsi="Arial"/>
                <w:sz w:val="18"/>
                <w:szCs w:val="18"/>
                <w:color w:val="0000FF"/>
                <w:w w:val="99"/>
              </w:rPr>
            </w:pPr>
            <w:hyperlink r:id="rId164">
              <w:r>
                <w:rPr>
                  <w:rFonts w:ascii="Arial" w:cs="Arial" w:eastAsia="Arial" w:hAnsi="Arial"/>
                  <w:sz w:val="18"/>
                  <w:szCs w:val="18"/>
                  <w:color w:val="0000FF"/>
                  <w:w w:val="99"/>
                </w:rPr>
                <w:t>Severance Agreement between the Company and Willem</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06/29/2018</w:t>
            </w:r>
          </w:p>
        </w:tc>
      </w:tr>
      <w:tr>
        <w:trPr>
          <w:trHeight w:val="155"/>
        </w:trPr>
        <w:tc>
          <w:tcPr>
            <w:tcW w:w="1240" w:type="dxa"/>
            <w:vAlign w:val="bottom"/>
          </w:tcPr>
          <w:p>
            <w:pPr>
              <w:spacing w:after="0"/>
              <w:rPr>
                <w:sz w:val="13"/>
                <w:szCs w:val="13"/>
                <w:color w:val="auto"/>
              </w:rPr>
            </w:pPr>
          </w:p>
        </w:tc>
        <w:tc>
          <w:tcPr>
            <w:tcW w:w="248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9"/>
              </w:rPr>
            </w:pPr>
            <w:hyperlink r:id="rId164">
              <w:r>
                <w:rPr>
                  <w:rFonts w:ascii="Arial" w:cs="Arial" w:eastAsia="Arial" w:hAnsi="Arial"/>
                  <w:sz w:val="18"/>
                  <w:szCs w:val="18"/>
                  <w:color w:val="0000FF"/>
                  <w:w w:val="89"/>
                </w:rPr>
                <w:t>Meintjes, dated December 9, 2016</w:t>
              </w:r>
            </w:hyperlink>
          </w:p>
        </w:tc>
        <w:tc>
          <w:tcPr>
            <w:tcW w:w="1640" w:type="dxa"/>
            <w:vAlign w:val="bottom"/>
            <w:tcBorders>
              <w:top w:val="single" w:sz="8" w:color="0000FF"/>
            </w:tcBorders>
            <w:gridSpan w:val="8"/>
          </w:tcPr>
          <w:p>
            <w:pPr>
              <w:spacing w:after="0"/>
              <w:rPr>
                <w:sz w:val="13"/>
                <w:szCs w:val="13"/>
                <w:color w:val="auto"/>
              </w:rPr>
            </w:pPr>
          </w:p>
        </w:tc>
        <w:tc>
          <w:tcPr>
            <w:tcW w:w="160" w:type="dxa"/>
            <w:vAlign w:val="bottom"/>
            <w:gridSpan w:val="3"/>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425"/>
        </w:trPr>
        <w:tc>
          <w:tcPr>
            <w:tcW w:w="1240" w:type="dxa"/>
            <w:vAlign w:val="bottom"/>
          </w:tcPr>
          <w:p>
            <w:pPr>
              <w:ind w:left="140"/>
              <w:spacing w:after="0"/>
              <w:rPr>
                <w:sz w:val="20"/>
                <w:szCs w:val="20"/>
                <w:color w:val="auto"/>
              </w:rPr>
            </w:pPr>
            <w:r>
              <w:rPr>
                <w:rFonts w:ascii="Arial" w:cs="Arial" w:eastAsia="Arial" w:hAnsi="Arial"/>
                <w:sz w:val="18"/>
                <w:szCs w:val="18"/>
                <w:color w:val="auto"/>
              </w:rPr>
              <w:t>10.15</w:t>
            </w:r>
          </w:p>
        </w:tc>
        <w:tc>
          <w:tcPr>
            <w:tcW w:w="4580" w:type="dxa"/>
            <w:vAlign w:val="bottom"/>
            <w:gridSpan w:val="26"/>
          </w:tcPr>
          <w:p>
            <w:pPr>
              <w:spacing w:after="0"/>
              <w:rPr>
                <w:rFonts w:ascii="Arial" w:cs="Arial" w:eastAsia="Arial" w:hAnsi="Arial"/>
                <w:sz w:val="18"/>
                <w:szCs w:val="18"/>
                <w:color w:val="0000FF"/>
                <w:w w:val="94"/>
              </w:rPr>
            </w:pPr>
            <w:hyperlink r:id="rId165">
              <w:r>
                <w:rPr>
                  <w:rFonts w:ascii="Arial" w:cs="Arial" w:eastAsia="Arial" w:hAnsi="Arial"/>
                  <w:sz w:val="18"/>
                  <w:szCs w:val="18"/>
                  <w:color w:val="0000FF"/>
                  <w:w w:val="94"/>
                </w:rPr>
                <w:t>Credit Agreement dated as of June 13, 2018, among Marvell</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06/13/2018</w:t>
            </w:r>
          </w:p>
        </w:tc>
      </w:tr>
      <w:tr>
        <w:trPr>
          <w:trHeight w:val="155"/>
        </w:trPr>
        <w:tc>
          <w:tcPr>
            <w:tcW w:w="1240" w:type="dxa"/>
            <w:vAlign w:val="bottom"/>
          </w:tcPr>
          <w:p>
            <w:pPr>
              <w:spacing w:after="0"/>
              <w:rPr>
                <w:sz w:val="13"/>
                <w:szCs w:val="13"/>
                <w:color w:val="auto"/>
              </w:rPr>
            </w:pPr>
          </w:p>
        </w:tc>
        <w:tc>
          <w:tcPr>
            <w:tcW w:w="4400" w:type="dxa"/>
            <w:vAlign w:val="bottom"/>
            <w:tcBorders>
              <w:top w:val="single" w:sz="8" w:color="0000FF"/>
            </w:tcBorders>
            <w:gridSpan w:val="25"/>
          </w:tcPr>
          <w:p>
            <w:pPr>
              <w:spacing w:after="0" w:line="156" w:lineRule="exact"/>
              <w:rPr>
                <w:rFonts w:ascii="Arial" w:cs="Arial" w:eastAsia="Arial" w:hAnsi="Arial"/>
                <w:sz w:val="18"/>
                <w:szCs w:val="18"/>
                <w:color w:val="0000FF"/>
                <w:w w:val="91"/>
              </w:rPr>
            </w:pPr>
            <w:hyperlink r:id="rId165">
              <w:r>
                <w:rPr>
                  <w:rFonts w:ascii="Arial" w:cs="Arial" w:eastAsia="Arial" w:hAnsi="Arial"/>
                  <w:sz w:val="18"/>
                  <w:szCs w:val="18"/>
                  <w:color w:val="0000FF"/>
                  <w:w w:val="91"/>
                </w:rPr>
                <w:t>Technology Group Ltd., the Lenders party thereto, Goldman</w:t>
              </w:r>
            </w:hyperlink>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5"/>
        </w:trPr>
        <w:tc>
          <w:tcPr>
            <w:tcW w:w="1240" w:type="dxa"/>
            <w:vAlign w:val="bottom"/>
          </w:tcPr>
          <w:p>
            <w:pPr>
              <w:spacing w:after="0"/>
              <w:rPr>
                <w:sz w:val="13"/>
                <w:szCs w:val="13"/>
                <w:color w:val="auto"/>
              </w:rPr>
            </w:pPr>
          </w:p>
        </w:tc>
        <w:tc>
          <w:tcPr>
            <w:tcW w:w="4340" w:type="dxa"/>
            <w:vAlign w:val="bottom"/>
            <w:tcBorders>
              <w:top w:val="single" w:sz="8" w:color="0000FF"/>
            </w:tcBorders>
            <w:gridSpan w:val="22"/>
          </w:tcPr>
          <w:p>
            <w:pPr>
              <w:spacing w:after="0" w:line="156" w:lineRule="exact"/>
              <w:rPr>
                <w:rFonts w:ascii="Arial" w:cs="Arial" w:eastAsia="Arial" w:hAnsi="Arial"/>
                <w:sz w:val="18"/>
                <w:szCs w:val="18"/>
                <w:color w:val="0000FF"/>
                <w:w w:val="91"/>
              </w:rPr>
            </w:pPr>
            <w:hyperlink r:id="rId165">
              <w:r>
                <w:rPr>
                  <w:rFonts w:ascii="Arial" w:cs="Arial" w:eastAsia="Arial" w:hAnsi="Arial"/>
                  <w:sz w:val="18"/>
                  <w:szCs w:val="18"/>
                  <w:color w:val="0000FF"/>
                  <w:w w:val="91"/>
                </w:rPr>
                <w:t>Sachs Bank USA, as the General Administrative Agent and</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42"/>
        </w:trPr>
        <w:tc>
          <w:tcPr>
            <w:tcW w:w="1240" w:type="dxa"/>
            <w:vAlign w:val="bottom"/>
          </w:tcPr>
          <w:p>
            <w:pPr>
              <w:spacing w:after="0"/>
              <w:rPr>
                <w:sz w:val="12"/>
                <w:szCs w:val="12"/>
                <w:color w:val="auto"/>
              </w:rPr>
            </w:pPr>
          </w:p>
        </w:tc>
        <w:tc>
          <w:tcPr>
            <w:tcW w:w="4280" w:type="dxa"/>
            <w:vAlign w:val="bottom"/>
            <w:tcBorders>
              <w:top w:val="single" w:sz="8" w:color="0000FF"/>
            </w:tcBorders>
            <w:gridSpan w:val="20"/>
          </w:tcPr>
          <w:p>
            <w:pPr>
              <w:spacing w:after="0" w:line="142" w:lineRule="exact"/>
              <w:rPr>
                <w:rFonts w:ascii="Arial" w:cs="Arial" w:eastAsia="Arial" w:hAnsi="Arial"/>
                <w:sz w:val="16"/>
                <w:szCs w:val="16"/>
                <w:u w:val="single" w:color="auto"/>
                <w:color w:val="0000FF"/>
              </w:rPr>
            </w:pPr>
            <w:hyperlink r:id="rId165">
              <w:r>
                <w:rPr>
                  <w:rFonts w:ascii="Arial" w:cs="Arial" w:eastAsia="Arial" w:hAnsi="Arial"/>
                  <w:sz w:val="16"/>
                  <w:szCs w:val="16"/>
                  <w:u w:val="single" w:color="auto"/>
                  <w:color w:val="0000FF"/>
                </w:rPr>
                <w:t>the Term Facility Agent, and Bank of America, N.A., as the</w:t>
              </w:r>
            </w:hyperlink>
          </w:p>
        </w:tc>
        <w:tc>
          <w:tcPr>
            <w:tcW w:w="40" w:type="dxa"/>
            <w:vAlign w:val="bottom"/>
          </w:tcPr>
          <w:p>
            <w:pPr>
              <w:spacing w:after="0"/>
              <w:rPr>
                <w:sz w:val="12"/>
                <w:szCs w:val="12"/>
                <w:color w:val="auto"/>
              </w:rPr>
            </w:pPr>
          </w:p>
        </w:tc>
        <w:tc>
          <w:tcPr>
            <w:tcW w:w="40" w:type="dxa"/>
            <w:vAlign w:val="bottom"/>
            <w:gridSpan w:val="2"/>
          </w:tcPr>
          <w:p>
            <w:pPr>
              <w:spacing w:after="0"/>
              <w:rPr>
                <w:sz w:val="12"/>
                <w:szCs w:val="12"/>
                <w:color w:val="auto"/>
              </w:rPr>
            </w:pPr>
          </w:p>
        </w:tc>
        <w:tc>
          <w:tcPr>
            <w:tcW w:w="20" w:type="dxa"/>
            <w:vAlign w:val="bottom"/>
          </w:tcPr>
          <w:p>
            <w:pPr>
              <w:spacing w:after="0"/>
              <w:rPr>
                <w:sz w:val="12"/>
                <w:szCs w:val="12"/>
                <w:color w:val="auto"/>
              </w:rPr>
            </w:pPr>
          </w:p>
        </w:tc>
        <w:tc>
          <w:tcPr>
            <w:tcW w:w="200" w:type="dxa"/>
            <w:vAlign w:val="bottom"/>
            <w:gridSpan w:val="2"/>
          </w:tcPr>
          <w:p>
            <w:pPr>
              <w:spacing w:after="0"/>
              <w:rPr>
                <w:sz w:val="12"/>
                <w:szCs w:val="12"/>
                <w:color w:val="auto"/>
              </w:rPr>
            </w:pPr>
          </w:p>
        </w:tc>
        <w:tc>
          <w:tcPr>
            <w:tcW w:w="74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940" w:type="dxa"/>
            <w:vAlign w:val="bottom"/>
          </w:tcPr>
          <w:p>
            <w:pPr>
              <w:spacing w:after="0"/>
              <w:rPr>
                <w:sz w:val="12"/>
                <w:szCs w:val="12"/>
                <w:color w:val="auto"/>
              </w:rPr>
            </w:pPr>
          </w:p>
        </w:tc>
      </w:tr>
      <w:tr>
        <w:trPr>
          <w:trHeight w:val="230"/>
        </w:trPr>
        <w:tc>
          <w:tcPr>
            <w:tcW w:w="1240" w:type="dxa"/>
            <w:vAlign w:val="bottom"/>
          </w:tcPr>
          <w:p>
            <w:pPr>
              <w:spacing w:after="0"/>
              <w:rPr>
                <w:sz w:val="20"/>
                <w:szCs w:val="20"/>
                <w:color w:val="auto"/>
              </w:rPr>
            </w:pPr>
          </w:p>
        </w:tc>
        <w:tc>
          <w:tcPr>
            <w:tcW w:w="4580" w:type="dxa"/>
            <w:vAlign w:val="bottom"/>
            <w:gridSpan w:val="26"/>
          </w:tcPr>
          <w:p>
            <w:pPr>
              <w:spacing w:after="0"/>
              <w:rPr>
                <w:rFonts w:ascii="Arial" w:cs="Arial" w:eastAsia="Arial" w:hAnsi="Arial"/>
                <w:sz w:val="18"/>
                <w:szCs w:val="18"/>
                <w:u w:val="single" w:color="auto"/>
                <w:color w:val="0000FF"/>
              </w:rPr>
            </w:pPr>
            <w:hyperlink r:id="rId165">
              <w:r>
                <w:rPr>
                  <w:rFonts w:ascii="Arial" w:cs="Arial" w:eastAsia="Arial" w:hAnsi="Arial"/>
                  <w:sz w:val="18"/>
                  <w:szCs w:val="18"/>
                  <w:u w:val="single" w:color="auto"/>
                  <w:color w:val="0000FF"/>
                </w:rPr>
                <w:t>Revolving Facility Agent</w:t>
              </w:r>
            </w:hyperlink>
          </w:p>
        </w:tc>
        <w:tc>
          <w:tcPr>
            <w:tcW w:w="74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940" w:type="dxa"/>
            <w:vAlign w:val="bottom"/>
          </w:tcPr>
          <w:p>
            <w:pPr>
              <w:spacing w:after="0"/>
              <w:rPr>
                <w:sz w:val="20"/>
                <w:szCs w:val="20"/>
                <w:color w:val="auto"/>
              </w:rPr>
            </w:pPr>
          </w:p>
        </w:tc>
      </w:tr>
      <w:tr>
        <w:trPr>
          <w:trHeight w:val="377"/>
        </w:trPr>
        <w:tc>
          <w:tcPr>
            <w:tcW w:w="1240" w:type="dxa"/>
            <w:vAlign w:val="bottom"/>
          </w:tcPr>
          <w:p>
            <w:pPr>
              <w:ind w:left="140"/>
              <w:spacing w:after="0"/>
              <w:rPr>
                <w:sz w:val="20"/>
                <w:szCs w:val="20"/>
                <w:color w:val="auto"/>
              </w:rPr>
            </w:pPr>
            <w:r>
              <w:rPr>
                <w:rFonts w:ascii="Arial" w:cs="Arial" w:eastAsia="Arial" w:hAnsi="Arial"/>
                <w:sz w:val="18"/>
                <w:szCs w:val="18"/>
                <w:color w:val="auto"/>
              </w:rPr>
              <w:t>10.16#</w:t>
            </w:r>
          </w:p>
        </w:tc>
        <w:tc>
          <w:tcPr>
            <w:tcW w:w="4580" w:type="dxa"/>
            <w:vAlign w:val="bottom"/>
            <w:gridSpan w:val="26"/>
          </w:tcPr>
          <w:p>
            <w:pPr>
              <w:spacing w:after="0"/>
              <w:rPr>
                <w:rFonts w:ascii="Arial" w:cs="Arial" w:eastAsia="Arial" w:hAnsi="Arial"/>
                <w:sz w:val="18"/>
                <w:szCs w:val="18"/>
                <w:u w:val="single" w:color="auto"/>
                <w:color w:val="0000FF"/>
              </w:rPr>
            </w:pPr>
            <w:hyperlink r:id="rId166">
              <w:r>
                <w:rPr>
                  <w:rFonts w:ascii="Arial" w:cs="Arial" w:eastAsia="Arial" w:hAnsi="Arial"/>
                  <w:sz w:val="18"/>
                  <w:szCs w:val="18"/>
                  <w:u w:val="single" w:color="auto"/>
                  <w:color w:val="0000FF"/>
                </w:rPr>
                <w:t>Summary of Fiscal 2021 Compensation Arrangements</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05/29/2020</w:t>
            </w:r>
          </w:p>
        </w:tc>
      </w:tr>
      <w:tr>
        <w:trPr>
          <w:trHeight w:val="351"/>
        </w:trPr>
        <w:tc>
          <w:tcPr>
            <w:tcW w:w="1240" w:type="dxa"/>
            <w:vAlign w:val="bottom"/>
          </w:tcPr>
          <w:p>
            <w:pPr>
              <w:ind w:left="140"/>
              <w:spacing w:after="0"/>
              <w:rPr>
                <w:sz w:val="20"/>
                <w:szCs w:val="20"/>
                <w:color w:val="auto"/>
              </w:rPr>
            </w:pPr>
            <w:r>
              <w:rPr>
                <w:rFonts w:ascii="Arial" w:cs="Arial" w:eastAsia="Arial" w:hAnsi="Arial"/>
                <w:sz w:val="18"/>
                <w:szCs w:val="18"/>
                <w:color w:val="auto"/>
              </w:rPr>
              <w:t>10.17</w:t>
            </w:r>
          </w:p>
        </w:tc>
        <w:tc>
          <w:tcPr>
            <w:tcW w:w="4580" w:type="dxa"/>
            <w:vAlign w:val="bottom"/>
            <w:gridSpan w:val="26"/>
          </w:tcPr>
          <w:p>
            <w:pPr>
              <w:spacing w:after="0"/>
              <w:rPr>
                <w:rFonts w:ascii="Arial" w:cs="Arial" w:eastAsia="Arial" w:hAnsi="Arial"/>
                <w:sz w:val="18"/>
                <w:szCs w:val="18"/>
                <w:color w:val="0000FF"/>
                <w:w w:val="94"/>
              </w:rPr>
            </w:pPr>
            <w:hyperlink r:id="rId167">
              <w:r>
                <w:rPr>
                  <w:rFonts w:ascii="Arial" w:cs="Arial" w:eastAsia="Arial" w:hAnsi="Arial"/>
                  <w:sz w:val="18"/>
                  <w:szCs w:val="18"/>
                  <w:color w:val="0000FF"/>
                  <w:w w:val="94"/>
                </w:rPr>
                <w:t>Warrant to Purchase Common Shares of Marvell dated June</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99.1</w:t>
            </w:r>
          </w:p>
        </w:tc>
        <w:tc>
          <w:tcPr>
            <w:tcW w:w="1940" w:type="dxa"/>
            <w:vAlign w:val="bottom"/>
          </w:tcPr>
          <w:p>
            <w:pPr>
              <w:ind w:left="600"/>
              <w:spacing w:after="0"/>
              <w:rPr>
                <w:sz w:val="20"/>
                <w:szCs w:val="20"/>
                <w:color w:val="auto"/>
              </w:rPr>
            </w:pPr>
            <w:r>
              <w:rPr>
                <w:rFonts w:ascii="Arial" w:cs="Arial" w:eastAsia="Arial" w:hAnsi="Arial"/>
                <w:sz w:val="18"/>
                <w:szCs w:val="18"/>
                <w:color w:val="auto"/>
              </w:rPr>
              <w:t>06/05/2019</w:t>
            </w:r>
          </w:p>
        </w:tc>
      </w:tr>
      <w:tr>
        <w:trPr>
          <w:trHeight w:val="155"/>
        </w:trPr>
        <w:tc>
          <w:tcPr>
            <w:tcW w:w="1240" w:type="dxa"/>
            <w:vAlign w:val="bottom"/>
          </w:tcPr>
          <w:p>
            <w:pPr>
              <w:spacing w:after="0"/>
              <w:rPr>
                <w:sz w:val="13"/>
                <w:szCs w:val="13"/>
                <w:color w:val="auto"/>
              </w:rPr>
            </w:pPr>
          </w:p>
        </w:tc>
        <w:tc>
          <w:tcPr>
            <w:tcW w:w="54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6"/>
              </w:rPr>
            </w:pPr>
            <w:hyperlink r:id="rId167">
              <w:r>
                <w:rPr>
                  <w:rFonts w:ascii="Arial" w:cs="Arial" w:eastAsia="Arial" w:hAnsi="Arial"/>
                  <w:sz w:val="18"/>
                  <w:szCs w:val="18"/>
                  <w:color w:val="0000FF"/>
                  <w:w w:val="86"/>
                </w:rPr>
                <w:t>5, 2019</w:t>
              </w:r>
            </w:hyperlink>
          </w:p>
        </w:tc>
        <w:tc>
          <w:tcPr>
            <w:tcW w:w="3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720" w:type="dxa"/>
            <w:vAlign w:val="bottom"/>
            <w:tcBorders>
              <w:top w:val="single" w:sz="8" w:color="0000FF"/>
            </w:tcBorders>
          </w:tcPr>
          <w:p>
            <w:pPr>
              <w:spacing w:after="0"/>
              <w:rPr>
                <w:sz w:val="13"/>
                <w:szCs w:val="13"/>
                <w:color w:val="auto"/>
              </w:rPr>
            </w:pPr>
          </w:p>
        </w:tc>
        <w:tc>
          <w:tcPr>
            <w:tcW w:w="2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2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412"/>
        </w:trPr>
        <w:tc>
          <w:tcPr>
            <w:tcW w:w="1240" w:type="dxa"/>
            <w:vAlign w:val="bottom"/>
          </w:tcPr>
          <w:p>
            <w:pPr>
              <w:ind w:left="140"/>
              <w:spacing w:after="0"/>
              <w:rPr>
                <w:sz w:val="20"/>
                <w:szCs w:val="20"/>
                <w:color w:val="auto"/>
              </w:rPr>
            </w:pPr>
            <w:r>
              <w:rPr>
                <w:rFonts w:ascii="Arial" w:cs="Arial" w:eastAsia="Arial" w:hAnsi="Arial"/>
                <w:sz w:val="18"/>
                <w:szCs w:val="18"/>
                <w:color w:val="auto"/>
              </w:rPr>
              <w:t>10.18#</w:t>
            </w:r>
          </w:p>
        </w:tc>
        <w:tc>
          <w:tcPr>
            <w:tcW w:w="4580" w:type="dxa"/>
            <w:vAlign w:val="bottom"/>
            <w:gridSpan w:val="26"/>
          </w:tcPr>
          <w:p>
            <w:pPr>
              <w:spacing w:after="0"/>
              <w:rPr>
                <w:rFonts w:ascii="Arial" w:cs="Arial" w:eastAsia="Arial" w:hAnsi="Arial"/>
                <w:sz w:val="18"/>
                <w:szCs w:val="18"/>
                <w:color w:val="0000FF"/>
                <w:w w:val="96"/>
              </w:rPr>
            </w:pPr>
            <w:hyperlink r:id="rId168">
              <w:r>
                <w:rPr>
                  <w:rFonts w:ascii="Arial" w:cs="Arial" w:eastAsia="Arial" w:hAnsi="Arial"/>
                  <w:sz w:val="18"/>
                  <w:szCs w:val="18"/>
                  <w:color w:val="0000FF"/>
                  <w:w w:val="96"/>
                </w:rPr>
                <w:t>Cavium, Inc. 2016 Equity Incentive Plan (including forms of</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5"/>
        </w:trPr>
        <w:tc>
          <w:tcPr>
            <w:tcW w:w="1240" w:type="dxa"/>
            <w:vAlign w:val="bottom"/>
          </w:tcPr>
          <w:p>
            <w:pPr>
              <w:spacing w:after="0"/>
              <w:rPr>
                <w:sz w:val="13"/>
                <w:szCs w:val="13"/>
                <w:color w:val="auto"/>
              </w:rPr>
            </w:pPr>
          </w:p>
        </w:tc>
        <w:tc>
          <w:tcPr>
            <w:tcW w:w="438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68">
              <w:r>
                <w:rPr>
                  <w:rFonts w:ascii="Arial" w:cs="Arial" w:eastAsia="Arial" w:hAnsi="Arial"/>
                  <w:sz w:val="18"/>
                  <w:szCs w:val="18"/>
                  <w:color w:val="0000FF"/>
                </w:rPr>
                <w:t>grant notice and agreements)</w:t>
              </w:r>
            </w:hyperlink>
          </w:p>
        </w:tc>
        <w:tc>
          <w:tcPr>
            <w:tcW w:w="20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2080" w:type="dxa"/>
            <w:vAlign w:val="bottom"/>
            <w:gridSpan w:val="6"/>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40" w:type="dxa"/>
            <w:vAlign w:val="bottom"/>
            <w:gridSpan w:val="6"/>
          </w:tcPr>
          <w:p>
            <w:pPr>
              <w:spacing w:after="0" w:line="20" w:lineRule="exact"/>
              <w:rPr>
                <w:sz w:val="1"/>
                <w:szCs w:val="1"/>
                <w:color w:val="auto"/>
              </w:rPr>
            </w:pPr>
          </w:p>
        </w:tc>
        <w:tc>
          <w:tcPr>
            <w:tcW w:w="440" w:type="dxa"/>
            <w:vAlign w:val="bottom"/>
            <w:gridSpan w:val="10"/>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412"/>
        </w:trPr>
        <w:tc>
          <w:tcPr>
            <w:tcW w:w="1240" w:type="dxa"/>
            <w:vAlign w:val="bottom"/>
          </w:tcPr>
          <w:p>
            <w:pPr>
              <w:ind w:left="140"/>
              <w:spacing w:after="0"/>
              <w:rPr>
                <w:sz w:val="20"/>
                <w:szCs w:val="20"/>
                <w:color w:val="auto"/>
              </w:rPr>
            </w:pPr>
            <w:r>
              <w:rPr>
                <w:rFonts w:ascii="Arial" w:cs="Arial" w:eastAsia="Arial" w:hAnsi="Arial"/>
                <w:sz w:val="18"/>
                <w:szCs w:val="18"/>
                <w:color w:val="auto"/>
              </w:rPr>
              <w:t>10.19#</w:t>
            </w:r>
          </w:p>
        </w:tc>
        <w:tc>
          <w:tcPr>
            <w:tcW w:w="4580" w:type="dxa"/>
            <w:vAlign w:val="bottom"/>
            <w:gridSpan w:val="26"/>
          </w:tcPr>
          <w:p>
            <w:pPr>
              <w:spacing w:after="0"/>
              <w:rPr>
                <w:rFonts w:ascii="Arial" w:cs="Arial" w:eastAsia="Arial" w:hAnsi="Arial"/>
                <w:sz w:val="18"/>
                <w:szCs w:val="18"/>
                <w:color w:val="0000FF"/>
                <w:w w:val="96"/>
              </w:rPr>
            </w:pPr>
            <w:hyperlink r:id="rId169">
              <w:r>
                <w:rPr>
                  <w:rFonts w:ascii="Arial" w:cs="Arial" w:eastAsia="Arial" w:hAnsi="Arial"/>
                  <w:sz w:val="18"/>
                  <w:szCs w:val="18"/>
                  <w:color w:val="0000FF"/>
                  <w:w w:val="96"/>
                </w:rPr>
                <w:t>Cavium, Inc. 2007 Equity Incentive Plan (including forms of</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10.2</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5"/>
        </w:trPr>
        <w:tc>
          <w:tcPr>
            <w:tcW w:w="1240" w:type="dxa"/>
            <w:vAlign w:val="bottom"/>
          </w:tcPr>
          <w:p>
            <w:pPr>
              <w:spacing w:after="0"/>
              <w:rPr>
                <w:sz w:val="13"/>
                <w:szCs w:val="13"/>
                <w:color w:val="auto"/>
              </w:rPr>
            </w:pPr>
          </w:p>
        </w:tc>
        <w:tc>
          <w:tcPr>
            <w:tcW w:w="438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69">
              <w:r>
                <w:rPr>
                  <w:rFonts w:ascii="Arial" w:cs="Arial" w:eastAsia="Arial" w:hAnsi="Arial"/>
                  <w:sz w:val="18"/>
                  <w:szCs w:val="18"/>
                  <w:color w:val="0000FF"/>
                </w:rPr>
                <w:t>grant notice and agreements)</w:t>
              </w:r>
            </w:hyperlink>
          </w:p>
        </w:tc>
        <w:tc>
          <w:tcPr>
            <w:tcW w:w="20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2080" w:type="dxa"/>
            <w:vAlign w:val="bottom"/>
            <w:gridSpan w:val="6"/>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40" w:type="dxa"/>
            <w:vAlign w:val="bottom"/>
            <w:gridSpan w:val="6"/>
          </w:tcPr>
          <w:p>
            <w:pPr>
              <w:spacing w:after="0" w:line="20" w:lineRule="exact"/>
              <w:rPr>
                <w:sz w:val="1"/>
                <w:szCs w:val="1"/>
                <w:color w:val="auto"/>
              </w:rPr>
            </w:pPr>
          </w:p>
        </w:tc>
        <w:tc>
          <w:tcPr>
            <w:tcW w:w="440" w:type="dxa"/>
            <w:vAlign w:val="bottom"/>
            <w:gridSpan w:val="10"/>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412"/>
        </w:trPr>
        <w:tc>
          <w:tcPr>
            <w:tcW w:w="1240" w:type="dxa"/>
            <w:vAlign w:val="bottom"/>
          </w:tcPr>
          <w:p>
            <w:pPr>
              <w:ind w:left="140"/>
              <w:spacing w:after="0"/>
              <w:rPr>
                <w:sz w:val="20"/>
                <w:szCs w:val="20"/>
                <w:color w:val="auto"/>
              </w:rPr>
            </w:pPr>
            <w:r>
              <w:rPr>
                <w:rFonts w:ascii="Arial" w:cs="Arial" w:eastAsia="Arial" w:hAnsi="Arial"/>
                <w:sz w:val="18"/>
                <w:szCs w:val="18"/>
                <w:color w:val="auto"/>
              </w:rPr>
              <w:t>10.20#</w:t>
            </w:r>
          </w:p>
        </w:tc>
        <w:tc>
          <w:tcPr>
            <w:tcW w:w="4580" w:type="dxa"/>
            <w:vAlign w:val="bottom"/>
            <w:gridSpan w:val="26"/>
          </w:tcPr>
          <w:p>
            <w:pPr>
              <w:spacing w:after="0"/>
              <w:rPr>
                <w:rFonts w:ascii="Arial" w:cs="Arial" w:eastAsia="Arial" w:hAnsi="Arial"/>
                <w:sz w:val="18"/>
                <w:szCs w:val="18"/>
                <w:color w:val="0000FF"/>
              </w:rPr>
            </w:pPr>
            <w:hyperlink r:id="rId170">
              <w:r>
                <w:rPr>
                  <w:rFonts w:ascii="Arial" w:cs="Arial" w:eastAsia="Arial" w:hAnsi="Arial"/>
                  <w:sz w:val="18"/>
                  <w:szCs w:val="18"/>
                  <w:color w:val="0000FF"/>
                </w:rPr>
                <w:t>QLogic Corporation 2005 Performance Incentive Plan</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10.3</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224"/>
        </w:trPr>
        <w:tc>
          <w:tcPr>
            <w:tcW w:w="1240" w:type="dxa"/>
            <w:vAlign w:val="bottom"/>
          </w:tcPr>
          <w:p>
            <w:pPr>
              <w:spacing w:after="0"/>
              <w:rPr>
                <w:sz w:val="19"/>
                <w:szCs w:val="19"/>
                <w:color w:val="auto"/>
              </w:rPr>
            </w:pPr>
          </w:p>
        </w:tc>
        <w:tc>
          <w:tcPr>
            <w:tcW w:w="3920" w:type="dxa"/>
            <w:vAlign w:val="bottom"/>
            <w:tcBorders>
              <w:top w:val="single" w:sz="8" w:color="0000FF"/>
            </w:tcBorders>
            <w:gridSpan w:val="13"/>
          </w:tcPr>
          <w:p>
            <w:pPr>
              <w:spacing w:after="0"/>
              <w:rPr>
                <w:rFonts w:ascii="Arial" w:cs="Arial" w:eastAsia="Arial" w:hAnsi="Arial"/>
                <w:sz w:val="18"/>
                <w:szCs w:val="18"/>
                <w:u w:val="single" w:color="auto"/>
                <w:color w:val="0000FF"/>
              </w:rPr>
            </w:pPr>
            <w:hyperlink r:id="rId170">
              <w:r>
                <w:rPr>
                  <w:rFonts w:ascii="Arial" w:cs="Arial" w:eastAsia="Arial" w:hAnsi="Arial"/>
                  <w:sz w:val="18"/>
                  <w:szCs w:val="18"/>
                  <w:u w:val="single" w:color="auto"/>
                  <w:color w:val="0000FF"/>
                </w:rPr>
                <w:t>(including forms of grant notice and agreements)</w:t>
              </w:r>
            </w:hyperlink>
          </w:p>
        </w:tc>
        <w:tc>
          <w:tcPr>
            <w:tcW w:w="440" w:type="dxa"/>
            <w:vAlign w:val="bottom"/>
            <w:gridSpan w:val="10"/>
          </w:tcPr>
          <w:p>
            <w:pPr>
              <w:spacing w:after="0"/>
              <w:rPr>
                <w:sz w:val="19"/>
                <w:szCs w:val="19"/>
                <w:color w:val="auto"/>
              </w:rPr>
            </w:pPr>
          </w:p>
        </w:tc>
        <w:tc>
          <w:tcPr>
            <w:tcW w:w="220" w:type="dxa"/>
            <w:vAlign w:val="bottom"/>
            <w:gridSpan w:val="3"/>
          </w:tcPr>
          <w:p>
            <w:pPr>
              <w:spacing w:after="0"/>
              <w:rPr>
                <w:sz w:val="19"/>
                <w:szCs w:val="19"/>
                <w:color w:val="auto"/>
              </w:rPr>
            </w:pPr>
          </w:p>
        </w:tc>
        <w:tc>
          <w:tcPr>
            <w:tcW w:w="7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940" w:type="dxa"/>
            <w:vAlign w:val="bottom"/>
          </w:tcPr>
          <w:p>
            <w:pPr>
              <w:spacing w:after="0"/>
              <w:rPr>
                <w:sz w:val="19"/>
                <w:szCs w:val="19"/>
                <w:color w:val="auto"/>
              </w:rPr>
            </w:pPr>
          </w:p>
        </w:tc>
      </w:tr>
      <w:tr>
        <w:trPr>
          <w:trHeight w:val="323"/>
        </w:trPr>
        <w:tc>
          <w:tcPr>
            <w:tcW w:w="1240" w:type="dxa"/>
            <w:vAlign w:val="bottom"/>
          </w:tcPr>
          <w:p>
            <w:pPr>
              <w:ind w:left="140"/>
              <w:spacing w:after="0"/>
              <w:rPr>
                <w:sz w:val="20"/>
                <w:szCs w:val="20"/>
                <w:color w:val="auto"/>
              </w:rPr>
            </w:pPr>
            <w:r>
              <w:rPr>
                <w:rFonts w:ascii="Arial" w:cs="Arial" w:eastAsia="Arial" w:hAnsi="Arial"/>
                <w:sz w:val="18"/>
                <w:szCs w:val="18"/>
                <w:color w:val="auto"/>
              </w:rPr>
              <w:t>10.21#</w:t>
            </w:r>
          </w:p>
        </w:tc>
        <w:tc>
          <w:tcPr>
            <w:tcW w:w="4580" w:type="dxa"/>
            <w:vAlign w:val="bottom"/>
            <w:gridSpan w:val="26"/>
          </w:tcPr>
          <w:p>
            <w:pPr>
              <w:spacing w:after="0"/>
              <w:rPr>
                <w:rFonts w:ascii="Arial" w:cs="Arial" w:eastAsia="Arial" w:hAnsi="Arial"/>
                <w:sz w:val="18"/>
                <w:szCs w:val="18"/>
                <w:color w:val="0000FF"/>
                <w:w w:val="96"/>
              </w:rPr>
            </w:pPr>
            <w:hyperlink r:id="rId171">
              <w:r>
                <w:rPr>
                  <w:rFonts w:ascii="Arial" w:cs="Arial" w:eastAsia="Arial" w:hAnsi="Arial"/>
                  <w:sz w:val="18"/>
                  <w:szCs w:val="18"/>
                  <w:color w:val="0000FF"/>
                  <w:w w:val="96"/>
                </w:rPr>
                <w:t>Aquantia Corp. 2004 Equity Incentive Plan (including forms</w:t>
              </w:r>
            </w:hyperlink>
          </w:p>
        </w:tc>
        <w:tc>
          <w:tcPr>
            <w:tcW w:w="74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10.4</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5"/>
        </w:trPr>
        <w:tc>
          <w:tcPr>
            <w:tcW w:w="1240" w:type="dxa"/>
            <w:vAlign w:val="bottom"/>
          </w:tcPr>
          <w:p>
            <w:pPr>
              <w:spacing w:after="0"/>
              <w:rPr>
                <w:sz w:val="13"/>
                <w:szCs w:val="13"/>
                <w:color w:val="auto"/>
              </w:rPr>
            </w:pPr>
          </w:p>
        </w:tc>
        <w:tc>
          <w:tcPr>
            <w:tcW w:w="228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88"/>
              </w:rPr>
            </w:pPr>
            <w:hyperlink r:id="rId171">
              <w:r>
                <w:rPr>
                  <w:rFonts w:ascii="Arial" w:cs="Arial" w:eastAsia="Arial" w:hAnsi="Arial"/>
                  <w:sz w:val="18"/>
                  <w:szCs w:val="18"/>
                  <w:color w:val="0000FF"/>
                  <w:w w:val="88"/>
                </w:rPr>
                <w:t>of grant notice and agreements)</w:t>
              </w:r>
            </w:hyperlink>
          </w:p>
        </w:tc>
        <w:tc>
          <w:tcPr>
            <w:tcW w:w="2080" w:type="dxa"/>
            <w:vAlign w:val="bottom"/>
            <w:tcBorders>
              <w:top w:val="single" w:sz="8" w:color="0000FF"/>
            </w:tcBorders>
            <w:gridSpan w:val="16"/>
          </w:tcPr>
          <w:p>
            <w:pPr>
              <w:spacing w:after="0"/>
              <w:rPr>
                <w:sz w:val="13"/>
                <w:szCs w:val="13"/>
                <w:color w:val="auto"/>
              </w:rPr>
            </w:pPr>
          </w:p>
        </w:tc>
        <w:tc>
          <w:tcPr>
            <w:tcW w:w="22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695"/>
        </w:trPr>
        <w:tc>
          <w:tcPr>
            <w:tcW w:w="1240" w:type="dxa"/>
            <w:vAlign w:val="bottom"/>
          </w:tcPr>
          <w:p>
            <w:pPr>
              <w:spacing w:after="0"/>
              <w:rPr>
                <w:sz w:val="24"/>
                <w:szCs w:val="24"/>
                <w:color w:val="auto"/>
              </w:rPr>
            </w:pPr>
          </w:p>
        </w:tc>
        <w:tc>
          <w:tcPr>
            <w:tcW w:w="4580" w:type="dxa"/>
            <w:vAlign w:val="bottom"/>
            <w:gridSpan w:val="26"/>
          </w:tcPr>
          <w:p>
            <w:pPr>
              <w:ind w:left="4240"/>
              <w:spacing w:after="0"/>
              <w:rPr>
                <w:sz w:val="20"/>
                <w:szCs w:val="20"/>
                <w:color w:val="auto"/>
              </w:rPr>
            </w:pPr>
            <w:r>
              <w:rPr>
                <w:rFonts w:ascii="Arial" w:cs="Arial" w:eastAsia="Arial" w:hAnsi="Arial"/>
                <w:sz w:val="18"/>
                <w:szCs w:val="18"/>
                <w:color w:val="auto"/>
              </w:rPr>
              <w:t>103</w:t>
            </w:r>
          </w:p>
        </w:tc>
        <w:tc>
          <w:tcPr>
            <w:tcW w:w="7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358"/>
        </w:trPr>
        <w:tc>
          <w:tcPr>
            <w:tcW w:w="1240" w:type="dxa"/>
            <w:vAlign w:val="bottom"/>
            <w:tcBorders>
              <w:bottom w:val="single" w:sz="8" w:color="9A9A9A"/>
            </w:tcBorders>
          </w:tcPr>
          <w:p>
            <w:pPr>
              <w:spacing w:after="0"/>
              <w:rPr>
                <w:sz w:val="24"/>
                <w:szCs w:val="24"/>
                <w:color w:val="auto"/>
              </w:rPr>
            </w:pPr>
          </w:p>
        </w:tc>
        <w:tc>
          <w:tcPr>
            <w:tcW w:w="540" w:type="dxa"/>
            <w:vAlign w:val="bottom"/>
            <w:tcBorders>
              <w:bottom w:val="single" w:sz="8" w:color="9A9A9A"/>
            </w:tcBorders>
          </w:tcPr>
          <w:p>
            <w:pPr>
              <w:spacing w:after="0"/>
              <w:rPr>
                <w:sz w:val="24"/>
                <w:szCs w:val="24"/>
                <w:color w:val="auto"/>
              </w:rPr>
            </w:pPr>
          </w:p>
        </w:tc>
        <w:tc>
          <w:tcPr>
            <w:tcW w:w="34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2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20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120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740" w:type="dxa"/>
            <w:vAlign w:val="bottom"/>
            <w:tcBorders>
              <w:bottom w:val="single" w:sz="8" w:color="9A9A9A"/>
            </w:tcBorders>
          </w:tcPr>
          <w:p>
            <w:pPr>
              <w:spacing w:after="0"/>
              <w:rPr>
                <w:sz w:val="24"/>
                <w:szCs w:val="24"/>
                <w:color w:val="auto"/>
              </w:rPr>
            </w:pPr>
          </w:p>
        </w:tc>
        <w:tc>
          <w:tcPr>
            <w:tcW w:w="1420" w:type="dxa"/>
            <w:vAlign w:val="bottom"/>
            <w:tcBorders>
              <w:bottom w:val="single" w:sz="8" w:color="9A9A9A"/>
            </w:tcBorders>
          </w:tcPr>
          <w:p>
            <w:pPr>
              <w:spacing w:after="0"/>
              <w:rPr>
                <w:sz w:val="24"/>
                <w:szCs w:val="24"/>
                <w:color w:val="auto"/>
              </w:rPr>
            </w:pPr>
          </w:p>
        </w:tc>
        <w:tc>
          <w:tcPr>
            <w:tcW w:w="1320" w:type="dxa"/>
            <w:vAlign w:val="bottom"/>
            <w:tcBorders>
              <w:bottom w:val="single" w:sz="8" w:color="9A9A9A"/>
            </w:tcBorders>
          </w:tcPr>
          <w:p>
            <w:pPr>
              <w:spacing w:after="0"/>
              <w:rPr>
                <w:sz w:val="24"/>
                <w:szCs w:val="24"/>
                <w:color w:val="auto"/>
              </w:rPr>
            </w:pPr>
          </w:p>
        </w:tc>
        <w:tc>
          <w:tcPr>
            <w:tcW w:w="194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72">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73">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310" w:right="339" w:bottom="1440" w:gutter="0" w:footer="0" w:header="0"/>
        </w:sectPr>
      </w:pPr>
    </w:p>
    <w:bookmarkStart w:id="106" w:name="page107"/>
    <w:bookmarkEnd w:id="106"/>
    <w:p>
      <w:pPr>
        <w:spacing w:after="0" w:line="3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240" w:type="dxa"/>
            <w:vAlign w:val="bottom"/>
          </w:tcPr>
          <w:p>
            <w:pPr>
              <w:ind w:left="140"/>
              <w:spacing w:after="0"/>
              <w:rPr>
                <w:sz w:val="20"/>
                <w:szCs w:val="20"/>
                <w:color w:val="auto"/>
              </w:rPr>
            </w:pPr>
            <w:r>
              <w:rPr>
                <w:rFonts w:ascii="Arial" w:cs="Arial" w:eastAsia="Arial" w:hAnsi="Arial"/>
                <w:sz w:val="18"/>
                <w:szCs w:val="18"/>
                <w:color w:val="auto"/>
              </w:rPr>
              <w:t>10.22#</w:t>
            </w:r>
          </w:p>
        </w:tc>
        <w:tc>
          <w:tcPr>
            <w:tcW w:w="4600" w:type="dxa"/>
            <w:vAlign w:val="bottom"/>
            <w:gridSpan w:val="27"/>
          </w:tcPr>
          <w:p>
            <w:pPr>
              <w:spacing w:after="0"/>
              <w:rPr>
                <w:rFonts w:ascii="Arial" w:cs="Arial" w:eastAsia="Arial" w:hAnsi="Arial"/>
                <w:sz w:val="18"/>
                <w:szCs w:val="18"/>
                <w:color w:val="0000FF"/>
                <w:w w:val="97"/>
              </w:rPr>
            </w:pPr>
            <w:hyperlink r:id="rId174">
              <w:r>
                <w:rPr>
                  <w:rFonts w:ascii="Arial" w:cs="Arial" w:eastAsia="Arial" w:hAnsi="Arial"/>
                  <w:sz w:val="18"/>
                  <w:szCs w:val="18"/>
                  <w:color w:val="0000FF"/>
                  <w:w w:val="97"/>
                </w:rPr>
                <w:t>Aquantia Corp. 2015 Equity Incentive Plan (including forms</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10.5</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6"/>
        </w:trPr>
        <w:tc>
          <w:tcPr>
            <w:tcW w:w="1240" w:type="dxa"/>
            <w:vAlign w:val="bottom"/>
          </w:tcPr>
          <w:p>
            <w:pPr>
              <w:spacing w:after="0"/>
              <w:rPr>
                <w:sz w:val="13"/>
                <w:szCs w:val="13"/>
                <w:color w:val="auto"/>
              </w:rPr>
            </w:pPr>
          </w:p>
        </w:tc>
        <w:tc>
          <w:tcPr>
            <w:tcW w:w="228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74">
              <w:r>
                <w:rPr>
                  <w:rFonts w:ascii="Arial" w:cs="Arial" w:eastAsia="Arial" w:hAnsi="Arial"/>
                  <w:sz w:val="18"/>
                  <w:szCs w:val="18"/>
                  <w:color w:val="0000FF"/>
                  <w:w w:val="88"/>
                </w:rPr>
                <w:t>of grant notice and agreements)</w:t>
              </w:r>
            </w:hyperlink>
          </w:p>
        </w:tc>
        <w:tc>
          <w:tcPr>
            <w:tcW w:w="210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372"/>
        </w:trPr>
        <w:tc>
          <w:tcPr>
            <w:tcW w:w="1240" w:type="dxa"/>
            <w:vAlign w:val="bottom"/>
          </w:tcPr>
          <w:p>
            <w:pPr>
              <w:ind w:left="140"/>
              <w:spacing w:after="0"/>
              <w:rPr>
                <w:sz w:val="20"/>
                <w:szCs w:val="20"/>
                <w:color w:val="auto"/>
              </w:rPr>
            </w:pPr>
            <w:r>
              <w:rPr>
                <w:rFonts w:ascii="Arial" w:cs="Arial" w:eastAsia="Arial" w:hAnsi="Arial"/>
                <w:sz w:val="18"/>
                <w:szCs w:val="18"/>
                <w:color w:val="auto"/>
              </w:rPr>
              <w:t>10.23#</w:t>
            </w:r>
          </w:p>
        </w:tc>
        <w:tc>
          <w:tcPr>
            <w:tcW w:w="4600" w:type="dxa"/>
            <w:vAlign w:val="bottom"/>
            <w:gridSpan w:val="27"/>
          </w:tcPr>
          <w:p>
            <w:pPr>
              <w:spacing w:after="0"/>
              <w:rPr>
                <w:rFonts w:ascii="Arial" w:cs="Arial" w:eastAsia="Arial" w:hAnsi="Arial"/>
                <w:sz w:val="18"/>
                <w:szCs w:val="18"/>
                <w:color w:val="0000FF"/>
                <w:w w:val="97"/>
              </w:rPr>
            </w:pPr>
            <w:hyperlink r:id="rId175">
              <w:r>
                <w:rPr>
                  <w:rFonts w:ascii="Arial" w:cs="Arial" w:eastAsia="Arial" w:hAnsi="Arial"/>
                  <w:sz w:val="18"/>
                  <w:szCs w:val="18"/>
                  <w:color w:val="0000FF"/>
                  <w:w w:val="97"/>
                </w:rPr>
                <w:t>Aquantia Corp. 2017 Equity Incentive Plan (including forms</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10.6</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5"/>
        </w:trPr>
        <w:tc>
          <w:tcPr>
            <w:tcW w:w="1240" w:type="dxa"/>
            <w:vAlign w:val="bottom"/>
          </w:tcPr>
          <w:p>
            <w:pPr>
              <w:spacing w:after="0"/>
              <w:rPr>
                <w:sz w:val="13"/>
                <w:szCs w:val="13"/>
                <w:color w:val="auto"/>
              </w:rPr>
            </w:pPr>
          </w:p>
        </w:tc>
        <w:tc>
          <w:tcPr>
            <w:tcW w:w="228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75">
              <w:r>
                <w:rPr>
                  <w:rFonts w:ascii="Arial" w:cs="Arial" w:eastAsia="Arial" w:hAnsi="Arial"/>
                  <w:sz w:val="18"/>
                  <w:szCs w:val="18"/>
                  <w:color w:val="0000FF"/>
                  <w:w w:val="88"/>
                </w:rPr>
                <w:t>of grant notice and agreements)</w:t>
              </w:r>
            </w:hyperlink>
          </w:p>
        </w:tc>
        <w:tc>
          <w:tcPr>
            <w:tcW w:w="210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426"/>
        </w:trPr>
        <w:tc>
          <w:tcPr>
            <w:tcW w:w="1240" w:type="dxa"/>
            <w:vAlign w:val="bottom"/>
          </w:tcPr>
          <w:p>
            <w:pPr>
              <w:ind w:left="140"/>
              <w:spacing w:after="0"/>
              <w:rPr>
                <w:sz w:val="20"/>
                <w:szCs w:val="20"/>
                <w:color w:val="auto"/>
              </w:rPr>
            </w:pPr>
            <w:r>
              <w:rPr>
                <w:rFonts w:ascii="Arial" w:cs="Arial" w:eastAsia="Arial" w:hAnsi="Arial"/>
                <w:sz w:val="18"/>
                <w:szCs w:val="18"/>
                <w:color w:val="auto"/>
              </w:rPr>
              <w:t>10.24#</w:t>
            </w:r>
          </w:p>
        </w:tc>
        <w:tc>
          <w:tcPr>
            <w:tcW w:w="4600" w:type="dxa"/>
            <w:vAlign w:val="bottom"/>
            <w:gridSpan w:val="27"/>
          </w:tcPr>
          <w:p>
            <w:pPr>
              <w:spacing w:after="0"/>
              <w:rPr>
                <w:rFonts w:ascii="Arial" w:cs="Arial" w:eastAsia="Arial" w:hAnsi="Arial"/>
                <w:sz w:val="18"/>
                <w:szCs w:val="18"/>
                <w:color w:val="0000FF"/>
              </w:rPr>
            </w:pPr>
            <w:hyperlink r:id="rId176">
              <w:r>
                <w:rPr>
                  <w:rFonts w:ascii="Arial" w:cs="Arial" w:eastAsia="Arial" w:hAnsi="Arial"/>
                  <w:sz w:val="18"/>
                  <w:szCs w:val="18"/>
                  <w:color w:val="0000FF"/>
                </w:rPr>
                <w:t>Offer Letter for Dean Jarnac and promotion summary of</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10.9</w:t>
            </w:r>
          </w:p>
        </w:tc>
        <w:tc>
          <w:tcPr>
            <w:tcW w:w="1940" w:type="dxa"/>
            <w:vAlign w:val="bottom"/>
          </w:tcPr>
          <w:p>
            <w:pPr>
              <w:ind w:left="600"/>
              <w:spacing w:after="0"/>
              <w:rPr>
                <w:sz w:val="20"/>
                <w:szCs w:val="20"/>
                <w:color w:val="auto"/>
              </w:rPr>
            </w:pPr>
            <w:r>
              <w:rPr>
                <w:rFonts w:ascii="Arial" w:cs="Arial" w:eastAsia="Arial" w:hAnsi="Arial"/>
                <w:sz w:val="18"/>
                <w:szCs w:val="18"/>
                <w:color w:val="auto"/>
              </w:rPr>
              <w:t>12/04/2019</w:t>
            </w:r>
          </w:p>
        </w:tc>
      </w:tr>
      <w:tr>
        <w:trPr>
          <w:trHeight w:val="156"/>
        </w:trPr>
        <w:tc>
          <w:tcPr>
            <w:tcW w:w="1240" w:type="dxa"/>
            <w:vAlign w:val="bottom"/>
          </w:tcPr>
          <w:p>
            <w:pPr>
              <w:spacing w:after="0"/>
              <w:rPr>
                <w:sz w:val="13"/>
                <w:szCs w:val="13"/>
                <w:color w:val="auto"/>
              </w:rPr>
            </w:pPr>
          </w:p>
        </w:tc>
        <w:tc>
          <w:tcPr>
            <w:tcW w:w="406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76">
              <w:r>
                <w:rPr>
                  <w:rFonts w:ascii="Arial" w:cs="Arial" w:eastAsia="Arial" w:hAnsi="Arial"/>
                  <w:sz w:val="18"/>
                  <w:szCs w:val="18"/>
                  <w:color w:val="0000FF"/>
                </w:rPr>
                <w:t>terms</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318"/>
        </w:trPr>
        <w:tc>
          <w:tcPr>
            <w:tcW w:w="1240" w:type="dxa"/>
            <w:vAlign w:val="bottom"/>
          </w:tcPr>
          <w:p>
            <w:pPr>
              <w:ind w:left="140"/>
              <w:spacing w:after="0"/>
              <w:rPr>
                <w:sz w:val="20"/>
                <w:szCs w:val="20"/>
                <w:color w:val="auto"/>
              </w:rPr>
            </w:pPr>
            <w:r>
              <w:rPr>
                <w:rFonts w:ascii="Arial" w:cs="Arial" w:eastAsia="Arial" w:hAnsi="Arial"/>
                <w:sz w:val="18"/>
                <w:szCs w:val="18"/>
                <w:color w:val="auto"/>
              </w:rPr>
              <w:t>10.25</w:t>
            </w:r>
          </w:p>
        </w:tc>
        <w:tc>
          <w:tcPr>
            <w:tcW w:w="4600" w:type="dxa"/>
            <w:vAlign w:val="bottom"/>
            <w:gridSpan w:val="27"/>
          </w:tcPr>
          <w:p>
            <w:pPr>
              <w:spacing w:after="0"/>
              <w:rPr>
                <w:rFonts w:ascii="Arial" w:cs="Arial" w:eastAsia="Arial" w:hAnsi="Arial"/>
                <w:sz w:val="18"/>
                <w:szCs w:val="18"/>
                <w:color w:val="0000FF"/>
              </w:rPr>
            </w:pPr>
            <w:hyperlink r:id="rId177">
              <w:r>
                <w:rPr>
                  <w:rFonts w:ascii="Arial" w:cs="Arial" w:eastAsia="Arial" w:hAnsi="Arial"/>
                  <w:sz w:val="18"/>
                  <w:szCs w:val="18"/>
                  <w:color w:val="0000FF"/>
                </w:rPr>
                <w:t>Bridge Credit Agreement dated November 2019 among</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10.10</w:t>
            </w:r>
          </w:p>
        </w:tc>
        <w:tc>
          <w:tcPr>
            <w:tcW w:w="1940" w:type="dxa"/>
            <w:vAlign w:val="bottom"/>
          </w:tcPr>
          <w:p>
            <w:pPr>
              <w:ind w:left="600"/>
              <w:spacing w:after="0"/>
              <w:rPr>
                <w:sz w:val="20"/>
                <w:szCs w:val="20"/>
                <w:color w:val="auto"/>
              </w:rPr>
            </w:pPr>
            <w:r>
              <w:rPr>
                <w:rFonts w:ascii="Arial" w:cs="Arial" w:eastAsia="Arial" w:hAnsi="Arial"/>
                <w:sz w:val="18"/>
                <w:szCs w:val="18"/>
                <w:color w:val="auto"/>
              </w:rPr>
              <w:t>11/05/2019</w:t>
            </w:r>
          </w:p>
        </w:tc>
      </w:tr>
      <w:tr>
        <w:trPr>
          <w:trHeight w:val="156"/>
        </w:trPr>
        <w:tc>
          <w:tcPr>
            <w:tcW w:w="1240" w:type="dxa"/>
            <w:vAlign w:val="bottom"/>
          </w:tcPr>
          <w:p>
            <w:pPr>
              <w:spacing w:after="0"/>
              <w:rPr>
                <w:sz w:val="13"/>
                <w:szCs w:val="13"/>
                <w:color w:val="auto"/>
              </w:rPr>
            </w:pPr>
          </w:p>
        </w:tc>
        <w:tc>
          <w:tcPr>
            <w:tcW w:w="4000" w:type="dxa"/>
            <w:vAlign w:val="bottom"/>
            <w:tcBorders>
              <w:top w:val="single" w:sz="8" w:color="0000FF"/>
            </w:tcBorders>
            <w:gridSpan w:val="12"/>
          </w:tcPr>
          <w:p>
            <w:pPr>
              <w:spacing w:after="0" w:line="156" w:lineRule="exact"/>
              <w:rPr>
                <w:rFonts w:ascii="Arial" w:cs="Arial" w:eastAsia="Arial" w:hAnsi="Arial"/>
                <w:sz w:val="18"/>
                <w:szCs w:val="18"/>
                <w:color w:val="0000FF"/>
                <w:w w:val="89"/>
              </w:rPr>
            </w:pPr>
            <w:hyperlink r:id="rId177">
              <w:r>
                <w:rPr>
                  <w:rFonts w:ascii="Arial" w:cs="Arial" w:eastAsia="Arial" w:hAnsi="Arial"/>
                  <w:sz w:val="18"/>
                  <w:szCs w:val="18"/>
                  <w:color w:val="0000FF"/>
                  <w:w w:val="89"/>
                </w:rPr>
                <w:t>Marvell and the lenders party thereto, Wells Fargo Bank</w:t>
              </w:r>
            </w:hyperlink>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500" w:type="dxa"/>
            <w:vAlign w:val="bottom"/>
            <w:gridSpan w:val="12"/>
          </w:tcPr>
          <w:p>
            <w:pPr>
              <w:spacing w:after="0" w:line="156" w:lineRule="exact"/>
              <w:rPr>
                <w:rFonts w:ascii="Arial" w:cs="Arial" w:eastAsia="Arial" w:hAnsi="Arial"/>
                <w:sz w:val="18"/>
                <w:szCs w:val="18"/>
                <w:color w:val="0000FF"/>
              </w:rPr>
            </w:pPr>
            <w:hyperlink r:id="rId177">
              <w:r>
                <w:rPr>
                  <w:rFonts w:ascii="Arial" w:cs="Arial" w:eastAsia="Arial" w:hAnsi="Arial"/>
                  <w:sz w:val="18"/>
                  <w:szCs w:val="18"/>
                  <w:color w:val="0000FF"/>
                </w:rPr>
                <w:t>as</w:t>
              </w:r>
            </w:hyperlink>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24"/>
        </w:trPr>
        <w:tc>
          <w:tcPr>
            <w:tcW w:w="1240" w:type="dxa"/>
            <w:vAlign w:val="bottom"/>
          </w:tcPr>
          <w:p>
            <w:pPr>
              <w:spacing w:after="0"/>
              <w:rPr>
                <w:sz w:val="19"/>
                <w:szCs w:val="19"/>
                <w:color w:val="auto"/>
              </w:rPr>
            </w:pPr>
          </w:p>
        </w:tc>
        <w:tc>
          <w:tcPr>
            <w:tcW w:w="4240" w:type="dxa"/>
            <w:vAlign w:val="bottom"/>
            <w:tcBorders>
              <w:top w:val="single" w:sz="8" w:color="0000FF"/>
            </w:tcBorders>
            <w:gridSpan w:val="19"/>
          </w:tcPr>
          <w:p>
            <w:pPr>
              <w:spacing w:after="0"/>
              <w:rPr>
                <w:rFonts w:ascii="Arial" w:cs="Arial" w:eastAsia="Arial" w:hAnsi="Arial"/>
                <w:sz w:val="18"/>
                <w:szCs w:val="18"/>
                <w:u w:val="single" w:color="auto"/>
                <w:color w:val="0000FF"/>
                <w:w w:val="94"/>
              </w:rPr>
            </w:pPr>
            <w:hyperlink r:id="rId177">
              <w:r>
                <w:rPr>
                  <w:rFonts w:ascii="Arial" w:cs="Arial" w:eastAsia="Arial" w:hAnsi="Arial"/>
                  <w:sz w:val="18"/>
                  <w:szCs w:val="18"/>
                  <w:u w:val="single" w:color="auto"/>
                  <w:color w:val="0000FF"/>
                  <w:w w:val="94"/>
                </w:rPr>
                <w:t>administrative agent, Wells Faro Securities and Citibank</w:t>
              </w:r>
            </w:hyperlink>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gridSpan w:val="2"/>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940" w:type="dxa"/>
            <w:vAlign w:val="bottom"/>
          </w:tcPr>
          <w:p>
            <w:pPr>
              <w:spacing w:after="0"/>
              <w:rPr>
                <w:sz w:val="19"/>
                <w:szCs w:val="19"/>
                <w:color w:val="auto"/>
              </w:rPr>
            </w:pPr>
          </w:p>
        </w:tc>
      </w:tr>
      <w:tr>
        <w:trPr>
          <w:trHeight w:val="377"/>
        </w:trPr>
        <w:tc>
          <w:tcPr>
            <w:tcW w:w="1240" w:type="dxa"/>
            <w:vAlign w:val="bottom"/>
          </w:tcPr>
          <w:p>
            <w:pPr>
              <w:ind w:left="140"/>
              <w:spacing w:after="0"/>
              <w:rPr>
                <w:sz w:val="20"/>
                <w:szCs w:val="20"/>
                <w:color w:val="auto"/>
              </w:rPr>
            </w:pPr>
            <w:r>
              <w:rPr>
                <w:rFonts w:ascii="Arial" w:cs="Arial" w:eastAsia="Arial" w:hAnsi="Arial"/>
                <w:sz w:val="18"/>
                <w:szCs w:val="18"/>
                <w:color w:val="auto"/>
              </w:rPr>
              <w:t>10.26</w:t>
            </w:r>
          </w:p>
        </w:tc>
        <w:tc>
          <w:tcPr>
            <w:tcW w:w="4600" w:type="dxa"/>
            <w:vAlign w:val="bottom"/>
            <w:gridSpan w:val="27"/>
          </w:tcPr>
          <w:p>
            <w:pPr>
              <w:spacing w:after="0"/>
              <w:rPr>
                <w:rFonts w:ascii="Arial" w:cs="Arial" w:eastAsia="Arial" w:hAnsi="Arial"/>
                <w:sz w:val="18"/>
                <w:szCs w:val="18"/>
                <w:color w:val="0000FF"/>
                <w:w w:val="99"/>
              </w:rPr>
            </w:pPr>
            <w:hyperlink r:id="rId178">
              <w:r>
                <w:rPr>
                  <w:rFonts w:ascii="Arial" w:cs="Arial" w:eastAsia="Arial" w:hAnsi="Arial"/>
                  <w:sz w:val="18"/>
                  <w:szCs w:val="18"/>
                  <w:color w:val="0000FF"/>
                  <w:w w:val="99"/>
                </w:rPr>
                <w:t>Commitment Letter, dated as of October 29, 2020, by and</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10/30/2020</w:t>
            </w:r>
          </w:p>
        </w:tc>
      </w:tr>
      <w:tr>
        <w:trPr>
          <w:trHeight w:val="20"/>
        </w:trPr>
        <w:tc>
          <w:tcPr>
            <w:tcW w:w="124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9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0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156"/>
        </w:trPr>
        <w:tc>
          <w:tcPr>
            <w:tcW w:w="1240" w:type="dxa"/>
            <w:vAlign w:val="bottom"/>
          </w:tcPr>
          <w:p>
            <w:pPr>
              <w:spacing w:after="0"/>
              <w:rPr>
                <w:sz w:val="13"/>
                <w:szCs w:val="13"/>
                <w:color w:val="auto"/>
              </w:rPr>
            </w:pPr>
          </w:p>
        </w:tc>
        <w:tc>
          <w:tcPr>
            <w:tcW w:w="4600" w:type="dxa"/>
            <w:vAlign w:val="bottom"/>
            <w:gridSpan w:val="27"/>
          </w:tcPr>
          <w:p>
            <w:pPr>
              <w:spacing w:after="0" w:line="156" w:lineRule="exact"/>
              <w:rPr>
                <w:rFonts w:ascii="Arial" w:cs="Arial" w:eastAsia="Arial" w:hAnsi="Arial"/>
                <w:sz w:val="18"/>
                <w:szCs w:val="18"/>
                <w:color w:val="0000FF"/>
                <w:w w:val="98"/>
              </w:rPr>
            </w:pPr>
            <w:hyperlink r:id="rId178">
              <w:r>
                <w:rPr>
                  <w:rFonts w:ascii="Arial" w:cs="Arial" w:eastAsia="Arial" w:hAnsi="Arial"/>
                  <w:sz w:val="18"/>
                  <w:szCs w:val="18"/>
                  <w:color w:val="0000FF"/>
                  <w:w w:val="98"/>
                </w:rPr>
                <w:t>among Marvell Technology Group Ltd., Maui HoldCo, Inc.,</w:t>
              </w:r>
            </w:hyperlink>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6"/>
        </w:trPr>
        <w:tc>
          <w:tcPr>
            <w:tcW w:w="124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89"/>
              </w:rPr>
            </w:pPr>
            <w:hyperlink r:id="rId178">
              <w:r>
                <w:rPr>
                  <w:rFonts w:ascii="Arial" w:cs="Arial" w:eastAsia="Arial" w:hAnsi="Arial"/>
                  <w:sz w:val="18"/>
                  <w:szCs w:val="18"/>
                  <w:color w:val="0000FF"/>
                  <w:w w:val="89"/>
                </w:rPr>
                <w:t>and JPMorgan Chase Bank, N.A.</w:t>
              </w:r>
            </w:hyperlink>
          </w:p>
        </w:tc>
        <w:tc>
          <w:tcPr>
            <w:tcW w:w="1940" w:type="dxa"/>
            <w:vAlign w:val="bottom"/>
            <w:tcBorders>
              <w:top w:val="single" w:sz="8" w:color="0000FF"/>
            </w:tcBorders>
            <w:gridSpan w:val="15"/>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371"/>
        </w:trPr>
        <w:tc>
          <w:tcPr>
            <w:tcW w:w="1240" w:type="dxa"/>
            <w:vAlign w:val="bottom"/>
          </w:tcPr>
          <w:p>
            <w:pPr>
              <w:ind w:left="140"/>
              <w:spacing w:after="0"/>
              <w:rPr>
                <w:sz w:val="20"/>
                <w:szCs w:val="20"/>
                <w:color w:val="auto"/>
              </w:rPr>
            </w:pPr>
            <w:r>
              <w:rPr>
                <w:rFonts w:ascii="Arial" w:cs="Arial" w:eastAsia="Arial" w:hAnsi="Arial"/>
                <w:sz w:val="18"/>
                <w:szCs w:val="18"/>
                <w:color w:val="auto"/>
              </w:rPr>
              <w:t>10.27</w:t>
            </w:r>
          </w:p>
        </w:tc>
        <w:tc>
          <w:tcPr>
            <w:tcW w:w="4600" w:type="dxa"/>
            <w:vAlign w:val="bottom"/>
            <w:gridSpan w:val="27"/>
          </w:tcPr>
          <w:p>
            <w:pPr>
              <w:spacing w:after="0"/>
              <w:rPr>
                <w:rFonts w:ascii="Arial" w:cs="Arial" w:eastAsia="Arial" w:hAnsi="Arial"/>
                <w:sz w:val="18"/>
                <w:szCs w:val="18"/>
                <w:color w:val="0000FF"/>
                <w:w w:val="96"/>
              </w:rPr>
            </w:pPr>
            <w:hyperlink r:id="rId179">
              <w:r>
                <w:rPr>
                  <w:rFonts w:ascii="Arial" w:cs="Arial" w:eastAsia="Arial" w:hAnsi="Arial"/>
                  <w:sz w:val="18"/>
                  <w:szCs w:val="18"/>
                  <w:color w:val="0000FF"/>
                  <w:w w:val="96"/>
                </w:rPr>
                <w:t>Facilities Commitment Letter, dated as of October 29, 2020,</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10.2</w:t>
            </w:r>
          </w:p>
        </w:tc>
        <w:tc>
          <w:tcPr>
            <w:tcW w:w="1940" w:type="dxa"/>
            <w:vAlign w:val="bottom"/>
          </w:tcPr>
          <w:p>
            <w:pPr>
              <w:ind w:left="600"/>
              <w:spacing w:after="0"/>
              <w:rPr>
                <w:sz w:val="20"/>
                <w:szCs w:val="20"/>
                <w:color w:val="auto"/>
              </w:rPr>
            </w:pPr>
            <w:r>
              <w:rPr>
                <w:rFonts w:ascii="Arial" w:cs="Arial" w:eastAsia="Arial" w:hAnsi="Arial"/>
                <w:sz w:val="18"/>
                <w:szCs w:val="18"/>
                <w:color w:val="auto"/>
              </w:rPr>
              <w:t>10/30/2020</w:t>
            </w:r>
          </w:p>
        </w:tc>
      </w:tr>
      <w:tr>
        <w:trPr>
          <w:trHeight w:val="156"/>
        </w:trPr>
        <w:tc>
          <w:tcPr>
            <w:tcW w:w="1240" w:type="dxa"/>
            <w:vAlign w:val="bottom"/>
          </w:tcPr>
          <w:p>
            <w:pPr>
              <w:spacing w:after="0"/>
              <w:rPr>
                <w:sz w:val="13"/>
                <w:szCs w:val="13"/>
                <w:color w:val="auto"/>
              </w:rPr>
            </w:pPr>
          </w:p>
        </w:tc>
        <w:tc>
          <w:tcPr>
            <w:tcW w:w="436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179">
              <w:r>
                <w:rPr>
                  <w:rFonts w:ascii="Arial" w:cs="Arial" w:eastAsia="Arial" w:hAnsi="Arial"/>
                  <w:sz w:val="18"/>
                  <w:szCs w:val="18"/>
                  <w:color w:val="0000FF"/>
                </w:rPr>
                <w:t>by and among Marvell Technology Group Ltd., Maui</w:t>
              </w:r>
            </w:hyperlink>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6"/>
        </w:trPr>
        <w:tc>
          <w:tcPr>
            <w:tcW w:w="1240" w:type="dxa"/>
            <w:vAlign w:val="bottom"/>
          </w:tcPr>
          <w:p>
            <w:pPr>
              <w:spacing w:after="0"/>
              <w:rPr>
                <w:sz w:val="13"/>
                <w:szCs w:val="13"/>
                <w:color w:val="auto"/>
              </w:rPr>
            </w:pPr>
          </w:p>
        </w:tc>
        <w:tc>
          <w:tcPr>
            <w:tcW w:w="338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1"/>
              </w:rPr>
            </w:pPr>
            <w:hyperlink r:id="rId179">
              <w:r>
                <w:rPr>
                  <w:rFonts w:ascii="Arial" w:cs="Arial" w:eastAsia="Arial" w:hAnsi="Arial"/>
                  <w:sz w:val="18"/>
                  <w:szCs w:val="18"/>
                  <w:color w:val="0000FF"/>
                  <w:w w:val="91"/>
                </w:rPr>
                <w:t>HoldCo, Inc. and JPMorgan Chase Bank, N.A.</w:t>
              </w:r>
            </w:hyperlink>
          </w:p>
        </w:tc>
        <w:tc>
          <w:tcPr>
            <w:tcW w:w="460" w:type="dxa"/>
            <w:vAlign w:val="bottom"/>
            <w:tcBorders>
              <w:top w:val="single" w:sz="8" w:color="0000FF"/>
            </w:tcBorders>
            <w:gridSpan w:val="2"/>
          </w:tcPr>
          <w:p>
            <w:pPr>
              <w:spacing w:after="0"/>
              <w:rPr>
                <w:sz w:val="13"/>
                <w:szCs w:val="13"/>
                <w:color w:val="auto"/>
              </w:rPr>
            </w:pPr>
          </w:p>
        </w:tc>
        <w:tc>
          <w:tcPr>
            <w:tcW w:w="1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318"/>
        </w:trPr>
        <w:tc>
          <w:tcPr>
            <w:tcW w:w="1240" w:type="dxa"/>
            <w:vAlign w:val="bottom"/>
          </w:tcPr>
          <w:p>
            <w:pPr>
              <w:ind w:left="140"/>
              <w:spacing w:after="0"/>
              <w:rPr>
                <w:sz w:val="20"/>
                <w:szCs w:val="20"/>
                <w:color w:val="auto"/>
              </w:rPr>
            </w:pPr>
            <w:r>
              <w:rPr>
                <w:rFonts w:ascii="Arial" w:cs="Arial" w:eastAsia="Arial" w:hAnsi="Arial"/>
                <w:sz w:val="18"/>
                <w:szCs w:val="18"/>
                <w:color w:val="auto"/>
              </w:rPr>
              <w:t>10.28</w:t>
            </w:r>
          </w:p>
        </w:tc>
        <w:tc>
          <w:tcPr>
            <w:tcW w:w="4600" w:type="dxa"/>
            <w:vAlign w:val="bottom"/>
            <w:gridSpan w:val="27"/>
          </w:tcPr>
          <w:p>
            <w:pPr>
              <w:spacing w:after="0"/>
              <w:rPr>
                <w:rFonts w:ascii="Arial" w:cs="Arial" w:eastAsia="Arial" w:hAnsi="Arial"/>
                <w:sz w:val="18"/>
                <w:szCs w:val="18"/>
                <w:color w:val="0000FF"/>
                <w:w w:val="99"/>
              </w:rPr>
            </w:pPr>
            <w:hyperlink r:id="rId180">
              <w:r>
                <w:rPr>
                  <w:rFonts w:ascii="Arial" w:cs="Arial" w:eastAsia="Arial" w:hAnsi="Arial"/>
                  <w:sz w:val="18"/>
                  <w:szCs w:val="18"/>
                  <w:color w:val="0000FF"/>
                  <w:w w:val="99"/>
                </w:rPr>
                <w:t>Credit Agreement, dated as of December 7, 2020, among</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10.1</w:t>
            </w:r>
          </w:p>
        </w:tc>
        <w:tc>
          <w:tcPr>
            <w:tcW w:w="1940" w:type="dxa"/>
            <w:vAlign w:val="bottom"/>
          </w:tcPr>
          <w:p>
            <w:pPr>
              <w:ind w:left="600"/>
              <w:spacing w:after="0"/>
              <w:rPr>
                <w:sz w:val="20"/>
                <w:szCs w:val="20"/>
                <w:color w:val="auto"/>
              </w:rPr>
            </w:pPr>
            <w:r>
              <w:rPr>
                <w:rFonts w:ascii="Arial" w:cs="Arial" w:eastAsia="Arial" w:hAnsi="Arial"/>
                <w:sz w:val="18"/>
                <w:szCs w:val="18"/>
                <w:color w:val="auto"/>
              </w:rPr>
              <w:t>12/08/2020</w:t>
            </w:r>
          </w:p>
        </w:tc>
      </w:tr>
      <w:tr>
        <w:trPr>
          <w:trHeight w:val="156"/>
        </w:trPr>
        <w:tc>
          <w:tcPr>
            <w:tcW w:w="1240" w:type="dxa"/>
            <w:vAlign w:val="bottom"/>
          </w:tcPr>
          <w:p>
            <w:pPr>
              <w:spacing w:after="0"/>
              <w:rPr>
                <w:sz w:val="13"/>
                <w:szCs w:val="13"/>
                <w:color w:val="auto"/>
              </w:rPr>
            </w:pPr>
          </w:p>
        </w:tc>
        <w:tc>
          <w:tcPr>
            <w:tcW w:w="4160" w:type="dxa"/>
            <w:vAlign w:val="bottom"/>
            <w:tcBorders>
              <w:top w:val="single" w:sz="8" w:color="0000FF"/>
            </w:tcBorders>
            <w:gridSpan w:val="16"/>
          </w:tcPr>
          <w:p>
            <w:pPr>
              <w:spacing w:after="0" w:line="156" w:lineRule="exact"/>
              <w:rPr>
                <w:rFonts w:ascii="Arial" w:cs="Arial" w:eastAsia="Arial" w:hAnsi="Arial"/>
                <w:sz w:val="18"/>
                <w:szCs w:val="18"/>
                <w:color w:val="0000FF"/>
                <w:w w:val="94"/>
              </w:rPr>
            </w:pPr>
            <w:hyperlink r:id="rId180">
              <w:r>
                <w:rPr>
                  <w:rFonts w:ascii="Arial" w:cs="Arial" w:eastAsia="Arial" w:hAnsi="Arial"/>
                  <w:sz w:val="18"/>
                  <w:szCs w:val="18"/>
                  <w:color w:val="0000FF"/>
                  <w:w w:val="94"/>
                </w:rPr>
                <w:t>Marvell Technology Group Ltd., Maui HoldCo, Inc., the</w:t>
              </w:r>
            </w:hyperlink>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5"/>
        </w:trPr>
        <w:tc>
          <w:tcPr>
            <w:tcW w:w="1240" w:type="dxa"/>
            <w:vAlign w:val="bottom"/>
          </w:tcPr>
          <w:p>
            <w:pPr>
              <w:spacing w:after="0"/>
              <w:rPr>
                <w:sz w:val="13"/>
                <w:szCs w:val="13"/>
                <w:color w:val="auto"/>
              </w:rPr>
            </w:pPr>
          </w:p>
        </w:tc>
        <w:tc>
          <w:tcPr>
            <w:tcW w:w="398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89"/>
              </w:rPr>
            </w:pPr>
            <w:hyperlink r:id="rId180">
              <w:r>
                <w:rPr>
                  <w:rFonts w:ascii="Arial" w:cs="Arial" w:eastAsia="Arial" w:hAnsi="Arial"/>
                  <w:sz w:val="18"/>
                  <w:szCs w:val="18"/>
                  <w:color w:val="0000FF"/>
                  <w:w w:val="89"/>
                </w:rPr>
                <w:t>Guarantors party thereto, the Lenders party thereto and</w:t>
              </w:r>
            </w:hyperlink>
          </w:p>
        </w:tc>
        <w:tc>
          <w:tcPr>
            <w:tcW w:w="100" w:type="dxa"/>
            <w:vAlign w:val="bottom"/>
            <w:tcBorders>
              <w:top w:val="single" w:sz="8" w:color="0000FF"/>
            </w:tcBorders>
            <w:gridSpan w:val="3"/>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24"/>
        </w:trPr>
        <w:tc>
          <w:tcPr>
            <w:tcW w:w="1240" w:type="dxa"/>
            <w:vAlign w:val="bottom"/>
          </w:tcPr>
          <w:p>
            <w:pPr>
              <w:spacing w:after="0"/>
              <w:rPr>
                <w:sz w:val="19"/>
                <w:szCs w:val="19"/>
                <w:color w:val="auto"/>
              </w:rPr>
            </w:pPr>
          </w:p>
        </w:tc>
        <w:tc>
          <w:tcPr>
            <w:tcW w:w="4600" w:type="dxa"/>
            <w:vAlign w:val="bottom"/>
            <w:gridSpan w:val="27"/>
          </w:tcPr>
          <w:p>
            <w:pPr>
              <w:spacing w:after="0"/>
              <w:rPr>
                <w:rFonts w:ascii="Arial" w:cs="Arial" w:eastAsia="Arial" w:hAnsi="Arial"/>
                <w:sz w:val="18"/>
                <w:szCs w:val="18"/>
                <w:u w:val="single" w:color="auto"/>
                <w:color w:val="0000FF"/>
                <w:w w:val="98"/>
              </w:rPr>
            </w:pPr>
            <w:hyperlink r:id="rId180">
              <w:r>
                <w:rPr>
                  <w:rFonts w:ascii="Arial" w:cs="Arial" w:eastAsia="Arial" w:hAnsi="Arial"/>
                  <w:sz w:val="18"/>
                  <w:szCs w:val="18"/>
                  <w:u w:val="single" w:color="auto"/>
                  <w:color w:val="0000FF"/>
                  <w:w w:val="98"/>
                </w:rPr>
                <w:t>JPMorgan Chase Bank, N.A., as the Administrative Agent.</w:t>
              </w:r>
            </w:hyperlink>
          </w:p>
        </w:tc>
        <w:tc>
          <w:tcPr>
            <w:tcW w:w="72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940" w:type="dxa"/>
            <w:vAlign w:val="bottom"/>
          </w:tcPr>
          <w:p>
            <w:pPr>
              <w:spacing w:after="0"/>
              <w:rPr>
                <w:sz w:val="19"/>
                <w:szCs w:val="19"/>
                <w:color w:val="auto"/>
              </w:rPr>
            </w:pPr>
          </w:p>
        </w:tc>
      </w:tr>
      <w:tr>
        <w:trPr>
          <w:trHeight w:val="323"/>
        </w:trPr>
        <w:tc>
          <w:tcPr>
            <w:tcW w:w="1240" w:type="dxa"/>
            <w:vAlign w:val="bottom"/>
          </w:tcPr>
          <w:p>
            <w:pPr>
              <w:ind w:left="140"/>
              <w:spacing w:after="0"/>
              <w:rPr>
                <w:sz w:val="20"/>
                <w:szCs w:val="20"/>
                <w:color w:val="auto"/>
              </w:rPr>
            </w:pPr>
            <w:r>
              <w:rPr>
                <w:rFonts w:ascii="Arial" w:cs="Arial" w:eastAsia="Arial" w:hAnsi="Arial"/>
                <w:sz w:val="18"/>
                <w:szCs w:val="18"/>
                <w:color w:val="auto"/>
              </w:rPr>
              <w:t>10.29</w:t>
            </w:r>
          </w:p>
        </w:tc>
        <w:tc>
          <w:tcPr>
            <w:tcW w:w="4600" w:type="dxa"/>
            <w:vAlign w:val="bottom"/>
            <w:gridSpan w:val="27"/>
          </w:tcPr>
          <w:p>
            <w:pPr>
              <w:spacing w:after="0"/>
              <w:rPr>
                <w:rFonts w:ascii="Arial" w:cs="Arial" w:eastAsia="Arial" w:hAnsi="Arial"/>
                <w:sz w:val="18"/>
                <w:szCs w:val="18"/>
                <w:color w:val="0000FF"/>
                <w:w w:val="94"/>
              </w:rPr>
            </w:pPr>
            <w:hyperlink r:id="rId181">
              <w:r>
                <w:rPr>
                  <w:rFonts w:ascii="Arial" w:cs="Arial" w:eastAsia="Arial" w:hAnsi="Arial"/>
                  <w:sz w:val="18"/>
                  <w:szCs w:val="18"/>
                  <w:color w:val="0000FF"/>
                  <w:w w:val="94"/>
                </w:rPr>
                <w:t>Revolving Credit Agreement, dated as of December 7, 2020,</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10.2</w:t>
            </w:r>
          </w:p>
        </w:tc>
        <w:tc>
          <w:tcPr>
            <w:tcW w:w="1940" w:type="dxa"/>
            <w:vAlign w:val="bottom"/>
          </w:tcPr>
          <w:p>
            <w:pPr>
              <w:ind w:left="600"/>
              <w:spacing w:after="0"/>
              <w:rPr>
                <w:sz w:val="20"/>
                <w:szCs w:val="20"/>
                <w:color w:val="auto"/>
              </w:rPr>
            </w:pPr>
            <w:r>
              <w:rPr>
                <w:rFonts w:ascii="Arial" w:cs="Arial" w:eastAsia="Arial" w:hAnsi="Arial"/>
                <w:sz w:val="18"/>
                <w:szCs w:val="18"/>
                <w:color w:val="auto"/>
              </w:rPr>
              <w:t>12/08/2020</w:t>
            </w:r>
          </w:p>
        </w:tc>
      </w:tr>
      <w:tr>
        <w:trPr>
          <w:trHeight w:val="156"/>
        </w:trPr>
        <w:tc>
          <w:tcPr>
            <w:tcW w:w="1240" w:type="dxa"/>
            <w:vAlign w:val="bottom"/>
          </w:tcPr>
          <w:p>
            <w:pPr>
              <w:spacing w:after="0"/>
              <w:rPr>
                <w:sz w:val="13"/>
                <w:szCs w:val="13"/>
                <w:color w:val="auto"/>
              </w:rPr>
            </w:pPr>
          </w:p>
        </w:tc>
        <w:tc>
          <w:tcPr>
            <w:tcW w:w="4400" w:type="dxa"/>
            <w:vAlign w:val="bottom"/>
            <w:tcBorders>
              <w:top w:val="single" w:sz="8" w:color="0000FF"/>
            </w:tcBorders>
            <w:gridSpan w:val="24"/>
          </w:tcPr>
          <w:p>
            <w:pPr>
              <w:spacing w:after="0" w:line="156" w:lineRule="exact"/>
              <w:rPr>
                <w:rFonts w:ascii="Arial" w:cs="Arial" w:eastAsia="Arial" w:hAnsi="Arial"/>
                <w:sz w:val="18"/>
                <w:szCs w:val="18"/>
                <w:color w:val="0000FF"/>
                <w:w w:val="94"/>
              </w:rPr>
            </w:pPr>
            <w:hyperlink r:id="rId181">
              <w:r>
                <w:rPr>
                  <w:rFonts w:ascii="Arial" w:cs="Arial" w:eastAsia="Arial" w:hAnsi="Arial"/>
                  <w:sz w:val="18"/>
                  <w:szCs w:val="18"/>
                  <w:color w:val="0000FF"/>
                  <w:w w:val="94"/>
                </w:rPr>
                <w:t>among Marvell Technology Group Ltd., Maui HoldCo, Inc.,</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5"/>
        </w:trPr>
        <w:tc>
          <w:tcPr>
            <w:tcW w:w="1240" w:type="dxa"/>
            <w:vAlign w:val="bottom"/>
          </w:tcPr>
          <w:p>
            <w:pPr>
              <w:spacing w:after="0"/>
              <w:rPr>
                <w:sz w:val="13"/>
                <w:szCs w:val="13"/>
                <w:color w:val="auto"/>
              </w:rPr>
            </w:pPr>
          </w:p>
        </w:tc>
        <w:tc>
          <w:tcPr>
            <w:tcW w:w="4340" w:type="dxa"/>
            <w:vAlign w:val="bottom"/>
            <w:tcBorders>
              <w:top w:val="single" w:sz="8" w:color="0000FF"/>
            </w:tcBorders>
            <w:gridSpan w:val="21"/>
          </w:tcPr>
          <w:p>
            <w:pPr>
              <w:spacing w:after="0" w:line="156" w:lineRule="exact"/>
              <w:rPr>
                <w:rFonts w:ascii="Arial" w:cs="Arial" w:eastAsia="Arial" w:hAnsi="Arial"/>
                <w:sz w:val="18"/>
                <w:szCs w:val="18"/>
                <w:color w:val="0000FF"/>
                <w:w w:val="91"/>
              </w:rPr>
            </w:pPr>
            <w:hyperlink r:id="rId181">
              <w:r>
                <w:rPr>
                  <w:rFonts w:ascii="Arial" w:cs="Arial" w:eastAsia="Arial" w:hAnsi="Arial"/>
                  <w:sz w:val="18"/>
                  <w:szCs w:val="18"/>
                  <w:color w:val="0000FF"/>
                  <w:w w:val="91"/>
                </w:rPr>
                <w:t>the Guarantors party thereto, the Lenders party thereto and</w:t>
              </w:r>
            </w:hyperlink>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24"/>
        </w:trPr>
        <w:tc>
          <w:tcPr>
            <w:tcW w:w="1240" w:type="dxa"/>
            <w:vAlign w:val="bottom"/>
          </w:tcPr>
          <w:p>
            <w:pPr>
              <w:spacing w:after="0"/>
              <w:rPr>
                <w:sz w:val="19"/>
                <w:szCs w:val="19"/>
                <w:color w:val="auto"/>
              </w:rPr>
            </w:pPr>
          </w:p>
        </w:tc>
        <w:tc>
          <w:tcPr>
            <w:tcW w:w="4220" w:type="dxa"/>
            <w:vAlign w:val="bottom"/>
            <w:tcBorders>
              <w:top w:val="single" w:sz="8" w:color="0000FF"/>
            </w:tcBorders>
            <w:gridSpan w:val="18"/>
          </w:tcPr>
          <w:p>
            <w:pPr>
              <w:spacing w:after="0"/>
              <w:rPr>
                <w:rFonts w:ascii="Arial" w:cs="Arial" w:eastAsia="Arial" w:hAnsi="Arial"/>
                <w:sz w:val="18"/>
                <w:szCs w:val="18"/>
                <w:u w:val="single" w:color="auto"/>
                <w:color w:val="0000FF"/>
              </w:rPr>
            </w:pPr>
            <w:hyperlink r:id="rId181">
              <w:r>
                <w:rPr>
                  <w:rFonts w:ascii="Arial" w:cs="Arial" w:eastAsia="Arial" w:hAnsi="Arial"/>
                  <w:sz w:val="18"/>
                  <w:szCs w:val="18"/>
                  <w:u w:val="single" w:color="auto"/>
                  <w:color w:val="0000FF"/>
                </w:rPr>
                <w:t>Bank of America, N.A., as the Administrative Agent.</w:t>
              </w:r>
            </w:hyperlink>
          </w:p>
        </w:tc>
        <w:tc>
          <w:tcPr>
            <w:tcW w:w="80" w:type="dxa"/>
            <w:vAlign w:val="bottom"/>
            <w:gridSpan w:val="2"/>
          </w:tcPr>
          <w:p>
            <w:pPr>
              <w:spacing w:after="0"/>
              <w:rPr>
                <w:sz w:val="19"/>
                <w:szCs w:val="19"/>
                <w:color w:val="auto"/>
              </w:rPr>
            </w:pPr>
          </w:p>
        </w:tc>
        <w:tc>
          <w:tcPr>
            <w:tcW w:w="120" w:type="dxa"/>
            <w:vAlign w:val="bottom"/>
            <w:gridSpan w:val="5"/>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940" w:type="dxa"/>
            <w:vAlign w:val="bottom"/>
          </w:tcPr>
          <w:p>
            <w:pPr>
              <w:spacing w:after="0"/>
              <w:rPr>
                <w:sz w:val="19"/>
                <w:szCs w:val="19"/>
                <w:color w:val="auto"/>
              </w:rPr>
            </w:pPr>
          </w:p>
        </w:tc>
      </w:tr>
      <w:tr>
        <w:trPr>
          <w:trHeight w:val="310"/>
        </w:trPr>
        <w:tc>
          <w:tcPr>
            <w:tcW w:w="1240" w:type="dxa"/>
            <w:vAlign w:val="bottom"/>
          </w:tcPr>
          <w:p>
            <w:pPr>
              <w:ind w:left="140"/>
              <w:spacing w:after="0"/>
              <w:rPr>
                <w:sz w:val="20"/>
                <w:szCs w:val="20"/>
                <w:color w:val="auto"/>
              </w:rPr>
            </w:pPr>
            <w:r>
              <w:rPr>
                <w:rFonts w:ascii="Arial" w:cs="Arial" w:eastAsia="Arial" w:hAnsi="Arial"/>
                <w:sz w:val="18"/>
                <w:szCs w:val="18"/>
                <w:color w:val="auto"/>
              </w:rPr>
              <w:t>10.30</w:t>
            </w:r>
          </w:p>
        </w:tc>
        <w:tc>
          <w:tcPr>
            <w:tcW w:w="4600" w:type="dxa"/>
            <w:vAlign w:val="bottom"/>
            <w:gridSpan w:val="27"/>
          </w:tcPr>
          <w:p>
            <w:pPr>
              <w:spacing w:after="0"/>
              <w:rPr>
                <w:rFonts w:ascii="Arial" w:cs="Arial" w:eastAsia="Arial" w:hAnsi="Arial"/>
                <w:sz w:val="18"/>
                <w:szCs w:val="18"/>
                <w:color w:val="0000FF"/>
              </w:rPr>
            </w:pPr>
            <w:hyperlink r:id="rId182">
              <w:r>
                <w:rPr>
                  <w:rFonts w:ascii="Arial" w:cs="Arial" w:eastAsia="Arial" w:hAnsi="Arial"/>
                  <w:sz w:val="18"/>
                  <w:szCs w:val="18"/>
                  <w:color w:val="0000FF"/>
                </w:rPr>
                <w:t>Amendment No. 1 to Credit Agreement, dated as of</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2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40"/>
              <w:spacing w:after="0"/>
              <w:rPr>
                <w:sz w:val="20"/>
                <w:szCs w:val="20"/>
                <w:color w:val="auto"/>
              </w:rPr>
            </w:pPr>
            <w:r>
              <w:rPr>
                <w:rFonts w:ascii="Arial" w:cs="Arial" w:eastAsia="Arial" w:hAnsi="Arial"/>
                <w:sz w:val="18"/>
                <w:szCs w:val="18"/>
                <w:color w:val="auto"/>
              </w:rPr>
              <w:t>10.3</w:t>
            </w:r>
          </w:p>
        </w:tc>
        <w:tc>
          <w:tcPr>
            <w:tcW w:w="1940" w:type="dxa"/>
            <w:vAlign w:val="bottom"/>
          </w:tcPr>
          <w:p>
            <w:pPr>
              <w:ind w:left="600"/>
              <w:spacing w:after="0"/>
              <w:rPr>
                <w:sz w:val="20"/>
                <w:szCs w:val="20"/>
                <w:color w:val="auto"/>
              </w:rPr>
            </w:pPr>
            <w:r>
              <w:rPr>
                <w:rFonts w:ascii="Arial" w:cs="Arial" w:eastAsia="Arial" w:hAnsi="Arial"/>
                <w:sz w:val="18"/>
                <w:szCs w:val="18"/>
                <w:color w:val="auto"/>
              </w:rPr>
              <w:t>12/08/2020</w:t>
            </w:r>
          </w:p>
        </w:tc>
      </w:tr>
      <w:tr>
        <w:trPr>
          <w:trHeight w:val="20"/>
        </w:trPr>
        <w:tc>
          <w:tcPr>
            <w:tcW w:w="124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020" w:type="dxa"/>
            <w:vAlign w:val="bottom"/>
            <w:gridSpan w:val="4"/>
            <w:shd w:val="clear" w:color="auto" w:fill="0000FF"/>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gridSpan w:val="5"/>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2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155"/>
        </w:trPr>
        <w:tc>
          <w:tcPr>
            <w:tcW w:w="1240" w:type="dxa"/>
            <w:vAlign w:val="bottom"/>
          </w:tcPr>
          <w:p>
            <w:pPr>
              <w:spacing w:after="0"/>
              <w:rPr>
                <w:sz w:val="13"/>
                <w:szCs w:val="13"/>
                <w:color w:val="auto"/>
              </w:rPr>
            </w:pPr>
          </w:p>
        </w:tc>
        <w:tc>
          <w:tcPr>
            <w:tcW w:w="4600" w:type="dxa"/>
            <w:vAlign w:val="bottom"/>
            <w:gridSpan w:val="27"/>
          </w:tcPr>
          <w:p>
            <w:pPr>
              <w:spacing w:after="0" w:line="156" w:lineRule="exact"/>
              <w:rPr>
                <w:rFonts w:ascii="Arial" w:cs="Arial" w:eastAsia="Arial" w:hAnsi="Arial"/>
                <w:sz w:val="18"/>
                <w:szCs w:val="18"/>
                <w:color w:val="0000FF"/>
                <w:w w:val="97"/>
              </w:rPr>
            </w:pPr>
            <w:hyperlink r:id="rId182">
              <w:r>
                <w:rPr>
                  <w:rFonts w:ascii="Arial" w:cs="Arial" w:eastAsia="Arial" w:hAnsi="Arial"/>
                  <w:sz w:val="18"/>
                  <w:szCs w:val="18"/>
                  <w:color w:val="0000FF"/>
                  <w:w w:val="97"/>
                </w:rPr>
                <w:t>December 7, 2020, among Marvell Technology Group Ltd.,</w:t>
              </w:r>
            </w:hyperlink>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5"/>
        </w:trPr>
        <w:tc>
          <w:tcPr>
            <w:tcW w:w="1240" w:type="dxa"/>
            <w:vAlign w:val="bottom"/>
          </w:tcPr>
          <w:p>
            <w:pPr>
              <w:spacing w:after="0"/>
              <w:rPr>
                <w:sz w:val="13"/>
                <w:szCs w:val="13"/>
                <w:color w:val="auto"/>
              </w:rPr>
            </w:pPr>
          </w:p>
        </w:tc>
        <w:tc>
          <w:tcPr>
            <w:tcW w:w="4100" w:type="dxa"/>
            <w:vAlign w:val="bottom"/>
            <w:tcBorders>
              <w:top w:val="single" w:sz="8" w:color="0000FF"/>
              <w:bottom w:val="single" w:sz="8" w:color="0000FF"/>
            </w:tcBorders>
            <w:gridSpan w:val="15"/>
          </w:tcPr>
          <w:p>
            <w:pPr>
              <w:spacing w:after="0" w:line="156" w:lineRule="exact"/>
              <w:rPr>
                <w:rFonts w:ascii="Arial" w:cs="Arial" w:eastAsia="Arial" w:hAnsi="Arial"/>
                <w:sz w:val="18"/>
                <w:szCs w:val="18"/>
                <w:color w:val="0000FF"/>
                <w:w w:val="91"/>
              </w:rPr>
            </w:pPr>
            <w:hyperlink r:id="rId182">
              <w:r>
                <w:rPr>
                  <w:rFonts w:ascii="Arial" w:cs="Arial" w:eastAsia="Arial" w:hAnsi="Arial"/>
                  <w:sz w:val="18"/>
                  <w:szCs w:val="18"/>
                  <w:color w:val="0000FF"/>
                  <w:w w:val="91"/>
                </w:rPr>
                <w:t>the Lenders party thereto, Bank of America, N.A., as the</w:t>
              </w:r>
            </w:hyperlink>
          </w:p>
        </w:tc>
        <w:tc>
          <w:tcPr>
            <w:tcW w:w="200" w:type="dxa"/>
            <w:vAlign w:val="bottom"/>
            <w:tcBorders>
              <w:top w:val="single" w:sz="8" w:color="0000FF"/>
            </w:tcBorders>
            <w:gridSpan w:val="5"/>
          </w:tcPr>
          <w:p>
            <w:pPr>
              <w:spacing w:after="0"/>
              <w:rPr>
                <w:sz w:val="13"/>
                <w:szCs w:val="13"/>
                <w:color w:val="auto"/>
              </w:rPr>
            </w:pPr>
          </w:p>
        </w:tc>
        <w:tc>
          <w:tcPr>
            <w:tcW w:w="120" w:type="dxa"/>
            <w:vAlign w:val="bottom"/>
            <w:gridSpan w:val="5"/>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55"/>
        </w:trPr>
        <w:tc>
          <w:tcPr>
            <w:tcW w:w="1240" w:type="dxa"/>
            <w:vAlign w:val="bottom"/>
          </w:tcPr>
          <w:p>
            <w:pPr>
              <w:spacing w:after="0"/>
              <w:rPr>
                <w:sz w:val="13"/>
                <w:szCs w:val="13"/>
                <w:color w:val="auto"/>
              </w:rPr>
            </w:pPr>
          </w:p>
        </w:tc>
        <w:tc>
          <w:tcPr>
            <w:tcW w:w="4600" w:type="dxa"/>
            <w:vAlign w:val="bottom"/>
            <w:gridSpan w:val="27"/>
          </w:tcPr>
          <w:p>
            <w:pPr>
              <w:spacing w:after="0" w:line="156" w:lineRule="exact"/>
              <w:rPr>
                <w:rFonts w:ascii="Arial" w:cs="Arial" w:eastAsia="Arial" w:hAnsi="Arial"/>
                <w:sz w:val="18"/>
                <w:szCs w:val="18"/>
                <w:color w:val="0000FF"/>
                <w:w w:val="94"/>
              </w:rPr>
            </w:pPr>
            <w:hyperlink r:id="rId182">
              <w:r>
                <w:rPr>
                  <w:rFonts w:ascii="Arial" w:cs="Arial" w:eastAsia="Arial" w:hAnsi="Arial"/>
                  <w:sz w:val="18"/>
                  <w:szCs w:val="18"/>
                  <w:color w:val="0000FF"/>
                  <w:w w:val="94"/>
                </w:rPr>
                <w:t>Revolving Facility Agent, and Goldman Sachs Bank USA, as</w:t>
              </w:r>
            </w:hyperlink>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142"/>
        </w:trPr>
        <w:tc>
          <w:tcPr>
            <w:tcW w:w="1240" w:type="dxa"/>
            <w:vAlign w:val="bottom"/>
          </w:tcPr>
          <w:p>
            <w:pPr>
              <w:spacing w:after="0"/>
              <w:rPr>
                <w:sz w:val="12"/>
                <w:szCs w:val="12"/>
                <w:color w:val="auto"/>
              </w:rPr>
            </w:pPr>
          </w:p>
        </w:tc>
        <w:tc>
          <w:tcPr>
            <w:tcW w:w="4440" w:type="dxa"/>
            <w:vAlign w:val="bottom"/>
            <w:tcBorders>
              <w:top w:val="single" w:sz="8" w:color="0000FF"/>
            </w:tcBorders>
            <w:gridSpan w:val="26"/>
          </w:tcPr>
          <w:p>
            <w:pPr>
              <w:spacing w:after="0" w:line="142" w:lineRule="exact"/>
              <w:rPr>
                <w:rFonts w:ascii="Arial" w:cs="Arial" w:eastAsia="Arial" w:hAnsi="Arial"/>
                <w:sz w:val="16"/>
                <w:szCs w:val="16"/>
                <w:u w:val="single" w:color="auto"/>
                <w:color w:val="0000FF"/>
              </w:rPr>
            </w:pPr>
            <w:hyperlink r:id="rId182">
              <w:r>
                <w:rPr>
                  <w:rFonts w:ascii="Arial" w:cs="Arial" w:eastAsia="Arial" w:hAnsi="Arial"/>
                  <w:sz w:val="16"/>
                  <w:szCs w:val="16"/>
                  <w:u w:val="single" w:color="auto"/>
                  <w:color w:val="0000FF"/>
                </w:rPr>
                <w:t>the General Administrative Agent and the Term Facility</w:t>
              </w:r>
            </w:hyperlink>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940" w:type="dxa"/>
            <w:vAlign w:val="bottom"/>
          </w:tcPr>
          <w:p>
            <w:pPr>
              <w:spacing w:after="0"/>
              <w:rPr>
                <w:sz w:val="12"/>
                <w:szCs w:val="12"/>
                <w:color w:val="auto"/>
              </w:rPr>
            </w:pPr>
          </w:p>
        </w:tc>
      </w:tr>
      <w:tr>
        <w:trPr>
          <w:trHeight w:val="230"/>
        </w:trPr>
        <w:tc>
          <w:tcPr>
            <w:tcW w:w="1240" w:type="dxa"/>
            <w:vAlign w:val="bottom"/>
          </w:tcPr>
          <w:p>
            <w:pPr>
              <w:spacing w:after="0"/>
              <w:rPr>
                <w:sz w:val="20"/>
                <w:szCs w:val="20"/>
                <w:color w:val="auto"/>
              </w:rPr>
            </w:pPr>
          </w:p>
        </w:tc>
        <w:tc>
          <w:tcPr>
            <w:tcW w:w="4600" w:type="dxa"/>
            <w:vAlign w:val="bottom"/>
            <w:gridSpan w:val="27"/>
          </w:tcPr>
          <w:p>
            <w:pPr>
              <w:spacing w:after="0"/>
              <w:rPr>
                <w:rFonts w:ascii="Arial" w:cs="Arial" w:eastAsia="Arial" w:hAnsi="Arial"/>
                <w:sz w:val="18"/>
                <w:szCs w:val="18"/>
                <w:u w:val="single" w:color="auto"/>
                <w:color w:val="0000FF"/>
              </w:rPr>
            </w:pPr>
            <w:hyperlink r:id="rId182">
              <w:r>
                <w:rPr>
                  <w:rFonts w:ascii="Arial" w:cs="Arial" w:eastAsia="Arial" w:hAnsi="Arial"/>
                  <w:sz w:val="18"/>
                  <w:szCs w:val="18"/>
                  <w:u w:val="single" w:color="auto"/>
                  <w:color w:val="0000FF"/>
                </w:rPr>
                <w:t>Agent.</w:t>
              </w:r>
            </w:hyperlink>
          </w:p>
        </w:tc>
        <w:tc>
          <w:tcPr>
            <w:tcW w:w="72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940" w:type="dxa"/>
            <w:vAlign w:val="bottom"/>
          </w:tcPr>
          <w:p>
            <w:pPr>
              <w:spacing w:after="0"/>
              <w:rPr>
                <w:sz w:val="20"/>
                <w:szCs w:val="20"/>
                <w:color w:val="auto"/>
              </w:rPr>
            </w:pPr>
          </w:p>
        </w:tc>
      </w:tr>
      <w:tr>
        <w:trPr>
          <w:trHeight w:val="391"/>
        </w:trPr>
        <w:tc>
          <w:tcPr>
            <w:tcW w:w="1240" w:type="dxa"/>
            <w:vAlign w:val="bottom"/>
          </w:tcPr>
          <w:p>
            <w:pPr>
              <w:ind w:left="140"/>
              <w:spacing w:after="0"/>
              <w:rPr>
                <w:sz w:val="20"/>
                <w:szCs w:val="20"/>
                <w:color w:val="auto"/>
              </w:rPr>
            </w:pPr>
            <w:r>
              <w:rPr>
                <w:rFonts w:ascii="Arial" w:cs="Arial" w:eastAsia="Arial" w:hAnsi="Arial"/>
                <w:sz w:val="18"/>
                <w:szCs w:val="18"/>
                <w:color w:val="auto"/>
              </w:rPr>
              <w:t>21.1</w:t>
            </w:r>
          </w:p>
        </w:tc>
        <w:tc>
          <w:tcPr>
            <w:tcW w:w="4600" w:type="dxa"/>
            <w:vAlign w:val="bottom"/>
            <w:gridSpan w:val="27"/>
          </w:tcPr>
          <w:p>
            <w:pPr>
              <w:spacing w:after="0"/>
              <w:rPr>
                <w:rFonts w:ascii="Arial" w:cs="Arial" w:eastAsia="Arial" w:hAnsi="Arial"/>
                <w:sz w:val="18"/>
                <w:szCs w:val="18"/>
                <w:u w:val="single" w:color="auto"/>
                <w:color w:val="0000FF"/>
              </w:rPr>
            </w:pPr>
            <w:hyperlink w:anchor="page112">
              <w:r>
                <w:rPr>
                  <w:rFonts w:ascii="Arial" w:cs="Arial" w:eastAsia="Arial" w:hAnsi="Arial"/>
                  <w:sz w:val="18"/>
                  <w:szCs w:val="18"/>
                  <w:u w:val="single" w:color="auto"/>
                  <w:color w:val="0000FF"/>
                </w:rPr>
                <w:t>Subsidiaries of Registrant</w:t>
              </w:r>
            </w:hyperlink>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ind w:left="600"/>
              <w:spacing w:after="0"/>
              <w:rPr>
                <w:sz w:val="20"/>
                <w:szCs w:val="20"/>
                <w:color w:val="auto"/>
              </w:rPr>
            </w:pPr>
            <w:r>
              <w:rPr>
                <w:rFonts w:ascii="Arial" w:cs="Arial" w:eastAsia="Arial" w:hAnsi="Arial"/>
                <w:sz w:val="18"/>
                <w:szCs w:val="18"/>
                <w:color w:val="auto"/>
              </w:rPr>
              <w:t>Filed herewith</w:t>
            </w:r>
          </w:p>
        </w:tc>
      </w:tr>
      <w:tr>
        <w:trPr>
          <w:trHeight w:val="392"/>
        </w:trPr>
        <w:tc>
          <w:tcPr>
            <w:tcW w:w="1240" w:type="dxa"/>
            <w:vAlign w:val="bottom"/>
          </w:tcPr>
          <w:p>
            <w:pPr>
              <w:ind w:left="140"/>
              <w:spacing w:after="0"/>
              <w:rPr>
                <w:sz w:val="20"/>
                <w:szCs w:val="20"/>
                <w:color w:val="auto"/>
              </w:rPr>
            </w:pPr>
            <w:r>
              <w:rPr>
                <w:rFonts w:ascii="Arial" w:cs="Arial" w:eastAsia="Arial" w:hAnsi="Arial"/>
                <w:sz w:val="18"/>
                <w:szCs w:val="18"/>
                <w:color w:val="auto"/>
              </w:rPr>
              <w:t>23.1</w:t>
            </w:r>
          </w:p>
        </w:tc>
        <w:tc>
          <w:tcPr>
            <w:tcW w:w="4600" w:type="dxa"/>
            <w:vAlign w:val="bottom"/>
            <w:gridSpan w:val="27"/>
          </w:tcPr>
          <w:p>
            <w:pPr>
              <w:spacing w:after="0"/>
              <w:rPr>
                <w:rFonts w:ascii="Arial" w:cs="Arial" w:eastAsia="Arial" w:hAnsi="Arial"/>
                <w:sz w:val="18"/>
                <w:szCs w:val="18"/>
                <w:color w:val="0000FF"/>
                <w:w w:val="94"/>
              </w:rPr>
            </w:pPr>
            <w:hyperlink w:anchor="page114">
              <w:r>
                <w:rPr>
                  <w:rFonts w:ascii="Arial" w:cs="Arial" w:eastAsia="Arial" w:hAnsi="Arial"/>
                  <w:sz w:val="18"/>
                  <w:szCs w:val="18"/>
                  <w:color w:val="0000FF"/>
                  <w:w w:val="94"/>
                </w:rPr>
                <w:t>Consent of Independent Registered Public Accounting Firm -</w:t>
              </w:r>
            </w:hyperlink>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ind w:left="600"/>
              <w:spacing w:after="0"/>
              <w:rPr>
                <w:sz w:val="20"/>
                <w:szCs w:val="20"/>
                <w:color w:val="auto"/>
              </w:rPr>
            </w:pPr>
            <w:r>
              <w:rPr>
                <w:rFonts w:ascii="Arial" w:cs="Arial" w:eastAsia="Arial" w:hAnsi="Arial"/>
                <w:sz w:val="18"/>
                <w:szCs w:val="18"/>
                <w:color w:val="auto"/>
              </w:rPr>
              <w:t>Filed herewith</w:t>
            </w:r>
          </w:p>
        </w:tc>
      </w:tr>
      <w:tr>
        <w:trPr>
          <w:trHeight w:val="155"/>
        </w:trPr>
        <w:tc>
          <w:tcPr>
            <w:tcW w:w="1240" w:type="dxa"/>
            <w:vAlign w:val="bottom"/>
          </w:tcPr>
          <w:p>
            <w:pPr>
              <w:spacing w:after="0"/>
              <w:rPr>
                <w:sz w:val="13"/>
                <w:szCs w:val="13"/>
                <w:color w:val="auto"/>
              </w:rPr>
            </w:pPr>
          </w:p>
        </w:tc>
        <w:tc>
          <w:tcPr>
            <w:tcW w:w="442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w:anchor="page114">
              <w:r>
                <w:rPr>
                  <w:rFonts w:ascii="Arial" w:cs="Arial" w:eastAsia="Arial" w:hAnsi="Arial"/>
                  <w:sz w:val="18"/>
                  <w:szCs w:val="18"/>
                  <w:color w:val="0000FF"/>
                </w:rPr>
                <w:t>Deloitte &amp; Touche LLP</w:t>
              </w:r>
            </w:hyperlink>
          </w:p>
        </w:tc>
        <w:tc>
          <w:tcPr>
            <w:tcW w:w="180" w:type="dxa"/>
            <w:vAlign w:val="bottom"/>
            <w:gridSpan w:val="2"/>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60" w:type="dxa"/>
            <w:vAlign w:val="bottom"/>
            <w:gridSpan w:val="6"/>
          </w:tcPr>
          <w:p>
            <w:pPr>
              <w:spacing w:after="0" w:line="20" w:lineRule="exact"/>
              <w:rPr>
                <w:sz w:val="1"/>
                <w:szCs w:val="1"/>
                <w:color w:val="auto"/>
              </w:rPr>
            </w:pPr>
          </w:p>
        </w:tc>
        <w:tc>
          <w:tcPr>
            <w:tcW w:w="220" w:type="dxa"/>
            <w:vAlign w:val="bottom"/>
            <w:gridSpan w:val="7"/>
          </w:tcPr>
          <w:p>
            <w:pPr>
              <w:spacing w:after="0" w:line="20" w:lineRule="exact"/>
              <w:rPr>
                <w:sz w:val="1"/>
                <w:szCs w:val="1"/>
                <w:color w:val="auto"/>
              </w:rPr>
            </w:pPr>
          </w:p>
        </w:tc>
        <w:tc>
          <w:tcPr>
            <w:tcW w:w="420" w:type="dxa"/>
            <w:vAlign w:val="bottom"/>
            <w:gridSpan w:val="1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371"/>
        </w:trPr>
        <w:tc>
          <w:tcPr>
            <w:tcW w:w="1240" w:type="dxa"/>
            <w:vAlign w:val="bottom"/>
          </w:tcPr>
          <w:p>
            <w:pPr>
              <w:ind w:left="140"/>
              <w:spacing w:after="0"/>
              <w:rPr>
                <w:sz w:val="20"/>
                <w:szCs w:val="20"/>
                <w:color w:val="auto"/>
              </w:rPr>
            </w:pPr>
            <w:r>
              <w:rPr>
                <w:rFonts w:ascii="Arial" w:cs="Arial" w:eastAsia="Arial" w:hAnsi="Arial"/>
                <w:sz w:val="18"/>
                <w:szCs w:val="18"/>
                <w:color w:val="auto"/>
              </w:rPr>
              <w:t>24.1</w:t>
            </w:r>
          </w:p>
        </w:tc>
        <w:tc>
          <w:tcPr>
            <w:tcW w:w="4600" w:type="dxa"/>
            <w:vAlign w:val="bottom"/>
            <w:gridSpan w:val="27"/>
          </w:tcPr>
          <w:p>
            <w:pPr>
              <w:spacing w:after="0"/>
              <w:rPr>
                <w:rFonts w:ascii="Arial" w:cs="Arial" w:eastAsia="Arial" w:hAnsi="Arial"/>
                <w:sz w:val="18"/>
                <w:szCs w:val="18"/>
                <w:color w:val="0000FF"/>
                <w:w w:val="99"/>
              </w:rPr>
            </w:pPr>
            <w:hyperlink w:anchor="page108">
              <w:r>
                <w:rPr>
                  <w:rFonts w:ascii="Arial" w:cs="Arial" w:eastAsia="Arial" w:hAnsi="Arial"/>
                  <w:sz w:val="18"/>
                  <w:szCs w:val="18"/>
                  <w:color w:val="0000FF"/>
                  <w:w w:val="99"/>
                </w:rPr>
                <w:t>Power of Attorney (contained in the signature page to this</w:t>
              </w:r>
            </w:hyperlink>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ind w:left="600"/>
              <w:spacing w:after="0"/>
              <w:rPr>
                <w:sz w:val="20"/>
                <w:szCs w:val="20"/>
                <w:color w:val="auto"/>
              </w:rPr>
            </w:pPr>
            <w:r>
              <w:rPr>
                <w:rFonts w:ascii="Arial" w:cs="Arial" w:eastAsia="Arial" w:hAnsi="Arial"/>
                <w:sz w:val="18"/>
                <w:szCs w:val="18"/>
                <w:color w:val="auto"/>
              </w:rPr>
              <w:t>Filed herewith</w:t>
            </w:r>
          </w:p>
        </w:tc>
      </w:tr>
      <w:tr>
        <w:trPr>
          <w:trHeight w:val="155"/>
        </w:trPr>
        <w:tc>
          <w:tcPr>
            <w:tcW w:w="1240" w:type="dxa"/>
            <w:vAlign w:val="bottom"/>
          </w:tcPr>
          <w:p>
            <w:pPr>
              <w:spacing w:after="0"/>
              <w:rPr>
                <w:sz w:val="13"/>
                <w:szCs w:val="13"/>
                <w:color w:val="auto"/>
              </w:rPr>
            </w:pPr>
          </w:p>
        </w:tc>
        <w:tc>
          <w:tcPr>
            <w:tcW w:w="418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w:anchor="page108">
              <w:r>
                <w:rPr>
                  <w:rFonts w:ascii="Arial" w:cs="Arial" w:eastAsia="Arial" w:hAnsi="Arial"/>
                  <w:sz w:val="18"/>
                  <w:szCs w:val="18"/>
                  <w:color w:val="0000FF"/>
                </w:rPr>
                <w:t>Annual Report)</w:t>
              </w:r>
            </w:hyperlink>
          </w:p>
        </w:tc>
        <w:tc>
          <w:tcPr>
            <w:tcW w:w="420" w:type="dxa"/>
            <w:vAlign w:val="bottom"/>
            <w:gridSpan w:val="10"/>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80" w:type="dxa"/>
            <w:vAlign w:val="bottom"/>
            <w:gridSpan w:val="7"/>
          </w:tcPr>
          <w:p>
            <w:pPr>
              <w:spacing w:after="0" w:line="20" w:lineRule="exact"/>
              <w:rPr>
                <w:sz w:val="1"/>
                <w:szCs w:val="1"/>
                <w:color w:val="auto"/>
              </w:rPr>
            </w:pPr>
          </w:p>
        </w:tc>
        <w:tc>
          <w:tcPr>
            <w:tcW w:w="640" w:type="dxa"/>
            <w:vAlign w:val="bottom"/>
            <w:gridSpan w:val="17"/>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372"/>
        </w:trPr>
        <w:tc>
          <w:tcPr>
            <w:tcW w:w="1240" w:type="dxa"/>
            <w:vAlign w:val="bottom"/>
          </w:tcPr>
          <w:p>
            <w:pPr>
              <w:ind w:left="140"/>
              <w:spacing w:after="0"/>
              <w:rPr>
                <w:sz w:val="20"/>
                <w:szCs w:val="20"/>
                <w:color w:val="auto"/>
              </w:rPr>
            </w:pPr>
            <w:r>
              <w:rPr>
                <w:rFonts w:ascii="Arial" w:cs="Arial" w:eastAsia="Arial" w:hAnsi="Arial"/>
                <w:sz w:val="18"/>
                <w:szCs w:val="18"/>
                <w:color w:val="auto"/>
              </w:rPr>
              <w:t>31.1</w:t>
            </w:r>
          </w:p>
        </w:tc>
        <w:tc>
          <w:tcPr>
            <w:tcW w:w="4600" w:type="dxa"/>
            <w:vAlign w:val="bottom"/>
            <w:gridSpan w:val="27"/>
          </w:tcPr>
          <w:p>
            <w:pPr>
              <w:spacing w:after="0"/>
              <w:rPr>
                <w:rFonts w:ascii="Arial" w:cs="Arial" w:eastAsia="Arial" w:hAnsi="Arial"/>
                <w:sz w:val="18"/>
                <w:szCs w:val="18"/>
                <w:color w:val="0000FF"/>
              </w:rPr>
            </w:pPr>
            <w:hyperlink w:anchor="page115">
              <w:r>
                <w:rPr>
                  <w:rFonts w:ascii="Arial" w:cs="Arial" w:eastAsia="Arial" w:hAnsi="Arial"/>
                  <w:sz w:val="18"/>
                  <w:szCs w:val="18"/>
                  <w:color w:val="0000FF"/>
                </w:rPr>
                <w:t>Rule 13a-14(a)/15d-14(a) Certification of the Principal</w:t>
              </w:r>
            </w:hyperlink>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ind w:left="600"/>
              <w:spacing w:after="0"/>
              <w:rPr>
                <w:sz w:val="20"/>
                <w:szCs w:val="20"/>
                <w:color w:val="auto"/>
              </w:rPr>
            </w:pPr>
            <w:r>
              <w:rPr>
                <w:rFonts w:ascii="Arial" w:cs="Arial" w:eastAsia="Arial" w:hAnsi="Arial"/>
                <w:sz w:val="18"/>
                <w:szCs w:val="18"/>
                <w:color w:val="auto"/>
              </w:rPr>
              <w:t>Filed herewith</w:t>
            </w:r>
          </w:p>
        </w:tc>
      </w:tr>
      <w:tr>
        <w:trPr>
          <w:trHeight w:val="155"/>
        </w:trPr>
        <w:tc>
          <w:tcPr>
            <w:tcW w:w="1240" w:type="dxa"/>
            <w:vAlign w:val="bottom"/>
          </w:tcPr>
          <w:p>
            <w:pPr>
              <w:spacing w:after="0"/>
              <w:rPr>
                <w:sz w:val="13"/>
                <w:szCs w:val="13"/>
                <w:color w:val="auto"/>
              </w:rPr>
            </w:pPr>
          </w:p>
        </w:tc>
        <w:tc>
          <w:tcPr>
            <w:tcW w:w="3960" w:type="dxa"/>
            <w:vAlign w:val="bottom"/>
            <w:tcBorders>
              <w:top w:val="single" w:sz="8" w:color="0000FF"/>
            </w:tcBorders>
            <w:gridSpan w:val="10"/>
          </w:tcPr>
          <w:p>
            <w:pPr>
              <w:spacing w:after="0" w:line="156" w:lineRule="exact"/>
              <w:rPr>
                <w:rFonts w:ascii="Arial" w:cs="Arial" w:eastAsia="Arial" w:hAnsi="Arial"/>
                <w:sz w:val="18"/>
                <w:szCs w:val="18"/>
                <w:color w:val="0000FF"/>
              </w:rPr>
            </w:pPr>
            <w:hyperlink w:anchor="page115">
              <w:r>
                <w:rPr>
                  <w:rFonts w:ascii="Arial" w:cs="Arial" w:eastAsia="Arial" w:hAnsi="Arial"/>
                  <w:sz w:val="18"/>
                  <w:szCs w:val="18"/>
                  <w:color w:val="0000FF"/>
                </w:rPr>
                <w:t>Executive Officer</w:t>
              </w:r>
            </w:hyperlink>
          </w:p>
        </w:tc>
        <w:tc>
          <w:tcPr>
            <w:tcW w:w="640" w:type="dxa"/>
            <w:vAlign w:val="bottom"/>
            <w:gridSpan w:val="17"/>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20"/>
        </w:trPr>
        <w:tc>
          <w:tcPr>
            <w:tcW w:w="1240" w:type="dxa"/>
            <w:vAlign w:val="bottom"/>
          </w:tcPr>
          <w:p>
            <w:pPr>
              <w:spacing w:after="0" w:line="20" w:lineRule="exact"/>
              <w:rPr>
                <w:sz w:val="1"/>
                <w:szCs w:val="1"/>
                <w:color w:val="auto"/>
              </w:rPr>
            </w:pPr>
          </w:p>
        </w:tc>
        <w:tc>
          <w:tcPr>
            <w:tcW w:w="1280" w:type="dxa"/>
            <w:vAlign w:val="bottom"/>
            <w:tcBorders>
              <w:right w:val="single" w:sz="8" w:color="0000FF"/>
            </w:tcBorders>
            <w:gridSpan w:val="3"/>
            <w:shd w:val="clear" w:color="auto" w:fill="0000FF"/>
          </w:tcPr>
          <w:p>
            <w:pPr>
              <w:spacing w:after="0" w:line="20" w:lineRule="exact"/>
              <w:rPr>
                <w:sz w:val="1"/>
                <w:szCs w:val="1"/>
                <w:color w:val="auto"/>
              </w:rPr>
            </w:pPr>
          </w:p>
        </w:tc>
        <w:tc>
          <w:tcPr>
            <w:tcW w:w="3320" w:type="dxa"/>
            <w:vAlign w:val="bottom"/>
            <w:gridSpan w:val="24"/>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372"/>
        </w:trPr>
        <w:tc>
          <w:tcPr>
            <w:tcW w:w="1240" w:type="dxa"/>
            <w:vAlign w:val="bottom"/>
          </w:tcPr>
          <w:p>
            <w:pPr>
              <w:ind w:left="140"/>
              <w:spacing w:after="0"/>
              <w:rPr>
                <w:sz w:val="20"/>
                <w:szCs w:val="20"/>
                <w:color w:val="auto"/>
              </w:rPr>
            </w:pPr>
            <w:r>
              <w:rPr>
                <w:rFonts w:ascii="Arial" w:cs="Arial" w:eastAsia="Arial" w:hAnsi="Arial"/>
                <w:sz w:val="18"/>
                <w:szCs w:val="18"/>
                <w:color w:val="auto"/>
              </w:rPr>
              <w:t>31.2</w:t>
            </w:r>
          </w:p>
        </w:tc>
        <w:tc>
          <w:tcPr>
            <w:tcW w:w="4600" w:type="dxa"/>
            <w:vAlign w:val="bottom"/>
            <w:gridSpan w:val="27"/>
          </w:tcPr>
          <w:p>
            <w:pPr>
              <w:spacing w:after="0"/>
              <w:rPr>
                <w:rFonts w:ascii="Arial" w:cs="Arial" w:eastAsia="Arial" w:hAnsi="Arial"/>
                <w:sz w:val="18"/>
                <w:szCs w:val="18"/>
                <w:color w:val="0000FF"/>
              </w:rPr>
            </w:pPr>
            <w:hyperlink w:anchor="page117">
              <w:r>
                <w:rPr>
                  <w:rFonts w:ascii="Arial" w:cs="Arial" w:eastAsia="Arial" w:hAnsi="Arial"/>
                  <w:sz w:val="18"/>
                  <w:szCs w:val="18"/>
                  <w:color w:val="0000FF"/>
                </w:rPr>
                <w:t>Rule 13a-14(a)/15d-14(a) Certification of the Principal</w:t>
              </w:r>
            </w:hyperlink>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ind w:left="600"/>
              <w:spacing w:after="0"/>
              <w:rPr>
                <w:sz w:val="20"/>
                <w:szCs w:val="20"/>
                <w:color w:val="auto"/>
              </w:rPr>
            </w:pPr>
            <w:r>
              <w:rPr>
                <w:rFonts w:ascii="Arial" w:cs="Arial" w:eastAsia="Arial" w:hAnsi="Arial"/>
                <w:sz w:val="18"/>
                <w:szCs w:val="18"/>
                <w:color w:val="auto"/>
              </w:rPr>
              <w:t>Filed herewith</w:t>
            </w:r>
          </w:p>
        </w:tc>
      </w:tr>
      <w:tr>
        <w:trPr>
          <w:trHeight w:val="155"/>
        </w:trPr>
        <w:tc>
          <w:tcPr>
            <w:tcW w:w="1240" w:type="dxa"/>
            <w:vAlign w:val="bottom"/>
          </w:tcPr>
          <w:p>
            <w:pPr>
              <w:spacing w:after="0"/>
              <w:rPr>
                <w:sz w:val="13"/>
                <w:szCs w:val="13"/>
                <w:color w:val="auto"/>
              </w:rPr>
            </w:pPr>
          </w:p>
        </w:tc>
        <w:tc>
          <w:tcPr>
            <w:tcW w:w="128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5"/>
              </w:rPr>
            </w:pPr>
            <w:hyperlink w:anchor="page117">
              <w:r>
                <w:rPr>
                  <w:rFonts w:ascii="Arial" w:cs="Arial" w:eastAsia="Arial" w:hAnsi="Arial"/>
                  <w:sz w:val="18"/>
                  <w:szCs w:val="18"/>
                  <w:color w:val="0000FF"/>
                  <w:w w:val="95"/>
                </w:rPr>
                <w:t>Financial Officer</w:t>
              </w:r>
            </w:hyperlink>
          </w:p>
        </w:tc>
        <w:tc>
          <w:tcPr>
            <w:tcW w:w="2680" w:type="dxa"/>
            <w:vAlign w:val="bottom"/>
            <w:tcBorders>
              <w:top w:val="single" w:sz="8" w:color="0000FF"/>
            </w:tcBorders>
            <w:gridSpan w:val="7"/>
          </w:tcPr>
          <w:p>
            <w:pPr>
              <w:spacing w:after="0"/>
              <w:rPr>
                <w:sz w:val="13"/>
                <w:szCs w:val="13"/>
                <w:color w:val="auto"/>
              </w:rPr>
            </w:pPr>
          </w:p>
        </w:tc>
        <w:tc>
          <w:tcPr>
            <w:tcW w:w="640" w:type="dxa"/>
            <w:vAlign w:val="bottom"/>
            <w:gridSpan w:val="17"/>
          </w:tcPr>
          <w:p>
            <w:pPr>
              <w:spacing w:after="0"/>
              <w:rPr>
                <w:sz w:val="13"/>
                <w:szCs w:val="13"/>
                <w:color w:val="auto"/>
              </w:rPr>
            </w:pPr>
          </w:p>
        </w:tc>
        <w:tc>
          <w:tcPr>
            <w:tcW w:w="72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940" w:type="dxa"/>
            <w:vAlign w:val="bottom"/>
          </w:tcPr>
          <w:p>
            <w:pPr>
              <w:spacing w:after="0"/>
              <w:rPr>
                <w:sz w:val="13"/>
                <w:szCs w:val="13"/>
                <w:color w:val="auto"/>
              </w:rPr>
            </w:pPr>
          </w:p>
        </w:tc>
      </w:tr>
      <w:tr>
        <w:trPr>
          <w:trHeight w:val="695"/>
        </w:trPr>
        <w:tc>
          <w:tcPr>
            <w:tcW w:w="1240" w:type="dxa"/>
            <w:vAlign w:val="bottom"/>
          </w:tcPr>
          <w:p>
            <w:pPr>
              <w:spacing w:after="0"/>
              <w:rPr>
                <w:sz w:val="24"/>
                <w:szCs w:val="24"/>
                <w:color w:val="auto"/>
              </w:rPr>
            </w:pPr>
          </w:p>
        </w:tc>
        <w:tc>
          <w:tcPr>
            <w:tcW w:w="4600" w:type="dxa"/>
            <w:vAlign w:val="bottom"/>
            <w:gridSpan w:val="27"/>
          </w:tcPr>
          <w:p>
            <w:pPr>
              <w:ind w:left="4240"/>
              <w:spacing w:after="0"/>
              <w:rPr>
                <w:sz w:val="20"/>
                <w:szCs w:val="20"/>
                <w:color w:val="auto"/>
              </w:rPr>
            </w:pPr>
            <w:r>
              <w:rPr>
                <w:rFonts w:ascii="Arial" w:cs="Arial" w:eastAsia="Arial" w:hAnsi="Arial"/>
                <w:sz w:val="18"/>
                <w:szCs w:val="18"/>
                <w:color w:val="auto"/>
              </w:rPr>
              <w:t>104</w:t>
            </w:r>
          </w:p>
        </w:tc>
        <w:tc>
          <w:tcPr>
            <w:tcW w:w="7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358"/>
        </w:trPr>
        <w:tc>
          <w:tcPr>
            <w:tcW w:w="1240" w:type="dxa"/>
            <w:vAlign w:val="bottom"/>
            <w:tcBorders>
              <w:bottom w:val="single" w:sz="8" w:color="9A9A9A"/>
            </w:tcBorders>
          </w:tcPr>
          <w:p>
            <w:pPr>
              <w:spacing w:after="0"/>
              <w:rPr>
                <w:sz w:val="24"/>
                <w:szCs w:val="24"/>
                <w:color w:val="auto"/>
              </w:rPr>
            </w:pPr>
          </w:p>
        </w:tc>
        <w:tc>
          <w:tcPr>
            <w:tcW w:w="40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420" w:type="dxa"/>
            <w:vAlign w:val="bottom"/>
            <w:tcBorders>
              <w:bottom w:val="single" w:sz="8" w:color="9A9A9A"/>
            </w:tcBorders>
          </w:tcPr>
          <w:p>
            <w:pPr>
              <w:spacing w:after="0"/>
              <w:rPr>
                <w:sz w:val="24"/>
                <w:szCs w:val="24"/>
                <w:color w:val="auto"/>
              </w:rPr>
            </w:pPr>
          </w:p>
        </w:tc>
        <w:tc>
          <w:tcPr>
            <w:tcW w:w="58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980" w:type="dxa"/>
            <w:vAlign w:val="bottom"/>
            <w:tcBorders>
              <w:bottom w:val="single" w:sz="8" w:color="9A9A9A"/>
            </w:tcBorders>
          </w:tcPr>
          <w:p>
            <w:pPr>
              <w:spacing w:after="0"/>
              <w:rPr>
                <w:sz w:val="24"/>
                <w:szCs w:val="24"/>
                <w:color w:val="auto"/>
              </w:rPr>
            </w:pPr>
          </w:p>
        </w:tc>
        <w:tc>
          <w:tcPr>
            <w:tcW w:w="3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1420" w:type="dxa"/>
            <w:vAlign w:val="bottom"/>
            <w:tcBorders>
              <w:bottom w:val="single" w:sz="8" w:color="9A9A9A"/>
            </w:tcBorders>
          </w:tcPr>
          <w:p>
            <w:pPr>
              <w:spacing w:after="0"/>
              <w:rPr>
                <w:sz w:val="24"/>
                <w:szCs w:val="24"/>
                <w:color w:val="auto"/>
              </w:rPr>
            </w:pPr>
          </w:p>
        </w:tc>
        <w:tc>
          <w:tcPr>
            <w:tcW w:w="1320" w:type="dxa"/>
            <w:vAlign w:val="bottom"/>
            <w:tcBorders>
              <w:bottom w:val="single" w:sz="8" w:color="9A9A9A"/>
            </w:tcBorders>
          </w:tcPr>
          <w:p>
            <w:pPr>
              <w:spacing w:after="0"/>
              <w:rPr>
                <w:sz w:val="24"/>
                <w:szCs w:val="24"/>
                <w:color w:val="auto"/>
              </w:rPr>
            </w:pPr>
          </w:p>
        </w:tc>
        <w:tc>
          <w:tcPr>
            <w:tcW w:w="194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83">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84">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107" w:name="page108"/>
    <w:bookmarkEnd w:id="107"/>
    <w:p>
      <w:pPr>
        <w:spacing w:after="0" w:line="32"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220" w:type="dxa"/>
            <w:vAlign w:val="bottom"/>
          </w:tcPr>
          <w:p>
            <w:pPr>
              <w:jc w:val="center"/>
              <w:ind w:right="470"/>
              <w:spacing w:after="0"/>
              <w:rPr>
                <w:sz w:val="20"/>
                <w:szCs w:val="20"/>
                <w:color w:val="auto"/>
              </w:rPr>
            </w:pPr>
            <w:r>
              <w:rPr>
                <w:rFonts w:ascii="Arial" w:cs="Arial" w:eastAsia="Arial" w:hAnsi="Arial"/>
                <w:sz w:val="18"/>
                <w:szCs w:val="18"/>
                <w:color w:val="auto"/>
                <w:w w:val="99"/>
              </w:rPr>
              <w:t>32.1*</w:t>
            </w:r>
          </w:p>
        </w:tc>
        <w:tc>
          <w:tcPr>
            <w:tcW w:w="6540" w:type="dxa"/>
            <w:vAlign w:val="bottom"/>
            <w:gridSpan w:val="5"/>
          </w:tcPr>
          <w:p>
            <w:pPr>
              <w:spacing w:after="0"/>
              <w:rPr>
                <w:rFonts w:ascii="Arial" w:cs="Arial" w:eastAsia="Arial" w:hAnsi="Arial"/>
                <w:sz w:val="18"/>
                <w:szCs w:val="18"/>
                <w:color w:val="0000FF"/>
              </w:rPr>
            </w:pPr>
            <w:hyperlink w:anchor="page119">
              <w:r>
                <w:rPr>
                  <w:rFonts w:ascii="Arial" w:cs="Arial" w:eastAsia="Arial" w:hAnsi="Arial"/>
                  <w:sz w:val="18"/>
                  <w:szCs w:val="18"/>
                  <w:color w:val="0000FF"/>
                </w:rPr>
                <w:t>Certification Pursuant to 18 U.S.C. Section 1350, as Adopted</w:t>
              </w:r>
            </w:hyperlink>
          </w:p>
        </w:tc>
        <w:tc>
          <w:tcPr>
            <w:tcW w:w="3160" w:type="dxa"/>
            <w:vAlign w:val="bottom"/>
          </w:tcPr>
          <w:p>
            <w:pPr>
              <w:ind w:left="2120"/>
              <w:spacing w:after="0"/>
              <w:rPr>
                <w:sz w:val="20"/>
                <w:szCs w:val="20"/>
                <w:color w:val="auto"/>
              </w:rPr>
            </w:pPr>
            <w:r>
              <w:rPr>
                <w:rFonts w:ascii="Arial" w:cs="Arial" w:eastAsia="Arial" w:hAnsi="Arial"/>
                <w:sz w:val="18"/>
                <w:szCs w:val="18"/>
                <w:color w:val="auto"/>
                <w:w w:val="91"/>
              </w:rPr>
              <w:t>Filed herewith</w:t>
            </w:r>
          </w:p>
        </w:tc>
      </w:tr>
      <w:tr>
        <w:trPr>
          <w:trHeight w:val="156"/>
        </w:trPr>
        <w:tc>
          <w:tcPr>
            <w:tcW w:w="1220" w:type="dxa"/>
            <w:vAlign w:val="bottom"/>
          </w:tcPr>
          <w:p>
            <w:pPr>
              <w:spacing w:after="0"/>
              <w:rPr>
                <w:sz w:val="13"/>
                <w:szCs w:val="13"/>
                <w:color w:val="auto"/>
              </w:rPr>
            </w:pPr>
          </w:p>
        </w:tc>
        <w:tc>
          <w:tcPr>
            <w:tcW w:w="4420" w:type="dxa"/>
            <w:vAlign w:val="bottom"/>
            <w:tcBorders>
              <w:top w:val="single" w:sz="8" w:color="0000FF"/>
            </w:tcBorders>
            <w:gridSpan w:val="4"/>
          </w:tcPr>
          <w:p>
            <w:pPr>
              <w:spacing w:after="0" w:line="156" w:lineRule="exact"/>
              <w:rPr>
                <w:rFonts w:ascii="Arial" w:cs="Arial" w:eastAsia="Arial" w:hAnsi="Arial"/>
                <w:sz w:val="18"/>
                <w:szCs w:val="18"/>
                <w:color w:val="0000FF"/>
                <w:w w:val="93"/>
              </w:rPr>
            </w:pPr>
            <w:hyperlink w:anchor="page119">
              <w:r>
                <w:rPr>
                  <w:rFonts w:ascii="Arial" w:cs="Arial" w:eastAsia="Arial" w:hAnsi="Arial"/>
                  <w:sz w:val="18"/>
                  <w:szCs w:val="18"/>
                  <w:color w:val="0000FF"/>
                  <w:w w:val="93"/>
                </w:rPr>
                <w:t>Pursuant to Section 906 of the Sarbanes-Oxley Act of 2002</w:t>
              </w:r>
            </w:hyperlink>
          </w:p>
        </w:tc>
        <w:tc>
          <w:tcPr>
            <w:tcW w:w="2120" w:type="dxa"/>
            <w:vAlign w:val="bottom"/>
          </w:tcPr>
          <w:p>
            <w:pPr>
              <w:spacing w:after="0"/>
              <w:rPr>
                <w:sz w:val="13"/>
                <w:szCs w:val="13"/>
                <w:color w:val="auto"/>
              </w:rPr>
            </w:pPr>
          </w:p>
        </w:tc>
        <w:tc>
          <w:tcPr>
            <w:tcW w:w="3160" w:type="dxa"/>
            <w:vAlign w:val="bottom"/>
          </w:tcPr>
          <w:p>
            <w:pPr>
              <w:spacing w:after="0"/>
              <w:rPr>
                <w:sz w:val="13"/>
                <w:szCs w:val="13"/>
                <w:color w:val="auto"/>
              </w:rPr>
            </w:pPr>
          </w:p>
        </w:tc>
      </w:tr>
      <w:tr>
        <w:trPr>
          <w:trHeight w:val="155"/>
        </w:trPr>
        <w:tc>
          <w:tcPr>
            <w:tcW w:w="1220" w:type="dxa"/>
            <w:vAlign w:val="bottom"/>
          </w:tcPr>
          <w:p>
            <w:pPr>
              <w:spacing w:after="0"/>
              <w:rPr>
                <w:sz w:val="13"/>
                <w:szCs w:val="13"/>
                <w:color w:val="auto"/>
              </w:rPr>
            </w:pPr>
          </w:p>
        </w:tc>
        <w:tc>
          <w:tcPr>
            <w:tcW w:w="224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4"/>
              </w:rPr>
            </w:pPr>
            <w:hyperlink w:anchor="page119">
              <w:r>
                <w:rPr>
                  <w:rFonts w:ascii="Arial" w:cs="Arial" w:eastAsia="Arial" w:hAnsi="Arial"/>
                  <w:sz w:val="18"/>
                  <w:szCs w:val="18"/>
                  <w:color w:val="0000FF"/>
                  <w:w w:val="94"/>
                </w:rPr>
                <w:t>for Principal Executive Officer</w:t>
              </w:r>
            </w:hyperlink>
          </w:p>
        </w:tc>
        <w:tc>
          <w:tcPr>
            <w:tcW w:w="2040" w:type="dxa"/>
            <w:vAlign w:val="bottom"/>
            <w:tcBorders>
              <w:top w:val="single" w:sz="8" w:color="0000FF"/>
            </w:tcBorders>
          </w:tcPr>
          <w:p>
            <w:pPr>
              <w:spacing w:after="0"/>
              <w:rPr>
                <w:sz w:val="13"/>
                <w:szCs w:val="13"/>
                <w:color w:val="auto"/>
              </w:rPr>
            </w:pPr>
          </w:p>
        </w:tc>
        <w:tc>
          <w:tcPr>
            <w:tcW w:w="2260" w:type="dxa"/>
            <w:vAlign w:val="bottom"/>
            <w:gridSpan w:val="2"/>
          </w:tcPr>
          <w:p>
            <w:pPr>
              <w:spacing w:after="0"/>
              <w:rPr>
                <w:sz w:val="13"/>
                <w:szCs w:val="13"/>
                <w:color w:val="auto"/>
              </w:rPr>
            </w:pPr>
          </w:p>
        </w:tc>
        <w:tc>
          <w:tcPr>
            <w:tcW w:w="3160" w:type="dxa"/>
            <w:vAlign w:val="bottom"/>
          </w:tcPr>
          <w:p>
            <w:pPr>
              <w:spacing w:after="0"/>
              <w:rPr>
                <w:sz w:val="13"/>
                <w:szCs w:val="13"/>
                <w:color w:val="auto"/>
              </w:rPr>
            </w:pPr>
          </w:p>
        </w:tc>
      </w:tr>
      <w:tr>
        <w:trPr>
          <w:trHeight w:val="372"/>
        </w:trPr>
        <w:tc>
          <w:tcPr>
            <w:tcW w:w="1220" w:type="dxa"/>
            <w:vAlign w:val="bottom"/>
          </w:tcPr>
          <w:p>
            <w:pPr>
              <w:jc w:val="center"/>
              <w:ind w:right="470"/>
              <w:spacing w:after="0"/>
              <w:rPr>
                <w:sz w:val="20"/>
                <w:szCs w:val="20"/>
                <w:color w:val="auto"/>
              </w:rPr>
            </w:pPr>
            <w:r>
              <w:rPr>
                <w:rFonts w:ascii="Arial" w:cs="Arial" w:eastAsia="Arial" w:hAnsi="Arial"/>
                <w:sz w:val="18"/>
                <w:szCs w:val="18"/>
                <w:color w:val="auto"/>
                <w:w w:val="99"/>
              </w:rPr>
              <w:t>32.2*</w:t>
            </w:r>
          </w:p>
        </w:tc>
        <w:tc>
          <w:tcPr>
            <w:tcW w:w="6540" w:type="dxa"/>
            <w:vAlign w:val="bottom"/>
            <w:gridSpan w:val="5"/>
          </w:tcPr>
          <w:p>
            <w:pPr>
              <w:spacing w:after="0"/>
              <w:rPr>
                <w:rFonts w:ascii="Arial" w:cs="Arial" w:eastAsia="Arial" w:hAnsi="Arial"/>
                <w:sz w:val="18"/>
                <w:szCs w:val="18"/>
                <w:color w:val="0000FF"/>
              </w:rPr>
            </w:pPr>
            <w:hyperlink w:anchor="page120">
              <w:r>
                <w:rPr>
                  <w:rFonts w:ascii="Arial" w:cs="Arial" w:eastAsia="Arial" w:hAnsi="Arial"/>
                  <w:sz w:val="18"/>
                  <w:szCs w:val="18"/>
                  <w:color w:val="0000FF"/>
                </w:rPr>
                <w:t>Certification Pursuant to 18 U.S.C. Section 1350, as Adopted</w:t>
              </w:r>
            </w:hyperlink>
          </w:p>
        </w:tc>
        <w:tc>
          <w:tcPr>
            <w:tcW w:w="3160" w:type="dxa"/>
            <w:vAlign w:val="bottom"/>
          </w:tcPr>
          <w:p>
            <w:pPr>
              <w:ind w:left="2120"/>
              <w:spacing w:after="0"/>
              <w:rPr>
                <w:sz w:val="20"/>
                <w:szCs w:val="20"/>
                <w:color w:val="auto"/>
              </w:rPr>
            </w:pPr>
            <w:r>
              <w:rPr>
                <w:rFonts w:ascii="Arial" w:cs="Arial" w:eastAsia="Arial" w:hAnsi="Arial"/>
                <w:sz w:val="18"/>
                <w:szCs w:val="18"/>
                <w:color w:val="auto"/>
                <w:w w:val="91"/>
              </w:rPr>
              <w:t>Filed herewith</w:t>
            </w:r>
          </w:p>
        </w:tc>
      </w:tr>
      <w:tr>
        <w:trPr>
          <w:trHeight w:val="156"/>
        </w:trPr>
        <w:tc>
          <w:tcPr>
            <w:tcW w:w="1220" w:type="dxa"/>
            <w:vAlign w:val="bottom"/>
          </w:tcPr>
          <w:p>
            <w:pPr>
              <w:spacing w:after="0"/>
              <w:rPr>
                <w:sz w:val="13"/>
                <w:szCs w:val="13"/>
                <w:color w:val="auto"/>
              </w:rPr>
            </w:pPr>
          </w:p>
        </w:tc>
        <w:tc>
          <w:tcPr>
            <w:tcW w:w="4420" w:type="dxa"/>
            <w:vAlign w:val="bottom"/>
            <w:tcBorders>
              <w:top w:val="single" w:sz="8" w:color="0000FF"/>
            </w:tcBorders>
            <w:gridSpan w:val="4"/>
          </w:tcPr>
          <w:p>
            <w:pPr>
              <w:spacing w:after="0" w:line="156" w:lineRule="exact"/>
              <w:rPr>
                <w:rFonts w:ascii="Arial" w:cs="Arial" w:eastAsia="Arial" w:hAnsi="Arial"/>
                <w:sz w:val="18"/>
                <w:szCs w:val="18"/>
                <w:color w:val="0000FF"/>
                <w:w w:val="93"/>
              </w:rPr>
            </w:pPr>
            <w:hyperlink w:anchor="page120">
              <w:r>
                <w:rPr>
                  <w:rFonts w:ascii="Arial" w:cs="Arial" w:eastAsia="Arial" w:hAnsi="Arial"/>
                  <w:sz w:val="18"/>
                  <w:szCs w:val="18"/>
                  <w:color w:val="0000FF"/>
                  <w:w w:val="93"/>
                </w:rPr>
                <w:t>Pursuant to Section 906 of the Sarbanes-Oxley Act of 2002</w:t>
              </w:r>
            </w:hyperlink>
          </w:p>
        </w:tc>
        <w:tc>
          <w:tcPr>
            <w:tcW w:w="2120" w:type="dxa"/>
            <w:vAlign w:val="bottom"/>
          </w:tcPr>
          <w:p>
            <w:pPr>
              <w:spacing w:after="0"/>
              <w:rPr>
                <w:sz w:val="13"/>
                <w:szCs w:val="13"/>
                <w:color w:val="auto"/>
              </w:rPr>
            </w:pPr>
          </w:p>
        </w:tc>
        <w:tc>
          <w:tcPr>
            <w:tcW w:w="3160" w:type="dxa"/>
            <w:vAlign w:val="bottom"/>
          </w:tcPr>
          <w:p>
            <w:pPr>
              <w:spacing w:after="0"/>
              <w:rPr>
                <w:sz w:val="13"/>
                <w:szCs w:val="13"/>
                <w:color w:val="auto"/>
              </w:rPr>
            </w:pPr>
          </w:p>
        </w:tc>
      </w:tr>
      <w:tr>
        <w:trPr>
          <w:trHeight w:val="155"/>
        </w:trPr>
        <w:tc>
          <w:tcPr>
            <w:tcW w:w="1220" w:type="dxa"/>
            <w:vAlign w:val="bottom"/>
          </w:tcPr>
          <w:p>
            <w:pPr>
              <w:spacing w:after="0"/>
              <w:rPr>
                <w:sz w:val="13"/>
                <w:szCs w:val="13"/>
                <w:color w:val="auto"/>
              </w:rPr>
            </w:pPr>
          </w:p>
        </w:tc>
        <w:tc>
          <w:tcPr>
            <w:tcW w:w="4280" w:type="dxa"/>
            <w:vAlign w:val="bottom"/>
            <w:tcBorders>
              <w:top w:val="single" w:sz="8" w:color="0000FF"/>
            </w:tcBorders>
            <w:gridSpan w:val="3"/>
          </w:tcPr>
          <w:p>
            <w:pPr>
              <w:spacing w:after="0" w:line="156" w:lineRule="exact"/>
              <w:rPr>
                <w:rFonts w:ascii="Arial" w:cs="Arial" w:eastAsia="Arial" w:hAnsi="Arial"/>
                <w:sz w:val="18"/>
                <w:szCs w:val="18"/>
                <w:color w:val="0000FF"/>
              </w:rPr>
            </w:pPr>
            <w:hyperlink w:anchor="page120">
              <w:r>
                <w:rPr>
                  <w:rFonts w:ascii="Arial" w:cs="Arial" w:eastAsia="Arial" w:hAnsi="Arial"/>
                  <w:sz w:val="18"/>
                  <w:szCs w:val="18"/>
                  <w:color w:val="0000FF"/>
                </w:rPr>
                <w:t>for Principal Financial Officer</w:t>
              </w:r>
            </w:hyperlink>
          </w:p>
        </w:tc>
        <w:tc>
          <w:tcPr>
            <w:tcW w:w="2260" w:type="dxa"/>
            <w:vAlign w:val="bottom"/>
            <w:gridSpan w:val="2"/>
          </w:tcPr>
          <w:p>
            <w:pPr>
              <w:spacing w:after="0"/>
              <w:rPr>
                <w:sz w:val="13"/>
                <w:szCs w:val="13"/>
                <w:color w:val="auto"/>
              </w:rPr>
            </w:pPr>
          </w:p>
        </w:tc>
        <w:tc>
          <w:tcPr>
            <w:tcW w:w="3160" w:type="dxa"/>
            <w:vAlign w:val="bottom"/>
          </w:tcPr>
          <w:p>
            <w:pPr>
              <w:spacing w:after="0"/>
              <w:rPr>
                <w:sz w:val="13"/>
                <w:szCs w:val="13"/>
                <w:color w:val="auto"/>
              </w:rPr>
            </w:pPr>
          </w:p>
        </w:tc>
      </w:tr>
      <w:tr>
        <w:trPr>
          <w:trHeight w:val="20"/>
        </w:trPr>
        <w:tc>
          <w:tcPr>
            <w:tcW w:w="1220" w:type="dxa"/>
            <w:vAlign w:val="bottom"/>
          </w:tcPr>
          <w:p>
            <w:pPr>
              <w:spacing w:after="0" w:line="20" w:lineRule="exact"/>
              <w:rPr>
                <w:sz w:val="1"/>
                <w:szCs w:val="1"/>
                <w:color w:val="auto"/>
              </w:rPr>
            </w:pPr>
          </w:p>
        </w:tc>
        <w:tc>
          <w:tcPr>
            <w:tcW w:w="2180" w:type="dxa"/>
            <w:vAlign w:val="bottom"/>
            <w:shd w:val="clear" w:color="auto" w:fill="0000FF"/>
          </w:tcPr>
          <w:p>
            <w:pPr>
              <w:spacing w:after="0" w:line="20" w:lineRule="exact"/>
              <w:rPr>
                <w:sz w:val="1"/>
                <w:szCs w:val="1"/>
                <w:color w:val="auto"/>
              </w:rPr>
            </w:pPr>
          </w:p>
        </w:tc>
        <w:tc>
          <w:tcPr>
            <w:tcW w:w="4360" w:type="dxa"/>
            <w:vAlign w:val="bottom"/>
            <w:gridSpan w:val="4"/>
          </w:tcPr>
          <w:p>
            <w:pPr>
              <w:spacing w:after="0" w:line="20" w:lineRule="exact"/>
              <w:rPr>
                <w:sz w:val="1"/>
                <w:szCs w:val="1"/>
                <w:color w:val="auto"/>
              </w:rPr>
            </w:pPr>
          </w:p>
        </w:tc>
        <w:tc>
          <w:tcPr>
            <w:tcW w:w="3160" w:type="dxa"/>
            <w:vAlign w:val="bottom"/>
          </w:tcPr>
          <w:p>
            <w:pPr>
              <w:spacing w:after="0" w:line="20" w:lineRule="exact"/>
              <w:rPr>
                <w:sz w:val="1"/>
                <w:szCs w:val="1"/>
                <w:color w:val="auto"/>
              </w:rPr>
            </w:pPr>
          </w:p>
        </w:tc>
      </w:tr>
      <w:tr>
        <w:trPr>
          <w:trHeight w:val="574"/>
        </w:trPr>
        <w:tc>
          <w:tcPr>
            <w:tcW w:w="1220" w:type="dxa"/>
            <w:vAlign w:val="bottom"/>
          </w:tcPr>
          <w:p>
            <w:pPr>
              <w:spacing w:after="0"/>
              <w:rPr>
                <w:sz w:val="20"/>
                <w:szCs w:val="20"/>
                <w:color w:val="auto"/>
              </w:rPr>
            </w:pPr>
            <w:r>
              <w:rPr>
                <w:rFonts w:ascii="Arial" w:cs="Arial" w:eastAsia="Arial" w:hAnsi="Arial"/>
                <w:sz w:val="18"/>
                <w:szCs w:val="18"/>
                <w:color w:val="auto"/>
              </w:rPr>
              <w:t>101.INS</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Instance Document</w:t>
            </w:r>
          </w:p>
        </w:tc>
        <w:tc>
          <w:tcPr>
            <w:tcW w:w="3160" w:type="dxa"/>
            <w:vAlign w:val="bottom"/>
          </w:tcPr>
          <w:p>
            <w:pPr>
              <w:spacing w:after="0"/>
              <w:rPr>
                <w:sz w:val="24"/>
                <w:szCs w:val="24"/>
                <w:color w:val="auto"/>
              </w:rPr>
            </w:pPr>
          </w:p>
        </w:tc>
      </w:tr>
      <w:tr>
        <w:trPr>
          <w:trHeight w:val="392"/>
        </w:trPr>
        <w:tc>
          <w:tcPr>
            <w:tcW w:w="1220" w:type="dxa"/>
            <w:vAlign w:val="bottom"/>
          </w:tcPr>
          <w:p>
            <w:pPr>
              <w:jc w:val="center"/>
              <w:ind w:right="450"/>
              <w:spacing w:after="0"/>
              <w:rPr>
                <w:sz w:val="20"/>
                <w:szCs w:val="20"/>
                <w:color w:val="auto"/>
              </w:rPr>
            </w:pPr>
            <w:r>
              <w:rPr>
                <w:rFonts w:ascii="Arial" w:cs="Arial" w:eastAsia="Arial" w:hAnsi="Arial"/>
                <w:sz w:val="18"/>
                <w:szCs w:val="18"/>
                <w:color w:val="auto"/>
                <w:w w:val="93"/>
              </w:rPr>
              <w:t>101.SCH</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Taxonomy Extension Schema Document</w:t>
            </w:r>
          </w:p>
        </w:tc>
        <w:tc>
          <w:tcPr>
            <w:tcW w:w="3160" w:type="dxa"/>
            <w:vAlign w:val="bottom"/>
          </w:tcPr>
          <w:p>
            <w:pPr>
              <w:spacing w:after="0"/>
              <w:rPr>
                <w:sz w:val="24"/>
                <w:szCs w:val="24"/>
                <w:color w:val="auto"/>
              </w:rPr>
            </w:pPr>
          </w:p>
        </w:tc>
      </w:tr>
      <w:tr>
        <w:trPr>
          <w:trHeight w:val="338"/>
        </w:trPr>
        <w:tc>
          <w:tcPr>
            <w:tcW w:w="1220" w:type="dxa"/>
            <w:vAlign w:val="bottom"/>
          </w:tcPr>
          <w:p>
            <w:pPr>
              <w:jc w:val="center"/>
              <w:ind w:right="450"/>
              <w:spacing w:after="0"/>
              <w:rPr>
                <w:sz w:val="20"/>
                <w:szCs w:val="20"/>
                <w:color w:val="auto"/>
              </w:rPr>
            </w:pPr>
            <w:r>
              <w:rPr>
                <w:rFonts w:ascii="Arial" w:cs="Arial" w:eastAsia="Arial" w:hAnsi="Arial"/>
                <w:sz w:val="18"/>
                <w:szCs w:val="18"/>
                <w:color w:val="auto"/>
                <w:w w:val="97"/>
              </w:rPr>
              <w:t>101.CAL</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Taxonomy Extension Calculation Linkbase</w:t>
            </w:r>
          </w:p>
        </w:tc>
        <w:tc>
          <w:tcPr>
            <w:tcW w:w="3160" w:type="dxa"/>
            <w:vAlign w:val="bottom"/>
          </w:tcPr>
          <w:p>
            <w:pPr>
              <w:spacing w:after="0"/>
              <w:rPr>
                <w:sz w:val="24"/>
                <w:szCs w:val="24"/>
                <w:color w:val="auto"/>
              </w:rPr>
            </w:pPr>
          </w:p>
        </w:tc>
      </w:tr>
      <w:tr>
        <w:trPr>
          <w:trHeight w:val="230"/>
        </w:trPr>
        <w:tc>
          <w:tcPr>
            <w:tcW w:w="1220" w:type="dxa"/>
            <w:vAlign w:val="bottom"/>
          </w:tcPr>
          <w:p>
            <w:pPr>
              <w:spacing w:after="0"/>
              <w:rPr>
                <w:sz w:val="20"/>
                <w:szCs w:val="20"/>
                <w:color w:val="auto"/>
              </w:rPr>
            </w:pPr>
          </w:p>
        </w:tc>
        <w:tc>
          <w:tcPr>
            <w:tcW w:w="6540" w:type="dxa"/>
            <w:vAlign w:val="bottom"/>
            <w:gridSpan w:val="5"/>
          </w:tcPr>
          <w:p>
            <w:pPr>
              <w:spacing w:after="0"/>
              <w:rPr>
                <w:sz w:val="20"/>
                <w:szCs w:val="20"/>
                <w:color w:val="auto"/>
              </w:rPr>
            </w:pPr>
            <w:r>
              <w:rPr>
                <w:rFonts w:ascii="Arial" w:cs="Arial" w:eastAsia="Arial" w:hAnsi="Arial"/>
                <w:sz w:val="18"/>
                <w:szCs w:val="18"/>
                <w:color w:val="auto"/>
              </w:rPr>
              <w:t>Document</w:t>
            </w:r>
          </w:p>
        </w:tc>
        <w:tc>
          <w:tcPr>
            <w:tcW w:w="3160" w:type="dxa"/>
            <w:vAlign w:val="bottom"/>
          </w:tcPr>
          <w:p>
            <w:pPr>
              <w:spacing w:after="0"/>
              <w:rPr>
                <w:sz w:val="20"/>
                <w:szCs w:val="20"/>
                <w:color w:val="auto"/>
              </w:rPr>
            </w:pPr>
          </w:p>
        </w:tc>
      </w:tr>
      <w:tr>
        <w:trPr>
          <w:trHeight w:val="391"/>
        </w:trPr>
        <w:tc>
          <w:tcPr>
            <w:tcW w:w="1220" w:type="dxa"/>
            <w:vAlign w:val="bottom"/>
          </w:tcPr>
          <w:p>
            <w:pPr>
              <w:jc w:val="center"/>
              <w:ind w:right="470"/>
              <w:spacing w:after="0"/>
              <w:rPr>
                <w:sz w:val="20"/>
                <w:szCs w:val="20"/>
                <w:color w:val="auto"/>
              </w:rPr>
            </w:pPr>
            <w:r>
              <w:rPr>
                <w:rFonts w:ascii="Arial" w:cs="Arial" w:eastAsia="Arial" w:hAnsi="Arial"/>
                <w:sz w:val="18"/>
                <w:szCs w:val="18"/>
                <w:color w:val="auto"/>
                <w:w w:val="92"/>
              </w:rPr>
              <w:t>101.DEF</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Taxonomy Extension Definition</w:t>
            </w:r>
          </w:p>
        </w:tc>
        <w:tc>
          <w:tcPr>
            <w:tcW w:w="3160" w:type="dxa"/>
            <w:vAlign w:val="bottom"/>
          </w:tcPr>
          <w:p>
            <w:pPr>
              <w:spacing w:after="0"/>
              <w:rPr>
                <w:sz w:val="24"/>
                <w:szCs w:val="24"/>
                <w:color w:val="auto"/>
              </w:rPr>
            </w:pPr>
          </w:p>
        </w:tc>
      </w:tr>
      <w:tr>
        <w:trPr>
          <w:trHeight w:val="338"/>
        </w:trPr>
        <w:tc>
          <w:tcPr>
            <w:tcW w:w="1220" w:type="dxa"/>
            <w:vAlign w:val="bottom"/>
          </w:tcPr>
          <w:p>
            <w:pPr>
              <w:jc w:val="center"/>
              <w:ind w:right="450"/>
              <w:spacing w:after="0"/>
              <w:rPr>
                <w:sz w:val="20"/>
                <w:szCs w:val="20"/>
                <w:color w:val="auto"/>
              </w:rPr>
            </w:pPr>
            <w:r>
              <w:rPr>
                <w:rFonts w:ascii="Arial" w:cs="Arial" w:eastAsia="Arial" w:hAnsi="Arial"/>
                <w:sz w:val="18"/>
                <w:szCs w:val="18"/>
                <w:color w:val="auto"/>
                <w:w w:val="98"/>
              </w:rPr>
              <w:t>101.LAB</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Taxonomy Extension Label Linkbase</w:t>
            </w:r>
          </w:p>
        </w:tc>
        <w:tc>
          <w:tcPr>
            <w:tcW w:w="3160" w:type="dxa"/>
            <w:vAlign w:val="bottom"/>
          </w:tcPr>
          <w:p>
            <w:pPr>
              <w:spacing w:after="0"/>
              <w:rPr>
                <w:sz w:val="24"/>
                <w:szCs w:val="24"/>
                <w:color w:val="auto"/>
              </w:rPr>
            </w:pPr>
          </w:p>
        </w:tc>
      </w:tr>
      <w:tr>
        <w:trPr>
          <w:trHeight w:val="230"/>
        </w:trPr>
        <w:tc>
          <w:tcPr>
            <w:tcW w:w="1220" w:type="dxa"/>
            <w:vAlign w:val="bottom"/>
          </w:tcPr>
          <w:p>
            <w:pPr>
              <w:spacing w:after="0"/>
              <w:rPr>
                <w:sz w:val="20"/>
                <w:szCs w:val="20"/>
                <w:color w:val="auto"/>
              </w:rPr>
            </w:pPr>
          </w:p>
        </w:tc>
        <w:tc>
          <w:tcPr>
            <w:tcW w:w="6540" w:type="dxa"/>
            <w:vAlign w:val="bottom"/>
            <w:gridSpan w:val="5"/>
          </w:tcPr>
          <w:p>
            <w:pPr>
              <w:spacing w:after="0"/>
              <w:rPr>
                <w:sz w:val="20"/>
                <w:szCs w:val="20"/>
                <w:color w:val="auto"/>
              </w:rPr>
            </w:pPr>
            <w:r>
              <w:rPr>
                <w:rFonts w:ascii="Arial" w:cs="Arial" w:eastAsia="Arial" w:hAnsi="Arial"/>
                <w:sz w:val="18"/>
                <w:szCs w:val="18"/>
                <w:color w:val="auto"/>
              </w:rPr>
              <w:t>Document</w:t>
            </w:r>
          </w:p>
        </w:tc>
        <w:tc>
          <w:tcPr>
            <w:tcW w:w="3160" w:type="dxa"/>
            <w:vAlign w:val="bottom"/>
          </w:tcPr>
          <w:p>
            <w:pPr>
              <w:spacing w:after="0"/>
              <w:rPr>
                <w:sz w:val="20"/>
                <w:szCs w:val="20"/>
                <w:color w:val="auto"/>
              </w:rPr>
            </w:pPr>
          </w:p>
        </w:tc>
      </w:tr>
      <w:tr>
        <w:trPr>
          <w:trHeight w:val="391"/>
        </w:trPr>
        <w:tc>
          <w:tcPr>
            <w:tcW w:w="1220" w:type="dxa"/>
            <w:vAlign w:val="bottom"/>
          </w:tcPr>
          <w:p>
            <w:pPr>
              <w:jc w:val="center"/>
              <w:ind w:right="470"/>
              <w:spacing w:after="0"/>
              <w:rPr>
                <w:sz w:val="20"/>
                <w:szCs w:val="20"/>
                <w:color w:val="auto"/>
              </w:rPr>
            </w:pPr>
            <w:r>
              <w:rPr>
                <w:rFonts w:ascii="Arial" w:cs="Arial" w:eastAsia="Arial" w:hAnsi="Arial"/>
                <w:sz w:val="18"/>
                <w:szCs w:val="18"/>
                <w:color w:val="auto"/>
                <w:w w:val="91"/>
              </w:rPr>
              <w:t>101.PRE</w:t>
            </w:r>
          </w:p>
        </w:tc>
        <w:tc>
          <w:tcPr>
            <w:tcW w:w="6540" w:type="dxa"/>
            <w:vAlign w:val="bottom"/>
            <w:gridSpan w:val="5"/>
          </w:tcPr>
          <w:p>
            <w:pPr>
              <w:spacing w:after="0"/>
              <w:rPr>
                <w:sz w:val="20"/>
                <w:szCs w:val="20"/>
                <w:color w:val="auto"/>
              </w:rPr>
            </w:pPr>
            <w:r>
              <w:rPr>
                <w:rFonts w:ascii="Arial" w:cs="Arial" w:eastAsia="Arial" w:hAnsi="Arial"/>
                <w:sz w:val="18"/>
                <w:szCs w:val="18"/>
                <w:color w:val="auto"/>
              </w:rPr>
              <w:t>Inline XBRL Taxonomy Presentation Linkbase Document</w:t>
            </w:r>
          </w:p>
        </w:tc>
        <w:tc>
          <w:tcPr>
            <w:tcW w:w="3160" w:type="dxa"/>
            <w:vAlign w:val="bottom"/>
          </w:tcPr>
          <w:p>
            <w:pPr>
              <w:spacing w:after="0"/>
              <w:rPr>
                <w:sz w:val="24"/>
                <w:szCs w:val="24"/>
                <w:color w:val="auto"/>
              </w:rPr>
            </w:pPr>
          </w:p>
        </w:tc>
      </w:tr>
    </w:tbl>
    <w:p>
      <w:pPr>
        <w:spacing w:after="0" w:line="148" w:lineRule="exact"/>
        <w:rPr>
          <w:sz w:val="20"/>
          <w:szCs w:val="20"/>
          <w:color w:val="auto"/>
        </w:rPr>
      </w:pPr>
    </w:p>
    <w:p>
      <w:pPr>
        <w:ind w:left="1240" w:right="5580" w:hanging="1214"/>
        <w:spacing w:after="0" w:line="258" w:lineRule="auto"/>
        <w:tabs>
          <w:tab w:leader="none" w:pos="1240" w:val="left"/>
        </w:tabs>
        <w:numPr>
          <w:ilvl w:val="1"/>
          <w:numId w:val="37"/>
        </w:numPr>
        <w:rPr>
          <w:rFonts w:ascii="Arial" w:cs="Arial" w:eastAsia="Arial" w:hAnsi="Arial"/>
          <w:sz w:val="17"/>
          <w:szCs w:val="17"/>
          <w:color w:val="auto"/>
        </w:rPr>
      </w:pPr>
      <w:r>
        <w:rPr>
          <w:rFonts w:ascii="Arial" w:cs="Arial" w:eastAsia="Arial" w:hAnsi="Arial"/>
          <w:sz w:val="17"/>
          <w:szCs w:val="17"/>
          <w:color w:val="auto"/>
        </w:rPr>
        <w:t>Cover Page Interactive Data File - The cover page from this Annual Report on Form 10-K is formatted in iXBRL</w:t>
      </w:r>
    </w:p>
    <w:p>
      <w:pPr>
        <w:spacing w:after="0" w:line="322" w:lineRule="exact"/>
        <w:rPr>
          <w:rFonts w:ascii="Arial" w:cs="Arial" w:eastAsia="Arial" w:hAnsi="Arial"/>
          <w:sz w:val="17"/>
          <w:szCs w:val="17"/>
          <w:color w:val="auto"/>
        </w:rPr>
      </w:pPr>
    </w:p>
    <w:p>
      <w:pPr>
        <w:ind w:left="280" w:hanging="272"/>
        <w:spacing w:after="0"/>
        <w:tabs>
          <w:tab w:leader="none" w:pos="2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660" w:hanging="652"/>
        <w:spacing w:after="0" w:line="275" w:lineRule="auto"/>
        <w:tabs>
          <w:tab w:leader="none" w:pos="282" w:val="left"/>
        </w:tabs>
        <w:numPr>
          <w:ilvl w:val="0"/>
          <w:numId w:val="38"/>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307"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i w:val="1"/>
          <w:iCs w:val="1"/>
          <w:color w:val="auto"/>
        </w:rPr>
        <w:t>Form 10-K Summary</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8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40"/>
          </w:cols>
          <w:pgMar w:left="320" w:top="1440" w:right="439" w:bottom="1440" w:gutter="0" w:footer="0" w:header="0"/>
        </w:sectPr>
      </w:pPr>
    </w:p>
    <w:bookmarkStart w:id="108" w:name="page109"/>
    <w:bookmarkEnd w:id="108"/>
    <w:p>
      <w:pPr>
        <w:jc w:val="center"/>
        <w:ind w:right="-11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373" w:lineRule="exact"/>
        <w:rPr>
          <w:sz w:val="20"/>
          <w:szCs w:val="20"/>
          <w:color w:val="auto"/>
        </w:rPr>
      </w:pPr>
    </w:p>
    <w:p>
      <w:pPr>
        <w:ind w:left="462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93" w:lineRule="exact"/>
        <w:rPr>
          <w:sz w:val="20"/>
          <w:szCs w:val="20"/>
          <w:color w:val="auto"/>
        </w:rPr>
      </w:pPr>
    </w:p>
    <w:p>
      <w:pPr>
        <w:ind w:left="20"/>
        <w:spacing w:after="0"/>
        <w:tabs>
          <w:tab w:leader="none" w:pos="4600" w:val="left"/>
          <w:tab w:leader="none" w:pos="8200" w:val="left"/>
          <w:tab w:leader="none" w:pos="8560" w:val="left"/>
        </w:tabs>
        <w:rPr>
          <w:sz w:val="20"/>
          <w:szCs w:val="20"/>
          <w:color w:val="auto"/>
        </w:rPr>
      </w:pPr>
      <w:r>
        <w:rPr>
          <w:rFonts w:ascii="Arial" w:cs="Arial" w:eastAsia="Arial" w:hAnsi="Arial"/>
          <w:sz w:val="18"/>
          <w:szCs w:val="18"/>
          <w:color w:val="auto"/>
        </w:rPr>
        <w:t>Dated: March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3305175</wp:posOffset>
            </wp:positionH>
            <wp:positionV relativeFrom="paragraph">
              <wp:posOffset>14605</wp:posOffset>
            </wp:positionV>
            <wp:extent cx="3815080"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86">
                      <a:extLst>
                        <a:ext uri="{28A0092B-C50C-407E-A947-70E740481C1C}"/>
                      </a:extLst>
                    </a:blip>
                    <a:srcRect/>
                    <a:stretch>
                      <a:fillRect/>
                    </a:stretch>
                  </pic:blipFill>
                  <pic:spPr bwMode="auto">
                    <a:xfrm>
                      <a:off x="0" y="0"/>
                      <a:ext cx="3815080" cy="8255"/>
                    </a:xfrm>
                    <a:prstGeom prst="rect">
                      <a:avLst/>
                    </a:prstGeom>
                    <a:noFill/>
                  </pic:spPr>
                </pic:pic>
              </a:graphicData>
            </a:graphic>
          </wp:anchor>
        </w:drawing>
      </w:r>
    </w:p>
    <w:p>
      <w:pPr>
        <w:jc w:val="center"/>
        <w:ind w:left="6620"/>
        <w:spacing w:after="0"/>
        <w:rPr>
          <w:sz w:val="20"/>
          <w:szCs w:val="20"/>
          <w:color w:val="auto"/>
        </w:rPr>
      </w:pPr>
      <w:r>
        <w:rPr>
          <w:rFonts w:ascii="Arial" w:cs="Arial" w:eastAsia="Arial" w:hAnsi="Arial"/>
          <w:sz w:val="14"/>
          <w:szCs w:val="14"/>
          <w:b w:val="1"/>
          <w:bCs w:val="1"/>
          <w:color w:val="auto"/>
        </w:rPr>
        <w:t>Jean Hu</w:t>
      </w:r>
    </w:p>
    <w:p>
      <w:pPr>
        <w:jc w:val="center"/>
        <w:ind w:left="6620"/>
        <w:spacing w:after="0" w:line="201" w:lineRule="auto"/>
        <w:rPr>
          <w:sz w:val="20"/>
          <w:szCs w:val="20"/>
          <w:color w:val="auto"/>
        </w:rPr>
      </w:pPr>
      <w:r>
        <w:rPr>
          <w:rFonts w:ascii="Arial" w:cs="Arial" w:eastAsia="Arial" w:hAnsi="Arial"/>
          <w:sz w:val="14"/>
          <w:szCs w:val="14"/>
          <w:b w:val="1"/>
          <w:bCs w:val="1"/>
          <w:i w:val="1"/>
          <w:iCs w:val="1"/>
          <w:color w:val="auto"/>
        </w:rPr>
        <w:t>Chief Financial Officer</w:t>
      </w:r>
    </w:p>
    <w:p>
      <w:pPr>
        <w:jc w:val="center"/>
        <w:ind w:left="6620"/>
        <w:spacing w:after="0"/>
        <w:rPr>
          <w:sz w:val="20"/>
          <w:szCs w:val="20"/>
          <w:color w:val="auto"/>
        </w:rPr>
      </w:pPr>
      <w:r>
        <w:rPr>
          <w:rFonts w:ascii="Arial" w:cs="Arial" w:eastAsia="Arial" w:hAnsi="Arial"/>
          <w:sz w:val="14"/>
          <w:szCs w:val="14"/>
          <w:b w:val="1"/>
          <w:bCs w:val="1"/>
          <w:color w:val="auto"/>
        </w:rPr>
        <w:t>(Principal Financial Officer)</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KNOW ALL PERSONS BY THESE PRESENTS, that each person whose signature appears below constitutes and appoints Matthew J. Murphy and Jean Hu,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 Pursuant to the requirements of the Securities Exchange Act of 1934, this report has been signed by the following persons on behalf of the registrant in the capacities and on the dates indicated.</w:t>
      </w:r>
    </w:p>
    <w:p>
      <w:pPr>
        <w:sectPr>
          <w:pgSz w:w="11900" w:h="16838" w:orient="portrait"/>
          <w:cols w:equalWidth="0" w:num="1">
            <w:col w:w="11120"/>
          </w:cols>
          <w:pgMar w:left="320" w:top="1390" w:right="459" w:bottom="1440" w:gutter="0" w:footer="0" w:header="0"/>
        </w:sectPr>
      </w:pPr>
    </w:p>
    <w:p>
      <w:pPr>
        <w:spacing w:after="0" w:line="264"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87">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Matthew J. Murphy</w:t>
      </w:r>
    </w:p>
    <w:p>
      <w:pPr>
        <w:spacing w:after="0" w:line="347" w:lineRule="exact"/>
        <w:rPr>
          <w:sz w:val="20"/>
          <w:szCs w:val="20"/>
          <w:color w:val="auto"/>
        </w:rPr>
      </w:pPr>
    </w:p>
    <w:p>
      <w:pPr>
        <w:jc w:val="center"/>
        <w:ind w:left="8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8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75" w:lineRule="exact"/>
        <w:rPr>
          <w:sz w:val="20"/>
          <w:szCs w:val="20"/>
          <w:color w:val="auto"/>
        </w:rPr>
      </w:pPr>
    </w:p>
    <w:p>
      <w:pPr>
        <w:ind w:left="1780"/>
        <w:spacing w:after="0"/>
        <w:rPr>
          <w:sz w:val="20"/>
          <w:szCs w:val="20"/>
          <w:color w:val="auto"/>
        </w:rPr>
      </w:pPr>
      <w:r>
        <w:rPr>
          <w:rFonts w:ascii="Arial" w:cs="Arial" w:eastAsia="Arial" w:hAnsi="Arial"/>
          <w:sz w:val="14"/>
          <w:szCs w:val="14"/>
          <w:b w:val="1"/>
          <w:bCs w:val="1"/>
          <w:color w:val="auto"/>
        </w:rPr>
        <w:t>Jean Hu</w:t>
      </w:r>
    </w:p>
    <w:p>
      <w:pPr>
        <w:spacing w:after="0" w:line="347" w:lineRule="exact"/>
        <w:rPr>
          <w:sz w:val="20"/>
          <w:szCs w:val="20"/>
          <w:color w:val="auto"/>
        </w:rPr>
      </w:pPr>
    </w:p>
    <w:p>
      <w:pPr>
        <w:jc w:val="center"/>
        <w:ind w:left="3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8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1540"/>
        <w:spacing w:after="0"/>
        <w:rPr>
          <w:sz w:val="20"/>
          <w:szCs w:val="20"/>
          <w:color w:val="auto"/>
        </w:rPr>
      </w:pPr>
      <w:r>
        <w:rPr>
          <w:rFonts w:ascii="Arial" w:cs="Arial" w:eastAsia="Arial" w:hAnsi="Arial"/>
          <w:sz w:val="14"/>
          <w:szCs w:val="14"/>
          <w:b w:val="1"/>
          <w:bCs w:val="1"/>
          <w:color w:val="auto"/>
        </w:rPr>
        <w:t>Willem Meintjes</w:t>
      </w:r>
    </w:p>
    <w:p>
      <w:pPr>
        <w:spacing w:after="0" w:line="347" w:lineRule="exact"/>
        <w:rPr>
          <w:sz w:val="20"/>
          <w:szCs w:val="20"/>
          <w:color w:val="auto"/>
        </w:rPr>
      </w:pPr>
    </w:p>
    <w:p>
      <w:pPr>
        <w:jc w:val="center"/>
        <w:ind w:left="5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TUDOR BROWN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9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75" w:lineRule="exact"/>
        <w:rPr>
          <w:sz w:val="20"/>
          <w:szCs w:val="20"/>
          <w:color w:val="auto"/>
        </w:rPr>
      </w:pPr>
    </w:p>
    <w:p>
      <w:pPr>
        <w:ind w:left="1640"/>
        <w:spacing w:after="0"/>
        <w:rPr>
          <w:sz w:val="20"/>
          <w:szCs w:val="20"/>
          <w:color w:val="auto"/>
        </w:rPr>
      </w:pPr>
      <w:r>
        <w:rPr>
          <w:rFonts w:ascii="Arial" w:cs="Arial" w:eastAsia="Arial" w:hAnsi="Arial"/>
          <w:sz w:val="14"/>
          <w:szCs w:val="14"/>
          <w:b w:val="1"/>
          <w:bCs w:val="1"/>
          <w:color w:val="auto"/>
        </w:rPr>
        <w:t>Tudor Brown</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BRAD BUSS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91">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87" w:lineRule="exact"/>
        <w:rPr>
          <w:sz w:val="20"/>
          <w:szCs w:val="20"/>
          <w:color w:val="auto"/>
        </w:rPr>
      </w:pPr>
    </w:p>
    <w:p>
      <w:pPr>
        <w:ind w:left="1720"/>
        <w:spacing w:after="0"/>
        <w:rPr>
          <w:sz w:val="20"/>
          <w:szCs w:val="20"/>
          <w:color w:val="auto"/>
        </w:rPr>
      </w:pPr>
      <w:r>
        <w:rPr>
          <w:rFonts w:ascii="Arial" w:cs="Arial" w:eastAsia="Arial" w:hAnsi="Arial"/>
          <w:sz w:val="14"/>
          <w:szCs w:val="14"/>
          <w:b w:val="1"/>
          <w:bCs w:val="1"/>
          <w:color w:val="auto"/>
        </w:rPr>
        <w:t>Brad Buss</w:t>
      </w:r>
    </w:p>
    <w:p>
      <w:pPr>
        <w:spacing w:after="0" w:line="347" w:lineRule="exact"/>
        <w:rPr>
          <w:sz w:val="20"/>
          <w:szCs w:val="20"/>
          <w:color w:val="auto"/>
        </w:rPr>
      </w:pPr>
    </w:p>
    <w:p>
      <w:pPr>
        <w:jc w:val="center"/>
        <w:ind w:left="54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92">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75" w:lineRule="exact"/>
        <w:rPr>
          <w:sz w:val="20"/>
          <w:szCs w:val="20"/>
          <w:color w:val="auto"/>
        </w:rPr>
      </w:pPr>
    </w:p>
    <w:p>
      <w:pPr>
        <w:ind w:left="1480"/>
        <w:spacing w:after="0"/>
        <w:rPr>
          <w:sz w:val="20"/>
          <w:szCs w:val="20"/>
          <w:color w:val="auto"/>
        </w:rPr>
      </w:pPr>
      <w:r>
        <w:rPr>
          <w:rFonts w:ascii="Arial" w:cs="Arial" w:eastAsia="Arial" w:hAnsi="Arial"/>
          <w:sz w:val="14"/>
          <w:szCs w:val="14"/>
          <w:b w:val="1"/>
          <w:bCs w:val="1"/>
          <w:color w:val="auto"/>
        </w:rPr>
        <w:t>Dr. Edward Frank</w:t>
      </w:r>
    </w:p>
    <w:p>
      <w:pPr>
        <w:spacing w:after="0" w:line="347" w:lineRule="exact"/>
        <w:rPr>
          <w:sz w:val="20"/>
          <w:szCs w:val="20"/>
          <w:color w:val="auto"/>
        </w:rPr>
      </w:pPr>
    </w:p>
    <w:p>
      <w:pPr>
        <w:jc w:val="center"/>
        <w:ind w:left="3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93">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87" w:lineRule="exact"/>
        <w:rPr>
          <w:sz w:val="20"/>
          <w:szCs w:val="20"/>
          <w:color w:val="auto"/>
        </w:rPr>
      </w:pPr>
    </w:p>
    <w:p>
      <w:pPr>
        <w:ind w:left="1580"/>
        <w:spacing w:after="0"/>
        <w:rPr>
          <w:sz w:val="20"/>
          <w:szCs w:val="20"/>
          <w:color w:val="auto"/>
        </w:rPr>
      </w:pPr>
      <w:r>
        <w:rPr>
          <w:rFonts w:ascii="Arial" w:cs="Arial" w:eastAsia="Arial" w:hAnsi="Arial"/>
          <w:sz w:val="14"/>
          <w:szCs w:val="14"/>
          <w:b w:val="1"/>
          <w:bCs w:val="1"/>
          <w:color w:val="auto"/>
        </w:rPr>
        <w:t>Richard S. Hill</w:t>
      </w:r>
    </w:p>
    <w:p>
      <w:pPr>
        <w:spacing w:after="0" w:line="347" w:lineRule="exact"/>
        <w:rPr>
          <w:sz w:val="20"/>
          <w:szCs w:val="20"/>
          <w:color w:val="auto"/>
        </w:rPr>
      </w:pPr>
    </w:p>
    <w:p>
      <w:pPr>
        <w:jc w:val="center"/>
        <w:ind w:left="300"/>
        <w:spacing w:after="0"/>
        <w:tabs>
          <w:tab w:leader="none" w:pos="160" w:val="left"/>
        </w:tabs>
        <w:rPr>
          <w:sz w:val="20"/>
          <w:szCs w:val="20"/>
          <w:color w:val="auto"/>
        </w:rPr>
      </w:pPr>
      <w:r>
        <w:rPr>
          <w:rFonts w:ascii="Arial" w:cs="Arial" w:eastAsia="Arial" w:hAnsi="Arial"/>
          <w:sz w:val="18"/>
          <w:szCs w:val="18"/>
          <w:color w:val="auto"/>
        </w:rPr>
        <w:t>/S/</w:t>
        <w:tab/>
        <w:t>MARACHEL KNIGHT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94">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75" w:lineRule="exact"/>
        <w:rPr>
          <w:sz w:val="20"/>
          <w:szCs w:val="20"/>
          <w:color w:val="auto"/>
        </w:rPr>
      </w:pPr>
    </w:p>
    <w:p>
      <w:pPr>
        <w:ind w:left="1520"/>
        <w:spacing w:after="0"/>
        <w:rPr>
          <w:sz w:val="20"/>
          <w:szCs w:val="20"/>
          <w:color w:val="auto"/>
        </w:rPr>
      </w:pPr>
      <w:r>
        <w:rPr>
          <w:rFonts w:ascii="Arial" w:cs="Arial" w:eastAsia="Arial" w:hAnsi="Arial"/>
          <w:sz w:val="14"/>
          <w:szCs w:val="14"/>
          <w:b w:val="1"/>
          <w:bCs w:val="1"/>
          <w:color w:val="auto"/>
        </w:rPr>
        <w:t>Marachel Knight</w:t>
      </w:r>
    </w:p>
    <w:p>
      <w:pPr>
        <w:spacing w:after="0" w:line="20" w:lineRule="exact"/>
        <w:rPr>
          <w:sz w:val="20"/>
          <w:szCs w:val="20"/>
          <w:color w:val="auto"/>
        </w:rPr>
      </w:pPr>
      <w:r>
        <w:rPr>
          <w:sz w:val="20"/>
          <w:szCs w:val="20"/>
          <w:color w:val="auto"/>
        </w:rPr>
        <w:br w:type="column"/>
      </w:r>
    </w:p>
    <w:p>
      <w:pPr>
        <w:spacing w:after="0" w:line="24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4200" w:type="dxa"/>
            <w:vAlign w:val="bottom"/>
          </w:tcPr>
          <w:p>
            <w:pPr>
              <w:jc w:val="center"/>
              <w:ind w:right="352"/>
              <w:spacing w:after="0"/>
              <w:rPr>
                <w:sz w:val="20"/>
                <w:szCs w:val="20"/>
                <w:color w:val="auto"/>
              </w:rPr>
            </w:pPr>
            <w:r>
              <w:rPr>
                <w:rFonts w:ascii="Arial" w:cs="Arial" w:eastAsia="Arial" w:hAnsi="Arial"/>
                <w:sz w:val="14"/>
                <w:szCs w:val="14"/>
                <w:b w:val="1"/>
                <w:bCs w:val="1"/>
                <w:color w:val="auto"/>
                <w:w w:val="97"/>
              </w:rPr>
              <w:t>Title</w:t>
            </w:r>
          </w:p>
        </w:tc>
        <w:tc>
          <w:tcPr>
            <w:tcW w:w="1600" w:type="dxa"/>
            <w:vAlign w:val="bottom"/>
          </w:tcPr>
          <w:p>
            <w:pPr>
              <w:jc w:val="center"/>
              <w:ind w:left="352"/>
              <w:spacing w:after="0"/>
              <w:rPr>
                <w:sz w:val="20"/>
                <w:szCs w:val="20"/>
                <w:color w:val="auto"/>
              </w:rPr>
            </w:pPr>
            <w:r>
              <w:rPr>
                <w:rFonts w:ascii="Arial" w:cs="Arial" w:eastAsia="Arial" w:hAnsi="Arial"/>
                <w:sz w:val="14"/>
                <w:szCs w:val="14"/>
                <w:b w:val="1"/>
                <w:bCs w:val="1"/>
                <w:color w:val="auto"/>
                <w:w w:val="92"/>
              </w:rPr>
              <w:t>Date</w:t>
            </w:r>
          </w:p>
        </w:tc>
      </w:tr>
      <w:tr>
        <w:trPr>
          <w:trHeight w:val="458"/>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1"/>
              </w:rPr>
              <w:t>President and Chief Executive Officer (Principal</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23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Executive Officer), Director</w:t>
            </w:r>
          </w:p>
        </w:tc>
        <w:tc>
          <w:tcPr>
            <w:tcW w:w="1600" w:type="dxa"/>
            <w:vAlign w:val="bottom"/>
          </w:tcPr>
          <w:p>
            <w:pPr>
              <w:spacing w:after="0"/>
              <w:rPr>
                <w:sz w:val="20"/>
                <w:szCs w:val="20"/>
                <w:color w:val="auto"/>
              </w:rPr>
            </w:pPr>
          </w:p>
        </w:tc>
      </w:tr>
      <w:tr>
        <w:trPr>
          <w:trHeight w:val="634"/>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Chief Financial Officer (Principal Financial Officer)</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756"/>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Chief Accounting Officer (Principal Accounting</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23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Officer)</w:t>
            </w:r>
          </w:p>
        </w:tc>
        <w:tc>
          <w:tcPr>
            <w:tcW w:w="1600" w:type="dxa"/>
            <w:vAlign w:val="bottom"/>
          </w:tcPr>
          <w:p>
            <w:pPr>
              <w:spacing w:after="0"/>
              <w:rPr>
                <w:sz w:val="20"/>
                <w:szCs w:val="20"/>
                <w:color w:val="auto"/>
              </w:rPr>
            </w:pPr>
          </w:p>
        </w:tc>
      </w:tr>
      <w:tr>
        <w:trPr>
          <w:trHeight w:val="634"/>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81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81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81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0"/>
              </w:rPr>
              <w:t>Chairman of the Board</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r>
        <w:trPr>
          <w:trHeight w:val="81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600" w:type="dxa"/>
            <w:vAlign w:val="bottom"/>
          </w:tcPr>
          <w:p>
            <w:pPr>
              <w:jc w:val="center"/>
              <w:ind w:left="352"/>
              <w:spacing w:after="0"/>
              <w:rPr>
                <w:sz w:val="20"/>
                <w:szCs w:val="20"/>
                <w:color w:val="auto"/>
              </w:rPr>
            </w:pPr>
            <w:r>
              <w:rPr>
                <w:rFonts w:ascii="Arial" w:cs="Arial" w:eastAsia="Arial" w:hAnsi="Arial"/>
                <w:sz w:val="18"/>
                <w:szCs w:val="18"/>
                <w:color w:val="auto"/>
                <w:w w:val="92"/>
              </w:rPr>
              <w:t>March 16, 2021</w:t>
            </w:r>
          </w:p>
        </w:tc>
      </w:tr>
    </w:tbl>
    <w:p>
      <w:pPr>
        <w:spacing w:after="0" w:line="473" w:lineRule="exact"/>
        <w:rPr>
          <w:sz w:val="20"/>
          <w:szCs w:val="20"/>
          <w:color w:val="auto"/>
        </w:rPr>
      </w:pPr>
    </w:p>
    <w:p>
      <w:pPr>
        <w:sectPr>
          <w:pgSz w:w="11900" w:h="16838" w:orient="portrait"/>
          <w:cols w:equalWidth="0" w:num="2">
            <w:col w:w="3780" w:space="720"/>
            <w:col w:w="6620"/>
          </w:cols>
          <w:pgMar w:left="320" w:top="1390" w:right="459" w:bottom="1440" w:gutter="0" w:footer="0" w:header="0"/>
          <w:type w:val="continuous"/>
        </w:sectPr>
      </w:pPr>
    </w:p>
    <w:p>
      <w:pPr>
        <w:spacing w:after="0" w:line="200" w:lineRule="exact"/>
        <w:rPr>
          <w:sz w:val="20"/>
          <w:szCs w:val="20"/>
          <w:color w:val="auto"/>
        </w:rPr>
      </w:pPr>
    </w:p>
    <w:p>
      <w:pPr>
        <w:spacing w:after="0" w:line="325" w:lineRule="exact"/>
        <w:rPr>
          <w:sz w:val="20"/>
          <w:szCs w:val="20"/>
          <w:color w:val="auto"/>
        </w:rPr>
      </w:pPr>
    </w:p>
    <w:p>
      <w:pPr>
        <w:jc w:val="center"/>
        <w:ind w:right="-119"/>
        <w:spacing w:after="0"/>
        <w:rPr>
          <w:sz w:val="20"/>
          <w:szCs w:val="20"/>
          <w:color w:val="auto"/>
        </w:rPr>
      </w:pPr>
      <w:r>
        <w:rPr>
          <w:rFonts w:ascii="Arial" w:cs="Arial" w:eastAsia="Arial" w:hAnsi="Arial"/>
          <w:sz w:val="16"/>
          <w:szCs w:val="16"/>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9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20"/>
          </w:cols>
          <w:pgMar w:left="320" w:top="1390" w:right="459" w:bottom="1440" w:gutter="0" w:footer="0" w:header="0"/>
          <w:type w:val="continuous"/>
        </w:sectPr>
      </w:pPr>
    </w:p>
    <w:bookmarkStart w:id="109" w:name="page110"/>
    <w:bookmarkEnd w:id="109"/>
    <w:p>
      <w:pPr>
        <w:ind w:left="44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right="15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14605</wp:posOffset>
            </wp:positionV>
            <wp:extent cx="2588895"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96">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75" w:lineRule="exact"/>
        <w:rPr>
          <w:sz w:val="20"/>
          <w:szCs w:val="20"/>
          <w:color w:val="auto"/>
        </w:rPr>
      </w:pPr>
    </w:p>
    <w:p>
      <w:pPr>
        <w:ind w:left="580"/>
        <w:spacing w:after="0"/>
        <w:rPr>
          <w:sz w:val="20"/>
          <w:szCs w:val="20"/>
          <w:color w:val="auto"/>
        </w:rPr>
      </w:pPr>
      <w:r>
        <w:rPr>
          <w:rFonts w:ascii="Arial" w:cs="Arial" w:eastAsia="Arial" w:hAnsi="Arial"/>
          <w:sz w:val="14"/>
          <w:szCs w:val="14"/>
          <w:b w:val="1"/>
          <w:bCs w:val="1"/>
          <w:color w:val="auto"/>
        </w:rPr>
        <w:t>Bethany Mayer</w:t>
      </w:r>
    </w:p>
    <w:p>
      <w:pPr>
        <w:spacing w:after="0" w:line="347" w:lineRule="exact"/>
        <w:rPr>
          <w:sz w:val="20"/>
          <w:szCs w:val="20"/>
          <w:color w:val="auto"/>
        </w:rPr>
      </w:pPr>
    </w:p>
    <w:p>
      <w:pPr>
        <w:jc w:val="center"/>
        <w:ind w:right="164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22225</wp:posOffset>
            </wp:positionV>
            <wp:extent cx="2588895"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97">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520"/>
        <w:spacing w:after="0"/>
        <w:rPr>
          <w:sz w:val="20"/>
          <w:szCs w:val="20"/>
          <w:color w:val="auto"/>
        </w:rPr>
      </w:pPr>
      <w:r>
        <w:rPr>
          <w:rFonts w:ascii="Arial" w:cs="Arial" w:eastAsia="Arial" w:hAnsi="Arial"/>
          <w:sz w:val="14"/>
          <w:szCs w:val="14"/>
          <w:b w:val="1"/>
          <w:bCs w:val="1"/>
          <w:color w:val="auto"/>
        </w:rPr>
        <w:t>Michael Strachan</w:t>
      </w:r>
    </w:p>
    <w:p>
      <w:pPr>
        <w:spacing w:after="0" w:line="347" w:lineRule="exact"/>
        <w:rPr>
          <w:sz w:val="20"/>
          <w:szCs w:val="20"/>
          <w:color w:val="auto"/>
        </w:rPr>
      </w:pPr>
    </w:p>
    <w:p>
      <w:pPr>
        <w:jc w:val="center"/>
        <w:ind w:right="166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6"/>
          <w:szCs w:val="16"/>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29210</wp:posOffset>
            </wp:positionV>
            <wp:extent cx="2588895" cy="825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9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98" w:lineRule="exact"/>
        <w:rPr>
          <w:sz w:val="20"/>
          <w:szCs w:val="20"/>
          <w:color w:val="auto"/>
        </w:rPr>
      </w:pPr>
    </w:p>
    <w:p>
      <w:pPr>
        <w:ind w:left="580"/>
        <w:spacing w:after="0"/>
        <w:rPr>
          <w:sz w:val="20"/>
          <w:szCs w:val="20"/>
          <w:color w:val="auto"/>
        </w:rPr>
      </w:pPr>
      <w:r>
        <w:rPr>
          <w:rFonts w:ascii="Arial" w:cs="Arial" w:eastAsia="Arial" w:hAnsi="Arial"/>
          <w:sz w:val="14"/>
          <w:szCs w:val="14"/>
          <w:b w:val="1"/>
          <w:bCs w:val="1"/>
          <w:color w:val="auto"/>
        </w:rPr>
        <w:t>Robert E. Switz</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600" w:type="dxa"/>
        <w:tblCellMar>
          <w:top w:w="0" w:type="dxa"/>
          <w:left w:w="0" w:type="dxa"/>
          <w:bottom w:w="0" w:type="dxa"/>
          <w:right w:w="0" w:type="dxa"/>
        </w:tblCellMar>
      </w:tblPr>
      <w:tr>
        <w:trPr>
          <w:trHeight w:val="186"/>
        </w:trPr>
        <w:tc>
          <w:tcPr>
            <w:tcW w:w="1840" w:type="dxa"/>
            <w:vAlign w:val="bottom"/>
          </w:tcPr>
          <w:p>
            <w:pPr>
              <w:jc w:val="center"/>
              <w:ind w:right="1155"/>
              <w:spacing w:after="0"/>
              <w:rPr>
                <w:sz w:val="20"/>
                <w:szCs w:val="20"/>
                <w:color w:val="auto"/>
              </w:rPr>
            </w:pPr>
            <w:r>
              <w:rPr>
                <w:rFonts w:ascii="Arial" w:cs="Arial" w:eastAsia="Arial" w:hAnsi="Arial"/>
                <w:sz w:val="14"/>
                <w:szCs w:val="14"/>
                <w:b w:val="1"/>
                <w:bCs w:val="1"/>
                <w:color w:val="auto"/>
                <w:w w:val="97"/>
              </w:rPr>
              <w:t>Title</w:t>
            </w:r>
          </w:p>
        </w:tc>
        <w:tc>
          <w:tcPr>
            <w:tcW w:w="2380" w:type="dxa"/>
            <w:vAlign w:val="bottom"/>
          </w:tcPr>
          <w:p>
            <w:pPr>
              <w:jc w:val="center"/>
              <w:ind w:left="1135"/>
              <w:spacing w:after="0"/>
              <w:rPr>
                <w:sz w:val="20"/>
                <w:szCs w:val="20"/>
                <w:color w:val="auto"/>
              </w:rPr>
            </w:pPr>
            <w:r>
              <w:rPr>
                <w:rFonts w:ascii="Arial" w:cs="Arial" w:eastAsia="Arial" w:hAnsi="Arial"/>
                <w:sz w:val="14"/>
                <w:szCs w:val="14"/>
                <w:b w:val="1"/>
                <w:bCs w:val="1"/>
                <w:color w:val="auto"/>
                <w:w w:val="92"/>
              </w:rPr>
              <w:t>Date</w:t>
            </w:r>
          </w:p>
        </w:tc>
      </w:tr>
      <w:tr>
        <w:trPr>
          <w:trHeight w:val="512"/>
        </w:trPr>
        <w:tc>
          <w:tcPr>
            <w:tcW w:w="1840" w:type="dxa"/>
            <w:vAlign w:val="bottom"/>
          </w:tcPr>
          <w:p>
            <w:pPr>
              <w:jc w:val="center"/>
              <w:ind w:right="1155"/>
              <w:spacing w:after="0"/>
              <w:rPr>
                <w:sz w:val="20"/>
                <w:szCs w:val="20"/>
                <w:color w:val="auto"/>
              </w:rPr>
            </w:pPr>
            <w:r>
              <w:rPr>
                <w:rFonts w:ascii="Arial" w:cs="Arial" w:eastAsia="Arial" w:hAnsi="Arial"/>
                <w:sz w:val="18"/>
                <w:szCs w:val="18"/>
                <w:color w:val="auto"/>
                <w:w w:val="95"/>
              </w:rPr>
              <w:t>Director</w:t>
            </w:r>
          </w:p>
        </w:tc>
        <w:tc>
          <w:tcPr>
            <w:tcW w:w="2380" w:type="dxa"/>
            <w:vAlign w:val="bottom"/>
          </w:tcPr>
          <w:p>
            <w:pPr>
              <w:jc w:val="center"/>
              <w:ind w:left="1135"/>
              <w:spacing w:after="0"/>
              <w:rPr>
                <w:sz w:val="20"/>
                <w:szCs w:val="20"/>
                <w:color w:val="auto"/>
              </w:rPr>
            </w:pPr>
            <w:r>
              <w:rPr>
                <w:rFonts w:ascii="Arial" w:cs="Arial" w:eastAsia="Arial" w:hAnsi="Arial"/>
                <w:sz w:val="18"/>
                <w:szCs w:val="18"/>
                <w:color w:val="auto"/>
                <w:w w:val="92"/>
              </w:rPr>
              <w:t>March 16, 2021</w:t>
            </w:r>
          </w:p>
        </w:tc>
      </w:tr>
      <w:tr>
        <w:trPr>
          <w:trHeight w:val="810"/>
        </w:trPr>
        <w:tc>
          <w:tcPr>
            <w:tcW w:w="1840" w:type="dxa"/>
            <w:vAlign w:val="bottom"/>
          </w:tcPr>
          <w:p>
            <w:pPr>
              <w:jc w:val="center"/>
              <w:ind w:right="1155"/>
              <w:spacing w:after="0"/>
              <w:rPr>
                <w:sz w:val="20"/>
                <w:szCs w:val="20"/>
                <w:color w:val="auto"/>
              </w:rPr>
            </w:pPr>
            <w:r>
              <w:rPr>
                <w:rFonts w:ascii="Arial" w:cs="Arial" w:eastAsia="Arial" w:hAnsi="Arial"/>
                <w:sz w:val="18"/>
                <w:szCs w:val="18"/>
                <w:color w:val="auto"/>
                <w:w w:val="95"/>
              </w:rPr>
              <w:t>Director</w:t>
            </w:r>
          </w:p>
        </w:tc>
        <w:tc>
          <w:tcPr>
            <w:tcW w:w="2380" w:type="dxa"/>
            <w:vAlign w:val="bottom"/>
          </w:tcPr>
          <w:p>
            <w:pPr>
              <w:jc w:val="center"/>
              <w:ind w:left="1135"/>
              <w:spacing w:after="0"/>
              <w:rPr>
                <w:sz w:val="20"/>
                <w:szCs w:val="20"/>
                <w:color w:val="auto"/>
              </w:rPr>
            </w:pPr>
            <w:r>
              <w:rPr>
                <w:rFonts w:ascii="Arial" w:cs="Arial" w:eastAsia="Arial" w:hAnsi="Arial"/>
                <w:sz w:val="18"/>
                <w:szCs w:val="18"/>
                <w:color w:val="auto"/>
                <w:w w:val="92"/>
              </w:rPr>
              <w:t>March 16, 2021</w:t>
            </w:r>
          </w:p>
        </w:tc>
      </w:tr>
      <w:tr>
        <w:trPr>
          <w:trHeight w:val="810"/>
        </w:trPr>
        <w:tc>
          <w:tcPr>
            <w:tcW w:w="1840" w:type="dxa"/>
            <w:vAlign w:val="bottom"/>
          </w:tcPr>
          <w:p>
            <w:pPr>
              <w:jc w:val="center"/>
              <w:ind w:right="1155"/>
              <w:spacing w:after="0"/>
              <w:rPr>
                <w:sz w:val="20"/>
                <w:szCs w:val="20"/>
                <w:color w:val="auto"/>
              </w:rPr>
            </w:pPr>
            <w:r>
              <w:rPr>
                <w:rFonts w:ascii="Arial" w:cs="Arial" w:eastAsia="Arial" w:hAnsi="Arial"/>
                <w:sz w:val="18"/>
                <w:szCs w:val="18"/>
                <w:color w:val="auto"/>
                <w:w w:val="95"/>
              </w:rPr>
              <w:t>Director</w:t>
            </w:r>
          </w:p>
        </w:tc>
        <w:tc>
          <w:tcPr>
            <w:tcW w:w="2380" w:type="dxa"/>
            <w:vAlign w:val="bottom"/>
          </w:tcPr>
          <w:p>
            <w:pPr>
              <w:jc w:val="center"/>
              <w:ind w:left="1135"/>
              <w:spacing w:after="0"/>
              <w:rPr>
                <w:sz w:val="20"/>
                <w:szCs w:val="20"/>
                <w:color w:val="auto"/>
              </w:rPr>
            </w:pPr>
            <w:r>
              <w:rPr>
                <w:rFonts w:ascii="Arial" w:cs="Arial" w:eastAsia="Arial" w:hAnsi="Arial"/>
                <w:sz w:val="18"/>
                <w:szCs w:val="18"/>
                <w:color w:val="auto"/>
                <w:w w:val="92"/>
              </w:rPr>
              <w:t>March 16, 2021</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color w:val="auto"/>
        </w:rPr>
        <w:t>107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-3474085</wp:posOffset>
            </wp:positionH>
            <wp:positionV relativeFrom="paragraph">
              <wp:posOffset>237490</wp:posOffset>
            </wp:positionV>
            <wp:extent cx="7132320" cy="171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9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2">
            <w:col w:w="3780" w:space="720"/>
            <w:col w:w="4820"/>
          </w:cols>
          <w:pgMar w:left="1300" w:top="1426" w:right="1279" w:bottom="1440" w:gutter="0" w:footer="0" w:header="0"/>
        </w:sectPr>
      </w:pPr>
    </w:p>
    <w:bookmarkStart w:id="110" w:name="page111"/>
    <w:bookmarkEnd w:id="110"/>
    <w:p>
      <w:pPr>
        <w:jc w:val="center"/>
        <w:spacing w:after="0"/>
        <w:rPr>
          <w:sz w:val="20"/>
          <w:szCs w:val="20"/>
          <w:color w:val="auto"/>
        </w:rPr>
      </w:pPr>
      <w:r>
        <w:rPr>
          <w:rFonts w:ascii="Arial" w:cs="Arial" w:eastAsia="Arial" w:hAnsi="Arial"/>
          <w:sz w:val="18"/>
          <w:szCs w:val="18"/>
          <w:b w:val="1"/>
          <w:bCs w:val="1"/>
          <w:color w:val="auto"/>
        </w:rPr>
        <w:t>SCHEDULE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1"/>
              </w:rPr>
              <w:t>Balance at</w:t>
            </w:r>
          </w:p>
        </w:tc>
        <w:tc>
          <w:tcPr>
            <w:tcW w:w="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Beginning</w:t>
            </w:r>
          </w:p>
        </w:tc>
        <w:tc>
          <w:tcPr>
            <w:tcW w:w="260" w:type="dxa"/>
            <w:vAlign w:val="bottom"/>
          </w:tcPr>
          <w:p>
            <w:pPr>
              <w:spacing w:after="0"/>
              <w:rPr>
                <w:sz w:val="11"/>
                <w:szCs w:val="11"/>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Additions</w:t>
            </w:r>
          </w:p>
        </w:tc>
        <w:tc>
          <w:tcPr>
            <w:tcW w:w="240" w:type="dxa"/>
            <w:vAlign w:val="bottom"/>
          </w:tcPr>
          <w:p>
            <w:pPr>
              <w:spacing w:after="0"/>
              <w:rPr>
                <w:sz w:val="11"/>
                <w:szCs w:val="11"/>
                <w:color w:val="auto"/>
              </w:rPr>
            </w:pPr>
          </w:p>
        </w:tc>
        <w:tc>
          <w:tcPr>
            <w:tcW w:w="13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Deductions</w:t>
            </w:r>
          </w:p>
        </w:tc>
        <w:tc>
          <w:tcPr>
            <w:tcW w:w="260" w:type="dxa"/>
            <w:vAlign w:val="bottom"/>
          </w:tcPr>
          <w:p>
            <w:pPr>
              <w:spacing w:after="0"/>
              <w:rPr>
                <w:sz w:val="11"/>
                <w:szCs w:val="11"/>
                <w:color w:val="auto"/>
              </w:rPr>
            </w:pPr>
          </w:p>
        </w:tc>
        <w:tc>
          <w:tcPr>
            <w:tcW w:w="1180" w:type="dxa"/>
            <w:vAlign w:val="bottom"/>
          </w:tcPr>
          <w:p>
            <w:pPr>
              <w:jc w:val="center"/>
              <w:ind w:right="156"/>
              <w:spacing w:after="0" w:line="135" w:lineRule="exact"/>
              <w:rPr>
                <w:sz w:val="20"/>
                <w:szCs w:val="20"/>
                <w:color w:val="auto"/>
              </w:rPr>
            </w:pPr>
            <w:r>
              <w:rPr>
                <w:rFonts w:ascii="Arial" w:cs="Arial" w:eastAsia="Arial" w:hAnsi="Arial"/>
                <w:sz w:val="14"/>
                <w:szCs w:val="14"/>
                <w:b w:val="1"/>
                <w:bCs w:val="1"/>
                <w:color w:val="auto"/>
                <w:w w:val="96"/>
              </w:rPr>
              <w:t>End of</w:t>
            </w:r>
          </w:p>
        </w:tc>
        <w:tc>
          <w:tcPr>
            <w:tcW w:w="0" w:type="dxa"/>
            <w:vAlign w:val="bottom"/>
          </w:tcPr>
          <w:p>
            <w:pPr>
              <w:spacing w:after="0"/>
              <w:rPr>
                <w:sz w:val="1"/>
                <w:szCs w:val="1"/>
                <w:color w:val="auto"/>
              </w:rPr>
            </w:pPr>
          </w:p>
        </w:tc>
      </w:tr>
      <w:tr>
        <w:trPr>
          <w:trHeight w:val="188"/>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of Year</w:t>
            </w:r>
          </w:p>
        </w:tc>
        <w:tc>
          <w:tcPr>
            <w:tcW w:w="260" w:type="dxa"/>
            <w:vAlign w:val="bottom"/>
          </w:tcPr>
          <w:p>
            <w:pPr>
              <w:spacing w:after="0"/>
              <w:rPr>
                <w:sz w:val="16"/>
                <w:szCs w:val="16"/>
                <w:color w:val="auto"/>
              </w:rPr>
            </w:pPr>
          </w:p>
        </w:tc>
        <w:tc>
          <w:tcPr>
            <w:tcW w:w="12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Fiscal year ended January 30, 2021</w:t>
            </w:r>
          </w:p>
        </w:tc>
        <w:tc>
          <w:tcPr>
            <w:tcW w:w="24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200" w:type="dxa"/>
            <w:vAlign w:val="bottom"/>
          </w:tcPr>
          <w:p>
            <w:pPr>
              <w:ind w:left="140"/>
              <w:spacing w:after="0"/>
              <w:rPr>
                <w:sz w:val="20"/>
                <w:szCs w:val="20"/>
                <w:color w:val="auto"/>
              </w:rPr>
            </w:pPr>
            <w:r>
              <w:rPr>
                <w:rFonts w:ascii="Arial" w:cs="Arial" w:eastAsia="Arial" w:hAnsi="Arial"/>
                <w:sz w:val="18"/>
                <w:szCs w:val="18"/>
                <w:color w:val="auto"/>
              </w:rPr>
              <w:t>Allowance for doubtful accounts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2,126</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1,442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(1,497)</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2,071</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676,780</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72,688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749,468</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Fiscal year ended February 1, 2020</w:t>
            </w: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Allowance for doubtful accounts (1)</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2,637</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(3,959)</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2,126</w:t>
            </w:r>
          </w:p>
        </w:tc>
        <w:tc>
          <w:tcPr>
            <w:tcW w:w="0" w:type="dxa"/>
            <w:vAlign w:val="bottom"/>
          </w:tcPr>
          <w:p>
            <w:pPr>
              <w:spacing w:after="0"/>
              <w:rPr>
                <w:sz w:val="1"/>
                <w:szCs w:val="1"/>
                <w:color w:val="auto"/>
              </w:rPr>
            </w:pPr>
          </w:p>
        </w:tc>
      </w:tr>
      <w:tr>
        <w:trPr>
          <w:trHeight w:val="229"/>
        </w:trPr>
        <w:tc>
          <w:tcPr>
            <w:tcW w:w="5200" w:type="dxa"/>
            <w:vAlign w:val="bottom"/>
          </w:tcPr>
          <w:p>
            <w:pPr>
              <w:ind w:left="14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597,829</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78,951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676,780</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Fiscal year ended February 2, 2019</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140"/>
              <w:spacing w:after="0"/>
              <w:rPr>
                <w:sz w:val="20"/>
                <w:szCs w:val="20"/>
                <w:color w:val="auto"/>
              </w:rPr>
            </w:pPr>
            <w:r>
              <w:rPr>
                <w:rFonts w:ascii="Arial" w:cs="Arial" w:eastAsia="Arial" w:hAnsi="Arial"/>
                <w:sz w:val="18"/>
                <w:szCs w:val="18"/>
                <w:color w:val="auto"/>
              </w:rPr>
              <w:t>Allowance for doubtful accounts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984</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1,653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2,637</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618,353</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(20,524)</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597,829</w:t>
            </w: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660" w:right="240" w:hanging="652"/>
        <w:spacing w:after="0" w:line="286" w:lineRule="auto"/>
        <w:tabs>
          <w:tab w:leader="none" w:pos="654" w:val="left"/>
        </w:tabs>
        <w:numPr>
          <w:ilvl w:val="0"/>
          <w:numId w:val="39"/>
        </w:numPr>
        <w:rPr>
          <w:rFonts w:ascii="Arial" w:cs="Arial" w:eastAsia="Arial" w:hAnsi="Arial"/>
          <w:sz w:val="17"/>
          <w:szCs w:val="17"/>
          <w:color w:val="auto"/>
        </w:rPr>
      </w:pPr>
      <w:r>
        <w:rPr>
          <w:rFonts w:ascii="Arial" w:cs="Arial" w:eastAsia="Arial" w:hAnsi="Arial"/>
          <w:sz w:val="17"/>
          <w:szCs w:val="17"/>
          <w:color w:val="auto"/>
        </w:rPr>
        <w:t>Beginning in fiscal 2019 upon the adoption of the new revenue recognition standard, the sales return reserve is included as a component of contract liabilities within accrued liabilities in the accompanying consolidated balance sheet. The additions and deductions to contract liabilities during fiscal 2021 is disclosed in “Note 3 - Revenue” in the accompanying notes to the consolidated financial statements.</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240"/>
          </w:cols>
          <w:pgMar w:left="320" w:top="1390" w:right="339" w:bottom="1440" w:gutter="0" w:footer="0" w:header="0"/>
        </w:sectPr>
      </w:pPr>
    </w:p>
    <w:bookmarkStart w:id="111" w:name="page112"/>
    <w:bookmarkEnd w:id="111"/>
    <w:p>
      <w:pPr>
        <w:jc w:val="right"/>
        <w:spacing w:after="0"/>
        <w:rPr>
          <w:sz w:val="20"/>
          <w:szCs w:val="20"/>
          <w:color w:val="auto"/>
        </w:rPr>
      </w:pPr>
      <w:r>
        <w:rPr>
          <w:rFonts w:ascii="Arial" w:cs="Arial" w:eastAsia="Arial" w:hAnsi="Arial"/>
          <w:sz w:val="22"/>
          <w:szCs w:val="22"/>
          <w:b w:val="1"/>
          <w:bCs w:val="1"/>
          <w:color w:val="auto"/>
        </w:rPr>
        <w:t>Exhibit 21.1</w:t>
      </w:r>
    </w:p>
    <w:p>
      <w:pPr>
        <w:spacing w:after="0" w:line="166"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1000" w:type="dxa"/>
            <w:vAlign w:val="bottom"/>
          </w:tcPr>
          <w:p>
            <w:pPr>
              <w:spacing w:after="0"/>
              <w:rPr>
                <w:sz w:val="24"/>
                <w:szCs w:val="24"/>
                <w:color w:val="auto"/>
              </w:rPr>
            </w:pPr>
          </w:p>
        </w:tc>
        <w:tc>
          <w:tcPr>
            <w:tcW w:w="7920" w:type="dxa"/>
            <w:vAlign w:val="bottom"/>
            <w:gridSpan w:val="3"/>
          </w:tcPr>
          <w:p>
            <w:pPr>
              <w:ind w:left="3060"/>
              <w:spacing w:after="0"/>
              <w:rPr>
                <w:sz w:val="20"/>
                <w:szCs w:val="20"/>
                <w:color w:val="auto"/>
              </w:rPr>
            </w:pPr>
            <w:r>
              <w:rPr>
                <w:rFonts w:ascii="Arial" w:cs="Arial" w:eastAsia="Arial" w:hAnsi="Arial"/>
                <w:sz w:val="22"/>
                <w:szCs w:val="22"/>
                <w:b w:val="1"/>
                <w:bCs w:val="1"/>
                <w:color w:val="auto"/>
              </w:rPr>
              <w:t>SUBSIDIARIES OF MARVELL</w:t>
            </w:r>
          </w:p>
        </w:tc>
      </w:tr>
      <w:tr>
        <w:trPr>
          <w:trHeight w:val="260"/>
        </w:trPr>
        <w:tc>
          <w:tcPr>
            <w:tcW w:w="6780" w:type="dxa"/>
            <w:vAlign w:val="bottom"/>
            <w:gridSpan w:val="2"/>
          </w:tcPr>
          <w:p>
            <w:pPr>
              <w:spacing w:after="0"/>
              <w:rPr>
                <w:sz w:val="20"/>
                <w:szCs w:val="20"/>
                <w:color w:val="auto"/>
              </w:rPr>
            </w:pPr>
            <w:r>
              <w:rPr>
                <w:rFonts w:ascii="Arial" w:cs="Arial" w:eastAsia="Arial" w:hAnsi="Arial"/>
                <w:sz w:val="22"/>
                <w:szCs w:val="22"/>
                <w:b w:val="1"/>
                <w:bCs w:val="1"/>
                <w:color w:val="auto"/>
              </w:rPr>
              <w:t>Subsidiary</w:t>
            </w:r>
          </w:p>
        </w:tc>
        <w:tc>
          <w:tcPr>
            <w:tcW w:w="2140" w:type="dxa"/>
            <w:vAlign w:val="bottom"/>
            <w:gridSpan w:val="2"/>
          </w:tcPr>
          <w:p>
            <w:pPr>
              <w:spacing w:after="0"/>
              <w:rPr>
                <w:sz w:val="20"/>
                <w:szCs w:val="20"/>
                <w:color w:val="auto"/>
              </w:rPr>
            </w:pPr>
            <w:r>
              <w:rPr>
                <w:rFonts w:ascii="Arial" w:cs="Arial" w:eastAsia="Arial" w:hAnsi="Arial"/>
                <w:sz w:val="22"/>
                <w:szCs w:val="22"/>
                <w:b w:val="1"/>
                <w:bCs w:val="1"/>
                <w:color w:val="auto"/>
              </w:rPr>
              <w:t>Jurisdiction</w:t>
            </w:r>
          </w:p>
        </w:tc>
      </w:tr>
      <w:tr>
        <w:trPr>
          <w:trHeight w:val="20"/>
        </w:trPr>
        <w:tc>
          <w:tcPr>
            <w:tcW w:w="1000" w:type="dxa"/>
            <w:vAlign w:val="bottom"/>
            <w:shd w:val="clear" w:color="auto" w:fill="000000"/>
          </w:tcPr>
          <w:p>
            <w:pPr>
              <w:spacing w:after="0" w:line="20" w:lineRule="exact"/>
              <w:rPr>
                <w:sz w:val="1"/>
                <w:szCs w:val="1"/>
                <w:color w:val="auto"/>
              </w:rPr>
            </w:pPr>
          </w:p>
        </w:tc>
        <w:tc>
          <w:tcPr>
            <w:tcW w:w="578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r>
      <w:tr>
        <w:trPr>
          <w:trHeight w:val="341"/>
        </w:trPr>
        <w:tc>
          <w:tcPr>
            <w:tcW w:w="6780" w:type="dxa"/>
            <w:vAlign w:val="bottom"/>
            <w:gridSpan w:val="2"/>
          </w:tcPr>
          <w:p>
            <w:pPr>
              <w:spacing w:after="0"/>
              <w:rPr>
                <w:sz w:val="20"/>
                <w:szCs w:val="20"/>
                <w:color w:val="auto"/>
              </w:rPr>
            </w:pPr>
            <w:r>
              <w:rPr>
                <w:rFonts w:ascii="Arial" w:cs="Arial" w:eastAsia="Arial" w:hAnsi="Arial"/>
                <w:sz w:val="22"/>
                <w:szCs w:val="22"/>
                <w:color w:val="auto"/>
              </w:rPr>
              <w:t>Cavium India Holdings, LLC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California, United States</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International</w:t>
            </w: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(India) Private Limited</w:t>
            </w:r>
          </w:p>
        </w:tc>
        <w:tc>
          <w:tcPr>
            <w:tcW w:w="2140" w:type="dxa"/>
            <w:vAlign w:val="bottom"/>
            <w:gridSpan w:val="2"/>
          </w:tcPr>
          <w:p>
            <w:pPr>
              <w:spacing w:after="0"/>
              <w:rPr>
                <w:sz w:val="20"/>
                <w:szCs w:val="20"/>
                <w:color w:val="auto"/>
              </w:rPr>
            </w:pPr>
            <w:r>
              <w:rPr>
                <w:rFonts w:ascii="Arial" w:cs="Arial" w:eastAsia="Arial" w:hAnsi="Arial"/>
                <w:sz w:val="22"/>
                <w:szCs w:val="22"/>
                <w:color w:val="auto"/>
              </w:rPr>
              <w:t>India</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Asia</w:t>
            </w: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International</w:t>
            </w: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International, Inc.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LLC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Cavium Networks Singapore Pte.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Singapore</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Semiconductor Technology (Shanghai) Co.,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UK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United Kingdom</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Cavium, LLC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Asia Pte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Singapore</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Hong Kong Limited</w:t>
            </w:r>
          </w:p>
        </w:tc>
        <w:tc>
          <w:tcPr>
            <w:tcW w:w="2140" w:type="dxa"/>
            <w:vAlign w:val="bottom"/>
            <w:gridSpan w:val="2"/>
          </w:tcPr>
          <w:p>
            <w:pPr>
              <w:spacing w:after="0"/>
              <w:rPr>
                <w:sz w:val="20"/>
                <w:szCs w:val="20"/>
                <w:color w:val="auto"/>
              </w:rPr>
            </w:pPr>
            <w:r>
              <w:rPr>
                <w:rFonts w:ascii="Arial" w:cs="Arial" w:eastAsia="Arial" w:hAnsi="Arial"/>
                <w:sz w:val="22"/>
                <w:szCs w:val="22"/>
                <w:color w:val="auto"/>
              </w:rPr>
              <w:t>Hong Kong</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India Private Limited</w:t>
            </w:r>
          </w:p>
        </w:tc>
        <w:tc>
          <w:tcPr>
            <w:tcW w:w="2140" w:type="dxa"/>
            <w:vAlign w:val="bottom"/>
            <w:gridSpan w:val="2"/>
          </w:tcPr>
          <w:p>
            <w:pPr>
              <w:spacing w:after="0"/>
              <w:rPr>
                <w:sz w:val="20"/>
                <w:szCs w:val="20"/>
                <w:color w:val="auto"/>
              </w:rPr>
            </w:pPr>
            <w:r>
              <w:rPr>
                <w:rFonts w:ascii="Arial" w:cs="Arial" w:eastAsia="Arial" w:hAnsi="Arial"/>
                <w:sz w:val="22"/>
                <w:szCs w:val="22"/>
                <w:color w:val="auto"/>
              </w:rPr>
              <w:t>India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International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Bermuda</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International Technology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Bermuda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Israel (M.I.S.L)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Israel</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Italia S.r.l.</w:t>
            </w:r>
          </w:p>
        </w:tc>
        <w:tc>
          <w:tcPr>
            <w:tcW w:w="2140" w:type="dxa"/>
            <w:vAlign w:val="bottom"/>
            <w:gridSpan w:val="2"/>
          </w:tcPr>
          <w:p>
            <w:pPr>
              <w:spacing w:after="0"/>
              <w:rPr>
                <w:sz w:val="20"/>
                <w:szCs w:val="20"/>
                <w:color w:val="auto"/>
              </w:rPr>
            </w:pPr>
            <w:r>
              <w:rPr>
                <w:rFonts w:ascii="Arial" w:cs="Arial" w:eastAsia="Arial" w:hAnsi="Arial"/>
                <w:sz w:val="22"/>
                <w:szCs w:val="22"/>
                <w:color w:val="auto"/>
              </w:rPr>
              <w:t>Italy</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Japan K.K.</w:t>
            </w:r>
          </w:p>
        </w:tc>
        <w:tc>
          <w:tcPr>
            <w:tcW w:w="2140" w:type="dxa"/>
            <w:vAlign w:val="bottom"/>
            <w:gridSpan w:val="2"/>
          </w:tcPr>
          <w:p>
            <w:pPr>
              <w:spacing w:after="0"/>
              <w:rPr>
                <w:sz w:val="20"/>
                <w:szCs w:val="20"/>
                <w:color w:val="auto"/>
              </w:rPr>
            </w:pPr>
            <w:r>
              <w:rPr>
                <w:rFonts w:ascii="Arial" w:cs="Arial" w:eastAsia="Arial" w:hAnsi="Arial"/>
                <w:sz w:val="22"/>
                <w:szCs w:val="22"/>
                <w:color w:val="auto"/>
              </w:rPr>
              <w:t>Japan</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Netherlands B.V.</w:t>
            </w:r>
          </w:p>
        </w:tc>
        <w:tc>
          <w:tcPr>
            <w:tcW w:w="2140" w:type="dxa"/>
            <w:vAlign w:val="bottom"/>
            <w:gridSpan w:val="2"/>
          </w:tcPr>
          <w:p>
            <w:pPr>
              <w:spacing w:after="0"/>
              <w:rPr>
                <w:sz w:val="20"/>
                <w:szCs w:val="20"/>
                <w:color w:val="auto"/>
              </w:rPr>
            </w:pPr>
            <w:r>
              <w:rPr>
                <w:rFonts w:ascii="Arial" w:cs="Arial" w:eastAsia="Arial" w:hAnsi="Arial"/>
                <w:sz w:val="22"/>
                <w:szCs w:val="22"/>
                <w:color w:val="auto"/>
              </w:rPr>
              <w:t>Netherlands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Germany GmbH</w:t>
            </w:r>
          </w:p>
        </w:tc>
        <w:tc>
          <w:tcPr>
            <w:tcW w:w="2140" w:type="dxa"/>
            <w:vAlign w:val="bottom"/>
            <w:gridSpan w:val="2"/>
          </w:tcPr>
          <w:p>
            <w:pPr>
              <w:spacing w:after="0"/>
              <w:rPr>
                <w:sz w:val="20"/>
                <w:szCs w:val="20"/>
                <w:color w:val="auto"/>
              </w:rPr>
            </w:pPr>
            <w:r>
              <w:rPr>
                <w:rFonts w:ascii="Arial" w:cs="Arial" w:eastAsia="Arial" w:hAnsi="Arial"/>
                <w:sz w:val="22"/>
                <w:szCs w:val="22"/>
                <w:color w:val="auto"/>
              </w:rPr>
              <w:t>Germany</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Korea,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Korea</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Sdn. Bhd.</w:t>
            </w:r>
          </w:p>
        </w:tc>
        <w:tc>
          <w:tcPr>
            <w:tcW w:w="2140" w:type="dxa"/>
            <w:vAlign w:val="bottom"/>
            <w:gridSpan w:val="2"/>
          </w:tcPr>
          <w:p>
            <w:pPr>
              <w:spacing w:after="0"/>
              <w:rPr>
                <w:sz w:val="20"/>
                <w:szCs w:val="20"/>
                <w:color w:val="auto"/>
              </w:rPr>
            </w:pPr>
            <w:r>
              <w:rPr>
                <w:rFonts w:ascii="Arial" w:cs="Arial" w:eastAsia="Arial" w:hAnsi="Arial"/>
                <w:sz w:val="22"/>
                <w:szCs w:val="22"/>
                <w:color w:val="auto"/>
              </w:rPr>
              <w:t>Malaysia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Ltd.</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Inc.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California,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Switzerland S.a.r.l.</w:t>
            </w:r>
          </w:p>
        </w:tc>
        <w:tc>
          <w:tcPr>
            <w:tcW w:w="2140" w:type="dxa"/>
            <w:vAlign w:val="bottom"/>
            <w:gridSpan w:val="2"/>
          </w:tcPr>
          <w:p>
            <w:pPr>
              <w:spacing w:after="0"/>
              <w:rPr>
                <w:sz w:val="20"/>
                <w:szCs w:val="20"/>
                <w:color w:val="auto"/>
              </w:rPr>
            </w:pPr>
            <w:r>
              <w:rPr>
                <w:rFonts w:ascii="Arial" w:cs="Arial" w:eastAsia="Arial" w:hAnsi="Arial"/>
                <w:sz w:val="22"/>
                <w:szCs w:val="22"/>
                <w:color w:val="auto"/>
              </w:rPr>
              <w:t>Switzerland</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Taiwan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Taiwan</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(Beijing),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(Chengdu),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(Nanjing),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(Shanghai),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Semiconductor Canada Inc.</w:t>
            </w:r>
          </w:p>
        </w:tc>
        <w:tc>
          <w:tcPr>
            <w:tcW w:w="2140" w:type="dxa"/>
            <w:vAlign w:val="bottom"/>
            <w:gridSpan w:val="2"/>
          </w:tcPr>
          <w:p>
            <w:pPr>
              <w:spacing w:after="0"/>
              <w:rPr>
                <w:sz w:val="20"/>
                <w:szCs w:val="20"/>
                <w:color w:val="auto"/>
              </w:rPr>
            </w:pPr>
            <w:r>
              <w:rPr>
                <w:rFonts w:ascii="Arial" w:cs="Arial" w:eastAsia="Arial" w:hAnsi="Arial"/>
                <w:sz w:val="22"/>
                <w:szCs w:val="22"/>
                <w:color w:val="auto"/>
              </w:rPr>
              <w:t>Canada</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Denmark ApS</w:t>
            </w:r>
          </w:p>
        </w:tc>
        <w:tc>
          <w:tcPr>
            <w:tcW w:w="2140" w:type="dxa"/>
            <w:vAlign w:val="bottom"/>
            <w:gridSpan w:val="2"/>
          </w:tcPr>
          <w:p>
            <w:pPr>
              <w:spacing w:after="0"/>
              <w:rPr>
                <w:sz w:val="20"/>
                <w:szCs w:val="20"/>
                <w:color w:val="auto"/>
              </w:rPr>
            </w:pPr>
            <w:r>
              <w:rPr>
                <w:rFonts w:ascii="Arial" w:cs="Arial" w:eastAsia="Arial" w:hAnsi="Arial"/>
                <w:sz w:val="22"/>
                <w:szCs w:val="22"/>
                <w:color w:val="auto"/>
              </w:rPr>
              <w:t>Denmark</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Japan Y.K.</w:t>
            </w:r>
          </w:p>
        </w:tc>
        <w:tc>
          <w:tcPr>
            <w:tcW w:w="2140" w:type="dxa"/>
            <w:vAlign w:val="bottom"/>
            <w:gridSpan w:val="2"/>
          </w:tcPr>
          <w:p>
            <w:pPr>
              <w:spacing w:after="0"/>
              <w:rPr>
                <w:sz w:val="20"/>
                <w:szCs w:val="20"/>
                <w:color w:val="auto"/>
              </w:rPr>
            </w:pPr>
            <w:r>
              <w:rPr>
                <w:rFonts w:ascii="Arial" w:cs="Arial" w:eastAsia="Arial" w:hAnsi="Arial"/>
                <w:sz w:val="22"/>
                <w:szCs w:val="22"/>
                <w:color w:val="auto"/>
              </w:rPr>
              <w:t>Japan</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Sweden AB</w:t>
            </w:r>
          </w:p>
        </w:tc>
        <w:tc>
          <w:tcPr>
            <w:tcW w:w="2140" w:type="dxa"/>
            <w:vAlign w:val="bottom"/>
            <w:gridSpan w:val="2"/>
          </w:tcPr>
          <w:p>
            <w:pPr>
              <w:spacing w:after="0"/>
              <w:rPr>
                <w:sz w:val="20"/>
                <w:szCs w:val="20"/>
                <w:color w:val="auto"/>
              </w:rPr>
            </w:pPr>
            <w:r>
              <w:rPr>
                <w:rFonts w:ascii="Arial" w:cs="Arial" w:eastAsia="Arial" w:hAnsi="Arial"/>
                <w:sz w:val="22"/>
                <w:szCs w:val="22"/>
                <w:color w:val="auto"/>
              </w:rPr>
              <w:t>Sweden</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Vietnam LLC</w:t>
            </w:r>
          </w:p>
        </w:tc>
        <w:tc>
          <w:tcPr>
            <w:tcW w:w="2140" w:type="dxa"/>
            <w:vAlign w:val="bottom"/>
            <w:gridSpan w:val="2"/>
          </w:tcPr>
          <w:p>
            <w:pPr>
              <w:spacing w:after="0"/>
              <w:rPr>
                <w:sz w:val="20"/>
                <w:szCs w:val="20"/>
                <w:color w:val="auto"/>
              </w:rPr>
            </w:pPr>
            <w:r>
              <w:rPr>
                <w:rFonts w:ascii="Arial" w:cs="Arial" w:eastAsia="Arial" w:hAnsi="Arial"/>
                <w:sz w:val="22"/>
                <w:szCs w:val="22"/>
                <w:color w:val="auto"/>
              </w:rPr>
              <w:t>Vietnam</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Technology Holdings, Inc.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Marvell World Trade Ltd.</w:t>
            </w:r>
          </w:p>
        </w:tc>
        <w:tc>
          <w:tcPr>
            <w:tcW w:w="2140" w:type="dxa"/>
            <w:vAlign w:val="bottom"/>
            <w:gridSpan w:val="2"/>
          </w:tcPr>
          <w:p>
            <w:pPr>
              <w:spacing w:after="0"/>
              <w:rPr>
                <w:sz w:val="20"/>
                <w:szCs w:val="20"/>
                <w:color w:val="auto"/>
              </w:rPr>
            </w:pPr>
            <w:r>
              <w:rPr>
                <w:rFonts w:ascii="Arial" w:cs="Arial" w:eastAsia="Arial" w:hAnsi="Arial"/>
                <w:sz w:val="22"/>
                <w:szCs w:val="22"/>
                <w:color w:val="auto"/>
              </w:rPr>
              <w:t>Barbados</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NetXen, Inc.</w:t>
            </w: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6780" w:type="dxa"/>
            <w:vAlign w:val="bottom"/>
            <w:gridSpan w:val="2"/>
          </w:tcPr>
          <w:p>
            <w:pPr>
              <w:spacing w:after="0"/>
              <w:rPr>
                <w:sz w:val="20"/>
                <w:szCs w:val="20"/>
                <w:color w:val="auto"/>
              </w:rPr>
            </w:pPr>
            <w:r>
              <w:rPr>
                <w:rFonts w:ascii="Arial" w:cs="Arial" w:eastAsia="Arial" w:hAnsi="Arial"/>
                <w:sz w:val="22"/>
                <w:szCs w:val="22"/>
                <w:color w:val="auto"/>
              </w:rPr>
              <w:t>PT. Marvell Technology Indonesia</w:t>
            </w:r>
          </w:p>
        </w:tc>
        <w:tc>
          <w:tcPr>
            <w:tcW w:w="2140" w:type="dxa"/>
            <w:vAlign w:val="bottom"/>
            <w:gridSpan w:val="2"/>
          </w:tcPr>
          <w:p>
            <w:pPr>
              <w:spacing w:after="0"/>
              <w:rPr>
                <w:sz w:val="20"/>
                <w:szCs w:val="20"/>
                <w:color w:val="auto"/>
              </w:rPr>
            </w:pPr>
            <w:r>
              <w:rPr>
                <w:rFonts w:ascii="Arial" w:cs="Arial" w:eastAsia="Arial" w:hAnsi="Arial"/>
                <w:sz w:val="22"/>
                <w:szCs w:val="22"/>
                <w:color w:val="auto"/>
              </w:rPr>
              <w:t>Indonesia</w:t>
            </w:r>
          </w:p>
        </w:tc>
      </w:tr>
      <w:tr>
        <w:trPr>
          <w:trHeight w:val="311"/>
        </w:trPr>
        <w:tc>
          <w:tcPr>
            <w:tcW w:w="6780" w:type="dxa"/>
            <w:vAlign w:val="bottom"/>
            <w:gridSpan w:val="2"/>
          </w:tcPr>
          <w:p>
            <w:pPr>
              <w:spacing w:after="0"/>
              <w:rPr>
                <w:sz w:val="20"/>
                <w:szCs w:val="20"/>
                <w:color w:val="auto"/>
              </w:rPr>
            </w:pPr>
            <w:r>
              <w:rPr>
                <w:rFonts w:ascii="Arial" w:cs="Arial" w:eastAsia="Arial" w:hAnsi="Arial"/>
                <w:sz w:val="22"/>
                <w:szCs w:val="22"/>
                <w:color w:val="auto"/>
              </w:rPr>
              <w:t>QLGC Limited</w:t>
            </w:r>
          </w:p>
        </w:tc>
        <w:tc>
          <w:tcPr>
            <w:tcW w:w="2140" w:type="dxa"/>
            <w:vAlign w:val="bottom"/>
            <w:gridSpan w:val="2"/>
          </w:tcPr>
          <w:p>
            <w:pPr>
              <w:spacing w:after="0"/>
              <w:rPr>
                <w:sz w:val="20"/>
                <w:szCs w:val="20"/>
                <w:color w:val="auto"/>
              </w:rPr>
            </w:pPr>
            <w:r>
              <w:rPr>
                <w:rFonts w:ascii="Arial" w:cs="Arial" w:eastAsia="Arial" w:hAnsi="Arial"/>
                <w:sz w:val="22"/>
                <w:szCs w:val="22"/>
                <w:color w:val="auto"/>
              </w:rPr>
              <w:t>Ireland</w:t>
            </w:r>
          </w:p>
        </w:tc>
      </w:tr>
    </w:tbl>
    <w:p>
      <w:pPr>
        <w:sectPr>
          <w:pgSz w:w="11900" w:h="16838" w:orient="portrait"/>
          <w:cols w:equalWidth="0" w:num="1">
            <w:col w:w="11220"/>
          </w:cols>
          <w:pgMar w:left="340" w:top="895" w:right="339" w:bottom="1440" w:gutter="0" w:footer="0" w:header="0"/>
        </w:sectPr>
      </w:pPr>
    </w:p>
    <w:bookmarkStart w:id="112" w:name="page113"/>
    <w:bookmarkEnd w:id="11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5900" w:type="dxa"/>
            <w:vAlign w:val="bottom"/>
          </w:tcPr>
          <w:p>
            <w:pPr>
              <w:spacing w:after="0"/>
              <w:rPr>
                <w:sz w:val="20"/>
                <w:szCs w:val="20"/>
                <w:color w:val="auto"/>
              </w:rPr>
            </w:pPr>
            <w:r>
              <w:rPr>
                <w:rFonts w:ascii="Arial" w:cs="Arial" w:eastAsia="Arial" w:hAnsi="Arial"/>
                <w:sz w:val="22"/>
                <w:szCs w:val="22"/>
                <w:color w:val="auto"/>
              </w:rPr>
              <w:t>QLogic Hong Kong Ltd.</w:t>
            </w:r>
          </w:p>
        </w:tc>
        <w:tc>
          <w:tcPr>
            <w:tcW w:w="3060" w:type="dxa"/>
            <w:vAlign w:val="bottom"/>
          </w:tcPr>
          <w:p>
            <w:pPr>
              <w:ind w:left="880"/>
              <w:spacing w:after="0"/>
              <w:rPr>
                <w:sz w:val="20"/>
                <w:szCs w:val="20"/>
                <w:color w:val="auto"/>
              </w:rPr>
            </w:pPr>
            <w:r>
              <w:rPr>
                <w:rFonts w:ascii="Arial" w:cs="Arial" w:eastAsia="Arial" w:hAnsi="Arial"/>
                <w:sz w:val="22"/>
                <w:szCs w:val="22"/>
                <w:color w:val="auto"/>
              </w:rPr>
              <w:t>Hong Kong</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QLogic India Pvt. Ltd.</w:t>
            </w:r>
          </w:p>
        </w:tc>
        <w:tc>
          <w:tcPr>
            <w:tcW w:w="3060" w:type="dxa"/>
            <w:vAlign w:val="bottom"/>
          </w:tcPr>
          <w:p>
            <w:pPr>
              <w:ind w:left="880"/>
              <w:spacing w:after="0"/>
              <w:rPr>
                <w:sz w:val="20"/>
                <w:szCs w:val="20"/>
                <w:color w:val="auto"/>
              </w:rPr>
            </w:pPr>
            <w:r>
              <w:rPr>
                <w:rFonts w:ascii="Arial" w:cs="Arial" w:eastAsia="Arial" w:hAnsi="Arial"/>
                <w:sz w:val="22"/>
                <w:szCs w:val="22"/>
                <w:color w:val="auto"/>
              </w:rPr>
              <w:t>India</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QLogic International Holdings, Inc.</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QLogic International Ltd.</w:t>
            </w:r>
          </w:p>
        </w:tc>
        <w:tc>
          <w:tcPr>
            <w:tcW w:w="3060" w:type="dxa"/>
            <w:vAlign w:val="bottom"/>
          </w:tcPr>
          <w:p>
            <w:pPr>
              <w:ind w:left="880"/>
              <w:spacing w:after="0"/>
              <w:rPr>
                <w:sz w:val="20"/>
                <w:szCs w:val="20"/>
                <w:color w:val="auto"/>
              </w:rPr>
            </w:pPr>
            <w:r>
              <w:rPr>
                <w:rFonts w:ascii="Arial" w:cs="Arial" w:eastAsia="Arial" w:hAnsi="Arial"/>
                <w:sz w:val="22"/>
                <w:szCs w:val="22"/>
                <w:color w:val="auto"/>
              </w:rPr>
              <w:t>Bermuda</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QLogic LLC</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QLogic Storage Network Infrastructure (Beijing) Co. Ltd.</w:t>
            </w:r>
          </w:p>
        </w:tc>
        <w:tc>
          <w:tcPr>
            <w:tcW w:w="3060" w:type="dxa"/>
            <w:vAlign w:val="bottom"/>
          </w:tcPr>
          <w:p>
            <w:pPr>
              <w:ind w:left="880"/>
              <w:spacing w:after="0"/>
              <w:rPr>
                <w:sz w:val="20"/>
                <w:szCs w:val="20"/>
                <w:color w:val="auto"/>
              </w:rPr>
            </w:pPr>
            <w:r>
              <w:rPr>
                <w:rFonts w:ascii="Arial" w:cs="Arial" w:eastAsia="Arial" w:hAnsi="Arial"/>
                <w:sz w:val="22"/>
                <w:szCs w:val="22"/>
                <w:color w:val="auto"/>
              </w:rPr>
              <w:t>China</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QLogic Switch Products, LLC</w:t>
            </w:r>
          </w:p>
        </w:tc>
        <w:tc>
          <w:tcPr>
            <w:tcW w:w="3060" w:type="dxa"/>
            <w:vAlign w:val="bottom"/>
          </w:tcPr>
          <w:p>
            <w:pPr>
              <w:ind w:left="880"/>
              <w:spacing w:after="0"/>
              <w:rPr>
                <w:sz w:val="20"/>
                <w:szCs w:val="20"/>
                <w:color w:val="auto"/>
              </w:rPr>
            </w:pPr>
            <w:r>
              <w:rPr>
                <w:rFonts w:ascii="Arial" w:cs="Arial" w:eastAsia="Arial" w:hAnsi="Arial"/>
                <w:sz w:val="22"/>
                <w:szCs w:val="22"/>
                <w:color w:val="auto"/>
                <w:w w:val="87"/>
              </w:rPr>
              <w:t>Minnesota, United States</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Utopia Capital Holdings, Ltd.</w:t>
            </w:r>
          </w:p>
        </w:tc>
        <w:tc>
          <w:tcPr>
            <w:tcW w:w="3060" w:type="dxa"/>
            <w:vAlign w:val="bottom"/>
          </w:tcPr>
          <w:p>
            <w:pPr>
              <w:ind w:left="880"/>
              <w:spacing w:after="0"/>
              <w:rPr>
                <w:sz w:val="20"/>
                <w:szCs w:val="20"/>
                <w:color w:val="auto"/>
              </w:rPr>
            </w:pPr>
            <w:r>
              <w:rPr>
                <w:rFonts w:ascii="Arial" w:cs="Arial" w:eastAsia="Arial" w:hAnsi="Arial"/>
                <w:sz w:val="22"/>
                <w:szCs w:val="22"/>
                <w:color w:val="auto"/>
              </w:rPr>
              <w:t>Bermuda</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Aquantia Corp.</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Aquantia LLC</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Marvell Rus LLC</w:t>
            </w:r>
          </w:p>
        </w:tc>
        <w:tc>
          <w:tcPr>
            <w:tcW w:w="3060" w:type="dxa"/>
            <w:vAlign w:val="bottom"/>
          </w:tcPr>
          <w:p>
            <w:pPr>
              <w:ind w:left="880"/>
              <w:spacing w:after="0"/>
              <w:rPr>
                <w:sz w:val="20"/>
                <w:szCs w:val="20"/>
                <w:color w:val="auto"/>
              </w:rPr>
            </w:pPr>
            <w:r>
              <w:rPr>
                <w:rFonts w:ascii="Arial" w:cs="Arial" w:eastAsia="Arial" w:hAnsi="Arial"/>
                <w:sz w:val="22"/>
                <w:szCs w:val="22"/>
                <w:color w:val="auto"/>
              </w:rPr>
              <w:t>Russia</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Aquantia Semiconductor India Pvt Ltd</w:t>
            </w:r>
          </w:p>
        </w:tc>
        <w:tc>
          <w:tcPr>
            <w:tcW w:w="3060" w:type="dxa"/>
            <w:vAlign w:val="bottom"/>
          </w:tcPr>
          <w:p>
            <w:pPr>
              <w:ind w:left="880"/>
              <w:spacing w:after="0"/>
              <w:rPr>
                <w:sz w:val="20"/>
                <w:szCs w:val="20"/>
                <w:color w:val="auto"/>
              </w:rPr>
            </w:pPr>
            <w:r>
              <w:rPr>
                <w:rFonts w:ascii="Arial" w:cs="Arial" w:eastAsia="Arial" w:hAnsi="Arial"/>
                <w:sz w:val="22"/>
                <w:szCs w:val="22"/>
                <w:color w:val="auto"/>
              </w:rPr>
              <w:t>India</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Aquantia C.V.</w:t>
            </w:r>
          </w:p>
        </w:tc>
        <w:tc>
          <w:tcPr>
            <w:tcW w:w="3060" w:type="dxa"/>
            <w:vAlign w:val="bottom"/>
          </w:tcPr>
          <w:p>
            <w:pPr>
              <w:ind w:left="880"/>
              <w:spacing w:after="0"/>
              <w:rPr>
                <w:sz w:val="20"/>
                <w:szCs w:val="20"/>
                <w:color w:val="auto"/>
              </w:rPr>
            </w:pPr>
            <w:r>
              <w:rPr>
                <w:rFonts w:ascii="Arial" w:cs="Arial" w:eastAsia="Arial" w:hAnsi="Arial"/>
                <w:sz w:val="22"/>
                <w:szCs w:val="22"/>
                <w:color w:val="auto"/>
              </w:rPr>
              <w:t>Netherlands</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Aquantia (Cayman), Ltd.</w:t>
            </w:r>
          </w:p>
        </w:tc>
        <w:tc>
          <w:tcPr>
            <w:tcW w:w="3060" w:type="dxa"/>
            <w:vAlign w:val="bottom"/>
          </w:tcPr>
          <w:p>
            <w:pPr>
              <w:ind w:left="880"/>
              <w:spacing w:after="0"/>
              <w:rPr>
                <w:sz w:val="20"/>
                <w:szCs w:val="20"/>
                <w:color w:val="auto"/>
              </w:rPr>
            </w:pPr>
            <w:r>
              <w:rPr>
                <w:rFonts w:ascii="Arial" w:cs="Arial" w:eastAsia="Arial" w:hAnsi="Arial"/>
                <w:sz w:val="22"/>
                <w:szCs w:val="22"/>
                <w:color w:val="auto"/>
              </w:rPr>
              <w:t>Cayman Islands</w:t>
            </w:r>
          </w:p>
        </w:tc>
        <w:tc>
          <w:tcPr>
            <w:tcW w:w="0" w:type="dxa"/>
            <w:vAlign w:val="bottom"/>
          </w:tcPr>
          <w:p>
            <w:pPr>
              <w:spacing w:after="0"/>
              <w:rPr>
                <w:sz w:val="1"/>
                <w:szCs w:val="1"/>
                <w:color w:val="auto"/>
              </w:rPr>
            </w:pPr>
          </w:p>
        </w:tc>
      </w:tr>
      <w:tr>
        <w:trPr>
          <w:trHeight w:val="311"/>
        </w:trPr>
        <w:tc>
          <w:tcPr>
            <w:tcW w:w="5900" w:type="dxa"/>
            <w:vAlign w:val="bottom"/>
          </w:tcPr>
          <w:p>
            <w:pPr>
              <w:spacing w:after="0"/>
              <w:rPr>
                <w:sz w:val="20"/>
                <w:szCs w:val="20"/>
                <w:color w:val="auto"/>
              </w:rPr>
            </w:pPr>
            <w:r>
              <w:rPr>
                <w:rFonts w:ascii="Arial" w:cs="Arial" w:eastAsia="Arial" w:hAnsi="Arial"/>
                <w:sz w:val="22"/>
                <w:szCs w:val="22"/>
                <w:color w:val="auto"/>
              </w:rPr>
              <w:t>Aquantia B.V.</w:t>
            </w:r>
          </w:p>
        </w:tc>
        <w:tc>
          <w:tcPr>
            <w:tcW w:w="3060" w:type="dxa"/>
            <w:vAlign w:val="bottom"/>
          </w:tcPr>
          <w:p>
            <w:pPr>
              <w:ind w:left="880"/>
              <w:spacing w:after="0"/>
              <w:rPr>
                <w:sz w:val="20"/>
                <w:szCs w:val="20"/>
                <w:color w:val="auto"/>
              </w:rPr>
            </w:pPr>
            <w:r>
              <w:rPr>
                <w:rFonts w:ascii="Arial" w:cs="Arial" w:eastAsia="Arial" w:hAnsi="Arial"/>
                <w:sz w:val="22"/>
                <w:szCs w:val="22"/>
                <w:color w:val="auto"/>
              </w:rPr>
              <w:t>Netherlands</w:t>
            </w:r>
          </w:p>
        </w:tc>
        <w:tc>
          <w:tcPr>
            <w:tcW w:w="0" w:type="dxa"/>
            <w:vAlign w:val="bottom"/>
          </w:tcPr>
          <w:p>
            <w:pPr>
              <w:spacing w:after="0"/>
              <w:rPr>
                <w:sz w:val="1"/>
                <w:szCs w:val="1"/>
                <w:color w:val="auto"/>
              </w:rPr>
            </w:pPr>
          </w:p>
        </w:tc>
      </w:tr>
      <w:tr>
        <w:trPr>
          <w:trHeight w:val="310"/>
        </w:trPr>
        <w:tc>
          <w:tcPr>
            <w:tcW w:w="5900" w:type="dxa"/>
            <w:vAlign w:val="bottom"/>
          </w:tcPr>
          <w:p>
            <w:pPr>
              <w:spacing w:after="0"/>
              <w:rPr>
                <w:sz w:val="20"/>
                <w:szCs w:val="20"/>
                <w:color w:val="auto"/>
              </w:rPr>
            </w:pPr>
            <w:r>
              <w:rPr>
                <w:rFonts w:ascii="Arial" w:cs="Arial" w:eastAsia="Arial" w:hAnsi="Arial"/>
                <w:sz w:val="22"/>
                <w:szCs w:val="22"/>
                <w:color w:val="auto"/>
              </w:rPr>
              <w:t>Aquantia Czech s.r.o</w:t>
            </w:r>
          </w:p>
        </w:tc>
        <w:tc>
          <w:tcPr>
            <w:tcW w:w="3060" w:type="dxa"/>
            <w:vAlign w:val="bottom"/>
          </w:tcPr>
          <w:p>
            <w:pPr>
              <w:ind w:left="880"/>
              <w:spacing w:after="0"/>
              <w:rPr>
                <w:sz w:val="20"/>
                <w:szCs w:val="20"/>
                <w:color w:val="auto"/>
              </w:rPr>
            </w:pPr>
            <w:r>
              <w:rPr>
                <w:rFonts w:ascii="Arial" w:cs="Arial" w:eastAsia="Arial" w:hAnsi="Arial"/>
                <w:sz w:val="22"/>
                <w:szCs w:val="22"/>
                <w:color w:val="auto"/>
              </w:rPr>
              <w:t>Czech Republic</w:t>
            </w:r>
          </w:p>
        </w:tc>
        <w:tc>
          <w:tcPr>
            <w:tcW w:w="0" w:type="dxa"/>
            <w:vAlign w:val="bottom"/>
          </w:tcPr>
          <w:p>
            <w:pPr>
              <w:spacing w:after="0"/>
              <w:rPr>
                <w:sz w:val="1"/>
                <w:szCs w:val="1"/>
                <w:color w:val="auto"/>
              </w:rPr>
            </w:pPr>
          </w:p>
        </w:tc>
      </w:tr>
      <w:tr>
        <w:trPr>
          <w:trHeight w:val="324"/>
        </w:trPr>
        <w:tc>
          <w:tcPr>
            <w:tcW w:w="5900" w:type="dxa"/>
            <w:vAlign w:val="bottom"/>
          </w:tcPr>
          <w:p>
            <w:pPr>
              <w:spacing w:after="0"/>
              <w:rPr>
                <w:sz w:val="20"/>
                <w:szCs w:val="20"/>
                <w:color w:val="auto"/>
              </w:rPr>
            </w:pPr>
            <w:r>
              <w:rPr>
                <w:rFonts w:ascii="Arial" w:cs="Arial" w:eastAsia="Arial" w:hAnsi="Arial"/>
                <w:sz w:val="22"/>
                <w:szCs w:val="22"/>
                <w:color w:val="auto"/>
              </w:rPr>
              <w:t>Marvell Government Solutions, LLC</w:t>
            </w:r>
          </w:p>
        </w:tc>
        <w:tc>
          <w:tcPr>
            <w:tcW w:w="3060" w:type="dxa"/>
            <w:vAlign w:val="bottom"/>
            <w:vMerge w:val="restart"/>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148"/>
        </w:trPr>
        <w:tc>
          <w:tcPr>
            <w:tcW w:w="5900" w:type="dxa"/>
            <w:vAlign w:val="bottom"/>
            <w:vMerge w:val="restart"/>
          </w:tcPr>
          <w:p>
            <w:pPr>
              <w:spacing w:after="0"/>
              <w:rPr>
                <w:sz w:val="20"/>
                <w:szCs w:val="20"/>
                <w:color w:val="auto"/>
              </w:rPr>
            </w:pPr>
            <w:r>
              <w:rPr>
                <w:rFonts w:ascii="Arial" w:cs="Arial" w:eastAsia="Arial" w:hAnsi="Arial"/>
                <w:sz w:val="22"/>
                <w:szCs w:val="22"/>
                <w:color w:val="auto"/>
              </w:rPr>
              <w:t>Solutions, LLC]</w:t>
            </w:r>
            <w:r>
              <w:rPr>
                <w:rFonts w:ascii="Arial" w:cs="Arial" w:eastAsia="Arial" w:hAnsi="Arial"/>
                <w:sz w:val="28"/>
                <w:szCs w:val="28"/>
                <w:color w:val="auto"/>
                <w:vertAlign w:val="superscript"/>
              </w:rPr>
              <w:t>2</w:t>
            </w:r>
          </w:p>
        </w:tc>
        <w:tc>
          <w:tcPr>
            <w:tcW w:w="30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5900" w:type="dxa"/>
            <w:vAlign w:val="bottom"/>
            <w:vMerge w:val="continue"/>
          </w:tcPr>
          <w:p>
            <w:pPr>
              <w:spacing w:after="0"/>
              <w:rPr>
                <w:sz w:val="21"/>
                <w:szCs w:val="21"/>
                <w:color w:val="auto"/>
              </w:rPr>
            </w:pPr>
          </w:p>
        </w:tc>
        <w:tc>
          <w:tcPr>
            <w:tcW w:w="30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1"/>
        </w:trPr>
        <w:tc>
          <w:tcPr>
            <w:tcW w:w="5900" w:type="dxa"/>
            <w:vAlign w:val="bottom"/>
          </w:tcPr>
          <w:p>
            <w:pPr>
              <w:spacing w:after="0"/>
              <w:rPr>
                <w:sz w:val="20"/>
                <w:szCs w:val="20"/>
                <w:color w:val="auto"/>
              </w:rPr>
            </w:pPr>
            <w:r>
              <w:rPr>
                <w:rFonts w:ascii="Arial" w:cs="Arial" w:eastAsia="Arial" w:hAnsi="Arial"/>
                <w:sz w:val="22"/>
                <w:szCs w:val="22"/>
                <w:color w:val="auto"/>
              </w:rPr>
              <w:t>Marvell Technology Poland Sp. Z o.o.</w:t>
            </w:r>
          </w:p>
        </w:tc>
        <w:tc>
          <w:tcPr>
            <w:tcW w:w="3060" w:type="dxa"/>
            <w:vAlign w:val="bottom"/>
          </w:tcPr>
          <w:p>
            <w:pPr>
              <w:ind w:left="880"/>
              <w:spacing w:after="0"/>
              <w:rPr>
                <w:sz w:val="20"/>
                <w:szCs w:val="20"/>
                <w:color w:val="auto"/>
              </w:rPr>
            </w:pPr>
            <w:r>
              <w:rPr>
                <w:rFonts w:ascii="Arial" w:cs="Arial" w:eastAsia="Arial" w:hAnsi="Arial"/>
                <w:sz w:val="22"/>
                <w:szCs w:val="22"/>
                <w:color w:val="auto"/>
              </w:rPr>
              <w:t>Poland</w:t>
            </w:r>
          </w:p>
        </w:tc>
        <w:tc>
          <w:tcPr>
            <w:tcW w:w="0" w:type="dxa"/>
            <w:vAlign w:val="bottom"/>
          </w:tcPr>
          <w:p>
            <w:pPr>
              <w:spacing w:after="0"/>
              <w:rPr>
                <w:sz w:val="1"/>
                <w:szCs w:val="1"/>
                <w:color w:val="auto"/>
              </w:rPr>
            </w:pPr>
          </w:p>
        </w:tc>
      </w:tr>
      <w:tr>
        <w:trPr>
          <w:trHeight w:val="459"/>
        </w:trPr>
        <w:tc>
          <w:tcPr>
            <w:tcW w:w="5900" w:type="dxa"/>
            <w:vAlign w:val="bottom"/>
          </w:tcPr>
          <w:p>
            <w:pPr>
              <w:spacing w:after="0"/>
              <w:rPr>
                <w:sz w:val="20"/>
                <w:szCs w:val="20"/>
                <w:color w:val="auto"/>
              </w:rPr>
            </w:pPr>
            <w:r>
              <w:rPr>
                <w:rFonts w:ascii="Arial" w:cs="Arial" w:eastAsia="Arial" w:hAnsi="Arial"/>
                <w:sz w:val="22"/>
                <w:szCs w:val="22"/>
                <w:color w:val="auto"/>
              </w:rPr>
              <w:t>Marvell Technology, Inc.</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459"/>
        </w:trPr>
        <w:tc>
          <w:tcPr>
            <w:tcW w:w="5900" w:type="dxa"/>
            <w:vAlign w:val="bottom"/>
          </w:tcPr>
          <w:p>
            <w:pPr>
              <w:spacing w:after="0"/>
              <w:rPr>
                <w:sz w:val="20"/>
                <w:szCs w:val="20"/>
                <w:color w:val="auto"/>
              </w:rPr>
            </w:pPr>
            <w:r>
              <w:rPr>
                <w:rFonts w:ascii="Arial" w:cs="Arial" w:eastAsia="Arial" w:hAnsi="Arial"/>
                <w:sz w:val="22"/>
                <w:szCs w:val="22"/>
                <w:color w:val="auto"/>
              </w:rPr>
              <w:t>Indigo Acquisition Corp.</w:t>
            </w:r>
          </w:p>
        </w:tc>
        <w:tc>
          <w:tcPr>
            <w:tcW w:w="3060" w:type="dxa"/>
            <w:vAlign w:val="bottom"/>
          </w:tcPr>
          <w:p>
            <w:pPr>
              <w:ind w:left="8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459"/>
        </w:trPr>
        <w:tc>
          <w:tcPr>
            <w:tcW w:w="5900" w:type="dxa"/>
            <w:vAlign w:val="bottom"/>
          </w:tcPr>
          <w:p>
            <w:pPr>
              <w:spacing w:after="0"/>
              <w:rPr>
                <w:sz w:val="20"/>
                <w:szCs w:val="20"/>
                <w:color w:val="auto"/>
              </w:rPr>
            </w:pPr>
            <w:r>
              <w:rPr>
                <w:rFonts w:ascii="Arial" w:cs="Arial" w:eastAsia="Arial" w:hAnsi="Arial"/>
                <w:sz w:val="22"/>
                <w:szCs w:val="22"/>
                <w:color w:val="auto"/>
              </w:rPr>
              <w:t>Maui Acquisition Company Ltd.</w:t>
            </w:r>
          </w:p>
        </w:tc>
        <w:tc>
          <w:tcPr>
            <w:tcW w:w="3060" w:type="dxa"/>
            <w:vAlign w:val="bottom"/>
          </w:tcPr>
          <w:p>
            <w:pPr>
              <w:ind w:left="880"/>
              <w:spacing w:after="0"/>
              <w:rPr>
                <w:sz w:val="20"/>
                <w:szCs w:val="20"/>
                <w:color w:val="auto"/>
              </w:rPr>
            </w:pPr>
            <w:r>
              <w:rPr>
                <w:rFonts w:ascii="Arial" w:cs="Arial" w:eastAsia="Arial" w:hAnsi="Arial"/>
                <w:sz w:val="22"/>
                <w:szCs w:val="22"/>
                <w:color w:val="auto"/>
              </w:rPr>
              <w:t>Bermuda</w:t>
            </w:r>
          </w:p>
        </w:tc>
        <w:tc>
          <w:tcPr>
            <w:tcW w:w="0" w:type="dxa"/>
            <w:vAlign w:val="bottom"/>
          </w:tcPr>
          <w:p>
            <w:pPr>
              <w:spacing w:after="0"/>
              <w:rPr>
                <w:sz w:val="1"/>
                <w:szCs w:val="1"/>
                <w:color w:val="auto"/>
              </w:rPr>
            </w:pPr>
          </w:p>
        </w:tc>
      </w:tr>
    </w:tbl>
    <w:p>
      <w:pPr>
        <w:sectPr>
          <w:pgSz w:w="11900" w:h="16838" w:orient="portrait"/>
          <w:cols w:equalWidth="0" w:num="1">
            <w:col w:w="10119"/>
          </w:cols>
          <w:pgMar w:left="340" w:top="955" w:right="1440" w:bottom="1440" w:gutter="0" w:footer="0" w:header="0"/>
        </w:sectPr>
      </w:pPr>
    </w:p>
    <w:bookmarkStart w:id="113" w:name="page114"/>
    <w:bookmarkEnd w:id="113"/>
    <w:p>
      <w:pPr>
        <w:spacing w:after="0" w:line="324" w:lineRule="exact"/>
        <w:rPr>
          <w:sz w:val="20"/>
          <w:szCs w:val="20"/>
          <w:color w:val="auto"/>
        </w:rPr>
      </w:pPr>
    </w:p>
    <w:p>
      <w:pPr>
        <w:jc w:val="right"/>
        <w:spacing w:after="0"/>
        <w:rPr>
          <w:sz w:val="20"/>
          <w:szCs w:val="20"/>
          <w:color w:val="auto"/>
        </w:rPr>
      </w:pPr>
      <w:r>
        <w:rPr>
          <w:rFonts w:ascii="Arial" w:cs="Arial" w:eastAsia="Arial" w:hAnsi="Arial"/>
          <w:sz w:val="20"/>
          <w:szCs w:val="20"/>
          <w:b w:val="1"/>
          <w:bCs w:val="1"/>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Arial" w:cs="Arial" w:eastAsia="Arial" w:hAnsi="Arial"/>
          <w:sz w:val="20"/>
          <w:szCs w:val="20"/>
          <w:b w:val="1"/>
          <w:bCs w:val="1"/>
          <w:color w:val="auto"/>
        </w:rPr>
        <w:t>CONSENT OF INDEPENDENT REGISTERED PUBLIC ACCOUNTING FIRM</w:t>
      </w:r>
    </w:p>
    <w:p>
      <w:pPr>
        <w:spacing w:after="0" w:line="289" w:lineRule="exact"/>
        <w:rPr>
          <w:sz w:val="20"/>
          <w:szCs w:val="20"/>
          <w:color w:val="auto"/>
        </w:rPr>
      </w:pPr>
    </w:p>
    <w:p>
      <w:pPr>
        <w:jc w:val="both"/>
        <w:spacing w:after="0" w:line="323" w:lineRule="auto"/>
        <w:rPr>
          <w:sz w:val="20"/>
          <w:szCs w:val="20"/>
          <w:color w:val="auto"/>
        </w:rPr>
      </w:pPr>
      <w:r>
        <w:rPr>
          <w:rFonts w:ascii="Arial" w:cs="Arial" w:eastAsia="Arial" w:hAnsi="Arial"/>
          <w:sz w:val="18"/>
          <w:szCs w:val="18"/>
          <w:color w:val="auto"/>
        </w:rPr>
        <w:t>We consent to the incorporation by reference in Registration Statements on Form S-3 (No. 333-225591, 333-237335) and Form S-8 (Nos. 333-40152, 333-40154, 333-54188, 333-55974, 333-56322, 333-87322, 333-91124, 333-104925, 333-106683, 333-108334, 333-111133, 333-114434, 333-124072, 333-133281, 33-148621, 333-151816, 333-151826, 333-163644, 333-180412, 333-187641, 333-194865, 333-204730, 333-213059, 333-217004, 333-224015, 333-226085, 333-230616, 333-233851 and 333-237333) of our reports dated March 16, 2021, relating to the financial statements of Marvell Technology Group Ltd. and the effectiveness of Marvell Technology Group Ltd.’s internal control over financial reporting appearing in this Annual Report on Form 10-K for the year ended January 30, 2021.</w:t>
      </w:r>
    </w:p>
    <w:p>
      <w:pPr>
        <w:spacing w:after="0" w:line="111" w:lineRule="exact"/>
        <w:rPr>
          <w:sz w:val="20"/>
          <w:szCs w:val="20"/>
          <w:color w:val="auto"/>
        </w:rPr>
      </w:pPr>
    </w:p>
    <w:p>
      <w:pPr>
        <w:spacing w:after="0"/>
        <w:rPr>
          <w:sz w:val="20"/>
          <w:szCs w:val="20"/>
          <w:color w:val="auto"/>
        </w:rPr>
      </w:pPr>
      <w:r>
        <w:rPr>
          <w:rFonts w:ascii="Arial" w:cs="Arial" w:eastAsia="Arial" w:hAnsi="Arial"/>
          <w:sz w:val="20"/>
          <w:szCs w:val="20"/>
          <w:color w:val="auto"/>
        </w:rPr>
        <w:t>/s/ Deloitte &amp; Touche LLP</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20"/>
          <w:szCs w:val="20"/>
          <w:color w:val="auto"/>
        </w:rPr>
        <w:t>San Jose, California</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March 16, 2021</w:t>
      </w:r>
    </w:p>
    <w:p>
      <w:pPr>
        <w:sectPr>
          <w:pgSz w:w="11900" w:h="16838" w:orient="portrait"/>
          <w:cols w:equalWidth="0" w:num="1">
            <w:col w:w="11240"/>
          </w:cols>
          <w:pgMar w:left="320" w:top="1440" w:right="33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340" w:hanging="332"/>
        <w:spacing w:after="0"/>
        <w:tabs>
          <w:tab w:leader="none" w:pos="3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4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4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4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4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4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40"/>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115" w:name="page116"/>
    <w:bookmarkEnd w:id="115"/>
    <w:p>
      <w:pPr>
        <w:ind w:left="960" w:hanging="324"/>
        <w:spacing w:after="0" w:line="308" w:lineRule="auto"/>
        <w:tabs>
          <w:tab w:leader="none" w:pos="948" w:val="left"/>
        </w:tabs>
        <w:numPr>
          <w:ilvl w:val="0"/>
          <w:numId w:val="4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89" w:lineRule="exact"/>
        <w:rPr>
          <w:sz w:val="20"/>
          <w:szCs w:val="20"/>
          <w:color w:val="auto"/>
        </w:rPr>
      </w:pPr>
    </w:p>
    <w:p>
      <w:pPr>
        <w:spacing w:after="0"/>
        <w:tabs>
          <w:tab w:leader="none" w:pos="4800" w:val="left"/>
          <w:tab w:leader="none" w:pos="5340" w:val="left"/>
        </w:tabs>
        <w:rPr>
          <w:sz w:val="20"/>
          <w:szCs w:val="20"/>
          <w:color w:val="auto"/>
        </w:rPr>
      </w:pPr>
      <w:r>
        <w:rPr>
          <w:rFonts w:ascii="Arial" w:cs="Arial" w:eastAsia="Arial" w:hAnsi="Arial"/>
          <w:sz w:val="18"/>
          <w:szCs w:val="18"/>
          <w:color w:val="auto"/>
        </w:rPr>
        <w:t>Date: March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3387090</wp:posOffset>
            </wp:positionH>
            <wp:positionV relativeFrom="paragraph">
              <wp:posOffset>31750</wp:posOffset>
            </wp:positionV>
            <wp:extent cx="3068955"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00">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80"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0740"/>
          </w:cols>
          <w:pgMar w:left="340" w:top="1124" w:right="81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00" w:lineRule="exact"/>
        <w:rPr>
          <w:sz w:val="20"/>
          <w:szCs w:val="20"/>
          <w:color w:val="auto"/>
        </w:rPr>
      </w:pPr>
    </w:p>
    <w:p>
      <w:pPr>
        <w:spacing w:after="0" w:line="295" w:lineRule="exact"/>
        <w:rPr>
          <w:sz w:val="20"/>
          <w:szCs w:val="20"/>
          <w:color w:val="auto"/>
        </w:rPr>
      </w:pPr>
    </w:p>
    <w:p>
      <w:pPr>
        <w:ind w:left="340" w:hanging="332"/>
        <w:spacing w:after="0"/>
        <w:tabs>
          <w:tab w:leader="none" w:pos="3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4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4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4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4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42"/>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117" w:name="page118"/>
    <w:bookmarkEnd w:id="117"/>
    <w:p>
      <w:pPr>
        <w:ind w:left="960" w:hanging="324"/>
        <w:spacing w:after="0" w:line="308" w:lineRule="auto"/>
        <w:tabs>
          <w:tab w:leader="none" w:pos="948"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89" w:lineRule="exact"/>
        <w:rPr>
          <w:sz w:val="20"/>
          <w:szCs w:val="20"/>
          <w:color w:val="auto"/>
        </w:rPr>
      </w:pPr>
    </w:p>
    <w:p>
      <w:pPr>
        <w:spacing w:after="0"/>
        <w:tabs>
          <w:tab w:leader="none" w:pos="4800" w:val="left"/>
          <w:tab w:leader="none" w:pos="5340" w:val="left"/>
        </w:tabs>
        <w:rPr>
          <w:sz w:val="20"/>
          <w:szCs w:val="20"/>
          <w:color w:val="auto"/>
        </w:rPr>
      </w:pPr>
      <w:r>
        <w:rPr>
          <w:rFonts w:ascii="Arial" w:cs="Arial" w:eastAsia="Arial" w:hAnsi="Arial"/>
          <w:sz w:val="18"/>
          <w:szCs w:val="18"/>
          <w:color w:val="auto"/>
        </w:rPr>
        <w:t>Date: March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3395345</wp:posOffset>
            </wp:positionH>
            <wp:positionV relativeFrom="paragraph">
              <wp:posOffset>31750</wp:posOffset>
            </wp:positionV>
            <wp:extent cx="3068955"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01">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80"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0740"/>
          </w:cols>
          <w:pgMar w:left="340" w:top="1124" w:right="81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76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60" w:hanging="327"/>
        <w:spacing w:after="0" w:line="308" w:lineRule="auto"/>
        <w:tabs>
          <w:tab w:leader="none" w:pos="554"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30,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820" w:val="left"/>
          <w:tab w:leader="none" w:pos="5400" w:val="left"/>
        </w:tabs>
        <w:rPr>
          <w:sz w:val="20"/>
          <w:szCs w:val="20"/>
          <w:color w:val="auto"/>
        </w:rPr>
      </w:pPr>
      <w:r>
        <w:rPr>
          <w:rFonts w:ascii="Arial" w:cs="Arial" w:eastAsia="Arial" w:hAnsi="Arial"/>
          <w:sz w:val="18"/>
          <w:szCs w:val="18"/>
          <w:color w:val="auto"/>
        </w:rPr>
        <w:t>Date: March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02">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3"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400"/>
        <w:spacing w:after="0" w:line="308"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60" w:hanging="327"/>
        <w:spacing w:after="0" w:line="308" w:lineRule="auto"/>
        <w:tabs>
          <w:tab w:leader="none" w:pos="554"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30,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820" w:val="left"/>
          <w:tab w:leader="none" w:pos="5400" w:val="left"/>
        </w:tabs>
        <w:rPr>
          <w:sz w:val="20"/>
          <w:szCs w:val="20"/>
          <w:color w:val="auto"/>
        </w:rPr>
      </w:pPr>
      <w:r>
        <w:rPr>
          <w:rFonts w:ascii="Arial" w:cs="Arial" w:eastAsia="Arial" w:hAnsi="Arial"/>
          <w:sz w:val="18"/>
          <w:szCs w:val="18"/>
          <w:color w:val="auto"/>
        </w:rPr>
        <w:t>Date: March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03">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3"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D1D5AE9"/>
    <w:multiLevelType w:val="hybridMultilevel"/>
    <w:lvl w:ilvl="0">
      <w:lvlJc w:val="left"/>
      <w:lvlText w:val="☒"/>
      <w:numFmt w:val="bullet"/>
      <w:start w:val="1"/>
    </w:lvl>
  </w:abstractNum>
  <w:abstractNum w:abstractNumId="1">
    <w:nsid w:val="6763845E"/>
    <w:multiLevelType w:val="hybridMultilevel"/>
    <w:lvl w:ilvl="0">
      <w:lvlJc w:val="left"/>
      <w:lvlText w:val="☐"/>
      <w:numFmt w:val="bullet"/>
      <w:start w:val="1"/>
    </w:lvl>
  </w:abstractNum>
  <w:abstractNum w:abstractNumId="2">
    <w:nsid w:val="75A2A8D4"/>
    <w:multiLevelType w:val="hybridMultilevel"/>
    <w:lvl w:ilvl="0">
      <w:lvlJc w:val="left"/>
      <w:lvlText w:val="•"/>
      <w:numFmt w:val="bullet"/>
      <w:start w:val="1"/>
    </w:lvl>
  </w:abstractNum>
  <w:abstractNum w:abstractNumId="3">
    <w:nsid w:val="8EDBDAB"/>
    <w:multiLevelType w:val="hybridMultilevel"/>
    <w:lvl w:ilvl="0">
      <w:lvlJc w:val="left"/>
      <w:lvlText w:val="(%1)"/>
      <w:numFmt w:val="decimal"/>
      <w:start w:val="441"/>
    </w:lvl>
  </w:abstractNum>
  <w:abstractNum w:abstractNumId="4">
    <w:nsid w:val="79838CB2"/>
    <w:multiLevelType w:val="hybridMultilevel"/>
    <w:lvl w:ilvl="0">
      <w:lvlJc w:val="left"/>
      <w:lvlText w:val="**"/>
      <w:numFmt w:val="bullet"/>
      <w:start w:val="1"/>
    </w:lvl>
  </w:abstractNum>
  <w:abstractNum w:abstractNumId="5">
    <w:nsid w:val="4353D0CD"/>
    <w:multiLevelType w:val="hybridMultilevel"/>
    <w:lvl w:ilvl="0">
      <w:lvlJc w:val="left"/>
      <w:lvlText w:val="•"/>
      <w:numFmt w:val="bullet"/>
      <w:start w:val="1"/>
    </w:lvl>
  </w:abstractNum>
  <w:abstractNum w:abstractNumId="6">
    <w:nsid w:val="B03E0C6"/>
    <w:multiLevelType w:val="hybridMultilevel"/>
    <w:lvl w:ilvl="0">
      <w:lvlJc w:val="left"/>
      <w:lvlText w:val="•"/>
      <w:numFmt w:val="bullet"/>
      <w:start w:val="1"/>
    </w:lvl>
  </w:abstractNum>
  <w:abstractNum w:abstractNumId="7">
    <w:nsid w:val="189A769B"/>
    <w:multiLevelType w:val="hybridMultilevel"/>
    <w:lvl w:ilvl="0">
      <w:lvlJc w:val="left"/>
      <w:lvlText w:val="•"/>
      <w:numFmt w:val="bullet"/>
      <w:start w:val="1"/>
    </w:lvl>
  </w:abstractNum>
  <w:abstractNum w:abstractNumId="8">
    <w:nsid w:val="54E49EB4"/>
    <w:multiLevelType w:val="hybridMultilevel"/>
    <w:lvl w:ilvl="0">
      <w:lvlJc w:val="left"/>
      <w:lvlText w:val="•"/>
      <w:numFmt w:val="bullet"/>
      <w:start w:val="1"/>
    </w:lvl>
  </w:abstractNum>
  <w:abstractNum w:abstractNumId="9">
    <w:nsid w:val="71F32454"/>
    <w:multiLevelType w:val="hybridMultilevel"/>
    <w:lvl w:ilvl="0">
      <w:lvlJc w:val="left"/>
      <w:lvlText w:val="•"/>
      <w:numFmt w:val="bullet"/>
      <w:start w:val="1"/>
    </w:lvl>
  </w:abstractNum>
  <w:abstractNum w:abstractNumId="10">
    <w:nsid w:val="2CA88611"/>
    <w:multiLevelType w:val="hybridMultilevel"/>
    <w:lvl w:ilvl="0">
      <w:lvlJc w:val="left"/>
      <w:lvlText w:val="•"/>
      <w:numFmt w:val="bullet"/>
      <w:start w:val="1"/>
    </w:lvl>
  </w:abstractNum>
  <w:abstractNum w:abstractNumId="11">
    <w:nsid w:val="836C40E"/>
    <w:multiLevelType w:val="hybridMultilevel"/>
    <w:lvl w:ilvl="0">
      <w:lvlJc w:val="left"/>
      <w:lvlText w:val="•"/>
      <w:numFmt w:val="bullet"/>
      <w:start w:val="1"/>
    </w:lvl>
  </w:abstractNum>
  <w:abstractNum w:abstractNumId="12">
    <w:nsid w:val="2901D82"/>
    <w:multiLevelType w:val="hybridMultilevel"/>
    <w:lvl w:ilvl="0">
      <w:lvlJc w:val="left"/>
      <w:lvlText w:val="•"/>
      <w:numFmt w:val="bullet"/>
      <w:start w:val="1"/>
    </w:lvl>
  </w:abstractNum>
  <w:abstractNum w:abstractNumId="13">
    <w:nsid w:val="3A95F874"/>
    <w:multiLevelType w:val="hybridMultilevel"/>
    <w:lvl w:ilvl="0">
      <w:lvlJc w:val="left"/>
      <w:lvlText w:val="•"/>
      <w:numFmt w:val="bullet"/>
      <w:start w:val="1"/>
    </w:lvl>
  </w:abstractNum>
  <w:abstractNum w:abstractNumId="14">
    <w:nsid w:val="8138641"/>
    <w:multiLevelType w:val="hybridMultilevel"/>
    <w:lvl w:ilvl="0">
      <w:lvlJc w:val="left"/>
      <w:lvlText w:val="•"/>
      <w:numFmt w:val="bullet"/>
      <w:start w:val="1"/>
    </w:lvl>
  </w:abstractNum>
  <w:abstractNum w:abstractNumId="15">
    <w:nsid w:val="1E7FF521"/>
    <w:multiLevelType w:val="hybridMultilevel"/>
    <w:lvl w:ilvl="0">
      <w:lvlJc w:val="left"/>
      <w:lvlText w:val="•"/>
      <w:numFmt w:val="bullet"/>
      <w:start w:val="1"/>
    </w:lvl>
  </w:abstractNum>
  <w:abstractNum w:abstractNumId="16">
    <w:nsid w:val="7C3DBD3D"/>
    <w:multiLevelType w:val="hybridMultilevel"/>
    <w:lvl w:ilvl="0">
      <w:lvlJc w:val="left"/>
      <w:lvlText w:val="•"/>
      <w:numFmt w:val="bullet"/>
      <w:start w:val="1"/>
    </w:lvl>
  </w:abstractNum>
  <w:abstractNum w:abstractNumId="17">
    <w:nsid w:val="737B8DDC"/>
    <w:multiLevelType w:val="hybridMultilevel"/>
    <w:lvl w:ilvl="0">
      <w:lvlJc w:val="left"/>
      <w:lvlText w:val="•"/>
      <w:numFmt w:val="bullet"/>
      <w:start w:val="1"/>
    </w:lvl>
  </w:abstractNum>
  <w:abstractNum w:abstractNumId="18">
    <w:nsid w:val="6CEAF087"/>
    <w:multiLevelType w:val="hybridMultilevel"/>
    <w:lvl w:ilvl="0">
      <w:lvlJc w:val="left"/>
      <w:lvlText w:val="•"/>
      <w:numFmt w:val="bullet"/>
      <w:start w:val="1"/>
    </w:lvl>
  </w:abstractNum>
  <w:abstractNum w:abstractNumId="19">
    <w:nsid w:val="22221A70"/>
    <w:multiLevelType w:val="hybridMultilevel"/>
    <w:lvl w:ilvl="0">
      <w:lvlJc w:val="left"/>
      <w:lvlText w:val="•"/>
      <w:numFmt w:val="bullet"/>
      <w:start w:val="1"/>
    </w:lvl>
  </w:abstractNum>
  <w:abstractNum w:abstractNumId="20">
    <w:nsid w:val="4516DDE9"/>
    <w:multiLevelType w:val="hybridMultilevel"/>
    <w:lvl w:ilvl="0">
      <w:lvlJc w:val="left"/>
      <w:lvlText w:val="(%1)"/>
      <w:numFmt w:val="decimal"/>
      <w:start w:val="1"/>
    </w:lvl>
  </w:abstractNum>
  <w:abstractNum w:abstractNumId="21">
    <w:nsid w:val="3006C83E"/>
    <w:multiLevelType w:val="hybridMultilevel"/>
    <w:lvl w:ilvl="0">
      <w:lvlJc w:val="left"/>
      <w:lvlText w:val="•"/>
      <w:numFmt w:val="bullet"/>
      <w:start w:val="1"/>
    </w:lvl>
  </w:abstractNum>
  <w:abstractNum w:abstractNumId="22">
    <w:nsid w:val="614FD4A1"/>
    <w:multiLevelType w:val="hybridMultilevel"/>
    <w:lvl w:ilvl="0">
      <w:lvlJc w:val="left"/>
      <w:lvlText w:val="•"/>
      <w:numFmt w:val="bullet"/>
      <w:start w:val="1"/>
    </w:lvl>
  </w:abstractNum>
  <w:abstractNum w:abstractNumId="23">
    <w:nsid w:val="419AC241"/>
    <w:multiLevelType w:val="hybridMultilevel"/>
    <w:lvl w:ilvl="0">
      <w:lvlJc w:val="left"/>
      <w:lvlText w:val="(%1)"/>
      <w:numFmt w:val="decimal"/>
      <w:start w:val="1"/>
    </w:lvl>
  </w:abstractNum>
  <w:abstractNum w:abstractNumId="24">
    <w:nsid w:val="5577F8E1"/>
    <w:multiLevelType w:val="hybridMultilevel"/>
    <w:lvl w:ilvl="0">
      <w:lvlJc w:val="left"/>
      <w:lvlText w:val="•"/>
      <w:numFmt w:val="bullet"/>
      <w:start w:val="1"/>
    </w:lvl>
  </w:abstractNum>
  <w:abstractNum w:abstractNumId="25">
    <w:nsid w:val="440BADFC"/>
    <w:multiLevelType w:val="hybridMultilevel"/>
    <w:lvl w:ilvl="0">
      <w:lvlJc w:val="left"/>
      <w:lvlText w:val="•"/>
      <w:numFmt w:val="bullet"/>
      <w:start w:val="1"/>
    </w:lvl>
  </w:abstractNum>
  <w:abstractNum w:abstractNumId="26">
    <w:nsid w:val="5072367"/>
    <w:multiLevelType w:val="hybridMultilevel"/>
    <w:lvl w:ilvl="0">
      <w:lvlJc w:val="left"/>
      <w:lvlText w:val="**"/>
      <w:numFmt w:val="bullet"/>
      <w:start w:val="1"/>
    </w:lvl>
  </w:abstractNum>
  <w:abstractNum w:abstractNumId="27">
    <w:nsid w:val="3804823E"/>
    <w:multiLevelType w:val="hybridMultilevel"/>
    <w:lvl w:ilvl="0">
      <w:lvlJc w:val="left"/>
      <w:lvlText w:val="(%1)"/>
      <w:numFmt w:val="decimal"/>
      <w:start w:val="1"/>
    </w:lvl>
  </w:abstractNum>
  <w:abstractNum w:abstractNumId="28">
    <w:nsid w:val="77465F01"/>
    <w:multiLevelType w:val="hybridMultilevel"/>
    <w:lvl w:ilvl="0">
      <w:lvlJc w:val="left"/>
      <w:lvlText w:val="(%1)"/>
      <w:numFmt w:val="decimal"/>
      <w:start w:val="1"/>
    </w:lvl>
  </w:abstractNum>
  <w:abstractNum w:abstractNumId="29">
    <w:nsid w:val="7724C67E"/>
    <w:multiLevelType w:val="hybridMultilevel"/>
    <w:lvl w:ilvl="0">
      <w:lvlJc w:val="left"/>
      <w:lvlText w:val="(%1)"/>
      <w:numFmt w:val="decimal"/>
      <w:start w:val="1"/>
    </w:lvl>
  </w:abstractNum>
  <w:abstractNum w:abstractNumId="30">
    <w:nsid w:val="5C482A97"/>
    <w:multiLevelType w:val="hybridMultilevel"/>
    <w:lvl w:ilvl="0">
      <w:lvlJc w:val="left"/>
      <w:lvlText w:val="[%1]"/>
      <w:numFmt w:val="decimal"/>
      <w:start w:val="1"/>
    </w:lvl>
  </w:abstractNum>
  <w:abstractNum w:abstractNumId="31">
    <w:nsid w:val="2463B9EA"/>
    <w:multiLevelType w:val="hybridMultilevel"/>
    <w:lvl w:ilvl="0">
      <w:lvlJc w:val="left"/>
      <w:lvlText w:val="•"/>
      <w:numFmt w:val="bullet"/>
      <w:start w:val="1"/>
    </w:lvl>
  </w:abstractNum>
  <w:abstractNum w:abstractNumId="32">
    <w:nsid w:val="5E884ADC"/>
    <w:multiLevelType w:val="hybridMultilevel"/>
    <w:lvl w:ilvl="0">
      <w:lvlJc w:val="left"/>
      <w:lvlText w:val="(%1)"/>
      <w:numFmt w:val="decimal"/>
      <w:start w:val="1"/>
    </w:lvl>
  </w:abstractNum>
  <w:abstractNum w:abstractNumId="33">
    <w:nsid w:val="51EAD36B"/>
    <w:multiLevelType w:val="hybridMultilevel"/>
    <w:lvl w:ilvl="0">
      <w:lvlJc w:val="left"/>
      <w:lvlText w:val="%1."/>
      <w:numFmt w:val="decimal"/>
      <w:start w:val="1"/>
    </w:lvl>
  </w:abstractNum>
  <w:abstractNum w:abstractNumId="34">
    <w:nsid w:val="2D517796"/>
    <w:multiLevelType w:val="hybridMultilevel"/>
    <w:lvl w:ilvl="0">
      <w:lvlJc w:val="left"/>
      <w:lvlText w:val="%1."/>
      <w:numFmt w:val="decimal"/>
      <w:start w:val="2"/>
    </w:lvl>
  </w:abstractNum>
  <w:abstractNum w:abstractNumId="35">
    <w:nsid w:val="580BD78F"/>
    <w:multiLevelType w:val="hybridMultilevel"/>
    <w:lvl w:ilvl="0">
      <w:lvlJc w:val="left"/>
      <w:lvlText w:val="%1."/>
      <w:numFmt w:val="decimal"/>
      <w:start w:val="3"/>
    </w:lvl>
  </w:abstractNum>
  <w:abstractNum w:abstractNumId="36">
    <w:nsid w:val="153EA438"/>
    <w:multiLevelType w:val="hybridMultilevel"/>
    <w:lvl w:ilvl="0">
      <w:lvlJc w:val="left"/>
      <w:lvlText w:val="#"/>
      <w:numFmt w:val="bullet"/>
      <w:start w:val="1"/>
    </w:lvl>
    <w:lvl w:ilvl="1">
      <w:lvlJc w:val="left"/>
      <w:lvlText w:val="%2"/>
      <w:numFmt w:val="decimal"/>
      <w:start w:val="104"/>
    </w:lvl>
  </w:abstractNum>
  <w:abstractNum w:abstractNumId="37">
    <w:nsid w:val="3855585C"/>
    <w:multiLevelType w:val="hybridMultilevel"/>
    <w:lvl w:ilvl="0">
      <w:lvlJc w:val="left"/>
      <w:lvlText w:val="*"/>
      <w:numFmt w:val="bullet"/>
      <w:start w:val="1"/>
    </w:lvl>
  </w:abstractNum>
  <w:abstractNum w:abstractNumId="38">
    <w:nsid w:val="70A64E2A"/>
    <w:multiLevelType w:val="hybridMultilevel"/>
    <w:lvl w:ilvl="0">
      <w:lvlJc w:val="left"/>
      <w:lvlText w:val="(%1)"/>
      <w:numFmt w:val="decimal"/>
      <w:start w:val="1"/>
    </w:lvl>
  </w:abstractNum>
  <w:abstractNum w:abstractNumId="39">
    <w:nsid w:val="6A2342EC"/>
    <w:multiLevelType w:val="hybridMultilevel"/>
    <w:lvl w:ilvl="0">
      <w:lvlJc w:val="left"/>
      <w:lvlText w:val="%1."/>
      <w:numFmt w:val="decimal"/>
      <w:start w:val="1"/>
    </w:lvl>
    <w:lvl w:ilvl="1">
      <w:lvlJc w:val="left"/>
      <w:lvlText w:val="%2)"/>
      <w:numFmt w:val="lowerLetter"/>
      <w:start w:val="1"/>
    </w:lvl>
  </w:abstractNum>
  <w:abstractNum w:abstractNumId="40">
    <w:nsid w:val="2A487CB0"/>
    <w:multiLevelType w:val="hybridMultilevel"/>
    <w:lvl w:ilvl="0">
      <w:lvlJc w:val="left"/>
      <w:lvlText w:val="%1)"/>
      <w:numFmt w:val="lowerLetter"/>
      <w:start w:val="2"/>
    </w:lvl>
  </w:abstractNum>
  <w:abstractNum w:abstractNumId="41">
    <w:nsid w:val="1D4ED43B"/>
    <w:multiLevelType w:val="hybridMultilevel"/>
    <w:lvl w:ilvl="0">
      <w:lvlJc w:val="left"/>
      <w:lvlText w:val="%1."/>
      <w:numFmt w:val="decimal"/>
      <w:start w:val="1"/>
    </w:lvl>
    <w:lvl w:ilvl="1">
      <w:lvlJc w:val="left"/>
      <w:lvlText w:val="%2)"/>
      <w:numFmt w:val="lowerLetter"/>
      <w:start w:val="1"/>
    </w:lvl>
  </w:abstractNum>
  <w:abstractNum w:abstractNumId="42">
    <w:nsid w:val="725A06FB"/>
    <w:multiLevelType w:val="hybridMultilevel"/>
    <w:lvl w:ilvl="0">
      <w:lvlJc w:val="left"/>
      <w:lvlText w:val="%1)"/>
      <w:numFmt w:val="lowerLetter"/>
      <w:start w:val="2"/>
    </w:lvl>
  </w:abstractNum>
  <w:abstractNum w:abstractNumId="43">
    <w:nsid w:val="2CD89A32"/>
    <w:multiLevelType w:val="hybridMultilevel"/>
    <w:lvl w:ilvl="0">
      <w:lvlJc w:val="left"/>
      <w:lvlText w:val="(%1)"/>
      <w:numFmt w:val="lowerRoman"/>
      <w:start w:val="1"/>
    </w:lvl>
  </w:abstractNum>
  <w:abstractNum w:abstractNumId="44">
    <w:nsid w:val="57E4CCAF"/>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jpe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37" Type="http://schemas.openxmlformats.org/officeDocument/2006/relationships/image" Target="media/image120.png"/><Relationship Id="rId138" Type="http://schemas.openxmlformats.org/officeDocument/2006/relationships/image" Target="media/image121.png"/><Relationship Id="rId152" Type="http://schemas.openxmlformats.org/officeDocument/2006/relationships/image" Target="media/image122.png"/><Relationship Id="rId172" Type="http://schemas.openxmlformats.org/officeDocument/2006/relationships/image" Target="media/image123.png"/><Relationship Id="rId173" Type="http://schemas.openxmlformats.org/officeDocument/2006/relationships/image" Target="media/image124.png"/><Relationship Id="rId183" Type="http://schemas.openxmlformats.org/officeDocument/2006/relationships/image" Target="media/image125.png"/><Relationship Id="rId184" Type="http://schemas.openxmlformats.org/officeDocument/2006/relationships/image" Target="media/image126.png"/><Relationship Id="rId185" Type="http://schemas.openxmlformats.org/officeDocument/2006/relationships/image" Target="media/image127.png"/><Relationship Id="rId186" Type="http://schemas.openxmlformats.org/officeDocument/2006/relationships/image" Target="media/image128.png"/><Relationship Id="rId187" Type="http://schemas.openxmlformats.org/officeDocument/2006/relationships/image" Target="media/image129.png"/><Relationship Id="rId188" Type="http://schemas.openxmlformats.org/officeDocument/2006/relationships/image" Target="media/image130.png"/><Relationship Id="rId189" Type="http://schemas.openxmlformats.org/officeDocument/2006/relationships/image" Target="media/image131.png"/><Relationship Id="rId190" Type="http://schemas.openxmlformats.org/officeDocument/2006/relationships/image" Target="media/image132.png"/><Relationship Id="rId191" Type="http://schemas.openxmlformats.org/officeDocument/2006/relationships/image" Target="media/image133.png"/><Relationship Id="rId192" Type="http://schemas.openxmlformats.org/officeDocument/2006/relationships/image" Target="media/image134.png"/><Relationship Id="rId193" Type="http://schemas.openxmlformats.org/officeDocument/2006/relationships/image" Target="media/image135.png"/><Relationship Id="rId194" Type="http://schemas.openxmlformats.org/officeDocument/2006/relationships/image" Target="media/image136.png"/><Relationship Id="rId195" Type="http://schemas.openxmlformats.org/officeDocument/2006/relationships/image" Target="media/image137.png"/><Relationship Id="rId196" Type="http://schemas.openxmlformats.org/officeDocument/2006/relationships/image" Target="media/image138.png"/><Relationship Id="rId197" Type="http://schemas.openxmlformats.org/officeDocument/2006/relationships/image" Target="media/image139.png"/><Relationship Id="rId198" Type="http://schemas.openxmlformats.org/officeDocument/2006/relationships/image" Target="media/image140.png"/><Relationship Id="rId199" Type="http://schemas.openxmlformats.org/officeDocument/2006/relationships/image" Target="media/image141.png"/><Relationship Id="rId200" Type="http://schemas.openxmlformats.org/officeDocument/2006/relationships/image" Target="media/image142.png"/><Relationship Id="rId201" Type="http://schemas.openxmlformats.org/officeDocument/2006/relationships/image" Target="media/image143.png"/><Relationship Id="rId202" Type="http://schemas.openxmlformats.org/officeDocument/2006/relationships/image" Target="media/image144.png"/><Relationship Id="rId203" Type="http://schemas.openxmlformats.org/officeDocument/2006/relationships/image" Target="media/image145.png"/><Relationship Id="rId127" Type="http://schemas.openxmlformats.org/officeDocument/2006/relationships/hyperlink" Target="http://www.sec.gov/Archives/edgar/data/1058057/000119312517348220/d454219dex21.htm" TargetMode="External"/><Relationship Id="rId128" Type="http://schemas.openxmlformats.org/officeDocument/2006/relationships/hyperlink" Target="http://www.sec.gov/Archives/edgar/data/1058057/000105805719000024/q22010q08032019exhibit21.htm" TargetMode="External"/><Relationship Id="rId129" Type="http://schemas.openxmlformats.org/officeDocument/2006/relationships/hyperlink" Target="http://www.sec.gov/Archives/edgar/data/1058057/000119312520282762/d42915dex21.htm" TargetMode="External"/><Relationship Id="rId130" Type="http://schemas.openxmlformats.org/officeDocument/2006/relationships/hyperlink" Target="http://www.sec.gov/Archives/edgar/data/1058057/000105805718000009/mrvl203201810kexhibit31.htm" TargetMode="External"/><Relationship Id="rId131" Type="http://schemas.openxmlformats.org/officeDocument/2006/relationships/hyperlink" Target="http://www.sec.gov/Archives/edgar/data/1058057/000119312516765958/d278571dex31.htm" TargetMode="External"/><Relationship Id="rId132" Type="http://schemas.openxmlformats.org/officeDocument/2006/relationships/hyperlink" Target="http://www.sec.gov/Archives/edgar/data/1058057/000105805718000015/q11910q05052018exhibit35.htm" TargetMode="External"/><Relationship Id="rId133" Type="http://schemas.openxmlformats.org/officeDocument/2006/relationships/hyperlink" Target="http://www.sec.gov/Archives/edgar/data/1058057/000105805718000015/q11910q05052018exhibit32.htm" TargetMode="External"/><Relationship Id="rId134" Type="http://schemas.openxmlformats.org/officeDocument/2006/relationships/hyperlink" Target="http://www.sec.gov/Archives/edgar/data/1058057/000105805718000015/q11910q05052018exhibit34.htm" TargetMode="External"/><Relationship Id="rId135" Type="http://schemas.openxmlformats.org/officeDocument/2006/relationships/hyperlink" Target="http://www.sec.gov/Archives/edgar/data/1058057/000105805718000009/mrvl20320810kexhibit41.htm" TargetMode="External"/><Relationship Id="rId136" Type="http://schemas.openxmlformats.org/officeDocument/2006/relationships/hyperlink" Target="http://www.sec.gov/Archives/edgar/data/1058057/000119312518201053/d583855dex41.htm" TargetMode="External"/><Relationship Id="rId139" Type="http://schemas.openxmlformats.org/officeDocument/2006/relationships/hyperlink" Target="http://www.sec.gov/Archives/edgar/data/1058057/000119312518201053/d583855dex42.htm" TargetMode="External"/><Relationship Id="rId140" Type="http://schemas.openxmlformats.org/officeDocument/2006/relationships/hyperlink" Target="https://www.sec.gov/Archives/edgar/data/0001058057/000105805720000014/mrvl-212020exhibit46.htm" TargetMode="External"/><Relationship Id="rId141" Type="http://schemas.openxmlformats.org/officeDocument/2006/relationships/hyperlink" Target="http://www.sec.gov/Archives/edgar/data/1058057/000119312511327713/d242470dex101.htm" TargetMode="External"/><Relationship Id="rId142" Type="http://schemas.openxmlformats.org/officeDocument/2006/relationships/hyperlink" Target="https://www.sec.gov/Archives/edgar/data/1058057/000105805720000061/mrvl-10312020exhibit103.htm" TargetMode="External"/><Relationship Id="rId143" Type="http://schemas.openxmlformats.org/officeDocument/2006/relationships/hyperlink" Target="https://www.sec.gov/Archives/edgar/data/1058057/000105805720000061/mrvl-10312020exhibit101.htm" TargetMode="External"/><Relationship Id="rId144" Type="http://schemas.openxmlformats.org/officeDocument/2006/relationships/hyperlink" Target="https://www.sec.gov/Archives/edgar/data/1058057/000105805720000061/mrvl-10312020exhibit102.htm" TargetMode="External"/><Relationship Id="rId145" Type="http://schemas.openxmlformats.org/officeDocument/2006/relationships/hyperlink" Target="http://www.sec.gov/Archives/edgar/data/1058057/000119312513380091/d603994dex102.htm" TargetMode="External"/><Relationship Id="rId146" Type="http://schemas.openxmlformats.org/officeDocument/2006/relationships/hyperlink" Target="http://www.sec.gov/Archives/edgar/data/1058057/000119312510204896/dex104.htm" TargetMode="External"/><Relationship Id="rId147" Type="http://schemas.openxmlformats.org/officeDocument/2006/relationships/hyperlink" Target="http://www.sec.gov/Archives/edgar/data/1058057/000119312514227243/d713602dex102.htm" TargetMode="External"/><Relationship Id="rId148" Type="http://schemas.openxmlformats.org/officeDocument/2006/relationships/hyperlink" Target="http://www.sec.gov/Archives/edgar/data/1058057/000105805718000009/mrvl-2032018x10kexhibit103.htm" TargetMode="External"/><Relationship Id="rId149" Type="http://schemas.openxmlformats.org/officeDocument/2006/relationships/hyperlink" Target="http://www.sec.gov/Archives/edgar/data/1058057/000105805719000018/q120_10qx05042019exhibit103.htm" TargetMode="External"/><Relationship Id="rId150" Type="http://schemas.openxmlformats.org/officeDocument/2006/relationships/hyperlink" Target="http://www.sec.gov/Archives/edgar/data/1058057/000105805719000018/q120_10qx05042019exhibit101.htm" TargetMode="External"/><Relationship Id="rId151" Type="http://schemas.openxmlformats.org/officeDocument/2006/relationships/hyperlink" Target="http://www.sec.gov/Archives/edgar/data/1058057/000105805719000032/q32010q11022019exhibit107.htm" TargetMode="External"/><Relationship Id="rId153" Type="http://schemas.openxmlformats.org/officeDocument/2006/relationships/hyperlink" Target="http://www.sec.gov/Archives/edgar/data/1058057/000119312515243540/d62221dex101.htm" TargetMode="External"/><Relationship Id="rId154" Type="http://schemas.openxmlformats.org/officeDocument/2006/relationships/hyperlink" Target="http://www.sec.gov/Archives/edgar/data/1058057/000110465908063699/a08-25114_1ex10d1.htm" TargetMode="External"/><Relationship Id="rId155" Type="http://schemas.openxmlformats.org/officeDocument/2006/relationships/hyperlink" Target="http://www.sec.gov/Archives/edgar/data/1058057/000119312511057746/dex101.htm" TargetMode="External"/><Relationship Id="rId156" Type="http://schemas.openxmlformats.org/officeDocument/2006/relationships/hyperlink" Target="http://www.sec.gov/Archives/edgar/data/1058057/000119312516626575/d215915dex101.htm" TargetMode="External"/><Relationship Id="rId157" Type="http://schemas.openxmlformats.org/officeDocument/2006/relationships/hyperlink" Target="https://www.sec.gov/Archives/edgar/data/1058057/000105805720000061/mrvl-10312020exhibit106.htm" TargetMode="External"/><Relationship Id="rId158" Type="http://schemas.openxmlformats.org/officeDocument/2006/relationships/hyperlink" Target="https://www.sec.gov/Archives/edgar/data/1058057/000105805720000046/mrvl-8012020exhibit101.htm" TargetMode="External"/><Relationship Id="rId159" Type="http://schemas.openxmlformats.org/officeDocument/2006/relationships/hyperlink" Target="http://www.sec.gov/Archives/edgar/data/1058057/000119312516705222/d240868dex103.htm" TargetMode="External"/><Relationship Id="rId160" Type="http://schemas.openxmlformats.org/officeDocument/2006/relationships/hyperlink" Target="http://www.sec.gov/Archives/edgar/data/1058057/000119312516705222/d240868dex105.htm" TargetMode="External"/><Relationship Id="rId161" Type="http://schemas.openxmlformats.org/officeDocument/2006/relationships/hyperlink" Target="http://www.sec.gov/Archives/edgar/data/1058057/000119312516688737/d226316dex101.htm" TargetMode="External"/><Relationship Id="rId162" Type="http://schemas.openxmlformats.org/officeDocument/2006/relationships/hyperlink" Target="http://www.sec.gov/Archives/edgar/data/1058057/000162828017002968/mrvl-1282017x10kexhibit1023.htm" TargetMode="External"/><Relationship Id="rId163" Type="http://schemas.openxmlformats.org/officeDocument/2006/relationships/hyperlink" Target="http://www.sec.gov/Archives/edgar/data/1058057/000105805718000020/raghibofferletterfinal-exh.htm" TargetMode="External"/><Relationship Id="rId164" Type="http://schemas.openxmlformats.org/officeDocument/2006/relationships/hyperlink" Target="http://www.sec.gov/Archives/edgar/data/1058057/000119312518209685/d845997dex101.htm" TargetMode="External"/><Relationship Id="rId165" Type="http://schemas.openxmlformats.org/officeDocument/2006/relationships/hyperlink" Target="http://www.sec.gov/Archives/edgar/data/1058057/000119312518191035/d604139dex101.htm" TargetMode="External"/><Relationship Id="rId166" Type="http://schemas.openxmlformats.org/officeDocument/2006/relationships/hyperlink" Target="https://www.sec.gov/Archives/edgar/data/1058057/000105805720000030/mrvl-5022020exhibit101.htm" TargetMode="External"/><Relationship Id="rId167" Type="http://schemas.openxmlformats.org/officeDocument/2006/relationships/hyperlink" Target="http://www.sec.gov/Archives/edgar/data/1058057/000119312519166129/d50238dex991.htm" TargetMode="External"/><Relationship Id="rId168" Type="http://schemas.openxmlformats.org/officeDocument/2006/relationships/hyperlink" Target="http://www.sec.gov/Archives/edgar/data/1058057/000105805719000032/q32010q11022019exhibit101.htm" TargetMode="External"/><Relationship Id="rId169" Type="http://schemas.openxmlformats.org/officeDocument/2006/relationships/hyperlink" Target="http://www.sec.gov/Archives/edgar/data/1058057/000105805719000032/q32010q11022019exhibit102.htm" TargetMode="External"/><Relationship Id="rId170" Type="http://schemas.openxmlformats.org/officeDocument/2006/relationships/hyperlink" Target="http://www.sec.gov/Archives/edgar/data/1058057/000105805719000032/q32010q11022019exhibit103.htm" TargetMode="External"/><Relationship Id="rId171" Type="http://schemas.openxmlformats.org/officeDocument/2006/relationships/hyperlink" Target="http://www.sec.gov/Archives/edgar/data/1058057/000105805719000032/q32010q11022019exhibit104.htm" TargetMode="External"/><Relationship Id="rId174" Type="http://schemas.openxmlformats.org/officeDocument/2006/relationships/hyperlink" Target="http://www.sec.gov/Archives/edgar/data/1058057/000105805719000032/q32010q11022019exhibit105.htm" TargetMode="External"/><Relationship Id="rId175" Type="http://schemas.openxmlformats.org/officeDocument/2006/relationships/hyperlink" Target="http://www.sec.gov/Archives/edgar/data/1058057/000105805719000032/q32010q11022019exhibit106.htm" TargetMode="External"/><Relationship Id="rId176" Type="http://schemas.openxmlformats.org/officeDocument/2006/relationships/hyperlink" Target="http://www.sec.gov/Archives/edgar/data/1058057/000105805719000032/q32010q11022019exhibit.htm" TargetMode="External"/><Relationship Id="rId177" Type="http://schemas.openxmlformats.org/officeDocument/2006/relationships/hyperlink" Target="http://www.sec.gov/Archives/edgar/data/1058057/000119312519284220/d815676dex101.htm" TargetMode="External"/><Relationship Id="rId178" Type="http://schemas.openxmlformats.org/officeDocument/2006/relationships/hyperlink" Target="https://www.sec.gov/Archives/edgar/data/1058057/000119312520282762/d42915dex101.htm" TargetMode="External"/><Relationship Id="rId179" Type="http://schemas.openxmlformats.org/officeDocument/2006/relationships/hyperlink" Target="https://www.sec.gov/Archives/edgar/data/1058057/000119312520282762/d42915dex102.htm" TargetMode="External"/><Relationship Id="rId180" Type="http://schemas.openxmlformats.org/officeDocument/2006/relationships/hyperlink" Target="https://www.sec.gov/Archives/edgar/data/1058057/000119312520312706/d84972dex101.htm" TargetMode="External"/><Relationship Id="rId181" Type="http://schemas.openxmlformats.org/officeDocument/2006/relationships/hyperlink" Target="https://www.sec.gov/Archives/edgar/data/1058057/000119312520312706/d84972dex102.htm" TargetMode="External"/><Relationship Id="rId182" Type="http://schemas.openxmlformats.org/officeDocument/2006/relationships/hyperlink" Target="https://www.sec.gov/Archives/edgar/data/1058057/000119312520312706/d84972dex103.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2021-03-16T15:39:52Z</dcterms:created>
  <dcterms:modified xsi:type="dcterms:W3CDTF">2021-03-16T15:39:52Z</dcterms:modified>
</cp:coreProperties>
</file>