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52374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23748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3">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3">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86"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03/15/2021</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0"/>
          <w:szCs w:val="20"/>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347"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75"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Pr>
          <w:p>
            <w:pPr>
              <w:spacing w:after="0"/>
              <w:rPr>
                <w:sz w:val="22"/>
                <w:szCs w:val="22"/>
                <w:color w:val="auto"/>
              </w:rPr>
            </w:pPr>
          </w:p>
        </w:tc>
        <w:tc>
          <w:tcPr>
            <w:tcW w:w="1780" w:type="dxa"/>
            <w:vAlign w:val="bottom"/>
            <w:gridSpan w:val="3"/>
            <w:vMerge w:val="restart"/>
          </w:tcPr>
          <w:p>
            <w:pPr>
              <w:ind w:left="800"/>
              <w:spacing w:after="0"/>
              <w:rPr>
                <w:sz w:val="20"/>
                <w:szCs w:val="20"/>
                <w:color w:val="auto"/>
              </w:rPr>
            </w:pPr>
            <w:r>
              <w:rPr>
                <w:rFonts w:ascii="Arial" w:cs="Arial" w:eastAsia="Arial" w:hAnsi="Arial"/>
                <w:sz w:val="17"/>
                <w:szCs w:val="17"/>
                <w:color w:val="0000FF"/>
              </w:rPr>
              <w:t>03/15/2021</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20" w:type="dxa"/>
            <w:vAlign w:val="bottom"/>
            <w:vMerge w:val="restart"/>
          </w:tcPr>
          <w:p>
            <w:pPr>
              <w:jc w:val="center"/>
              <w:ind w:right="319"/>
              <w:spacing w:after="0"/>
              <w:rPr>
                <w:sz w:val="20"/>
                <w:szCs w:val="20"/>
                <w:color w:val="auto"/>
              </w:rPr>
            </w:pPr>
            <w:r>
              <w:rPr>
                <w:rFonts w:ascii="Arial" w:cs="Arial" w:eastAsia="Arial" w:hAnsi="Arial"/>
                <w:sz w:val="13"/>
                <w:szCs w:val="13"/>
                <w:color w:val="0000FF"/>
                <w:w w:val="91"/>
              </w:rPr>
              <w:t>S</w:t>
            </w:r>
          </w:p>
        </w:tc>
        <w:tc>
          <w:tcPr>
            <w:tcW w:w="760" w:type="dxa"/>
            <w:vAlign w:val="bottom"/>
            <w:vMerge w:val="restart"/>
          </w:tcPr>
          <w:p>
            <w:pPr>
              <w:jc w:val="center"/>
              <w:ind w:right="32"/>
              <w:spacing w:after="0"/>
              <w:rPr>
                <w:sz w:val="20"/>
                <w:szCs w:val="20"/>
                <w:color w:val="auto"/>
              </w:rPr>
            </w:pPr>
            <w:r>
              <w:rPr>
                <w:rFonts w:ascii="Arial" w:cs="Arial" w:eastAsia="Arial" w:hAnsi="Arial"/>
                <w:sz w:val="17"/>
                <w:szCs w:val="17"/>
                <w:color w:val="0000FF"/>
              </w:rPr>
              <w:t>7,303</w:t>
            </w:r>
            <w:r>
              <w:rPr>
                <w:rFonts w:ascii="Arial" w:cs="Arial" w:eastAsia="Arial" w:hAnsi="Arial"/>
                <w:sz w:val="22"/>
                <w:szCs w:val="22"/>
                <w:color w:val="008000"/>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47.88</w:t>
            </w:r>
            <w:r>
              <w:rPr>
                <w:rFonts w:ascii="Arial" w:cs="Arial" w:eastAsia="Arial" w:hAnsi="Arial"/>
                <w:sz w:val="22"/>
                <w:szCs w:val="22"/>
                <w:color w:val="008000"/>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275,025</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8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820" w:type="dxa"/>
            <w:vAlign w:val="bottom"/>
            <w:tcBorders>
              <w:bottom w:val="single" w:sz="8" w:color="2C2C2C"/>
            </w:tcBorders>
          </w:tcPr>
          <w:p>
            <w:pPr>
              <w:spacing w:after="0"/>
              <w:rPr>
                <w:sz w:val="9"/>
                <w:szCs w:val="9"/>
                <w:color w:val="auto"/>
              </w:rPr>
            </w:pPr>
          </w:p>
        </w:tc>
        <w:tc>
          <w:tcPr>
            <w:tcW w:w="1340" w:type="dxa"/>
            <w:vAlign w:val="bottom"/>
            <w:tcBorders>
              <w:bottom w:val="single" w:sz="8" w:color="2C2C2C"/>
            </w:tcBorders>
          </w:tcPr>
          <w:p>
            <w:pPr>
              <w:spacing w:after="0"/>
              <w:rPr>
                <w:sz w:val="9"/>
                <w:szCs w:val="9"/>
                <w:color w:val="auto"/>
              </w:rPr>
            </w:pPr>
          </w:p>
        </w:tc>
        <w:tc>
          <w:tcPr>
            <w:tcW w:w="20" w:type="dxa"/>
            <w:vAlign w:val="bottom"/>
            <w:tcBorders>
              <w:bottom w:val="single" w:sz="8" w:color="2C2C2C"/>
            </w:tcBorders>
          </w:tcPr>
          <w:p>
            <w:pPr>
              <w:spacing w:after="0"/>
              <w:rPr>
                <w:sz w:val="9"/>
                <w:szCs w:val="9"/>
                <w:color w:val="auto"/>
              </w:rPr>
            </w:pPr>
          </w:p>
        </w:tc>
        <w:tc>
          <w:tcPr>
            <w:tcW w:w="420" w:type="dxa"/>
            <w:vAlign w:val="bottom"/>
            <w:tcBorders>
              <w:bottom w:val="single" w:sz="8" w:color="2C2C2C"/>
            </w:tcBorders>
          </w:tcPr>
          <w:p>
            <w:pPr>
              <w:spacing w:after="0"/>
              <w:rPr>
                <w:sz w:val="9"/>
                <w:szCs w:val="9"/>
                <w:color w:val="auto"/>
              </w:rPr>
            </w:pPr>
          </w:p>
        </w:tc>
        <w:tc>
          <w:tcPr>
            <w:tcW w:w="420" w:type="dxa"/>
            <w:vAlign w:val="bottom"/>
            <w:tcBorders>
              <w:bottom w:val="single" w:sz="8" w:color="2C2C2C"/>
            </w:tcBorders>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82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440" w:type="dxa"/>
            <w:vAlign w:val="bottom"/>
            <w:tcBorders>
              <w:bottom w:val="single" w:sz="8" w:color="2C2C2C"/>
            </w:tcBorders>
          </w:tcPr>
          <w:p>
            <w:pPr>
              <w:spacing w:after="0"/>
              <w:rPr>
                <w:sz w:val="9"/>
                <w:szCs w:val="9"/>
                <w:color w:val="auto"/>
              </w:rPr>
            </w:pPr>
          </w:p>
        </w:tc>
        <w:tc>
          <w:tcPr>
            <w:tcW w:w="54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4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92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Pr>
          <w:p>
            <w:pPr>
              <w:spacing w:after="0"/>
              <w:rPr>
                <w:sz w:val="22"/>
                <w:szCs w:val="22"/>
                <w:color w:val="auto"/>
              </w:rPr>
            </w:pPr>
          </w:p>
        </w:tc>
        <w:tc>
          <w:tcPr>
            <w:tcW w:w="1780" w:type="dxa"/>
            <w:vAlign w:val="bottom"/>
            <w:gridSpan w:val="3"/>
            <w:vMerge w:val="restart"/>
          </w:tcPr>
          <w:p>
            <w:pPr>
              <w:ind w:left="800"/>
              <w:spacing w:after="0"/>
              <w:rPr>
                <w:sz w:val="20"/>
                <w:szCs w:val="20"/>
                <w:color w:val="auto"/>
              </w:rPr>
            </w:pPr>
            <w:r>
              <w:rPr>
                <w:rFonts w:ascii="Arial" w:cs="Arial" w:eastAsia="Arial" w:hAnsi="Arial"/>
                <w:sz w:val="17"/>
                <w:szCs w:val="17"/>
                <w:color w:val="0000FF"/>
              </w:rPr>
              <w:t>03/15/2021</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20" w:type="dxa"/>
            <w:vAlign w:val="bottom"/>
            <w:vMerge w:val="restart"/>
          </w:tcPr>
          <w:p>
            <w:pPr>
              <w:jc w:val="center"/>
              <w:ind w:right="319"/>
              <w:spacing w:after="0"/>
              <w:rPr>
                <w:sz w:val="20"/>
                <w:szCs w:val="20"/>
                <w:color w:val="auto"/>
              </w:rPr>
            </w:pPr>
            <w:r>
              <w:rPr>
                <w:rFonts w:ascii="Arial" w:cs="Arial" w:eastAsia="Arial" w:hAnsi="Arial"/>
                <w:sz w:val="13"/>
                <w:szCs w:val="13"/>
                <w:color w:val="0000FF"/>
                <w:w w:val="91"/>
              </w:rPr>
              <w:t>S</w:t>
            </w:r>
          </w:p>
        </w:tc>
        <w:tc>
          <w:tcPr>
            <w:tcW w:w="760" w:type="dxa"/>
            <w:vAlign w:val="bottom"/>
            <w:vMerge w:val="restart"/>
          </w:tcPr>
          <w:p>
            <w:pPr>
              <w:jc w:val="center"/>
              <w:ind w:right="92"/>
              <w:spacing w:after="0"/>
              <w:rPr>
                <w:sz w:val="20"/>
                <w:szCs w:val="20"/>
                <w:color w:val="auto"/>
              </w:rPr>
            </w:pPr>
            <w:r>
              <w:rPr>
                <w:rFonts w:ascii="Arial" w:cs="Arial" w:eastAsia="Arial" w:hAnsi="Arial"/>
                <w:sz w:val="17"/>
                <w:szCs w:val="17"/>
                <w:color w:val="0000FF"/>
              </w:rPr>
              <w:t>197</w:t>
            </w:r>
            <w:r>
              <w:rPr>
                <w:rFonts w:ascii="Arial" w:cs="Arial" w:eastAsia="Arial" w:hAnsi="Arial"/>
                <w:sz w:val="22"/>
                <w:szCs w:val="22"/>
                <w:color w:val="008000"/>
                <w:vertAlign w:val="superscript"/>
              </w:rPr>
              <w:t>(4)</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jc w:val="center"/>
              <w:ind w:right="35"/>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48.34</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274,828</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8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34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3"/>
          </w:tcPr>
          <w:p>
            <w:pPr>
              <w:jc w:val="center"/>
              <w:ind w:right="6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jc w:val="center"/>
              <w:ind w:left="668"/>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7,303 shares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$47.28 to $48.27,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50"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197 shares were effected pursuant to a Rule 10b5-1 trading plan adopted by the reporting person.</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03/16/2021</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2021-03-17T11:08:07Z</dcterms:created>
  <dcterms:modified xsi:type="dcterms:W3CDTF">2021-03-17T11:08:07Z</dcterms:modified>
</cp:coreProperties>
</file>