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9"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229870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Report: March 23,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10"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9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60"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8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On March 23, 2021, Marvell Technology Group Ltd. (the “Company”) issued a press release announcing that the State Administration for Market Regulation of the People’s Republic of China has approved the Company’s previously announced proposed acquisition of Inphi Corporation (“Inphi”). The transaction is currently expected to close in April 2021, pending approval by Inphi’s and our stockholders, as well as satisfaction of customary closing conditions. A copy of the press release is attached as Exhibit 99.1 to this Current Report on Form 8-K and incorporated herein by reference.</w:t>
      </w:r>
    </w:p>
    <w:p>
      <w:pPr>
        <w:spacing w:after="0" w:line="302"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660"/>
        <w:spacing w:after="0"/>
        <w:tabs>
          <w:tab w:leader="none" w:pos="124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5"/>
            <w:szCs w:val="15"/>
            <w:u w:val="single" w:color="auto"/>
            <w:color w:val="0000EE"/>
          </w:rPr>
          <w:t>Press Release dated March 23, 2021.</w:t>
        </w:r>
      </w:hyperlink>
    </w:p>
    <w:p>
      <w:pPr>
        <w:spacing w:after="0" w:line="117" w:lineRule="exact"/>
        <w:rPr>
          <w:sz w:val="20"/>
          <w:szCs w:val="20"/>
          <w:color w:val="auto"/>
        </w:rPr>
      </w:pPr>
    </w:p>
    <w:p>
      <w:pPr>
        <w:ind w:left="700"/>
        <w:spacing w:after="0"/>
        <w:tabs>
          <w:tab w:leader="none" w:pos="1240" w:val="left"/>
        </w:tabs>
        <w:rPr>
          <w:sz w:val="20"/>
          <w:szCs w:val="20"/>
          <w:color w:val="auto"/>
        </w:rPr>
      </w:pPr>
      <w:r>
        <w:rPr>
          <w:rFonts w:ascii="Arial" w:cs="Arial" w:eastAsia="Arial" w:hAnsi="Arial"/>
          <w:sz w:val="18"/>
          <w:szCs w:val="18"/>
          <w:color w:val="auto"/>
        </w:rPr>
        <w:t>104</w:t>
        <w:tab/>
        <w:t>Cover Page Interactive Data File (the cover page XBRL tags are embedded within the Inline XBRL document).</w:t>
      </w:r>
    </w:p>
    <w:p>
      <w:pPr>
        <w:sectPr>
          <w:pgSz w:w="11900" w:h="16838" w:orient="portrait"/>
          <w:cols w:equalWidth="0" w:num="1">
            <w:col w:w="10840"/>
          </w:cols>
          <w:pgMar w:left="440" w:top="297" w:right="619" w:bottom="1440" w:gutter="0" w:footer="0" w:header="0"/>
        </w:sectPr>
      </w:pPr>
    </w:p>
    <w:bookmarkStart w:id="2" w:name="page3"/>
    <w:bookmarkEnd w:id="2"/>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March 23,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97" w:right="51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Receipt of Chinese Regulatory Approval for Inphi Acquisition</w:t>
      </w:r>
    </w:p>
    <w:p>
      <w:pPr>
        <w:spacing w:after="0" w:line="229" w:lineRule="exact"/>
        <w:rPr>
          <w:sz w:val="20"/>
          <w:szCs w:val="20"/>
          <w:color w:val="auto"/>
        </w:rPr>
      </w:pPr>
    </w:p>
    <w:p>
      <w:pPr>
        <w:ind w:right="220"/>
        <w:spacing w:after="0" w:line="279" w:lineRule="auto"/>
        <w:rPr>
          <w:sz w:val="20"/>
          <w:szCs w:val="20"/>
          <w:color w:val="auto"/>
        </w:rPr>
      </w:pPr>
      <w:r>
        <w:rPr>
          <w:rFonts w:ascii="Arial" w:cs="Arial" w:eastAsia="Arial" w:hAnsi="Arial"/>
          <w:sz w:val="17"/>
          <w:szCs w:val="17"/>
          <w:color w:val="auto"/>
        </w:rPr>
        <w:t>SANTA CLARA, Calif., March 23, 2021 /PRNewswire/: Marvell Technology Group Ltd. (NASDAQ: MRVL) (“Marvell”), a leading provider of data infrastructure semiconductor solutions, today announced that the State Administration for Market Regulation of the People’s Republic of China has approved the company’s previously announced proposed acquisition of Inphi Corporation (“Inphi”). The transaction is currently expected to close in April 2021, pending approval by Inphi’s and our stockholders, as well as satisfaction of customary closing conditions.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57" w:lineRule="auto"/>
        <w:rPr>
          <w:sz w:val="20"/>
          <w:szCs w:val="20"/>
          <w:color w:val="auto"/>
        </w:rPr>
      </w:pPr>
      <w:r>
        <w:rPr>
          <w:rFonts w:ascii="Arial" w:cs="Arial" w:eastAsia="Arial" w:hAnsi="Arial"/>
          <w:sz w:val="18"/>
          <w:szCs w:val="18"/>
          <w:color w:val="auto"/>
        </w:rPr>
        <w:t xml:space="preserve">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pacing w:after="0" w:line="188"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Marvell and the M logo are registered trademarks of Marvell and/or its affiliates in the United States and/or elsewhere. Other names and brands may be claimed as the property of others.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Marvell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Information and Where to Find It</w:t>
      </w:r>
    </w:p>
    <w:p>
      <w:pPr>
        <w:spacing w:after="0" w:line="121" w:lineRule="exact"/>
        <w:rPr>
          <w:sz w:val="20"/>
          <w:szCs w:val="20"/>
          <w:color w:val="auto"/>
        </w:rPr>
      </w:pPr>
    </w:p>
    <w:p>
      <w:pPr>
        <w:ind w:right="60"/>
        <w:spacing w:after="0" w:line="289" w:lineRule="auto"/>
        <w:rPr>
          <w:sz w:val="20"/>
          <w:szCs w:val="20"/>
          <w:color w:val="auto"/>
        </w:rPr>
      </w:pPr>
      <w:r>
        <w:rPr>
          <w:rFonts w:ascii="Arial" w:cs="Arial" w:eastAsia="Arial" w:hAnsi="Arial"/>
          <w:sz w:val="16"/>
          <w:szCs w:val="16"/>
          <w:color w:val="auto"/>
        </w:rPr>
        <w:t>This document relates to a proposed transaction between Marvell and Inphi. In connection with the proposed transaction, on March 11, 2021, Marvell Technology, Inc. (“MTI”) filed a registration statement on Form S-4 (File No. 333-251606) with the Securities and Exchange Commission (“SEC”), which included a joint proxy statement of Marvell and Inphi and a prospectus of MTI. The registration statement on Form S-4 has been declared effective by the SEC and a definitive joint proxy statement/prospectus has been sent to all Inphi stockholders and all Marvell shareholders who held shares as of the record date. Each party may file other documents regarding the proposed transaction with the SEC. BEFORE MAKING ANY VOTING DECISION, INVESTORS AND SECURITY HOLDERS OF INPHI AND INVESTORS AND SECURITY HOLDERS OF MARVELL ARE URGED TO READ THE REGISTRATION STATEMENT, DEFINITIVE JOINT PROXY STATEMENT/PROSPECTUS AND ALL OTHER RELEVANT DOCUMENTS FILED OR THAT WILL BE FILED WITH THE SEC IN CONNECTION WITH THE PROPOSED TRANSACTION AS THEY BECOME AVAILABLE BECAUSE THEY WILL CONTAIN IMPORTANT INFORMATION ABOUT THE PROPOSED TRANSACTION.</w:t>
      </w:r>
    </w:p>
    <w:p>
      <w:pPr>
        <w:sectPr>
          <w:pgSz w:w="11900" w:h="16838" w:orient="portrait"/>
          <w:cols w:equalWidth="0" w:num="1">
            <w:col w:w="11020"/>
          </w:cols>
          <w:pgMar w:left="440" w:top="121" w:right="439" w:bottom="1440" w:gutter="0" w:footer="0" w:header="0"/>
        </w:sectPr>
      </w:pPr>
    </w:p>
    <w:bookmarkStart w:id="4" w:name="page5"/>
    <w:bookmarkEnd w:id="4"/>
    <w:p>
      <w:pPr>
        <w:ind w:right="100"/>
        <w:spacing w:after="0" w:line="296"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Investors, Marvell shareholders and Inphi stockholders may obtain free copies of the definitive joint proxy statement/prospectus and other documents that are filed or will be filed with the SEC by Marvell, Inphi or MTI through the website maintained by the SEC at </w:t>
      </w:r>
      <w:r>
        <w:rPr>
          <w:rFonts w:ascii="Arial" w:cs="Arial" w:eastAsia="Arial" w:hAnsi="Arial"/>
          <w:sz w:val="16"/>
          <w:szCs w:val="16"/>
          <w:u w:val="single" w:color="auto"/>
          <w:color w:val="auto"/>
        </w:rPr>
        <w:t>www.sec.gov</w:t>
      </w:r>
      <w:r>
        <w:rPr>
          <w:rFonts w:ascii="Arial" w:cs="Arial" w:eastAsia="Arial" w:hAnsi="Arial"/>
          <w:sz w:val="16"/>
          <w:szCs w:val="16"/>
          <w:color w:val="auto"/>
        </w:rPr>
        <w:t xml:space="preserve">. The documents filed by Marvell with the SEC also may be obtained free of charge at Marvell’s website at </w:t>
      </w:r>
      <w:r>
        <w:rPr>
          <w:rFonts w:ascii="Arial" w:cs="Arial" w:eastAsia="Arial" w:hAnsi="Arial"/>
          <w:sz w:val="16"/>
          <w:szCs w:val="16"/>
          <w:u w:val="single" w:color="auto"/>
          <w:color w:val="auto"/>
        </w:rPr>
        <w:t>www.marvell.com</w:t>
      </w:r>
      <w:r>
        <w:rPr>
          <w:rFonts w:ascii="Arial" w:cs="Arial" w:eastAsia="Arial" w:hAnsi="Arial"/>
          <w:sz w:val="16"/>
          <w:szCs w:val="16"/>
          <w:color w:val="auto"/>
        </w:rPr>
        <w:t xml:space="preserve"> or upon written request to Marvell Technology Group Ltd. at 5488 Marvell Lane, Santa Clara, CA 95054. The documents filed by Inphi with the SEC also may be obtained free of charge at Inphi’s website at </w:t>
      </w:r>
      <w:r>
        <w:rPr>
          <w:rFonts w:ascii="Arial" w:cs="Arial" w:eastAsia="Arial" w:hAnsi="Arial"/>
          <w:sz w:val="16"/>
          <w:szCs w:val="16"/>
          <w:u w:val="single" w:color="auto"/>
          <w:color w:val="auto"/>
        </w:rPr>
        <w:t>www.inphi.com</w:t>
      </w:r>
      <w:r>
        <w:rPr>
          <w:rFonts w:ascii="Arial" w:cs="Arial" w:eastAsia="Arial" w:hAnsi="Arial"/>
          <w:sz w:val="16"/>
          <w:szCs w:val="16"/>
          <w:color w:val="auto"/>
        </w:rPr>
        <w:t xml:space="preserve"> or upon written request to Inphi Corporation at 110 Rio Robles, San Jose, California 95134.</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Cautionary Statement Regarding Forward Looking Statements</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forward-looking statements within the meaning of Section 27A of the Securities Act of 1933, as amended, and Section 21E of the Securities Exchange Act of 1934, as amended, with respect to the proposed transaction between Marvell, Inphi and MTI,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w:t>
      </w:r>
    </w:p>
    <w:p>
      <w:pPr>
        <w:sectPr>
          <w:pgSz w:w="11900" w:h="16838" w:orient="portrait"/>
          <w:cols w:equalWidth="0" w:num="1">
            <w:col w:w="10960"/>
          </w:cols>
          <w:pgMar w:left="440" w:top="274" w:right="499" w:bottom="1440" w:gutter="0" w:footer="0" w:header="0"/>
        </w:sectPr>
      </w:pPr>
    </w:p>
    <w:bookmarkStart w:id="5" w:name="page6"/>
    <w:bookmarkEnd w:id="5"/>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 or Inphi’s businesses; general economic and market developments and conditions; the evolving legal, regulatory and tax regimes under which Marvell, MTI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sectPr>
      <w:pgSz w:w="11900" w:h="16838" w:orient="portrait"/>
      <w:cols w:equalWidth="0" w:num="1">
        <w:col w:w="11020"/>
      </w:cols>
      <w:pgMar w:left="440" w:top="274"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2021-03-25T17:52:31Z</dcterms:created>
  <dcterms:modified xsi:type="dcterms:W3CDTF">2021-03-25T17:52:31Z</dcterms:modified>
</cp:coreProperties>
</file>