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April 5, 2021</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040" w:type="dxa"/>
        <w:tblCellMar>
          <w:top w:w="0" w:type="dxa"/>
          <w:left w:w="0" w:type="dxa"/>
          <w:bottom w:w="0" w:type="dxa"/>
          <w:right w:w="0" w:type="dxa"/>
        </w:tblCellMar>
      </w:tblPr>
      <w:tr>
        <w:trPr>
          <w:trHeight w:val="212"/>
        </w:trPr>
        <w:tc>
          <w:tcPr>
            <w:tcW w:w="2900" w:type="dxa"/>
            <w:vAlign w:val="bottom"/>
          </w:tcPr>
          <w:p>
            <w:pPr>
              <w:jc w:val="center"/>
              <w:ind w:right="1182"/>
              <w:spacing w:after="0"/>
              <w:rPr>
                <w:sz w:val="20"/>
                <w:szCs w:val="20"/>
                <w:color w:val="auto"/>
              </w:rPr>
            </w:pPr>
            <w:r>
              <w:rPr>
                <w:rFonts w:ascii="Arial" w:cs="Arial" w:eastAsia="Arial" w:hAnsi="Arial"/>
                <w:sz w:val="18"/>
                <w:szCs w:val="18"/>
                <w:b w:val="1"/>
                <w:bCs w:val="1"/>
                <w:color w:val="auto"/>
                <w:w w:val="92"/>
              </w:rPr>
              <w:t>Bermuda</w:t>
            </w:r>
          </w:p>
        </w:tc>
        <w:tc>
          <w:tcPr>
            <w:tcW w:w="342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2460" w:type="dxa"/>
            <w:vAlign w:val="bottom"/>
          </w:tcPr>
          <w:p>
            <w:pPr>
              <w:jc w:val="center"/>
              <w:ind w:left="1242"/>
              <w:spacing w:after="0"/>
              <w:rPr>
                <w:sz w:val="20"/>
                <w:szCs w:val="20"/>
                <w:color w:val="auto"/>
              </w:rPr>
            </w:pPr>
            <w:r>
              <w:rPr>
                <w:rFonts w:ascii="Arial" w:cs="Arial" w:eastAsia="Arial" w:hAnsi="Arial"/>
                <w:sz w:val="18"/>
                <w:szCs w:val="18"/>
                <w:b w:val="1"/>
                <w:bCs w:val="1"/>
                <w:color w:val="auto"/>
                <w:w w:val="89"/>
              </w:rPr>
              <w:t>77-0481679</w:t>
            </w:r>
          </w:p>
        </w:tc>
      </w:tr>
      <w:tr>
        <w:trPr>
          <w:trHeight w:val="148"/>
        </w:trPr>
        <w:tc>
          <w:tcPr>
            <w:tcW w:w="2900" w:type="dxa"/>
            <w:vAlign w:val="bottom"/>
          </w:tcPr>
          <w:p>
            <w:pPr>
              <w:jc w:val="center"/>
              <w:ind w:right="1182"/>
              <w:spacing w:after="0" w:line="149" w:lineRule="exact"/>
              <w:rPr>
                <w:sz w:val="20"/>
                <w:szCs w:val="20"/>
                <w:color w:val="auto"/>
              </w:rPr>
            </w:pPr>
            <w:r>
              <w:rPr>
                <w:rFonts w:ascii="Arial" w:cs="Arial" w:eastAsia="Arial" w:hAnsi="Arial"/>
                <w:sz w:val="14"/>
                <w:szCs w:val="14"/>
                <w:b w:val="1"/>
                <w:bCs w:val="1"/>
                <w:color w:val="auto"/>
                <w:w w:val="93"/>
              </w:rPr>
              <w:t>(State or other jurisdiction</w:t>
            </w:r>
          </w:p>
        </w:tc>
        <w:tc>
          <w:tcPr>
            <w:tcW w:w="342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(Commission</w:t>
            </w:r>
          </w:p>
        </w:tc>
        <w:tc>
          <w:tcPr>
            <w:tcW w:w="2460" w:type="dxa"/>
            <w:vAlign w:val="bottom"/>
          </w:tcPr>
          <w:p>
            <w:pPr>
              <w:jc w:val="center"/>
              <w:ind w:left="1242"/>
              <w:spacing w:after="0" w:line="149" w:lineRule="exact"/>
              <w:rPr>
                <w:sz w:val="20"/>
                <w:szCs w:val="20"/>
                <w:color w:val="auto"/>
              </w:rPr>
            </w:pPr>
            <w:r>
              <w:rPr>
                <w:rFonts w:ascii="Arial" w:cs="Arial" w:eastAsia="Arial" w:hAnsi="Arial"/>
                <w:sz w:val="14"/>
                <w:szCs w:val="14"/>
                <w:b w:val="1"/>
                <w:bCs w:val="1"/>
                <w:color w:val="auto"/>
                <w:w w:val="98"/>
              </w:rPr>
              <w:t>(IRS Employer</w:t>
            </w:r>
          </w:p>
        </w:tc>
      </w:tr>
      <w:tr>
        <w:trPr>
          <w:trHeight w:val="186"/>
        </w:trPr>
        <w:tc>
          <w:tcPr>
            <w:tcW w:w="2900" w:type="dxa"/>
            <w:vAlign w:val="bottom"/>
          </w:tcPr>
          <w:p>
            <w:pPr>
              <w:jc w:val="center"/>
              <w:ind w:right="1162"/>
              <w:spacing w:after="0"/>
              <w:rPr>
                <w:sz w:val="20"/>
                <w:szCs w:val="20"/>
                <w:color w:val="auto"/>
              </w:rPr>
            </w:pPr>
            <w:r>
              <w:rPr>
                <w:rFonts w:ascii="Arial" w:cs="Arial" w:eastAsia="Arial" w:hAnsi="Arial"/>
                <w:sz w:val="14"/>
                <w:szCs w:val="14"/>
                <w:b w:val="1"/>
                <w:bCs w:val="1"/>
                <w:color w:val="auto"/>
                <w:w w:val="94"/>
              </w:rPr>
              <w:t>of incorporation)</w:t>
            </w:r>
          </w:p>
        </w:tc>
        <w:tc>
          <w:tcPr>
            <w:tcW w:w="3420" w:type="dxa"/>
            <w:vAlign w:val="bottom"/>
          </w:tcPr>
          <w:p>
            <w:pPr>
              <w:jc w:val="center"/>
              <w:spacing w:after="0"/>
              <w:rPr>
                <w:sz w:val="20"/>
                <w:szCs w:val="20"/>
                <w:color w:val="auto"/>
              </w:rPr>
            </w:pPr>
            <w:r>
              <w:rPr>
                <w:rFonts w:ascii="Arial" w:cs="Arial" w:eastAsia="Arial" w:hAnsi="Arial"/>
                <w:sz w:val="14"/>
                <w:szCs w:val="14"/>
                <w:b w:val="1"/>
                <w:bCs w:val="1"/>
                <w:color w:val="auto"/>
                <w:w w:val="98"/>
              </w:rPr>
              <w:t>File Number)</w:t>
            </w:r>
          </w:p>
        </w:tc>
        <w:tc>
          <w:tcPr>
            <w:tcW w:w="2460" w:type="dxa"/>
            <w:vAlign w:val="bottom"/>
          </w:tcPr>
          <w:p>
            <w:pPr>
              <w:jc w:val="center"/>
              <w:ind w:left="1242"/>
              <w:spacing w:after="0"/>
              <w:rPr>
                <w:sz w:val="20"/>
                <w:szCs w:val="20"/>
                <w:color w:val="auto"/>
              </w:rPr>
            </w:pPr>
            <w:r>
              <w:rPr>
                <w:rFonts w:ascii="Arial" w:cs="Arial" w:eastAsia="Arial" w:hAnsi="Arial"/>
                <w:sz w:val="14"/>
                <w:szCs w:val="14"/>
                <w:b w:val="1"/>
                <w:bCs w:val="1"/>
                <w:color w:val="auto"/>
                <w:w w:val="96"/>
              </w:rPr>
              <w:t>Identification No.)</w:t>
            </w:r>
          </w:p>
        </w:tc>
      </w:tr>
    </w:tbl>
    <w:p>
      <w:pPr>
        <w:spacing w:after="0" w:line="18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Victoria Place, 5th Floor</w:t>
      </w:r>
    </w:p>
    <w:p>
      <w:pPr>
        <w:spacing w:after="0" w:line="36"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31 Victoria Street Hamilton HM 10</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of principal executive offices, including Zip Code)</w:t>
      </w:r>
    </w:p>
    <w:p>
      <w:pPr>
        <w:spacing w:after="0" w:line="16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294-8000</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201930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3"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4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4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Bond Issuance</w:t>
      </w:r>
    </w:p>
    <w:p>
      <w:pPr>
        <w:spacing w:after="0" w:line="117"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On April 5, 2021, Marvell Technology Group Ltd., a Bermuda exempted company (“Marvell”), announced that its wholly owned subsidiary, Marvell Technology, Inc., a Delaware corporation (“MTI”), priced an offering pursuant to exemptions from the registration requirements of the Securities Act of 1933, as amended (the “Securities Act”) of: (i) $500,000,000 aggregate principal amount of 1.650% Senior Notes due 2026, (ii) $750,000,000 aggregate principal amount of 2.450% Senior Notes due 2028 and (iii) $750,000,000 aggregate principal amount of 2.950% Senior Notes due 2031 (collectively, the “Notes,” and such offering, the “Notes Offering”). The Notes Offering is expected to close on or about April 12, 2021, subject to customary closing conditions.</w:t>
      </w:r>
    </w:p>
    <w:p>
      <w:pPr>
        <w:spacing w:after="0" w:line="192"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The Notes Offering is being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 (i) 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 MTI intends to use the net proceeds of the Notes Offering to fund a portion of the aggregate cash portion of the merger consideration payable to Inphi stockholders in connection with the Mergers and to pay related fees and expenses. MTI expects to use any remaining net proceeds from the Notes Offering for general corporate purposes.</w:t>
      </w:r>
    </w:p>
    <w:p>
      <w:pPr>
        <w:spacing w:after="0" w:line="185"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The Notes Offering is not conditioned upon the consummation of the Mergers. However, if (i) the Mergers have not been consummated on or prior to June 29, 2021 (or such later date as the parties may designate in accordance with the Merger Agreement, up to March 1, 2022) or (ii) prior to such date, MTI notifies the trustee in respect of the Notes that MTI and Marvell will not pursue the consummation of the Mergers, then MTI will be required to redeem each series of the Notes then outstanding at a special mandatory redemption price equal to 101% of the aggregate principal amount of the Notes, plus accrued and unpaid interest, if any, to, but not including, the applicable special mandatory redemption date.</w:t>
      </w:r>
    </w:p>
    <w:p>
      <w:pPr>
        <w:spacing w:after="0" w:line="176"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In connection with the Notes Offering, Marvell issued a press release pursuant to Rule 135c under the Securities Act. A copy of the press release is attached hereto as Exhibit 99.1.</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Exchange Offer</w:t>
      </w:r>
    </w:p>
    <w:p>
      <w:pPr>
        <w:spacing w:after="0" w:line="117" w:lineRule="exact"/>
        <w:rPr>
          <w:sz w:val="20"/>
          <w:szCs w:val="20"/>
          <w:color w:val="auto"/>
        </w:rPr>
      </w:pPr>
    </w:p>
    <w:p>
      <w:pPr>
        <w:spacing w:after="0" w:line="269" w:lineRule="auto"/>
        <w:rPr>
          <w:sz w:val="20"/>
          <w:szCs w:val="20"/>
          <w:color w:val="auto"/>
        </w:rPr>
      </w:pPr>
      <w:r>
        <w:rPr>
          <w:rFonts w:ascii="Arial" w:cs="Arial" w:eastAsia="Arial" w:hAnsi="Arial"/>
          <w:sz w:val="17"/>
          <w:szCs w:val="17"/>
          <w:color w:val="auto"/>
        </w:rPr>
        <w:t>Also on April 5, 2021, Marvell announced that MTI commenced private exchange offers to certain eligible holders (collectively, the “Exchange Offers”) for (i) any and all outstanding 4.200% Senior Notes due 2023 issued by Marvell (the “Marvell 2023 Notes”) for up to an aggregate principal amount of $500.0 million of new 4.200% Senior Notes due 2023 issued by MTI and (ii) any and all outstanding 4.875% Senior Notes due 2028 issued by Marvell (the “Marvell 2028 Notes” and, together with the Marvell 2023 Notes, the “Marvell Notes”) for up to an aggregate principal amount of $500.0 million of new 4.875% Senior Notes due 2028 issued by MTI. Concurrently with the Exchange Offers, MTI, on behalf of Marvell, is soliciting consents with respect to each series of Marvell Notes (collectively, the “Consent Solicitations”) to adopt certain proposed amendments to the indenture, dated as of June 22, 2018 (the “Marvell Base Indenture”), as amended by a first supplemental indenture, dated as of June 22, 2018 (the “Marvell First Supplemental Indenture” and, together with the Marvell Base Indenture, the “Marvell Indenture”), between Marvell and U.S. Bank National Association, as trustee, pursuant to which the Marvell Notes were issued. Such proposed amendments include eliminating (i) substantially all of the restrictive covenants in the Marvell Indenture, (ii) any restrictions on Marvell in the Marvell Indenture from consolidating with or merging into any other person or conveying, transferring or leasing all or any of its properties and assets to any person and (iii) certain of the events that may lead to an “Event of Default” in the Marvell Indenture (other than for the failure to pay principal, premium or interest).</w:t>
      </w:r>
    </w:p>
    <w:p>
      <w:pPr>
        <w:spacing w:after="0" w:line="179" w:lineRule="exact"/>
        <w:rPr>
          <w:sz w:val="20"/>
          <w:szCs w:val="20"/>
          <w:color w:val="auto"/>
        </w:rPr>
      </w:pPr>
    </w:p>
    <w:p>
      <w:pPr>
        <w:ind w:right="60"/>
        <w:spacing w:after="0" w:line="263" w:lineRule="auto"/>
        <w:rPr>
          <w:sz w:val="20"/>
          <w:szCs w:val="20"/>
          <w:color w:val="auto"/>
        </w:rPr>
      </w:pPr>
      <w:r>
        <w:rPr>
          <w:rFonts w:ascii="Arial" w:cs="Arial" w:eastAsia="Arial" w:hAnsi="Arial"/>
          <w:sz w:val="18"/>
          <w:szCs w:val="18"/>
          <w:color w:val="auto"/>
        </w:rPr>
        <w:t>The Exchange Offers and Consent Solicitations are being made solely pursuant to the terms and conditions set forth in the confidential offering memorandum dated April 5, 2021, in a private offering exempt from, or not subject to, registration under the Securities Act and are conditioned, among other things, upon the consummation of the Mergers.</w:t>
      </w:r>
    </w:p>
    <w:p>
      <w:pPr>
        <w:sectPr>
          <w:pgSz w:w="11900" w:h="16838" w:orient="portrait"/>
          <w:cols w:equalWidth="0" w:num="1">
            <w:col w:w="10980"/>
          </w:cols>
          <w:pgMar w:left="440" w:top="297" w:right="479" w:bottom="1440" w:gutter="0" w:footer="0" w:header="0"/>
        </w:sectPr>
      </w:pPr>
    </w:p>
    <w:bookmarkStart w:id="2" w:name="page3"/>
    <w:bookmarkEnd w:id="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A copy of the press release issued by Marvell is attached hereto as Exhibit 99.2.</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rPr>
          <w:sz w:val="20"/>
          <w:szCs w:val="20"/>
          <w:color w:val="auto"/>
        </w:rPr>
      </w:pPr>
      <w:r>
        <w:rPr>
          <w:rFonts w:ascii="Arial" w:cs="Arial" w:eastAsia="Arial" w:hAnsi="Arial"/>
          <w:sz w:val="17"/>
          <w:szCs w:val="17"/>
          <w:color w:val="auto"/>
        </w:rPr>
        <w:t>This Current Report on Form 8-K relates to a proposed transaction between Marvell and Inphi. In connection with the proposed transaction, on</w:t>
      </w:r>
    </w:p>
    <w:p>
      <w:pPr>
        <w:spacing w:after="0" w:line="35" w:lineRule="exact"/>
        <w:rPr>
          <w:sz w:val="20"/>
          <w:szCs w:val="20"/>
          <w:color w:val="auto"/>
        </w:rPr>
      </w:pPr>
    </w:p>
    <w:p>
      <w:pPr>
        <w:ind w:right="100"/>
        <w:spacing w:after="0" w:line="268" w:lineRule="auto"/>
        <w:rPr>
          <w:sz w:val="20"/>
          <w:szCs w:val="20"/>
          <w:color w:val="auto"/>
        </w:rPr>
      </w:pPr>
      <w:r>
        <w:rPr>
          <w:rFonts w:ascii="Arial" w:cs="Arial" w:eastAsia="Arial" w:hAnsi="Arial"/>
          <w:sz w:val="17"/>
          <w:szCs w:val="17"/>
          <w:color w:val="auto"/>
        </w:rPr>
        <w:t>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3"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Current Report on Form 8-K contains forward-looking statements within the meaning of Section 27A of the Securities Act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ectPr>
          <w:pgSz w:w="11900" w:h="16838" w:orient="portrait"/>
          <w:cols w:equalWidth="0" w:num="1">
            <w:col w:w="11000"/>
          </w:cols>
          <w:pgMar w:left="440" w:top="301" w:right="459" w:bottom="1440" w:gutter="0" w:footer="0" w:header="0"/>
        </w:sectPr>
      </w:pPr>
    </w:p>
    <w:bookmarkStart w:id="3" w:name="page4"/>
    <w:bookmarkEnd w:id="3"/>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6">
        <w:r>
          <w:rPr>
            <w:rFonts w:ascii="Arial" w:cs="Arial" w:eastAsia="Arial" w:hAnsi="Arial"/>
            <w:sz w:val="16"/>
            <w:szCs w:val="16"/>
            <w:u w:val="single" w:color="auto"/>
            <w:color w:val="0000EE"/>
          </w:rPr>
          <w:t>Press release, dated April 5, 2021, related to the Notes Offering</w:t>
        </w:r>
      </w:hyperlink>
    </w:p>
    <w:p>
      <w:pPr>
        <w:spacing w:after="0" w:line="117"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99.2</w:t>
      </w:r>
      <w:r>
        <w:rPr>
          <w:sz w:val="20"/>
          <w:szCs w:val="20"/>
          <w:color w:val="auto"/>
        </w:rPr>
        <w:tab/>
      </w:r>
      <w:hyperlink w:anchor="page9">
        <w:r>
          <w:rPr>
            <w:rFonts w:ascii="Arial" w:cs="Arial" w:eastAsia="Arial" w:hAnsi="Arial"/>
            <w:sz w:val="16"/>
            <w:szCs w:val="16"/>
            <w:u w:val="single" w:color="auto"/>
            <w:color w:val="0000EE"/>
          </w:rPr>
          <w:t>Press release, dated April 5, 2021, related to the Exchange Offers and Consent Solicitations</w:t>
        </w:r>
      </w:hyperlink>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6"/>
          <w:szCs w:val="16"/>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ectPr>
          <w:pgSz w:w="11900" w:h="16838" w:orient="portrait"/>
          <w:cols w:equalWidth="0" w:num="1">
            <w:col w:w="10019"/>
          </w:cols>
          <w:pgMar w:left="440" w:top="297" w:right="1440" w:bottom="1440" w:gutter="0" w:footer="0" w:header="0"/>
        </w:sectPr>
      </w:pPr>
    </w:p>
    <w:bookmarkStart w:id="4" w:name="page5"/>
    <w:bookmarkEnd w:id="4"/>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30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280" w:val="left"/>
          <w:tab w:leader="none" w:pos="5720" w:val="left"/>
        </w:tabs>
        <w:rPr>
          <w:sz w:val="20"/>
          <w:szCs w:val="20"/>
          <w:color w:val="auto"/>
        </w:rPr>
      </w:pPr>
      <w:r>
        <w:rPr>
          <w:rFonts w:ascii="Arial" w:cs="Arial" w:eastAsia="Arial" w:hAnsi="Arial"/>
          <w:sz w:val="18"/>
          <w:szCs w:val="18"/>
          <w:color w:val="auto"/>
        </w:rPr>
        <w:t>Date: April 5,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3640455</wp:posOffset>
            </wp:positionH>
            <wp:positionV relativeFrom="paragraph">
              <wp:posOffset>14605</wp:posOffset>
            </wp:positionV>
            <wp:extent cx="2726055"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726055" cy="8255"/>
                    </a:xfrm>
                    <a:prstGeom prst="rect">
                      <a:avLst/>
                    </a:prstGeom>
                    <a:noFill/>
                  </pic:spPr>
                </pic:pic>
              </a:graphicData>
            </a:graphic>
          </wp:anchor>
        </w:drawing>
      </w:r>
    </w:p>
    <w:p>
      <w:pPr>
        <w:spacing w:after="0" w:line="30" w:lineRule="exact"/>
        <w:rPr>
          <w:sz w:val="20"/>
          <w:szCs w:val="20"/>
          <w:color w:val="auto"/>
        </w:rPr>
      </w:pPr>
    </w:p>
    <w:p>
      <w:pPr>
        <w:ind w:left="574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574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PRESS RELEASE</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Pricing of</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 Billion Senior Notes Offering</w:t>
      </w:r>
    </w:p>
    <w:p>
      <w:pPr>
        <w:spacing w:after="0" w:line="207" w:lineRule="exact"/>
        <w:rPr>
          <w:sz w:val="20"/>
          <w:szCs w:val="20"/>
          <w:color w:val="auto"/>
        </w:rPr>
      </w:pPr>
    </w:p>
    <w:p>
      <w:pPr>
        <w:ind w:right="60"/>
        <w:spacing w:after="0" w:line="294" w:lineRule="auto"/>
        <w:rPr>
          <w:sz w:val="20"/>
          <w:szCs w:val="20"/>
          <w:color w:val="auto"/>
        </w:rPr>
      </w:pPr>
      <w:r>
        <w:rPr>
          <w:rFonts w:ascii="Arial" w:cs="Arial" w:eastAsia="Arial" w:hAnsi="Arial"/>
          <w:sz w:val="16"/>
          <w:szCs w:val="16"/>
          <w:b w:val="1"/>
          <w:bCs w:val="1"/>
          <w:color w:val="auto"/>
        </w:rPr>
        <w:t xml:space="preserve">Santa Clara, California, April 5, 2021 </w:t>
      </w:r>
      <w:r>
        <w:rPr>
          <w:rFonts w:ascii="Arial" w:cs="Arial" w:eastAsia="Arial" w:hAnsi="Arial"/>
          <w:sz w:val="16"/>
          <w:szCs w:val="16"/>
          <w:color w:val="auto"/>
        </w:rPr>
        <w:t>– Marvell Technology Group Ltd. (NASDAQ: MRVL) (“Marvell”) announced today that its wholly owned</w:t>
      </w:r>
      <w:r>
        <w:rPr>
          <w:rFonts w:ascii="Arial" w:cs="Arial" w:eastAsia="Arial" w:hAnsi="Arial"/>
          <w:sz w:val="16"/>
          <w:szCs w:val="16"/>
          <w:b w:val="1"/>
          <w:bCs w:val="1"/>
          <w:color w:val="auto"/>
        </w:rPr>
        <w:t xml:space="preserve"> </w:t>
      </w:r>
      <w:r>
        <w:rPr>
          <w:rFonts w:ascii="Arial" w:cs="Arial" w:eastAsia="Arial" w:hAnsi="Arial"/>
          <w:sz w:val="16"/>
          <w:szCs w:val="16"/>
          <w:color w:val="auto"/>
        </w:rPr>
        <w:t>subsidiary, Marvell Technology, Inc. (“MTI”), priced an offering of: (i) $500,000,000 aggregate principal amount of 1.650% Senior Notes due 2026, (ii) $750,000,000 aggregate principal amount of 2.450% Senior Notes due 2028 and (iii) $750,000,000 aggregate principal amount of 2.950% Senior Notes due 2031 (collectively, the “Notes,” and such offering, the “Notes Offering”). The Notes Offering is being conducted pursuant to Rule 144A under the Securities Act of 1933, as amended (the “Securities Act”) to purchasers in the United States and pursuant to Regulation S under the Securities Act to purchasers outside of the United States. The Notes Offering is expected to close on or about April 12, 2021, subject to customary closing conditions.</w:t>
      </w:r>
    </w:p>
    <w:p>
      <w:pPr>
        <w:spacing w:after="0" w:line="164" w:lineRule="exact"/>
        <w:rPr>
          <w:sz w:val="20"/>
          <w:szCs w:val="20"/>
          <w:color w:val="auto"/>
        </w:rPr>
      </w:pPr>
    </w:p>
    <w:p>
      <w:pPr>
        <w:ind w:right="40"/>
        <w:spacing w:after="0" w:line="268" w:lineRule="auto"/>
        <w:rPr>
          <w:sz w:val="20"/>
          <w:szCs w:val="20"/>
          <w:color w:val="auto"/>
        </w:rPr>
      </w:pPr>
      <w:r>
        <w:rPr>
          <w:rFonts w:ascii="Arial" w:cs="Arial" w:eastAsia="Arial" w:hAnsi="Arial"/>
          <w:sz w:val="17"/>
          <w:szCs w:val="17"/>
          <w:color w:val="auto"/>
        </w:rPr>
        <w:t>The Notes Offering is being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 (i) 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 MTI intends to use the net proceeds of the Notes Offering to fund a portion of the aggregate cash portion of the merger consideration payable to Inphi stockholders in connection with the Mergers and to pay related fees and expenses. MTI expects to use any remaining net proceeds from the Notes Offering for general corporate purposes. If (i) the Mergers have not been consummated on or prior to June 29, 2021 (or such later date as the parties may designate in accordance with the Merger Agreement, up to March 1, 2022) or (ii) prior to such date, MTI notifies the trustee that MTI and Marvell will not pursue the consummation of the Mergers, then MTI will be required to redeem each series of the Notes then outstanding at a special mandatory redemption price.</w:t>
      </w:r>
    </w:p>
    <w:p>
      <w:pPr>
        <w:spacing w:after="0" w:line="186" w:lineRule="exact"/>
        <w:rPr>
          <w:sz w:val="20"/>
          <w:szCs w:val="20"/>
          <w:color w:val="auto"/>
        </w:rPr>
      </w:pPr>
    </w:p>
    <w:p>
      <w:pPr>
        <w:ind w:right="220"/>
        <w:spacing w:after="0" w:line="263" w:lineRule="auto"/>
        <w:rPr>
          <w:sz w:val="20"/>
          <w:szCs w:val="20"/>
          <w:color w:val="auto"/>
        </w:rPr>
      </w:pPr>
      <w:r>
        <w:rPr>
          <w:rFonts w:ascii="Arial" w:cs="Arial" w:eastAsia="Arial" w:hAnsi="Arial"/>
          <w:sz w:val="18"/>
          <w:szCs w:val="18"/>
          <w:color w:val="auto"/>
        </w:rPr>
        <w:t>The Notes have not been registered under the Securities Act or any state securities laws, and unless so registered, may not be offered or sold in the United States absent registration or an applicable exemption from, or in a transaction not subject to, the registration requirements of the Securities Act and other applicable securities laws.</w:t>
      </w:r>
    </w:p>
    <w:p>
      <w:pPr>
        <w:spacing w:after="0" w:line="184" w:lineRule="exact"/>
        <w:rPr>
          <w:sz w:val="20"/>
          <w:szCs w:val="20"/>
          <w:color w:val="auto"/>
        </w:rPr>
      </w:pPr>
    </w:p>
    <w:p>
      <w:pPr>
        <w:ind w:right="300"/>
        <w:spacing w:after="0" w:line="263" w:lineRule="auto"/>
        <w:rPr>
          <w:sz w:val="20"/>
          <w:szCs w:val="20"/>
          <w:color w:val="auto"/>
        </w:rPr>
      </w:pPr>
      <w:r>
        <w:rPr>
          <w:rFonts w:ascii="Arial" w:cs="Arial" w:eastAsia="Arial" w:hAnsi="Arial"/>
          <w:sz w:val="18"/>
          <w:szCs w:val="18"/>
          <w:color w:val="auto"/>
        </w:rPr>
        <w:t>This press release does not constitute an offer to sell or a solicitation of an offer to buy, nor shall there be any offer or sale of, the Notes in any jurisdiction in which the offer, solicitation or sale of the Notes would be unlawful prior to the registration or qualification thereof under the securities laws of any such state or jurisdiction.</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ectPr>
          <w:pgSz w:w="11900" w:h="16838" w:orient="portrait"/>
          <w:cols w:equalWidth="0" w:num="1">
            <w:col w:w="11020"/>
          </w:cols>
          <w:pgMar w:left="440" w:top="121" w:right="439" w:bottom="1440" w:gutter="0" w:footer="0" w:header="0"/>
        </w:sectPr>
      </w:pPr>
    </w:p>
    <w:bookmarkStart w:id="6" w:name="page7"/>
    <w:bookmarkEnd w:id="6"/>
    <w:p>
      <w:pPr>
        <w:ind w:right="8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and the M logo are registered trademarks of Marvell and/or its affiliates in the United States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This press release relates to a proposed transaction between Marvell and Inphi. In connection with the proposed transaction, on 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1"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274" w:right="47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within the meaning of Section 27A of the Securities Act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pacing w:after="0" w:line="3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0" w:right="45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99.2</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PRESS RELEASE</w:t>
      </w:r>
    </w:p>
    <w:p>
      <w:pPr>
        <w:spacing w:after="0" w:line="200" w:lineRule="exact"/>
        <w:rPr>
          <w:sz w:val="20"/>
          <w:szCs w:val="20"/>
          <w:color w:val="auto"/>
        </w:rPr>
      </w:pPr>
    </w:p>
    <w:p>
      <w:pPr>
        <w:spacing w:after="0" w:line="241"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Group Ltd. Announces Commencement of</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Exchange Offers and Consent Solicitations for Senior Notes</w:t>
      </w:r>
    </w:p>
    <w:p>
      <w:pPr>
        <w:spacing w:after="0" w:line="207" w:lineRule="exact"/>
        <w:rPr>
          <w:sz w:val="20"/>
          <w:szCs w:val="20"/>
          <w:color w:val="auto"/>
        </w:rPr>
      </w:pPr>
    </w:p>
    <w:p>
      <w:pPr>
        <w:ind w:left="4" w:right="40"/>
        <w:spacing w:after="0" w:line="255" w:lineRule="auto"/>
        <w:rPr>
          <w:sz w:val="20"/>
          <w:szCs w:val="20"/>
          <w:color w:val="auto"/>
        </w:rPr>
      </w:pPr>
      <w:r>
        <w:rPr>
          <w:rFonts w:ascii="Arial" w:cs="Arial" w:eastAsia="Arial" w:hAnsi="Arial"/>
          <w:sz w:val="18"/>
          <w:szCs w:val="18"/>
          <w:b w:val="1"/>
          <w:bCs w:val="1"/>
          <w:color w:val="auto"/>
        </w:rPr>
        <w:t xml:space="preserve">Santa Clara, California, April 5, 2021 </w:t>
      </w:r>
      <w:r>
        <w:rPr>
          <w:rFonts w:ascii="Arial" w:cs="Arial" w:eastAsia="Arial" w:hAnsi="Arial"/>
          <w:sz w:val="18"/>
          <w:szCs w:val="18"/>
          <w:color w:val="auto"/>
        </w:rPr>
        <w:t>– Marvell Technology Group Ltd. (NASDAQ: MRVL) (“Marvell”) announced today that its wholly owned</w:t>
      </w:r>
      <w:r>
        <w:rPr>
          <w:rFonts w:ascii="Arial" w:cs="Arial" w:eastAsia="Arial" w:hAnsi="Arial"/>
          <w:sz w:val="18"/>
          <w:szCs w:val="18"/>
          <w:b w:val="1"/>
          <w:bCs w:val="1"/>
          <w:color w:val="auto"/>
        </w:rPr>
        <w:t xml:space="preserve"> </w:t>
      </w:r>
      <w:r>
        <w:rPr>
          <w:rFonts w:ascii="Arial" w:cs="Arial" w:eastAsia="Arial" w:hAnsi="Arial"/>
          <w:sz w:val="18"/>
          <w:szCs w:val="18"/>
          <w:color w:val="auto"/>
        </w:rPr>
        <w:t>subsidiary, Marvell Technology, Inc. (“MTI”), commenced private exchange offers to certain eligible holders (each, an “Exchange Offer,” and collectively, the “Exchange Offers”) for: (i) any and all outstanding 4.200% Senior Notes due 2023 issued by Marvell (the “Marvell 2023 Notes”) for up to an aggregate principal amount of $500.0 million of new 4.200% Senior Notes due 2023 issued by MTI (the “MTI 2023 Notes”) and (ii) any and all outstanding 4.875% Senior Notes due 2028 issued by Marvell (the “Marvell 2028 Notes” and, together with the Marvell 2023 Notes, the “Marvell Notes”) for up to $500.0 million of new 4.875% Senior Notes due 2028 issued by MTI (the “MTI 2028 Notes” and, together with the MTI 2023 Notes, the “MTI Notes”).</w:t>
      </w:r>
    </w:p>
    <w:p>
      <w:pPr>
        <w:spacing w:after="0" w:line="193" w:lineRule="exact"/>
        <w:rPr>
          <w:sz w:val="20"/>
          <w:szCs w:val="20"/>
          <w:color w:val="auto"/>
        </w:rPr>
      </w:pPr>
    </w:p>
    <w:p>
      <w:pPr>
        <w:ind w:left="4" w:right="200"/>
        <w:spacing w:after="0" w:line="271" w:lineRule="auto"/>
        <w:rPr>
          <w:sz w:val="20"/>
          <w:szCs w:val="20"/>
          <w:color w:val="auto"/>
        </w:rPr>
      </w:pPr>
      <w:r>
        <w:rPr>
          <w:rFonts w:ascii="Arial" w:cs="Arial" w:eastAsia="Arial" w:hAnsi="Arial"/>
          <w:sz w:val="17"/>
          <w:szCs w:val="17"/>
          <w:color w:val="auto"/>
        </w:rPr>
        <w:t>The Exchange Offers are being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 (i) 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w:t>
      </w:r>
    </w:p>
    <w:p>
      <w:pPr>
        <w:spacing w:after="0" w:line="178" w:lineRule="exact"/>
        <w:rPr>
          <w:sz w:val="20"/>
          <w:szCs w:val="20"/>
          <w:color w:val="auto"/>
        </w:rPr>
      </w:pPr>
    </w:p>
    <w:p>
      <w:pPr>
        <w:ind w:left="4" w:right="140"/>
        <w:spacing w:after="0" w:line="277" w:lineRule="auto"/>
        <w:rPr>
          <w:sz w:val="20"/>
          <w:szCs w:val="20"/>
          <w:color w:val="auto"/>
        </w:rPr>
      </w:pPr>
      <w:r>
        <w:rPr>
          <w:rFonts w:ascii="Arial" w:cs="Arial" w:eastAsia="Arial" w:hAnsi="Arial"/>
          <w:sz w:val="18"/>
          <w:szCs w:val="18"/>
          <w:color w:val="auto"/>
        </w:rPr>
        <w:t>The following table sets forth the Exchange Consideration (as defined below), Early Participation Premium (as defined below) and Total Consideration (as defined below) for each series of Marvell Notes:</w:t>
      </w:r>
    </w:p>
    <w:p>
      <w:pPr>
        <w:spacing w:after="0" w:line="186"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640" w:type="dxa"/>
            <w:vAlign w:val="bottom"/>
          </w:tcPr>
          <w:p>
            <w:pPr>
              <w:spacing w:after="0"/>
              <w:rPr>
                <w:sz w:val="20"/>
                <w:szCs w:val="20"/>
                <w:color w:val="auto"/>
              </w:rPr>
            </w:pPr>
            <w:r>
              <w:rPr>
                <w:rFonts w:ascii="Arial" w:cs="Arial" w:eastAsia="Arial" w:hAnsi="Arial"/>
                <w:sz w:val="14"/>
                <w:szCs w:val="14"/>
                <w:b w:val="1"/>
                <w:bCs w:val="1"/>
                <w:color w:val="auto"/>
                <w:w w:val="89"/>
              </w:rPr>
              <w:t>Aggregate</w:t>
            </w:r>
          </w:p>
        </w:tc>
        <w:tc>
          <w:tcPr>
            <w:tcW w:w="500" w:type="dxa"/>
            <w:vAlign w:val="bottom"/>
          </w:tcPr>
          <w:p>
            <w:pPr>
              <w:spacing w:after="0"/>
              <w:rPr>
                <w:sz w:val="14"/>
                <w:szCs w:val="14"/>
                <w:color w:val="auto"/>
              </w:rPr>
            </w:pPr>
          </w:p>
        </w:tc>
        <w:tc>
          <w:tcPr>
            <w:tcW w:w="20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5"/>
              </w:rPr>
              <w:t>Series</w:t>
            </w:r>
          </w:p>
        </w:tc>
        <w:tc>
          <w:tcPr>
            <w:tcW w:w="1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gridSpan w:val="2"/>
            <w:vMerge w:val="restart"/>
          </w:tcPr>
          <w:p>
            <w:pPr>
              <w:jc w:val="center"/>
              <w:ind w:right="80"/>
              <w:spacing w:after="0"/>
              <w:rPr>
                <w:sz w:val="20"/>
                <w:szCs w:val="20"/>
                <w:color w:val="auto"/>
              </w:rPr>
            </w:pPr>
            <w:r>
              <w:rPr>
                <w:rFonts w:ascii="Arial" w:cs="Arial" w:eastAsia="Arial" w:hAnsi="Arial"/>
                <w:sz w:val="14"/>
                <w:szCs w:val="14"/>
                <w:b w:val="1"/>
                <w:bCs w:val="1"/>
                <w:color w:val="auto"/>
                <w:w w:val="87"/>
              </w:rPr>
              <w:t>Series of</w:t>
            </w:r>
          </w:p>
        </w:tc>
        <w:tc>
          <w:tcPr>
            <w:tcW w:w="240" w:type="dxa"/>
            <w:vAlign w:val="bottom"/>
          </w:tcPr>
          <w:p>
            <w:pPr>
              <w:spacing w:after="0"/>
              <w:rPr>
                <w:sz w:val="14"/>
                <w:szCs w:val="14"/>
                <w:color w:val="auto"/>
              </w:rPr>
            </w:pPr>
          </w:p>
        </w:tc>
        <w:tc>
          <w:tcPr>
            <w:tcW w:w="1640" w:type="dxa"/>
            <w:vAlign w:val="bottom"/>
            <w:gridSpan w:val="4"/>
            <w:vMerge w:val="restart"/>
          </w:tcPr>
          <w:p>
            <w:pPr>
              <w:ind w:left="360"/>
              <w:spacing w:after="0"/>
              <w:rPr>
                <w:sz w:val="20"/>
                <w:szCs w:val="20"/>
                <w:color w:val="auto"/>
              </w:rPr>
            </w:pPr>
            <w:r>
              <w:rPr>
                <w:rFonts w:ascii="Arial" w:cs="Arial" w:eastAsia="Arial" w:hAnsi="Arial"/>
                <w:sz w:val="14"/>
                <w:szCs w:val="14"/>
                <w:b w:val="1"/>
                <w:bCs w:val="1"/>
                <w:color w:val="auto"/>
              </w:rPr>
              <w:t>Exchange</w:t>
            </w:r>
          </w:p>
        </w:tc>
        <w:tc>
          <w:tcPr>
            <w:tcW w:w="100" w:type="dxa"/>
            <w:vAlign w:val="bottom"/>
          </w:tcPr>
          <w:p>
            <w:pPr>
              <w:spacing w:after="0"/>
              <w:rPr>
                <w:sz w:val="14"/>
                <w:szCs w:val="14"/>
                <w:color w:val="auto"/>
              </w:rPr>
            </w:pPr>
          </w:p>
        </w:tc>
        <w:tc>
          <w:tcPr>
            <w:tcW w:w="86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9"/>
              </w:rPr>
              <w:t>Early</w:t>
            </w:r>
          </w:p>
        </w:tc>
        <w:tc>
          <w:tcPr>
            <w:tcW w:w="140" w:type="dxa"/>
            <w:vAlign w:val="bottom"/>
          </w:tcPr>
          <w:p>
            <w:pPr>
              <w:spacing w:after="0"/>
              <w:rPr>
                <w:sz w:val="14"/>
                <w:szCs w:val="14"/>
                <w:color w:val="auto"/>
              </w:rPr>
            </w:pPr>
          </w:p>
        </w:tc>
        <w:tc>
          <w:tcPr>
            <w:tcW w:w="840" w:type="dxa"/>
            <w:vAlign w:val="bottom"/>
            <w:gridSpan w:val="4"/>
            <w:vMerge w:val="restart"/>
          </w:tcPr>
          <w:p>
            <w:pPr>
              <w:ind w:left="400"/>
              <w:spacing w:after="0"/>
              <w:rPr>
                <w:sz w:val="20"/>
                <w:szCs w:val="20"/>
                <w:color w:val="auto"/>
              </w:rPr>
            </w:pPr>
            <w:r>
              <w:rPr>
                <w:rFonts w:ascii="Arial" w:cs="Arial" w:eastAsia="Arial" w:hAnsi="Arial"/>
                <w:sz w:val="14"/>
                <w:szCs w:val="14"/>
                <w:b w:val="1"/>
                <w:bCs w:val="1"/>
                <w:color w:val="auto"/>
              </w:rPr>
              <w:t>Total</w:t>
            </w:r>
          </w:p>
        </w:tc>
        <w:tc>
          <w:tcPr>
            <w:tcW w:w="4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640" w:type="dxa"/>
            <w:vAlign w:val="bottom"/>
          </w:tcPr>
          <w:p>
            <w:pPr>
              <w:spacing w:after="0" w:line="149" w:lineRule="exact"/>
              <w:rPr>
                <w:sz w:val="20"/>
                <w:szCs w:val="20"/>
                <w:color w:val="auto"/>
              </w:rPr>
            </w:pPr>
            <w:r>
              <w:rPr>
                <w:rFonts w:ascii="Arial" w:cs="Arial" w:eastAsia="Arial" w:hAnsi="Arial"/>
                <w:sz w:val="14"/>
                <w:szCs w:val="14"/>
                <w:b w:val="1"/>
                <w:bCs w:val="1"/>
                <w:color w:val="auto"/>
              </w:rPr>
              <w:t>Principal</w:t>
            </w:r>
          </w:p>
        </w:tc>
        <w:tc>
          <w:tcPr>
            <w:tcW w:w="500" w:type="dxa"/>
            <w:vAlign w:val="bottom"/>
          </w:tcPr>
          <w:p>
            <w:pPr>
              <w:spacing w:after="0"/>
              <w:rPr>
                <w:sz w:val="12"/>
                <w:szCs w:val="12"/>
                <w:color w:val="auto"/>
              </w:rPr>
            </w:pPr>
          </w:p>
        </w:tc>
        <w:tc>
          <w:tcPr>
            <w:tcW w:w="206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7"/>
              </w:rPr>
              <w:t>of Marvell</w:t>
            </w:r>
          </w:p>
        </w:tc>
        <w:tc>
          <w:tcPr>
            <w:tcW w:w="1380" w:type="dxa"/>
            <w:vAlign w:val="bottom"/>
            <w:vMerge w:val="restart"/>
          </w:tcPr>
          <w:p>
            <w:pPr>
              <w:ind w:left="300"/>
              <w:spacing w:after="0"/>
              <w:rPr>
                <w:sz w:val="20"/>
                <w:szCs w:val="20"/>
                <w:color w:val="auto"/>
              </w:rPr>
            </w:pPr>
            <w:r>
              <w:rPr>
                <w:rFonts w:ascii="Arial" w:cs="Arial" w:eastAsia="Arial" w:hAnsi="Arial"/>
                <w:sz w:val="14"/>
                <w:szCs w:val="14"/>
                <w:b w:val="1"/>
                <w:bCs w:val="1"/>
                <w:color w:val="auto"/>
              </w:rPr>
              <w:t>CUSIP/ISIN</w:t>
            </w:r>
          </w:p>
        </w:tc>
        <w:tc>
          <w:tcPr>
            <w:tcW w:w="80" w:type="dxa"/>
            <w:vAlign w:val="bottom"/>
            <w:vMerge w:val="restart"/>
          </w:tcPr>
          <w:p>
            <w:pPr>
              <w:spacing w:after="0"/>
              <w:rPr>
                <w:sz w:val="12"/>
                <w:szCs w:val="12"/>
                <w:color w:val="auto"/>
              </w:rPr>
            </w:pPr>
          </w:p>
        </w:tc>
        <w:tc>
          <w:tcPr>
            <w:tcW w:w="2080" w:type="dxa"/>
            <w:vAlign w:val="bottom"/>
            <w:gridSpan w:val="2"/>
            <w:vMerge w:val="continue"/>
          </w:tcPr>
          <w:p>
            <w:pPr>
              <w:spacing w:after="0"/>
              <w:rPr>
                <w:sz w:val="12"/>
                <w:szCs w:val="12"/>
                <w:color w:val="auto"/>
              </w:rPr>
            </w:pPr>
          </w:p>
        </w:tc>
        <w:tc>
          <w:tcPr>
            <w:tcW w:w="240" w:type="dxa"/>
            <w:vAlign w:val="bottom"/>
          </w:tcPr>
          <w:p>
            <w:pPr>
              <w:spacing w:after="0"/>
              <w:rPr>
                <w:sz w:val="12"/>
                <w:szCs w:val="12"/>
                <w:color w:val="auto"/>
              </w:rPr>
            </w:pPr>
          </w:p>
        </w:tc>
        <w:tc>
          <w:tcPr>
            <w:tcW w:w="1640" w:type="dxa"/>
            <w:vAlign w:val="bottom"/>
            <w:gridSpan w:val="4"/>
            <w:vMerge w:val="continue"/>
          </w:tcPr>
          <w:p>
            <w:pPr>
              <w:spacing w:after="0"/>
              <w:rPr>
                <w:sz w:val="12"/>
                <w:szCs w:val="12"/>
                <w:color w:val="auto"/>
              </w:rPr>
            </w:pPr>
          </w:p>
        </w:tc>
        <w:tc>
          <w:tcPr>
            <w:tcW w:w="960" w:type="dxa"/>
            <w:vAlign w:val="bottom"/>
            <w:gridSpan w:val="3"/>
          </w:tcPr>
          <w:p>
            <w:pPr>
              <w:jc w:val="center"/>
              <w:ind w:right="140"/>
              <w:spacing w:after="0" w:line="149" w:lineRule="exact"/>
              <w:rPr>
                <w:sz w:val="20"/>
                <w:szCs w:val="20"/>
                <w:color w:val="auto"/>
              </w:rPr>
            </w:pPr>
            <w:r>
              <w:rPr>
                <w:rFonts w:ascii="Arial" w:cs="Arial" w:eastAsia="Arial" w:hAnsi="Arial"/>
                <w:sz w:val="14"/>
                <w:szCs w:val="14"/>
                <w:b w:val="1"/>
                <w:bCs w:val="1"/>
                <w:color w:val="auto"/>
                <w:w w:val="96"/>
              </w:rPr>
              <w:t>Participation</w:t>
            </w:r>
          </w:p>
        </w:tc>
        <w:tc>
          <w:tcPr>
            <w:tcW w:w="140" w:type="dxa"/>
            <w:vAlign w:val="bottom"/>
          </w:tcPr>
          <w:p>
            <w:pPr>
              <w:spacing w:after="0"/>
              <w:rPr>
                <w:sz w:val="12"/>
                <w:szCs w:val="12"/>
                <w:color w:val="auto"/>
              </w:rPr>
            </w:pPr>
          </w:p>
        </w:tc>
        <w:tc>
          <w:tcPr>
            <w:tcW w:w="840" w:type="dxa"/>
            <w:vAlign w:val="bottom"/>
            <w:gridSpan w:val="4"/>
            <w:vMerge w:val="continue"/>
          </w:tcPr>
          <w:p>
            <w:pPr>
              <w:spacing w:after="0"/>
              <w:rPr>
                <w:sz w:val="12"/>
                <w:szCs w:val="12"/>
                <w:color w:val="auto"/>
              </w:rPr>
            </w:pPr>
          </w:p>
        </w:tc>
        <w:tc>
          <w:tcPr>
            <w:tcW w:w="4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9"/>
        </w:trPr>
        <w:tc>
          <w:tcPr>
            <w:tcW w:w="6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Amount</w:t>
            </w:r>
          </w:p>
        </w:tc>
        <w:tc>
          <w:tcPr>
            <w:tcW w:w="500" w:type="dxa"/>
            <w:vAlign w:val="bottom"/>
          </w:tcPr>
          <w:p>
            <w:pPr>
              <w:spacing w:after="0"/>
              <w:rPr>
                <w:sz w:val="14"/>
                <w:szCs w:val="14"/>
                <w:color w:val="auto"/>
              </w:rPr>
            </w:pPr>
          </w:p>
        </w:tc>
        <w:tc>
          <w:tcPr>
            <w:tcW w:w="19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7"/>
              </w:rPr>
              <w:t>Notes</w:t>
            </w:r>
          </w:p>
        </w:tc>
        <w:tc>
          <w:tcPr>
            <w:tcW w:w="100" w:type="dxa"/>
            <w:vAlign w:val="bottom"/>
          </w:tcPr>
          <w:p>
            <w:pPr>
              <w:spacing w:after="0"/>
              <w:rPr>
                <w:sz w:val="14"/>
                <w:szCs w:val="14"/>
                <w:color w:val="auto"/>
              </w:rPr>
            </w:pPr>
          </w:p>
        </w:tc>
        <w:tc>
          <w:tcPr>
            <w:tcW w:w="1380" w:type="dxa"/>
            <w:vAlign w:val="bottom"/>
            <w:tcBorders>
              <w:bottom w:val="single" w:sz="8" w:color="auto"/>
            </w:tcBorders>
            <w:vMerge w:val="continue"/>
          </w:tcPr>
          <w:p>
            <w:pPr>
              <w:spacing w:after="0"/>
              <w:rPr>
                <w:sz w:val="14"/>
                <w:szCs w:val="14"/>
                <w:color w:val="auto"/>
              </w:rPr>
            </w:pPr>
          </w:p>
        </w:tc>
        <w:tc>
          <w:tcPr>
            <w:tcW w:w="80" w:type="dxa"/>
            <w:vAlign w:val="bottom"/>
            <w:vMerge w:val="continue"/>
          </w:tcPr>
          <w:p>
            <w:pPr>
              <w:spacing w:after="0"/>
              <w:rPr>
                <w:sz w:val="14"/>
                <w:szCs w:val="14"/>
                <w:color w:val="auto"/>
              </w:rPr>
            </w:pPr>
          </w:p>
        </w:tc>
        <w:tc>
          <w:tcPr>
            <w:tcW w:w="20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rPr>
              <w:t>MTI Notes</w:t>
            </w:r>
          </w:p>
        </w:tc>
        <w:tc>
          <w:tcPr>
            <w:tcW w:w="80" w:type="dxa"/>
            <w:vAlign w:val="bottom"/>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gridSpan w:val="3"/>
          </w:tcPr>
          <w:p>
            <w:pPr>
              <w:ind w:left="160"/>
              <w:spacing w:after="0"/>
              <w:rPr>
                <w:sz w:val="20"/>
                <w:szCs w:val="20"/>
                <w:color w:val="auto"/>
              </w:rPr>
            </w:pPr>
            <w:r>
              <w:rPr>
                <w:rFonts w:ascii="Arial" w:cs="Arial" w:eastAsia="Arial" w:hAnsi="Arial"/>
                <w:sz w:val="14"/>
                <w:szCs w:val="14"/>
                <w:b w:val="1"/>
                <w:bCs w:val="1"/>
                <w:color w:val="auto"/>
              </w:rPr>
              <w:t>Consideration</w:t>
            </w:r>
            <w:r>
              <w:rPr>
                <w:rFonts w:ascii="Arial" w:cs="Arial" w:eastAsia="Arial" w:hAnsi="Arial"/>
                <w:sz w:val="12"/>
                <w:szCs w:val="12"/>
                <w:b w:val="1"/>
                <w:bCs w:val="1"/>
                <w:color w:val="auto"/>
              </w:rPr>
              <w:t>(1)</w:t>
            </w:r>
          </w:p>
        </w:tc>
        <w:tc>
          <w:tcPr>
            <w:tcW w:w="100" w:type="dxa"/>
            <w:vAlign w:val="bottom"/>
          </w:tcPr>
          <w:p>
            <w:pPr>
              <w:spacing w:after="0"/>
              <w:rPr>
                <w:sz w:val="14"/>
                <w:szCs w:val="14"/>
                <w:color w:val="auto"/>
              </w:rPr>
            </w:pPr>
          </w:p>
        </w:tc>
        <w:tc>
          <w:tcPr>
            <w:tcW w:w="820" w:type="dxa"/>
            <w:vAlign w:val="bottom"/>
            <w:tcBorders>
              <w:bottom w:val="single" w:sz="8" w:color="auto"/>
            </w:tcBorders>
            <w:gridSpan w:val="2"/>
          </w:tcPr>
          <w:p>
            <w:pPr>
              <w:jc w:val="center"/>
              <w:spacing w:after="0"/>
              <w:rPr>
                <w:sz w:val="20"/>
                <w:szCs w:val="20"/>
                <w:color w:val="auto"/>
              </w:rPr>
            </w:pPr>
            <w:r>
              <w:rPr>
                <w:rFonts w:ascii="Arial" w:cs="Arial" w:eastAsia="Arial" w:hAnsi="Arial"/>
                <w:sz w:val="14"/>
                <w:szCs w:val="14"/>
                <w:b w:val="1"/>
                <w:bCs w:val="1"/>
                <w:color w:val="auto"/>
                <w:w w:val="93"/>
              </w:rPr>
              <w:t>Premium</w:t>
            </w:r>
            <w:r>
              <w:rPr>
                <w:rFonts w:ascii="Arial" w:cs="Arial" w:eastAsia="Arial" w:hAnsi="Arial"/>
                <w:sz w:val="12"/>
                <w:szCs w:val="12"/>
                <w:b w:val="1"/>
                <w:bCs w:val="1"/>
                <w:color w:val="auto"/>
                <w:w w:val="93"/>
              </w:rPr>
              <w:t>(3)</w:t>
            </w:r>
          </w:p>
        </w:tc>
        <w:tc>
          <w:tcPr>
            <w:tcW w:w="14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5"/>
          </w:tcPr>
          <w:p>
            <w:pPr>
              <w:jc w:val="right"/>
              <w:ind w:right="90"/>
              <w:spacing w:after="0"/>
              <w:rPr>
                <w:sz w:val="20"/>
                <w:szCs w:val="20"/>
                <w:color w:val="auto"/>
              </w:rPr>
            </w:pPr>
            <w:r>
              <w:rPr>
                <w:rFonts w:ascii="Arial" w:cs="Arial" w:eastAsia="Arial" w:hAnsi="Arial"/>
                <w:sz w:val="14"/>
                <w:szCs w:val="14"/>
                <w:b w:val="1"/>
                <w:bCs w:val="1"/>
                <w:color w:val="auto"/>
                <w:w w:val="95"/>
              </w:rPr>
              <w:t>Consideration</w:t>
            </w:r>
            <w:r>
              <w:rPr>
                <w:rFonts w:ascii="Arial" w:cs="Arial" w:eastAsia="Arial" w:hAnsi="Arial"/>
                <w:sz w:val="12"/>
                <w:szCs w:val="12"/>
                <w:b w:val="1"/>
                <w:bCs w:val="1"/>
                <w:color w:val="auto"/>
                <w:w w:val="95"/>
              </w:rPr>
              <w:t>(4)</w:t>
            </w: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6"/>
        </w:trPr>
        <w:tc>
          <w:tcPr>
            <w:tcW w:w="64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9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3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20" w:type="dxa"/>
            <w:vAlign w:val="bottom"/>
            <w:gridSpan w:val="3"/>
          </w:tcPr>
          <w:p>
            <w:pPr>
              <w:spacing w:after="0" w:line="126" w:lineRule="exact"/>
              <w:rPr>
                <w:sz w:val="20"/>
                <w:szCs w:val="20"/>
                <w:color w:val="auto"/>
              </w:rPr>
            </w:pPr>
            <w:r>
              <w:rPr>
                <w:rFonts w:ascii="Arial" w:cs="Arial" w:eastAsia="Arial" w:hAnsi="Arial"/>
                <w:sz w:val="14"/>
                <w:szCs w:val="14"/>
                <w:b w:val="1"/>
                <w:bCs w:val="1"/>
                <w:color w:val="auto"/>
              </w:rPr>
              <w:t>MTI Notes</w:t>
            </w:r>
          </w:p>
        </w:tc>
        <w:tc>
          <w:tcPr>
            <w:tcW w:w="1060" w:type="dxa"/>
            <w:vAlign w:val="bottom"/>
            <w:gridSpan w:val="2"/>
            <w:vMerge w:val="restart"/>
          </w:tcPr>
          <w:p>
            <w:pPr>
              <w:ind w:left="240"/>
              <w:spacing w:after="0"/>
              <w:rPr>
                <w:sz w:val="20"/>
                <w:szCs w:val="20"/>
                <w:color w:val="auto"/>
              </w:rPr>
            </w:pPr>
            <w:r>
              <w:rPr>
                <w:rFonts w:ascii="Arial" w:cs="Arial" w:eastAsia="Arial" w:hAnsi="Arial"/>
                <w:sz w:val="14"/>
                <w:szCs w:val="14"/>
                <w:b w:val="1"/>
                <w:bCs w:val="1"/>
                <w:color w:val="auto"/>
              </w:rPr>
              <w:t>Consent</w:t>
            </w:r>
          </w:p>
        </w:tc>
        <w:tc>
          <w:tcPr>
            <w:tcW w:w="820" w:type="dxa"/>
            <w:vAlign w:val="bottom"/>
            <w:gridSpan w:val="2"/>
          </w:tcPr>
          <w:p>
            <w:pPr>
              <w:jc w:val="center"/>
              <w:spacing w:after="0" w:line="126" w:lineRule="exact"/>
              <w:rPr>
                <w:sz w:val="20"/>
                <w:szCs w:val="20"/>
                <w:color w:val="auto"/>
              </w:rPr>
            </w:pPr>
            <w:r>
              <w:rPr>
                <w:rFonts w:ascii="Arial" w:cs="Arial" w:eastAsia="Arial" w:hAnsi="Arial"/>
                <w:sz w:val="14"/>
                <w:szCs w:val="14"/>
                <w:b w:val="1"/>
                <w:bCs w:val="1"/>
                <w:color w:val="auto"/>
                <w:w w:val="98"/>
              </w:rPr>
              <w:t>MTI Notes</w:t>
            </w:r>
          </w:p>
        </w:tc>
        <w:tc>
          <w:tcPr>
            <w:tcW w:w="140" w:type="dxa"/>
            <w:vAlign w:val="bottom"/>
          </w:tcPr>
          <w:p>
            <w:pPr>
              <w:spacing w:after="0"/>
              <w:rPr>
                <w:sz w:val="10"/>
                <w:szCs w:val="10"/>
                <w:color w:val="auto"/>
              </w:rPr>
            </w:pPr>
          </w:p>
        </w:tc>
        <w:tc>
          <w:tcPr>
            <w:tcW w:w="760" w:type="dxa"/>
            <w:vAlign w:val="bottom"/>
            <w:gridSpan w:val="3"/>
          </w:tcPr>
          <w:p>
            <w:pPr>
              <w:spacing w:after="0" w:line="126" w:lineRule="exact"/>
              <w:rPr>
                <w:sz w:val="20"/>
                <w:szCs w:val="20"/>
                <w:color w:val="auto"/>
              </w:rPr>
            </w:pPr>
            <w:r>
              <w:rPr>
                <w:rFonts w:ascii="Arial" w:cs="Arial" w:eastAsia="Arial" w:hAnsi="Arial"/>
                <w:sz w:val="14"/>
                <w:szCs w:val="14"/>
                <w:b w:val="1"/>
                <w:bCs w:val="1"/>
                <w:color w:val="auto"/>
              </w:rPr>
              <w:t>MTI Notes</w:t>
            </w:r>
          </w:p>
        </w:tc>
        <w:tc>
          <w:tcPr>
            <w:tcW w:w="60" w:type="dxa"/>
            <w:vAlign w:val="bottom"/>
          </w:tcPr>
          <w:p>
            <w:pPr>
              <w:spacing w:after="0"/>
              <w:rPr>
                <w:sz w:val="10"/>
                <w:szCs w:val="10"/>
                <w:color w:val="auto"/>
              </w:rPr>
            </w:pPr>
          </w:p>
        </w:tc>
        <w:tc>
          <w:tcPr>
            <w:tcW w:w="6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Consent</w:t>
            </w:r>
          </w:p>
        </w:tc>
        <w:tc>
          <w:tcPr>
            <w:tcW w:w="0" w:type="dxa"/>
            <w:vAlign w:val="bottom"/>
          </w:tcPr>
          <w:p>
            <w:pPr>
              <w:spacing w:after="0"/>
              <w:rPr>
                <w:sz w:val="1"/>
                <w:szCs w:val="1"/>
                <w:color w:val="auto"/>
              </w:rPr>
            </w:pPr>
          </w:p>
        </w:tc>
      </w:tr>
      <w:tr>
        <w:trPr>
          <w:trHeight w:val="148"/>
        </w:trPr>
        <w:tc>
          <w:tcPr>
            <w:tcW w:w="6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9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2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(principal</w:t>
            </w:r>
          </w:p>
        </w:tc>
        <w:tc>
          <w:tcPr>
            <w:tcW w:w="106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860" w:type="dxa"/>
            <w:vAlign w:val="bottom"/>
            <w:gridSpan w:val="2"/>
          </w:tcPr>
          <w:p>
            <w:pPr>
              <w:jc w:val="center"/>
              <w:ind w:right="240"/>
              <w:spacing w:after="0" w:line="149" w:lineRule="exact"/>
              <w:rPr>
                <w:sz w:val="20"/>
                <w:szCs w:val="20"/>
                <w:color w:val="auto"/>
              </w:rPr>
            </w:pPr>
            <w:r>
              <w:rPr>
                <w:rFonts w:ascii="Arial" w:cs="Arial" w:eastAsia="Arial" w:hAnsi="Arial"/>
                <w:sz w:val="14"/>
                <w:szCs w:val="14"/>
                <w:b w:val="1"/>
                <w:bCs w:val="1"/>
                <w:color w:val="auto"/>
                <w:w w:val="98"/>
              </w:rPr>
              <w:t>(principal</w:t>
            </w:r>
          </w:p>
        </w:tc>
        <w:tc>
          <w:tcPr>
            <w:tcW w:w="760" w:type="dxa"/>
            <w:vAlign w:val="bottom"/>
            <w:gridSpan w:val="3"/>
          </w:tcPr>
          <w:p>
            <w:pPr>
              <w:ind w:left="40"/>
              <w:spacing w:after="0" w:line="149" w:lineRule="exact"/>
              <w:rPr>
                <w:sz w:val="20"/>
                <w:szCs w:val="20"/>
                <w:color w:val="auto"/>
              </w:rPr>
            </w:pPr>
            <w:r>
              <w:rPr>
                <w:rFonts w:ascii="Arial" w:cs="Arial" w:eastAsia="Arial" w:hAnsi="Arial"/>
                <w:sz w:val="14"/>
                <w:szCs w:val="14"/>
                <w:b w:val="1"/>
                <w:bCs w:val="1"/>
                <w:color w:val="auto"/>
              </w:rPr>
              <w:t>(principal</w:t>
            </w:r>
          </w:p>
        </w:tc>
        <w:tc>
          <w:tcPr>
            <w:tcW w:w="60" w:type="dxa"/>
            <w:vAlign w:val="bottom"/>
          </w:tcPr>
          <w:p>
            <w:pPr>
              <w:spacing w:after="0"/>
              <w:rPr>
                <w:sz w:val="12"/>
                <w:szCs w:val="12"/>
                <w:color w:val="auto"/>
              </w:rPr>
            </w:pPr>
          </w:p>
        </w:tc>
        <w:tc>
          <w:tcPr>
            <w:tcW w:w="62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6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3"/>
          </w:tcPr>
          <w:p>
            <w:pPr>
              <w:ind w:left="20"/>
              <w:spacing w:after="0"/>
              <w:rPr>
                <w:sz w:val="20"/>
                <w:szCs w:val="20"/>
                <w:color w:val="auto"/>
              </w:rPr>
            </w:pPr>
            <w:r>
              <w:rPr>
                <w:rFonts w:ascii="Arial" w:cs="Arial" w:eastAsia="Arial" w:hAnsi="Arial"/>
                <w:sz w:val="14"/>
                <w:szCs w:val="14"/>
                <w:b w:val="1"/>
                <w:bCs w:val="1"/>
                <w:color w:val="auto"/>
              </w:rPr>
              <w:t>amount)</w:t>
            </w:r>
            <w:r>
              <w:rPr>
                <w:rFonts w:ascii="Arial" w:cs="Arial" w:eastAsia="Arial" w:hAnsi="Arial"/>
                <w:sz w:val="12"/>
                <w:szCs w:val="12"/>
                <w:b w:val="1"/>
                <w:bCs w:val="1"/>
                <w:color w:val="auto"/>
              </w:rPr>
              <w:t>(2)</w:t>
            </w:r>
          </w:p>
        </w:tc>
        <w:tc>
          <w:tcPr>
            <w:tcW w:w="1060" w:type="dxa"/>
            <w:vAlign w:val="bottom"/>
            <w:gridSpan w:val="2"/>
          </w:tcPr>
          <w:p>
            <w:pPr>
              <w:ind w:left="220"/>
              <w:spacing w:after="0"/>
              <w:rPr>
                <w:sz w:val="20"/>
                <w:szCs w:val="20"/>
                <w:color w:val="auto"/>
              </w:rPr>
            </w:pPr>
            <w:r>
              <w:rPr>
                <w:rFonts w:ascii="Arial" w:cs="Arial" w:eastAsia="Arial" w:hAnsi="Arial"/>
                <w:sz w:val="14"/>
                <w:szCs w:val="14"/>
                <w:b w:val="1"/>
                <w:bCs w:val="1"/>
                <w:color w:val="auto"/>
              </w:rPr>
              <w:t>Payment</w:t>
            </w:r>
          </w:p>
        </w:tc>
        <w:tc>
          <w:tcPr>
            <w:tcW w:w="96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4"/>
              </w:rPr>
              <w:t>amount)</w:t>
            </w:r>
            <w:r>
              <w:rPr>
                <w:rFonts w:ascii="Arial" w:cs="Arial" w:eastAsia="Arial" w:hAnsi="Arial"/>
                <w:sz w:val="12"/>
                <w:szCs w:val="12"/>
                <w:b w:val="1"/>
                <w:bCs w:val="1"/>
                <w:color w:val="auto"/>
                <w:w w:val="94"/>
              </w:rPr>
              <w:t>(2)</w:t>
            </w:r>
          </w:p>
        </w:tc>
        <w:tc>
          <w:tcPr>
            <w:tcW w:w="760" w:type="dxa"/>
            <w:vAlign w:val="bottom"/>
            <w:gridSpan w:val="3"/>
          </w:tcPr>
          <w:p>
            <w:pPr>
              <w:spacing w:after="0"/>
              <w:rPr>
                <w:sz w:val="20"/>
                <w:szCs w:val="20"/>
                <w:color w:val="auto"/>
              </w:rPr>
            </w:pPr>
            <w:r>
              <w:rPr>
                <w:rFonts w:ascii="Arial" w:cs="Arial" w:eastAsia="Arial" w:hAnsi="Arial"/>
                <w:sz w:val="14"/>
                <w:szCs w:val="14"/>
                <w:b w:val="1"/>
                <w:bCs w:val="1"/>
                <w:color w:val="auto"/>
              </w:rPr>
              <w:t>amount)</w:t>
            </w:r>
            <w:r>
              <w:rPr>
                <w:rFonts w:ascii="Arial" w:cs="Arial" w:eastAsia="Arial" w:hAnsi="Arial"/>
                <w:sz w:val="12"/>
                <w:szCs w:val="12"/>
                <w:b w:val="1"/>
                <w:bCs w:val="1"/>
                <w:color w:val="auto"/>
              </w:rPr>
              <w:t>(2)</w:t>
            </w:r>
          </w:p>
        </w:tc>
        <w:tc>
          <w:tcPr>
            <w:tcW w:w="60" w:type="dxa"/>
            <w:vAlign w:val="bottom"/>
          </w:tcPr>
          <w:p>
            <w:pPr>
              <w:spacing w:after="0"/>
              <w:rPr>
                <w:sz w:val="14"/>
                <w:szCs w:val="14"/>
                <w:color w:val="auto"/>
              </w:rPr>
            </w:pPr>
          </w:p>
        </w:tc>
        <w:tc>
          <w:tcPr>
            <w:tcW w:w="620" w:type="dxa"/>
            <w:vAlign w:val="bottom"/>
            <w:gridSpan w:val="3"/>
          </w:tcPr>
          <w:p>
            <w:pPr>
              <w:spacing w:after="0"/>
              <w:rPr>
                <w:sz w:val="20"/>
                <w:szCs w:val="20"/>
                <w:color w:val="auto"/>
              </w:rPr>
            </w:pPr>
            <w:r>
              <w:rPr>
                <w:rFonts w:ascii="Arial" w:cs="Arial" w:eastAsia="Arial" w:hAnsi="Arial"/>
                <w:sz w:val="14"/>
                <w:szCs w:val="14"/>
                <w:b w:val="1"/>
                <w:bCs w:val="1"/>
                <w:color w:val="auto"/>
              </w:rPr>
              <w:t>Payment</w:t>
            </w:r>
          </w:p>
        </w:tc>
        <w:tc>
          <w:tcPr>
            <w:tcW w:w="0" w:type="dxa"/>
            <w:vAlign w:val="bottom"/>
          </w:tcPr>
          <w:p>
            <w:pPr>
              <w:spacing w:after="0"/>
              <w:rPr>
                <w:sz w:val="1"/>
                <w:szCs w:val="1"/>
                <w:color w:val="auto"/>
              </w:rPr>
            </w:pPr>
          </w:p>
        </w:tc>
      </w:tr>
      <w:tr>
        <w:trPr>
          <w:trHeight w:val="182"/>
        </w:trPr>
        <w:tc>
          <w:tcPr>
            <w:tcW w:w="3200" w:type="dxa"/>
            <w:vAlign w:val="bottom"/>
            <w:tcBorders>
              <w:top w:val="single" w:sz="8" w:color="CCEEFF"/>
            </w:tcBorders>
            <w:gridSpan w:val="4"/>
            <w:shd w:val="clear" w:color="auto" w:fill="CCEEFF"/>
          </w:tcPr>
          <w:p>
            <w:pPr>
              <w:spacing w:after="0" w:line="182" w:lineRule="exact"/>
              <w:rPr>
                <w:sz w:val="20"/>
                <w:szCs w:val="20"/>
                <w:color w:val="auto"/>
              </w:rPr>
            </w:pPr>
            <w:r>
              <w:rPr>
                <w:rFonts w:ascii="Arial" w:cs="Arial" w:eastAsia="Arial" w:hAnsi="Arial"/>
                <w:sz w:val="18"/>
                <w:szCs w:val="18"/>
                <w:color w:val="auto"/>
                <w:w w:val="96"/>
              </w:rPr>
              <w:t>$500,000,000   4.200% Senior Notes due</w:t>
            </w:r>
          </w:p>
        </w:tc>
        <w:tc>
          <w:tcPr>
            <w:tcW w:w="1460" w:type="dxa"/>
            <w:vAlign w:val="bottom"/>
            <w:tcBorders>
              <w:top w:val="single" w:sz="8" w:color="CCEEFF"/>
            </w:tcBorders>
            <w:gridSpan w:val="2"/>
            <w:shd w:val="clear" w:color="auto" w:fill="CCEEFF"/>
          </w:tcPr>
          <w:p>
            <w:pPr>
              <w:jc w:val="center"/>
              <w:ind w:right="100"/>
              <w:spacing w:after="0" w:line="182" w:lineRule="exact"/>
              <w:rPr>
                <w:sz w:val="20"/>
                <w:szCs w:val="20"/>
                <w:color w:val="auto"/>
              </w:rPr>
            </w:pPr>
            <w:r>
              <w:rPr>
                <w:rFonts w:ascii="Arial" w:cs="Arial" w:eastAsia="Arial" w:hAnsi="Arial"/>
                <w:sz w:val="18"/>
                <w:szCs w:val="18"/>
                <w:color w:val="auto"/>
                <w:w w:val="95"/>
              </w:rPr>
              <w:t>57385L AA6 /</w:t>
            </w:r>
          </w:p>
        </w:tc>
        <w:tc>
          <w:tcPr>
            <w:tcW w:w="2080" w:type="dxa"/>
            <w:vAlign w:val="bottom"/>
            <w:tcBorders>
              <w:top w:val="single" w:sz="8" w:color="CCEEFF"/>
            </w:tcBorders>
            <w:gridSpan w:val="2"/>
            <w:shd w:val="clear" w:color="auto" w:fill="CCEEFF"/>
          </w:tcPr>
          <w:p>
            <w:pPr>
              <w:jc w:val="center"/>
              <w:ind w:right="80"/>
              <w:spacing w:after="0" w:line="182" w:lineRule="exact"/>
              <w:rPr>
                <w:sz w:val="20"/>
                <w:szCs w:val="20"/>
                <w:color w:val="auto"/>
              </w:rPr>
            </w:pPr>
            <w:r>
              <w:rPr>
                <w:rFonts w:ascii="Arial" w:cs="Arial" w:eastAsia="Arial" w:hAnsi="Arial"/>
                <w:sz w:val="18"/>
                <w:szCs w:val="18"/>
                <w:color w:val="auto"/>
                <w:w w:val="93"/>
              </w:rPr>
              <w:t>MTI 4.200% Senior Notes</w:t>
            </w:r>
          </w:p>
        </w:tc>
        <w:tc>
          <w:tcPr>
            <w:tcW w:w="240" w:type="dxa"/>
            <w:vAlign w:val="bottom"/>
            <w:tcBorders>
              <w:top w:val="single" w:sz="8" w:color="auto"/>
            </w:tcBorders>
            <w:shd w:val="clear" w:color="auto" w:fill="CCEEFF"/>
          </w:tcPr>
          <w:p>
            <w:pPr>
              <w:spacing w:after="0"/>
              <w:rPr>
                <w:sz w:val="15"/>
                <w:szCs w:val="15"/>
                <w:color w:val="auto"/>
              </w:rPr>
            </w:pPr>
          </w:p>
        </w:tc>
        <w:tc>
          <w:tcPr>
            <w:tcW w:w="44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960" w:type="dxa"/>
            <w:vAlign w:val="bottom"/>
            <w:tcBorders>
              <w:top w:val="single" w:sz="8" w:color="auto"/>
            </w:tcBorders>
            <w:shd w:val="clear" w:color="auto" w:fill="CCEEFF"/>
          </w:tcPr>
          <w:p>
            <w:pPr>
              <w:spacing w:after="0"/>
              <w:rPr>
                <w:sz w:val="15"/>
                <w:szCs w:val="15"/>
                <w:color w:val="auto"/>
              </w:rPr>
            </w:pPr>
          </w:p>
        </w:tc>
        <w:tc>
          <w:tcPr>
            <w:tcW w:w="100" w:type="dxa"/>
            <w:vAlign w:val="bottom"/>
            <w:tcBorders>
              <w:top w:val="single" w:sz="8" w:color="CCEEFF"/>
            </w:tcBorders>
            <w:shd w:val="clear" w:color="auto" w:fill="CCEEFF"/>
          </w:tcPr>
          <w:p>
            <w:pPr>
              <w:spacing w:after="0"/>
              <w:rPr>
                <w:sz w:val="15"/>
                <w:szCs w:val="15"/>
                <w:color w:val="auto"/>
              </w:rPr>
            </w:pPr>
          </w:p>
        </w:tc>
        <w:tc>
          <w:tcPr>
            <w:tcW w:w="100" w:type="dxa"/>
            <w:vAlign w:val="bottom"/>
            <w:tcBorders>
              <w:top w:val="single" w:sz="8" w:color="auto"/>
            </w:tcBorders>
            <w:shd w:val="clear" w:color="auto" w:fill="CCEEFF"/>
          </w:tcPr>
          <w:p>
            <w:pPr>
              <w:spacing w:after="0"/>
              <w:rPr>
                <w:sz w:val="15"/>
                <w:szCs w:val="15"/>
                <w:color w:val="auto"/>
              </w:rPr>
            </w:pPr>
          </w:p>
        </w:tc>
        <w:tc>
          <w:tcPr>
            <w:tcW w:w="720" w:type="dxa"/>
            <w:vAlign w:val="bottom"/>
            <w:tcBorders>
              <w:top w:val="single" w:sz="8" w:color="auto"/>
            </w:tcBorders>
            <w:shd w:val="clear" w:color="auto" w:fill="CCEEFF"/>
          </w:tcPr>
          <w:p>
            <w:pPr>
              <w:spacing w:after="0"/>
              <w:rPr>
                <w:sz w:val="15"/>
                <w:szCs w:val="15"/>
                <w:color w:val="auto"/>
              </w:rPr>
            </w:pPr>
          </w:p>
        </w:tc>
        <w:tc>
          <w:tcPr>
            <w:tcW w:w="140" w:type="dxa"/>
            <w:vAlign w:val="bottom"/>
            <w:tcBorders>
              <w:top w:val="single" w:sz="8" w:color="CCEEFF"/>
            </w:tcBorders>
            <w:shd w:val="clear" w:color="auto" w:fill="CCEEFF"/>
          </w:tcPr>
          <w:p>
            <w:pPr>
              <w:spacing w:after="0"/>
              <w:rPr>
                <w:sz w:val="15"/>
                <w:szCs w:val="15"/>
                <w:color w:val="auto"/>
              </w:rPr>
            </w:pPr>
          </w:p>
        </w:tc>
        <w:tc>
          <w:tcPr>
            <w:tcW w:w="140" w:type="dxa"/>
            <w:vAlign w:val="bottom"/>
            <w:tcBorders>
              <w:top w:val="single" w:sz="8" w:color="auto"/>
            </w:tcBorders>
            <w:shd w:val="clear" w:color="auto" w:fill="CCEEFF"/>
          </w:tcPr>
          <w:p>
            <w:pPr>
              <w:spacing w:after="0"/>
              <w:rPr>
                <w:sz w:val="15"/>
                <w:szCs w:val="15"/>
                <w:color w:val="auto"/>
              </w:rPr>
            </w:pPr>
          </w:p>
        </w:tc>
        <w:tc>
          <w:tcPr>
            <w:tcW w:w="540" w:type="dxa"/>
            <w:vAlign w:val="bottom"/>
            <w:tcBorders>
              <w:top w:val="single" w:sz="8" w:color="auto"/>
            </w:tcBorders>
            <w:shd w:val="clear" w:color="auto" w:fill="CCEEFF"/>
          </w:tcPr>
          <w:p>
            <w:pPr>
              <w:spacing w:after="0"/>
              <w:rPr>
                <w:sz w:val="15"/>
                <w:szCs w:val="15"/>
                <w:color w:val="auto"/>
              </w:rPr>
            </w:pPr>
          </w:p>
        </w:tc>
        <w:tc>
          <w:tcPr>
            <w:tcW w:w="80" w:type="dxa"/>
            <w:vAlign w:val="bottom"/>
            <w:tcBorders>
              <w:top w:val="single" w:sz="8" w:color="CCEEFF"/>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160" w:type="dxa"/>
            <w:vAlign w:val="bottom"/>
            <w:tcBorders>
              <w:top w:val="single" w:sz="8" w:color="auto"/>
            </w:tcBorders>
            <w:shd w:val="clear" w:color="auto" w:fill="CCEEFF"/>
          </w:tcPr>
          <w:p>
            <w:pPr>
              <w:spacing w:after="0"/>
              <w:rPr>
                <w:sz w:val="15"/>
                <w:szCs w:val="15"/>
                <w:color w:val="auto"/>
              </w:rPr>
            </w:pPr>
          </w:p>
        </w:tc>
        <w:tc>
          <w:tcPr>
            <w:tcW w:w="400" w:type="dxa"/>
            <w:vAlign w:val="bottom"/>
            <w:tcBorders>
              <w:top w:val="single" w:sz="8" w:color="auto"/>
            </w:tcBorders>
            <w:shd w:val="clear" w:color="auto" w:fill="CCEEFF"/>
          </w:tcPr>
          <w:p>
            <w:pPr>
              <w:spacing w:after="0"/>
              <w:rPr>
                <w:sz w:val="15"/>
                <w:szCs w:val="15"/>
                <w:color w:val="auto"/>
              </w:rPr>
            </w:pPr>
          </w:p>
        </w:tc>
        <w:tc>
          <w:tcPr>
            <w:tcW w:w="60" w:type="dxa"/>
            <w:vAlign w:val="bottom"/>
            <w:tcBorders>
              <w:top w:val="single" w:sz="8" w:color="CCEEFF"/>
            </w:tcBorders>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640" w:type="dxa"/>
            <w:vAlign w:val="bottom"/>
            <w:shd w:val="clear" w:color="auto" w:fill="CCEEFF"/>
          </w:tcPr>
          <w:p>
            <w:pPr>
              <w:spacing w:after="0"/>
              <w:rPr>
                <w:sz w:val="20"/>
                <w:szCs w:val="20"/>
                <w:color w:val="auto"/>
              </w:rPr>
            </w:pPr>
          </w:p>
        </w:tc>
        <w:tc>
          <w:tcPr>
            <w:tcW w:w="2460" w:type="dxa"/>
            <w:vAlign w:val="bottom"/>
            <w:gridSpan w:val="2"/>
            <w:shd w:val="clear" w:color="auto" w:fill="CCEEFF"/>
          </w:tcPr>
          <w:p>
            <w:pPr>
              <w:jc w:val="center"/>
              <w:ind w:left="410"/>
              <w:spacing w:after="0"/>
              <w:rPr>
                <w:sz w:val="20"/>
                <w:szCs w:val="20"/>
                <w:color w:val="auto"/>
              </w:rPr>
            </w:pPr>
            <w:r>
              <w:rPr>
                <w:rFonts w:ascii="Arial" w:cs="Arial" w:eastAsia="Arial" w:hAnsi="Arial"/>
                <w:sz w:val="18"/>
                <w:szCs w:val="18"/>
                <w:color w:val="auto"/>
                <w:w w:val="89"/>
              </w:rPr>
              <w:t>2023</w:t>
            </w:r>
          </w:p>
        </w:tc>
        <w:tc>
          <w:tcPr>
            <w:tcW w:w="100" w:type="dxa"/>
            <w:vAlign w:val="bottom"/>
            <w:shd w:val="clear" w:color="auto" w:fill="CCEEFF"/>
          </w:tcPr>
          <w:p>
            <w:pPr>
              <w:spacing w:after="0"/>
              <w:rPr>
                <w:sz w:val="20"/>
                <w:szCs w:val="20"/>
                <w:color w:val="auto"/>
              </w:rPr>
            </w:pPr>
          </w:p>
        </w:tc>
        <w:tc>
          <w:tcPr>
            <w:tcW w:w="146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96"/>
              </w:rPr>
              <w:t>US57385LAA61</w:t>
            </w:r>
          </w:p>
        </w:tc>
        <w:tc>
          <w:tcPr>
            <w:tcW w:w="2080" w:type="dxa"/>
            <w:vAlign w:val="bottom"/>
            <w:gridSpan w:val="2"/>
            <w:shd w:val="clear" w:color="auto" w:fill="CCEEFF"/>
          </w:tcPr>
          <w:p>
            <w:pPr>
              <w:jc w:val="center"/>
              <w:ind w:right="80"/>
              <w:spacing w:after="0"/>
              <w:rPr>
                <w:sz w:val="20"/>
                <w:szCs w:val="20"/>
                <w:color w:val="auto"/>
              </w:rPr>
            </w:pPr>
            <w:r>
              <w:rPr>
                <w:rFonts w:ascii="Arial" w:cs="Arial" w:eastAsia="Arial" w:hAnsi="Arial"/>
                <w:sz w:val="18"/>
                <w:szCs w:val="18"/>
                <w:color w:val="auto"/>
                <w:w w:val="90"/>
              </w:rPr>
              <w:t>due 2023</w:t>
            </w:r>
          </w:p>
        </w:tc>
        <w:tc>
          <w:tcPr>
            <w:tcW w:w="2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rPr>
              <w:t>970</w:t>
            </w:r>
          </w:p>
        </w:tc>
        <w:tc>
          <w:tcPr>
            <w:tcW w:w="1160" w:type="dxa"/>
            <w:vAlign w:val="bottom"/>
            <w:gridSpan w:val="3"/>
            <w:shd w:val="clear" w:color="auto" w:fill="CCEEFF"/>
          </w:tcPr>
          <w:p>
            <w:pPr>
              <w:ind w:left="20"/>
              <w:spacing w:after="0"/>
              <w:rPr>
                <w:sz w:val="20"/>
                <w:szCs w:val="20"/>
                <w:color w:val="auto"/>
              </w:rPr>
            </w:pPr>
            <w:r>
              <w:rPr>
                <w:rFonts w:ascii="Arial" w:cs="Arial" w:eastAsia="Arial" w:hAnsi="Arial"/>
                <w:sz w:val="18"/>
                <w:szCs w:val="18"/>
                <w:color w:val="auto"/>
                <w:w w:val="91"/>
              </w:rPr>
              <w:t>$1.00 in cash $</w:t>
            </w: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30</w:t>
            </w: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1,000</w:t>
            </w:r>
          </w:p>
        </w:tc>
        <w:tc>
          <w:tcPr>
            <w:tcW w:w="22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r>
        <w:trPr>
          <w:trHeight w:val="202"/>
        </w:trPr>
        <w:tc>
          <w:tcPr>
            <w:tcW w:w="3200" w:type="dxa"/>
            <w:vAlign w:val="bottom"/>
            <w:gridSpan w:val="4"/>
          </w:tcPr>
          <w:p>
            <w:pPr>
              <w:spacing w:after="0" w:line="201" w:lineRule="exact"/>
              <w:rPr>
                <w:sz w:val="20"/>
                <w:szCs w:val="20"/>
                <w:color w:val="auto"/>
              </w:rPr>
            </w:pPr>
            <w:r>
              <w:rPr>
                <w:rFonts w:ascii="Arial" w:cs="Arial" w:eastAsia="Arial" w:hAnsi="Arial"/>
                <w:sz w:val="18"/>
                <w:szCs w:val="18"/>
                <w:color w:val="auto"/>
                <w:w w:val="96"/>
              </w:rPr>
              <w:t>$500,000,000   4.875% Senior Notes due</w:t>
            </w:r>
          </w:p>
        </w:tc>
        <w:tc>
          <w:tcPr>
            <w:tcW w:w="1460" w:type="dxa"/>
            <w:vAlign w:val="bottom"/>
            <w:gridSpan w:val="2"/>
          </w:tcPr>
          <w:p>
            <w:pPr>
              <w:jc w:val="center"/>
              <w:ind w:right="100"/>
              <w:spacing w:after="0" w:line="201" w:lineRule="exact"/>
              <w:rPr>
                <w:sz w:val="20"/>
                <w:szCs w:val="20"/>
                <w:color w:val="auto"/>
              </w:rPr>
            </w:pPr>
            <w:r>
              <w:rPr>
                <w:rFonts w:ascii="Arial" w:cs="Arial" w:eastAsia="Arial" w:hAnsi="Arial"/>
                <w:sz w:val="18"/>
                <w:szCs w:val="18"/>
                <w:color w:val="auto"/>
                <w:w w:val="95"/>
              </w:rPr>
              <w:t>57385L AB4 /</w:t>
            </w:r>
          </w:p>
        </w:tc>
        <w:tc>
          <w:tcPr>
            <w:tcW w:w="2080" w:type="dxa"/>
            <w:vAlign w:val="bottom"/>
            <w:gridSpan w:val="2"/>
          </w:tcPr>
          <w:p>
            <w:pPr>
              <w:jc w:val="center"/>
              <w:ind w:right="80"/>
              <w:spacing w:after="0" w:line="201" w:lineRule="exact"/>
              <w:rPr>
                <w:sz w:val="20"/>
                <w:szCs w:val="20"/>
                <w:color w:val="auto"/>
              </w:rPr>
            </w:pPr>
            <w:r>
              <w:rPr>
                <w:rFonts w:ascii="Arial" w:cs="Arial" w:eastAsia="Arial" w:hAnsi="Arial"/>
                <w:sz w:val="18"/>
                <w:szCs w:val="18"/>
                <w:color w:val="auto"/>
                <w:w w:val="93"/>
              </w:rPr>
              <w:t>MTI 4.875% Senior Notes</w:t>
            </w:r>
          </w:p>
        </w:tc>
        <w:tc>
          <w:tcPr>
            <w:tcW w:w="2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640" w:type="dxa"/>
            <w:vAlign w:val="bottom"/>
          </w:tcPr>
          <w:p>
            <w:pPr>
              <w:spacing w:after="0"/>
              <w:rPr>
                <w:sz w:val="20"/>
                <w:szCs w:val="20"/>
                <w:color w:val="auto"/>
              </w:rPr>
            </w:pPr>
          </w:p>
        </w:tc>
        <w:tc>
          <w:tcPr>
            <w:tcW w:w="2460" w:type="dxa"/>
            <w:vAlign w:val="bottom"/>
            <w:gridSpan w:val="2"/>
          </w:tcPr>
          <w:p>
            <w:pPr>
              <w:jc w:val="center"/>
              <w:ind w:left="410"/>
              <w:spacing w:after="0"/>
              <w:rPr>
                <w:sz w:val="20"/>
                <w:szCs w:val="20"/>
                <w:color w:val="auto"/>
              </w:rPr>
            </w:pPr>
            <w:r>
              <w:rPr>
                <w:rFonts w:ascii="Arial" w:cs="Arial" w:eastAsia="Arial" w:hAnsi="Arial"/>
                <w:sz w:val="18"/>
                <w:szCs w:val="18"/>
                <w:color w:val="auto"/>
                <w:w w:val="89"/>
              </w:rPr>
              <w:t>2028</w:t>
            </w:r>
          </w:p>
        </w:tc>
        <w:tc>
          <w:tcPr>
            <w:tcW w:w="100" w:type="dxa"/>
            <w:vAlign w:val="bottom"/>
          </w:tcPr>
          <w:p>
            <w:pPr>
              <w:spacing w:after="0"/>
              <w:rPr>
                <w:sz w:val="20"/>
                <w:szCs w:val="20"/>
                <w:color w:val="auto"/>
              </w:rPr>
            </w:pPr>
          </w:p>
        </w:tc>
        <w:tc>
          <w:tcPr>
            <w:tcW w:w="1460" w:type="dxa"/>
            <w:vAlign w:val="bottom"/>
            <w:gridSpan w:val="2"/>
          </w:tcPr>
          <w:p>
            <w:pPr>
              <w:jc w:val="center"/>
              <w:ind w:right="80"/>
              <w:spacing w:after="0"/>
              <w:rPr>
                <w:sz w:val="20"/>
                <w:szCs w:val="20"/>
                <w:color w:val="auto"/>
              </w:rPr>
            </w:pPr>
            <w:r>
              <w:rPr>
                <w:rFonts w:ascii="Arial" w:cs="Arial" w:eastAsia="Arial" w:hAnsi="Arial"/>
                <w:sz w:val="18"/>
                <w:szCs w:val="18"/>
                <w:color w:val="auto"/>
                <w:w w:val="94"/>
              </w:rPr>
              <w:t>US57385LAB45</w:t>
            </w:r>
          </w:p>
        </w:tc>
        <w:tc>
          <w:tcPr>
            <w:tcW w:w="2080" w:type="dxa"/>
            <w:vAlign w:val="bottom"/>
            <w:gridSpan w:val="2"/>
          </w:tcPr>
          <w:p>
            <w:pPr>
              <w:jc w:val="center"/>
              <w:ind w:right="80"/>
              <w:spacing w:after="0"/>
              <w:rPr>
                <w:sz w:val="20"/>
                <w:szCs w:val="20"/>
                <w:color w:val="auto"/>
              </w:rPr>
            </w:pPr>
            <w:r>
              <w:rPr>
                <w:rFonts w:ascii="Arial" w:cs="Arial" w:eastAsia="Arial" w:hAnsi="Arial"/>
                <w:sz w:val="18"/>
                <w:szCs w:val="18"/>
                <w:color w:val="auto"/>
                <w:w w:val="90"/>
              </w:rPr>
              <w:t>due 2028</w:t>
            </w:r>
          </w:p>
        </w:tc>
        <w:tc>
          <w:tcPr>
            <w:tcW w:w="240" w:type="dxa"/>
            <w:vAlign w:val="bottom"/>
          </w:tcPr>
          <w:p>
            <w:pPr>
              <w:spacing w:after="0"/>
              <w:rPr>
                <w:sz w:val="20"/>
                <w:szCs w:val="20"/>
                <w:color w:val="auto"/>
              </w:rPr>
            </w:pPr>
            <w:r>
              <w:rPr>
                <w:rFonts w:ascii="Arial" w:cs="Arial" w:eastAsia="Arial" w:hAnsi="Arial"/>
                <w:sz w:val="18"/>
                <w:szCs w:val="18"/>
                <w:color w:val="auto"/>
              </w:rPr>
              <w:t>$</w:t>
            </w:r>
          </w:p>
        </w:tc>
        <w:tc>
          <w:tcPr>
            <w:tcW w:w="580" w:type="dxa"/>
            <w:vAlign w:val="bottom"/>
            <w:gridSpan w:val="2"/>
          </w:tcPr>
          <w:p>
            <w:pPr>
              <w:ind w:left="180"/>
              <w:spacing w:after="0"/>
              <w:rPr>
                <w:sz w:val="20"/>
                <w:szCs w:val="20"/>
                <w:color w:val="auto"/>
              </w:rPr>
            </w:pPr>
            <w:r>
              <w:rPr>
                <w:rFonts w:ascii="Arial" w:cs="Arial" w:eastAsia="Arial" w:hAnsi="Arial"/>
                <w:sz w:val="18"/>
                <w:szCs w:val="18"/>
                <w:color w:val="auto"/>
              </w:rPr>
              <w:t>970</w:t>
            </w:r>
          </w:p>
        </w:tc>
        <w:tc>
          <w:tcPr>
            <w:tcW w:w="1160" w:type="dxa"/>
            <w:vAlign w:val="bottom"/>
            <w:gridSpan w:val="3"/>
          </w:tcPr>
          <w:p>
            <w:pPr>
              <w:ind w:left="20"/>
              <w:spacing w:after="0"/>
              <w:rPr>
                <w:sz w:val="20"/>
                <w:szCs w:val="20"/>
                <w:color w:val="auto"/>
              </w:rPr>
            </w:pPr>
            <w:r>
              <w:rPr>
                <w:rFonts w:ascii="Arial" w:cs="Arial" w:eastAsia="Arial" w:hAnsi="Arial"/>
                <w:sz w:val="18"/>
                <w:szCs w:val="18"/>
                <w:color w:val="auto"/>
                <w:w w:val="91"/>
              </w:rPr>
              <w:t>$1.00 in cash $</w:t>
            </w: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30</w:t>
            </w:r>
          </w:p>
        </w:tc>
        <w:tc>
          <w:tcPr>
            <w:tcW w:w="140" w:type="dxa"/>
            <w:vAlign w:val="bottom"/>
          </w:tcPr>
          <w:p>
            <w:pPr>
              <w:spacing w:after="0"/>
              <w:rPr>
                <w:sz w:val="20"/>
                <w:szCs w:val="20"/>
                <w:color w:val="auto"/>
              </w:rPr>
            </w:pPr>
            <w:r>
              <w:rPr>
                <w:rFonts w:ascii="Arial" w:cs="Arial" w:eastAsia="Arial" w:hAnsi="Arial"/>
                <w:sz w:val="18"/>
                <w:szCs w:val="18"/>
                <w:color w:val="auto"/>
              </w:rPr>
              <w:t>$</w:t>
            </w:r>
          </w:p>
        </w:tc>
        <w:tc>
          <w:tcPr>
            <w:tcW w:w="620" w:type="dxa"/>
            <w:vAlign w:val="bottom"/>
            <w:gridSpan w:val="2"/>
          </w:tcPr>
          <w:p>
            <w:pPr>
              <w:jc w:val="right"/>
              <w:ind w:right="80"/>
              <w:spacing w:after="0"/>
              <w:rPr>
                <w:sz w:val="20"/>
                <w:szCs w:val="20"/>
                <w:color w:val="auto"/>
              </w:rPr>
            </w:pPr>
            <w:r>
              <w:rPr>
                <w:rFonts w:ascii="Arial" w:cs="Arial" w:eastAsia="Arial" w:hAnsi="Arial"/>
                <w:sz w:val="18"/>
                <w:szCs w:val="18"/>
                <w:color w:val="auto"/>
              </w:rPr>
              <w:t>1,000</w:t>
            </w:r>
          </w:p>
        </w:tc>
        <w:tc>
          <w:tcPr>
            <w:tcW w:w="220" w:type="dxa"/>
            <w:vAlign w:val="bottom"/>
            <w:gridSpan w:val="2"/>
          </w:tcPr>
          <w:p>
            <w:pPr>
              <w:ind w:left="60"/>
              <w:spacing w:after="0"/>
              <w:rPr>
                <w:sz w:val="20"/>
                <w:szCs w:val="20"/>
                <w:color w:val="auto"/>
              </w:rPr>
            </w:pPr>
            <w:r>
              <w:rPr>
                <w:rFonts w:ascii="Arial" w:cs="Arial" w:eastAsia="Arial" w:hAnsi="Arial"/>
                <w:sz w:val="18"/>
                <w:szCs w:val="18"/>
                <w:color w:val="auto"/>
              </w:rPr>
              <w:t>$</w:t>
            </w:r>
          </w:p>
        </w:tc>
        <w:tc>
          <w:tcPr>
            <w:tcW w:w="460" w:type="dxa"/>
            <w:vAlign w:val="bottom"/>
            <w:gridSpan w:val="2"/>
          </w:tcPr>
          <w:p>
            <w:pPr>
              <w:jc w:val="right"/>
              <w:ind w:right="60"/>
              <w:spacing w:after="0"/>
              <w:rPr>
                <w:sz w:val="20"/>
                <w:szCs w:val="20"/>
                <w:color w:val="auto"/>
              </w:rPr>
            </w:pPr>
            <w:r>
              <w:rPr>
                <w:rFonts w:ascii="Arial" w:cs="Arial" w:eastAsia="Arial" w:hAnsi="Arial"/>
                <w:sz w:val="18"/>
                <w:szCs w:val="18"/>
                <w:color w:val="auto"/>
              </w:rPr>
              <w:t>1.00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85725</wp:posOffset>
            </wp:positionV>
            <wp:extent cx="771525"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55" w:lineRule="exact"/>
        <w:rPr>
          <w:sz w:val="20"/>
          <w:szCs w:val="20"/>
          <w:color w:val="auto"/>
        </w:rPr>
      </w:pPr>
    </w:p>
    <w:p>
      <w:pPr>
        <w:ind w:left="424" w:right="220" w:hanging="424"/>
        <w:spacing w:after="0" w:line="258" w:lineRule="auto"/>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For each $1,000 principal amount of Marvell Notes (as defined below) validly tendered (and not validly withdrawn) at or prior to the Expiration Date (as defined below).</w:t>
      </w:r>
    </w:p>
    <w:p>
      <w:pPr>
        <w:spacing w:after="0" w:line="1" w:lineRule="exact"/>
        <w:rPr>
          <w:rFonts w:ascii="Arial" w:cs="Arial" w:eastAsia="Arial" w:hAnsi="Arial"/>
          <w:sz w:val="18"/>
          <w:szCs w:val="18"/>
          <w:color w:val="auto"/>
        </w:rPr>
      </w:pPr>
    </w:p>
    <w:p>
      <w:pPr>
        <w:ind w:left="424" w:hanging="424"/>
        <w:spacing w:after="0"/>
        <w:tabs>
          <w:tab w:leader="none" w:pos="424" w:val="left"/>
        </w:tabs>
        <w:numPr>
          <w:ilvl w:val="0"/>
          <w:numId w:val="3"/>
        </w:numPr>
        <w:rPr>
          <w:rFonts w:ascii="Arial" w:cs="Arial" w:eastAsia="Arial" w:hAnsi="Arial"/>
          <w:sz w:val="17"/>
          <w:szCs w:val="17"/>
          <w:color w:val="auto"/>
        </w:rPr>
      </w:pPr>
      <w:r>
        <w:rPr>
          <w:rFonts w:ascii="Arial" w:cs="Arial" w:eastAsia="Arial" w:hAnsi="Arial"/>
          <w:sz w:val="17"/>
          <w:szCs w:val="17"/>
          <w:color w:val="auto"/>
        </w:rPr>
        <w:t>The term “MTI Notes” refers, in each case, to the series of MTI Notes corresponding to the series of Marvell Notes of like tenor and coupon.</w:t>
      </w:r>
    </w:p>
    <w:p>
      <w:pPr>
        <w:spacing w:after="0" w:line="20" w:lineRule="exact"/>
        <w:rPr>
          <w:rFonts w:ascii="Arial" w:cs="Arial" w:eastAsia="Arial" w:hAnsi="Arial"/>
          <w:sz w:val="17"/>
          <w:szCs w:val="17"/>
          <w:color w:val="auto"/>
        </w:rPr>
      </w:pPr>
    </w:p>
    <w:p>
      <w:pPr>
        <w:ind w:left="424" w:right="320" w:hanging="424"/>
        <w:spacing w:after="0" w:line="250" w:lineRule="auto"/>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For each $1,000 principal amount of Marvell Notes validly tendered (and not validly withdrawn) at or prior to the Early Participation Date and accepted for exchange.</w:t>
      </w:r>
    </w:p>
    <w:p>
      <w:pPr>
        <w:ind w:left="424" w:right="20" w:hanging="424"/>
        <w:spacing w:after="0" w:line="260" w:lineRule="auto"/>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Includes the Early Participation Premium for Marvell Notes validly tendered (and not validly withdrawn) at or prior to the Early Participation Date and accepted for exchange.</w:t>
      </w:r>
    </w:p>
    <w:p>
      <w:pPr>
        <w:sectPr>
          <w:pgSz w:w="11900" w:h="16838" w:orient="portrait"/>
          <w:cols w:equalWidth="0" w:num="1">
            <w:col w:w="11024"/>
          </w:cols>
          <w:pgMar w:left="436" w:top="121" w:right="439" w:bottom="1440" w:gutter="0" w:footer="0" w:header="0"/>
        </w:sectPr>
      </w:pPr>
    </w:p>
    <w:bookmarkStart w:id="9" w:name="page10"/>
    <w:bookmarkEnd w:id="9"/>
    <w:p>
      <w:pPr>
        <w:ind w:left="4" w:right="60"/>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Concurrently with the Exchange Offers, MTI, on behalf of Marvell, is soliciting consents with respect to each series of Marvell Notes (each, a “Consent Solicitation,” and collectively, the “Consent Solicitations”) to adopt certain proposed amendments to the indenture, dated as of June 22, 2018 (the “Marvell Base Indenture”), as amended by a first supplemental indenture, dated as of June 22, 2018 (the “Marvell First Supplemental Indenture” and, together with the Marvell Base Indenture, the “Marvell Indenture”), between Marvell and U.S. Bank National Association, as trustee (the “Marvell Trustee”), pursuant to which the Marvell Notes were issued. Such proposed amendments (the “Proposed Amendments”) include eliminating</w:t>
      </w:r>
    </w:p>
    <w:p>
      <w:pPr>
        <w:spacing w:after="0" w:line="2" w:lineRule="exact"/>
        <w:rPr>
          <w:sz w:val="20"/>
          <w:szCs w:val="20"/>
          <w:color w:val="auto"/>
        </w:rPr>
      </w:pPr>
    </w:p>
    <w:p>
      <w:pPr>
        <w:ind w:left="4" w:hanging="4"/>
        <w:spacing w:after="0" w:line="268" w:lineRule="auto"/>
        <w:tabs>
          <w:tab w:leader="none" w:pos="219" w:val="left"/>
        </w:tabs>
        <w:numPr>
          <w:ilvl w:val="0"/>
          <w:numId w:val="4"/>
        </w:numPr>
        <w:rPr>
          <w:rFonts w:ascii="Arial" w:cs="Arial" w:eastAsia="Arial" w:hAnsi="Arial"/>
          <w:sz w:val="17"/>
          <w:szCs w:val="17"/>
          <w:color w:val="auto"/>
        </w:rPr>
      </w:pPr>
      <w:r>
        <w:rPr>
          <w:rFonts w:ascii="Arial" w:cs="Arial" w:eastAsia="Arial" w:hAnsi="Arial"/>
          <w:sz w:val="17"/>
          <w:szCs w:val="17"/>
          <w:color w:val="auto"/>
        </w:rPr>
        <w:t>substantially all of the restrictive covenants in the Marvell Indenture, (ii) any restrictions on Marvell in the Marvell Indenture from consolidating with or merging into any other person or conveying, transferring or leasing all or any of its properties and assets to any person and (iii) certain of the events that may lead to an “Event of Default” in the Marvell Indenture (other than for the failure to pay principal, premium or interest). The Proposed Amendments with respect to each series of the Marvell Notes under the Marvell Indenture are identical and require the consent of the holders of not less than a majority in principal amount of such series of the Marvell Notes outstanding. If the requisite consents with respect to a particular series of Marvell Notes under the Marvell Indenture have been received, Marvell and the Marvell Trustee may execute and deliver one or more supplemental indentures relating to the Proposed Amendments to the applicable series of Marvell Notes, which will be effective upon execution but will only become operative upon the settlement date of the applicable Exchange Offer.</w:t>
      </w:r>
    </w:p>
    <w:p>
      <w:pPr>
        <w:spacing w:after="0" w:line="183" w:lineRule="exact"/>
        <w:rPr>
          <w:sz w:val="20"/>
          <w:szCs w:val="20"/>
          <w:color w:val="auto"/>
        </w:rPr>
      </w:pPr>
    </w:p>
    <w:p>
      <w:pPr>
        <w:ind w:left="4" w:right="20"/>
        <w:spacing w:after="0" w:line="275" w:lineRule="auto"/>
        <w:rPr>
          <w:sz w:val="20"/>
          <w:szCs w:val="20"/>
          <w:color w:val="auto"/>
        </w:rPr>
      </w:pPr>
      <w:r>
        <w:rPr>
          <w:rFonts w:ascii="Arial" w:cs="Arial" w:eastAsia="Arial" w:hAnsi="Arial"/>
          <w:sz w:val="17"/>
          <w:szCs w:val="17"/>
          <w:color w:val="auto"/>
        </w:rPr>
        <w:t>MTI may complete either Exchange Offer even if valid consents sufficient to effect the Proposed Amendments to the Marvell Indenture for either or both series of Marvell Notes are not received. Each Exchange Offer and Consent Solicitation is conditioned upon the completion of the other Exchange Offer and Consent Solicitation, although MTI may waive such condition at any time with respect to an Exchange Offer. Any waiver of a condition by MTI with respect to an Exchange Offer will automatically waive such condition with respect to the corresponding Consent Solicitation, as applicable. In addition, MTI may amend the terms of either Exchange Offer without amending the terms of the other Exchange Offer.</w:t>
      </w:r>
    </w:p>
    <w:p>
      <w:pPr>
        <w:spacing w:after="0" w:line="176" w:lineRule="exact"/>
        <w:rPr>
          <w:sz w:val="20"/>
          <w:szCs w:val="20"/>
          <w:color w:val="auto"/>
        </w:rPr>
      </w:pPr>
    </w:p>
    <w:p>
      <w:pPr>
        <w:ind w:left="4" w:right="20"/>
        <w:spacing w:after="0" w:line="286" w:lineRule="auto"/>
        <w:rPr>
          <w:sz w:val="20"/>
          <w:szCs w:val="20"/>
          <w:color w:val="auto"/>
        </w:rPr>
      </w:pPr>
      <w:r>
        <w:rPr>
          <w:rFonts w:ascii="Arial" w:cs="Arial" w:eastAsia="Arial" w:hAnsi="Arial"/>
          <w:sz w:val="16"/>
          <w:szCs w:val="16"/>
          <w:color w:val="auto"/>
        </w:rPr>
        <w:t>The Exchange Offers and Consent Solicitations are being made pursuant to the terms and subject to the conditions set forth in the offering memorandum dated April 5, 2021, and are conditioned upon the closing of the Mergers, which condition may not be waived by MTI, and certain other conditions that may be waived by MTI. Each Exchange Offer and each Consent Solicitation will expire at 11:59 p.m., New York City time, on April 30, 2021, unless extended or terminated (such date and time with respect to an Exchange Offer, as may be extended for such Exchange Offer, the “Expiration Date”). To be eligible to receive the Total Consideration (as defined below), eligible holders of the Marvell Notes must validly tender and not withdraw their Marvell Notes at or prior to 5:00 p.m., New York City time, on April 16, 2021, unless extended or terminated (such date and time with respect to an Exchange Offer and Consent Solicitation, as the same may be extended for such Exchange Offer and Consent Solicitation, the “Early Participation Date”). Tenders of Marvell Notes in the Exchange Offers may not be withdrawn at any time after 5:00 p.m., New York City time, on April 16, 2021 (such date and time, the “Withdrawal Deadline”), which is the Early Participation Date. Consents in the Consent Solicitations may not be revoked after the earlier of (i) the Early Participation Date and (ii) the date the applicable supplemental indenture to the Marvell Indenture implementing the applicable Proposed Amendments is executed. Eligible holders may not deliver a consent in a Consent Solicitation without tendering Marvell Notes of the applicable series in the applicable Exchange Offer. If an eligible holder tenders Marvell Notes in an Exchange Offer, such eligible holder will be deemed to deliver its consent, with respect to the principal amount of such tendered Marvell Notes, to the Proposed Amendments. The settlement date will be as soon as practicable after the Expiration Date and is expected to occur on or about May 4, 2021.</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4"/>
          </w:cols>
          <w:pgMar w:left="436" w:top="274" w:right="459" w:bottom="1440" w:gutter="0" w:footer="0" w:header="0"/>
        </w:sectPr>
      </w:pPr>
    </w:p>
    <w:bookmarkStart w:id="10" w:name="page11"/>
    <w:bookmarkEnd w:id="10"/>
    <w:p>
      <w:pPr>
        <w:ind w:right="10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 each $1,000 principal amount of Marvell Notes validly tendered (and not validly withdrawn) at or prior to the Early Participation Date, eligible holders of Marvell Notes will be eligible to receive $1,000 principal amount of MTI Notes of the applicable series, plus a consent payment of $1.00 in cash (the “Total Consideration”). The Total Consideration includes an early participation premium, payable in MTI Notes, equal to $30.00 for each $1,000 principal amount of Marvell Notes validly tendered (the “Early Participation Premium”). To be eligible to receive the Total Consideration, eligible holders must have validly tendered (and not validly withdrawn) their Marvell Notes at or prior to the Early Participation Date. For each $1,000 principal amount of Marvell Notes validly tendered (and not validly withdrawn) after the Early Participation Date but at or prior to the Expiration Date, eligible holders of Marvell Notes will be eligible to receive $970 principal amount of MTI Notes of the applicable series, plus a consent payment of $1.00 in cash (the “Exchange Consideration”).</w:t>
      </w:r>
    </w:p>
    <w:p>
      <w:pPr>
        <w:spacing w:after="0" w:line="192"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No accrued and unpaid interest is payable upon acceptance of any Marvell Notes in the Exchange Offers and Consent Solicitations. The first interest payment on any MTI Notes will include the accrued and unpaid interest on the Marvell Notes tendered in exchange therefor so that a tendering eligible holder will receive the same interest payment it would have received had its Marvell Notes not been tendered in the Exchange Offers and Consent Solicitations.</w:t>
      </w:r>
    </w:p>
    <w:p>
      <w:pPr>
        <w:spacing w:after="0" w:line="187"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The MTI Notes will be the general, unsecured senior obligations of MTI and will rank equally in right of payment with all of its existing and future unsecured senior indebtedness.</w:t>
      </w:r>
    </w:p>
    <w:p>
      <w:pPr>
        <w:spacing w:after="0" w:line="170"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 xml:space="preserve">Documents relating to the Exchange Offers and Consent Solicitations will only be distributed to eligible holders of Marvell Notes who properly complete and return an eligibility certification confirming that they are either a “qualified institutional buyer” within the meaning of Rule 144A under the Securities Act of 1933, as amended (the “Securities Act”) or not a “U.S. person” and outside the United States under Regulation S under the Securities Act for purposes of applicable securities laws. The complete terms and conditions of the Exchange Offers and Consent Solicitations are described in the offering memorandum, copies of which may be obtained by contacting D.F. King &amp; Co., Inc., the exchange agent and information agent in connection with the Exchange Offers and Consent Solicitations, by telephone at (866) 796-6867 (U.S. toll-free) or (212) 269-5550 (banks and brokers), or by email at </w:t>
      </w:r>
      <w:r>
        <w:rPr>
          <w:rFonts w:ascii="Arial" w:cs="Arial" w:eastAsia="Arial" w:hAnsi="Arial"/>
          <w:sz w:val="16"/>
          <w:szCs w:val="16"/>
          <w:u w:val="single" w:color="auto"/>
          <w:color w:val="auto"/>
        </w:rPr>
        <w:t>marvell@dfking.com</w:t>
      </w:r>
      <w:r>
        <w:rPr>
          <w:rFonts w:ascii="Arial" w:cs="Arial" w:eastAsia="Arial" w:hAnsi="Arial"/>
          <w:sz w:val="16"/>
          <w:szCs w:val="16"/>
          <w:color w:val="auto"/>
        </w:rPr>
        <w:t>. The eligibility certification is also available by contacting D.F. King &amp; Co., Inc. at the information above.</w:t>
      </w:r>
    </w:p>
    <w:p>
      <w:pPr>
        <w:spacing w:after="0" w:line="166" w:lineRule="exact"/>
        <w:rPr>
          <w:sz w:val="20"/>
          <w:szCs w:val="20"/>
          <w:color w:val="auto"/>
        </w:rPr>
      </w:pPr>
    </w:p>
    <w:p>
      <w:pPr>
        <w:ind w:right="80"/>
        <w:spacing w:after="0" w:line="263" w:lineRule="auto"/>
        <w:rPr>
          <w:sz w:val="20"/>
          <w:szCs w:val="20"/>
          <w:color w:val="auto"/>
        </w:rPr>
      </w:pPr>
      <w:r>
        <w:rPr>
          <w:rFonts w:ascii="Arial" w:cs="Arial" w:eastAsia="Arial" w:hAnsi="Arial"/>
          <w:sz w:val="18"/>
          <w:szCs w:val="18"/>
          <w:color w:val="auto"/>
        </w:rPr>
        <w:t>The MTI Notes have not been registered under the Securities Act or any state securities laws, and unless so registered, may not be offered or sold in the United States absent registration or an applicable exemption from, or in a transaction not subject to, the registration requirements of the Securities Act and other applicable securities laws.</w:t>
      </w:r>
    </w:p>
    <w:p>
      <w:pPr>
        <w:spacing w:after="0" w:line="184"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This press release does not constitute an offer to sell or purchase, or a solicitation of an offer to sell or purchase, or the solicitation of tenders or consents with respect to, any security. No offer, solicitation, purchase or sale will be made in any jurisdiction in which such an offer, solicitation or sale would be unlawful. The Exchange Offers and Consent Solicitations are being made solely pursuant to the offering memorandum and only to such persons and in such jurisdictions as are permitted under applicable law.</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About Marvell</w:t>
      </w:r>
    </w:p>
    <w:p>
      <w:pPr>
        <w:spacing w:after="0" w:line="121"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United States and/or elsewhere. Other names and brands may be claimed as the property of others.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11" w:name="page12"/>
    <w:bookmarkEnd w:id="1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Investor Contacts:</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This press release relates to a proposed transaction between Marvell and Inphi. In connection with the proposed transaction, on 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1"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0"/>
          </w:cols>
          <w:pgMar w:left="440" w:top="270" w:right="47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pacing w:after="0" w:line="3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sectPr>
      <w:pgSz w:w="11900" w:h="16838" w:orient="portrait"/>
      <w:cols w:equalWidth="0" w:num="1">
        <w:col w:w="11000"/>
      </w:cols>
      <w:pgMar w:left="440"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
      <w:numFmt w:val="bullet"/>
      <w:start w:val="1"/>
    </w:lvl>
  </w:abstractNum>
  <w:abstractNum w:abstractNumId="2">
    <w:nsid w:val="2AE8944A"/>
    <w:multiLevelType w:val="hybridMultilevel"/>
    <w:lvl w:ilvl="0">
      <w:lvlJc w:val="left"/>
      <w:lvlText w:val="(%1)"/>
      <w:numFmt w:val="decimal"/>
      <w:start w:val="1"/>
    </w:lvl>
  </w:abstractNum>
  <w:abstractNum w:abstractNumId="3">
    <w:nsid w:val="625558EC"/>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2021-04-05T16:31:08Z</dcterms:created>
  <dcterms:modified xsi:type="dcterms:W3CDTF">2021-04-05T16:31:08Z</dcterms:modified>
</cp:coreProperties>
</file>