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2"/>
        </w:trPr>
        <w:tc>
          <w:tcPr>
            <w:tcW w:w="6400" w:type="dxa"/>
            <w:vAlign w:val="bottom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5325745</wp:posOffset>
            </wp:positionH>
            <wp:positionV relativeFrom="paragraph">
              <wp:posOffset>-646430</wp:posOffset>
            </wp:positionV>
            <wp:extent cx="59055" cy="65976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4048125</wp:posOffset>
            </wp:positionH>
            <wp:positionV relativeFrom="paragraph">
              <wp:posOffset>-646430</wp:posOffset>
            </wp:positionV>
            <wp:extent cx="59055" cy="65976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-1569720</wp:posOffset>
            </wp:positionH>
            <wp:positionV relativeFrom="paragraph">
              <wp:posOffset>19685</wp:posOffset>
            </wp:positionV>
            <wp:extent cx="6989445" cy="57283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9445" cy="5728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00" w:space="260"/>
            <w:col w:w="8620"/>
          </w:cols>
          <w:pgMar w:left="460" w:top="225" w:right="359" w:bottom="144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7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20" w:type="dxa"/>
            <w:vAlign w:val="bottom"/>
            <w:gridSpan w:val="10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  <w:w w:val="92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2"/>
                </w:rPr>
                <w:t>Frank Edward H.</w:t>
              </w:r>
            </w:hyperlink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0" w:type="dxa"/>
            <w:vAlign w:val="bottom"/>
            <w:gridSpan w:val="8"/>
          </w:tcPr>
          <w:p>
            <w:pPr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</w:t>
              </w:r>
            </w:hyperlink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60" w:type="dxa"/>
            <w:vAlign w:val="bottom"/>
            <w:gridSpan w:val="6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760" w:type="dxa"/>
            <w:vAlign w:val="bottom"/>
            <w:gridSpan w:val="4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0000EE"/>
            </w:tcBorders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gridSpan w:val="4"/>
            <w:vMerge w:val="restart"/>
          </w:tcPr>
          <w:p>
            <w:pPr>
              <w:spacing w:after="0" w:line="220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 xml:space="preserve">LTD </w:t>
              </w:r>
              <w:r>
                <w:rPr>
                  <w:rFonts w:ascii="Arial" w:cs="Arial" w:eastAsia="Arial" w:hAnsi="Arial"/>
                  <w:sz w:val="21"/>
                  <w:szCs w:val="21"/>
                  <w:color w:val="000000"/>
                </w:rPr>
                <w:t>[</w:t>
              </w:r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 xml:space="preserve"> </w:t>
              </w:r>
              <w:r>
                <w:rPr>
                  <w:rFonts w:ascii="Arial" w:cs="Arial" w:eastAsia="Arial" w:hAnsi="Arial"/>
                  <w:sz w:val="17"/>
                  <w:szCs w:val="17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 xml:space="preserve"> </w:t>
              </w:r>
              <w:r>
                <w:rPr>
                  <w:rFonts w:ascii="Arial" w:cs="Arial" w:eastAsia="Arial" w:hAnsi="Arial"/>
                  <w:sz w:val="21"/>
                  <w:szCs w:val="21"/>
                  <w:color w:val="000000"/>
                </w:rPr>
                <w:t>]</w:t>
              </w:r>
            </w:hyperlink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760" w:type="dxa"/>
            <w:vAlign w:val="bottom"/>
            <w:gridSpan w:val="4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0000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0000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30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20" w:type="dxa"/>
            <w:vAlign w:val="bottom"/>
            <w:gridSpan w:val="7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03/17/2021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0" w:type="dxa"/>
            <w:vAlign w:val="bottom"/>
            <w:gridSpan w:val="8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20" w:type="dxa"/>
            <w:vAlign w:val="bottom"/>
            <w:gridSpan w:val="10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  <w:gridSpan w:val="8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14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60" w:type="dxa"/>
            <w:vAlign w:val="bottom"/>
            <w:gridSpan w:val="7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96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720" w:type="dxa"/>
            <w:vAlign w:val="bottom"/>
            <w:tcBorders>
              <w:top w:val="single" w:sz="8" w:color="2C2C2C"/>
            </w:tcBorders>
            <w:gridSpan w:val="21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5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780" w:type="dxa"/>
            <w:vAlign w:val="bottom"/>
            <w:gridSpan w:val="7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7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3160" w:type="dxa"/>
            <w:vAlign w:val="bottom"/>
            <w:gridSpan w:val="11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  Securities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</w:tcPr>
          <w:p>
            <w:pPr>
              <w:ind w:left="7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  <w:gridSpan w:val="3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2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I-By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03/17/2021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</w:t>
            </w:r>
          </w:p>
        </w:tc>
        <w:tc>
          <w:tcPr>
            <w:tcW w:w="7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21</w:t>
            </w:r>
          </w:p>
        </w:tc>
        <w:tc>
          <w:tcPr>
            <w:tcW w:w="44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47.18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14,521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I-By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03/17/2021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</w:t>
            </w:r>
          </w:p>
        </w:tc>
        <w:tc>
          <w:tcPr>
            <w:tcW w:w="7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21</w:t>
            </w:r>
          </w:p>
        </w:tc>
        <w:tc>
          <w:tcPr>
            <w:tcW w:w="44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47.18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14,521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top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jc w:val="center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9,778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jc w:val="center"/>
              <w:ind w:righ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90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20" w:type="dxa"/>
            <w:vAlign w:val="bottom"/>
            <w:gridSpan w:val="16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3. Transaction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8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6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 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6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21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if any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5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7005955</wp:posOffset>
            </wp:positionH>
            <wp:positionV relativeFrom="paragraph">
              <wp:posOffset>-1797685</wp:posOffset>
            </wp:positionV>
            <wp:extent cx="29845" cy="18021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" cy="180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5" w:right="359" w:bottom="1440" w:gutter="0" w:footer="0" w:header="0"/>
          <w:type w:val="continuous"/>
        </w:sectPr>
      </w:pPr>
    </w:p>
    <w:p>
      <w:pPr>
        <w:spacing w:after="0" w:line="23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Held in the Whitton Anne Frank 2015 Heritage Trust.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Held in the Naomi Mantor Frank 2015 Heritage Trust.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8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Edward H. Frank by Blair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-8255</wp:posOffset>
            </wp:positionV>
            <wp:extent cx="114554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54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Walters 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-5080</wp:posOffset>
            </wp:positionV>
            <wp:extent cx="121920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3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04/08/2021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5080</wp:posOffset>
            </wp:positionH>
            <wp:positionV relativeFrom="paragraph">
              <wp:posOffset>5715</wp:posOffset>
            </wp:positionV>
            <wp:extent cx="50101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520" w:space="260"/>
            <w:col w:w="2300"/>
          </w:cols>
          <w:pgMar w:left="460" w:top="225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40" w:right="3340" w:firstLine="7"/>
        <w:spacing w:after="0" w:line="319" w:lineRule="auto"/>
        <w:tabs>
          <w:tab w:leader="none" w:pos="18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5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58982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2021-04-08T15:15:07Z</dcterms:created>
  <dcterms:modified xsi:type="dcterms:W3CDTF">2021-04-08T15:15:07Z</dcterms:modified>
</cp:coreProperties>
</file>