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UNITED STATES</w:t>
      </w:r>
    </w:p>
    <w:p>
      <w:pPr>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spacing w:after="0" w:line="238" w:lineRule="auto"/>
        <w:rPr>
          <w:sz w:val="20"/>
          <w:szCs w:val="20"/>
          <w:color w:val="auto"/>
        </w:rPr>
      </w:pPr>
      <w:r>
        <w:rPr>
          <w:rFonts w:ascii="Courier New" w:cs="Courier New" w:eastAsia="Courier New" w:hAnsi="Courier New"/>
          <w:sz w:val="18"/>
          <w:szCs w:val="18"/>
          <w:color w:val="auto"/>
        </w:rPr>
        <w:t>Washington, D.C. 20549</w:t>
      </w:r>
    </w:p>
    <w:p>
      <w:pPr>
        <w:spacing w:after="0"/>
        <w:rPr>
          <w:sz w:val="20"/>
          <w:szCs w:val="20"/>
          <w:color w:val="auto"/>
        </w:rPr>
      </w:pPr>
      <w:r>
        <w:rPr>
          <w:rFonts w:ascii="Courier New" w:cs="Courier New" w:eastAsia="Courier New" w:hAnsi="Courier New"/>
          <w:sz w:val="18"/>
          <w:szCs w:val="18"/>
          <w:color w:val="auto"/>
        </w:rPr>
        <w:t>SCHEDULE 13G</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7)</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(Name of Issuer)</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38" w:lineRule="auto"/>
        <w:rPr>
          <w:sz w:val="20"/>
          <w:szCs w:val="20"/>
          <w:color w:val="auto"/>
        </w:rPr>
      </w:pPr>
      <w:r>
        <w:rPr>
          <w:rFonts w:ascii="Courier New" w:cs="Courier New" w:eastAsia="Courier New" w:hAnsi="Courier New"/>
          <w:sz w:val="18"/>
          <w:szCs w:val="18"/>
          <w:color w:val="auto"/>
        </w:rPr>
        <w:t>(Title of Class of Securities)</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G5876H105</w:t>
      </w:r>
    </w:p>
    <w:p>
      <w:pPr>
        <w:spacing w:after="0" w:line="238" w:lineRule="auto"/>
        <w:rPr>
          <w:sz w:val="20"/>
          <w:szCs w:val="20"/>
          <w:color w:val="auto"/>
        </w:rPr>
      </w:pPr>
      <w:r>
        <w:rPr>
          <w:rFonts w:ascii="Courier New" w:cs="Courier New" w:eastAsia="Courier New" w:hAnsi="Courier New"/>
          <w:sz w:val="18"/>
          <w:szCs w:val="18"/>
          <w:color w:val="auto"/>
        </w:rPr>
        <w:t>(CUSIP NUMBER)</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March 31, 2021</w:t>
      </w:r>
    </w:p>
    <w:p>
      <w:pPr>
        <w:spacing w:after="0" w:line="238" w:lineRule="auto"/>
        <w:rPr>
          <w:sz w:val="20"/>
          <w:szCs w:val="20"/>
          <w:color w:val="auto"/>
        </w:rPr>
      </w:pPr>
      <w:r>
        <w:rPr>
          <w:rFonts w:ascii="Courier New" w:cs="Courier New" w:eastAsia="Courier New" w:hAnsi="Courier New"/>
          <w:sz w:val="18"/>
          <w:szCs w:val="18"/>
          <w:color w:val="auto"/>
        </w:rPr>
        <w:t>(Date of Event which Requires Filing of Statement)</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line="238" w:lineRule="auto"/>
        <w:rPr>
          <w:sz w:val="20"/>
          <w:szCs w:val="20"/>
          <w:color w:val="auto"/>
        </w:rPr>
      </w:pPr>
      <w:r>
        <w:rPr>
          <w:rFonts w:ascii="Courier New" w:cs="Courier New" w:eastAsia="Courier New" w:hAnsi="Courier New"/>
          <w:sz w:val="18"/>
          <w:szCs w:val="18"/>
          <w:color w:val="auto"/>
        </w:rPr>
        <w:t>Schedule is filed:</w:t>
      </w:r>
    </w:p>
    <w:p>
      <w:pPr>
        <w:spacing w:after="0" w:line="5" w:lineRule="exact"/>
        <w:rPr>
          <w:sz w:val="24"/>
          <w:szCs w:val="24"/>
          <w:color w:val="auto"/>
        </w:rPr>
      </w:pPr>
    </w:p>
    <w:p>
      <w:pPr>
        <w:jc w:val="both"/>
        <w:ind w:left="540" w:right="8019" w:hanging="532"/>
        <w:spacing w:after="0" w:line="279" w:lineRule="auto"/>
        <w:tabs>
          <w:tab w:leader="none" w:pos="54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 - 1(b) Rule 13d - 1(c) Rule 13d - 1(d)</w:t>
      </w:r>
    </w:p>
    <w:p>
      <w:pPr>
        <w:spacing w:after="0" w:line="172" w:lineRule="exact"/>
        <w:rPr>
          <w:sz w:val="24"/>
          <w:szCs w:val="24"/>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 ROWE PRICE ASSOCIATES, INC.</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52-0556948</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NOT APPLICABLE</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6" w:lineRule="exact"/>
        <w:rPr>
          <w:rFonts w:ascii="Courier New" w:cs="Courier New" w:eastAsia="Courier New" w:hAnsi="Courier New"/>
          <w:sz w:val="18"/>
          <w:szCs w:val="18"/>
          <w:color w:val="auto"/>
        </w:rPr>
      </w:pPr>
    </w:p>
    <w:p>
      <w:pPr>
        <w:ind w:left="320" w:right="6019" w:hanging="312"/>
        <w:spacing w:after="0" w:line="235" w:lineRule="auto"/>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Maryland</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Number of Shares Beneficially Owned by Each Reporting Person With</w:t>
      </w:r>
    </w:p>
    <w:p>
      <w:pPr>
        <w:spacing w:after="0" w:line="201" w:lineRule="exact"/>
        <w:rPr>
          <w:sz w:val="24"/>
          <w:szCs w:val="24"/>
          <w:color w:val="auto"/>
        </w:rPr>
      </w:pPr>
    </w:p>
    <w:tbl>
      <w:tblPr>
        <w:tblLayout w:type="fixed"/>
        <w:tblInd w:w="0" w:type="dxa"/>
        <w:tblCellMar>
          <w:top w:w="0" w:type="dxa"/>
          <w:left w:w="0" w:type="dxa"/>
          <w:bottom w:w="0" w:type="dxa"/>
          <w:right w:w="0" w:type="dxa"/>
        </w:tblCellMar>
      </w:tblPr>
      <w:tr>
        <w:trPr>
          <w:trHeight w:val="204"/>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5.</w:t>
            </w:r>
          </w:p>
        </w:tc>
        <w:tc>
          <w:tcPr>
            <w:tcW w:w="520" w:type="dxa"/>
            <w:vAlign w:val="bottom"/>
          </w:tcPr>
          <w:p>
            <w:pPr>
              <w:ind w:left="40"/>
              <w:spacing w:after="0"/>
              <w:rPr>
                <w:sz w:val="20"/>
                <w:szCs w:val="20"/>
                <w:color w:val="auto"/>
              </w:rPr>
            </w:pPr>
            <w:r>
              <w:rPr>
                <w:rFonts w:ascii="Courier New" w:cs="Courier New" w:eastAsia="Courier New" w:hAnsi="Courier New"/>
                <w:sz w:val="18"/>
                <w:szCs w:val="18"/>
                <w:color w:val="auto"/>
              </w:rPr>
              <w:t>Sole</w:t>
            </w:r>
          </w:p>
        </w:tc>
        <w:tc>
          <w:tcPr>
            <w:tcW w:w="220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Voting Power*</w:t>
            </w:r>
          </w:p>
        </w:tc>
        <w:tc>
          <w:tcPr>
            <w:tcW w:w="1220" w:type="dxa"/>
            <w:vAlign w:val="bottom"/>
          </w:tcPr>
          <w:p>
            <w:pPr>
              <w:ind w:left="160"/>
              <w:spacing w:after="0"/>
              <w:rPr>
                <w:sz w:val="20"/>
                <w:szCs w:val="20"/>
                <w:color w:val="auto"/>
              </w:rPr>
            </w:pPr>
            <w:r>
              <w:rPr>
                <w:rFonts w:ascii="Courier New" w:cs="Courier New" w:eastAsia="Courier New" w:hAnsi="Courier New"/>
                <w:sz w:val="18"/>
                <w:szCs w:val="18"/>
                <w:color w:val="auto"/>
                <w:w w:val="96"/>
              </w:rPr>
              <w:t>15,190,328</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6.</w:t>
            </w:r>
          </w:p>
        </w:tc>
        <w:tc>
          <w:tcPr>
            <w:tcW w:w="72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Shared</w:t>
            </w:r>
          </w:p>
        </w:tc>
        <w:tc>
          <w:tcPr>
            <w:tcW w:w="2000" w:type="dxa"/>
            <w:vAlign w:val="bottom"/>
          </w:tcPr>
          <w:p>
            <w:pPr>
              <w:ind w:left="60"/>
              <w:spacing w:after="0"/>
              <w:rPr>
                <w:sz w:val="20"/>
                <w:szCs w:val="20"/>
                <w:color w:val="auto"/>
              </w:rPr>
            </w:pPr>
            <w:r>
              <w:rPr>
                <w:rFonts w:ascii="Courier New" w:cs="Courier New" w:eastAsia="Courier New" w:hAnsi="Courier New"/>
                <w:sz w:val="18"/>
                <w:szCs w:val="18"/>
                <w:color w:val="auto"/>
              </w:rPr>
              <w:t>Voting Power*</w:t>
            </w:r>
          </w:p>
        </w:tc>
        <w:tc>
          <w:tcPr>
            <w:tcW w:w="1220" w:type="dxa"/>
            <w:vAlign w:val="bottom"/>
          </w:tcPr>
          <w:p>
            <w:pPr>
              <w:ind w:left="160"/>
              <w:spacing w:after="0"/>
              <w:rPr>
                <w:sz w:val="20"/>
                <w:szCs w:val="20"/>
                <w:color w:val="auto"/>
              </w:rPr>
            </w:pPr>
            <w:r>
              <w:rPr>
                <w:rFonts w:ascii="Courier New" w:cs="Courier New" w:eastAsia="Courier New" w:hAnsi="Courier New"/>
                <w:sz w:val="18"/>
                <w:szCs w:val="18"/>
                <w:color w:val="auto"/>
              </w:rPr>
              <w:t>0</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7.</w:t>
            </w:r>
          </w:p>
        </w:tc>
        <w:tc>
          <w:tcPr>
            <w:tcW w:w="520" w:type="dxa"/>
            <w:vAlign w:val="bottom"/>
          </w:tcPr>
          <w:p>
            <w:pPr>
              <w:ind w:left="40"/>
              <w:spacing w:after="0"/>
              <w:rPr>
                <w:sz w:val="20"/>
                <w:szCs w:val="20"/>
                <w:color w:val="auto"/>
              </w:rPr>
            </w:pPr>
            <w:r>
              <w:rPr>
                <w:rFonts w:ascii="Courier New" w:cs="Courier New" w:eastAsia="Courier New" w:hAnsi="Courier New"/>
                <w:sz w:val="18"/>
                <w:szCs w:val="18"/>
                <w:color w:val="auto"/>
              </w:rPr>
              <w:t>Sole</w:t>
            </w:r>
          </w:p>
        </w:tc>
        <w:tc>
          <w:tcPr>
            <w:tcW w:w="220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Dispositive Power*</w:t>
            </w:r>
          </w:p>
        </w:tc>
        <w:tc>
          <w:tcPr>
            <w:tcW w:w="1220" w:type="dxa"/>
            <w:vAlign w:val="bottom"/>
          </w:tcPr>
          <w:p>
            <w:pPr>
              <w:ind w:left="160"/>
              <w:spacing w:after="0"/>
              <w:rPr>
                <w:sz w:val="20"/>
                <w:szCs w:val="20"/>
                <w:color w:val="auto"/>
              </w:rPr>
            </w:pPr>
            <w:r>
              <w:rPr>
                <w:rFonts w:ascii="Courier New" w:cs="Courier New" w:eastAsia="Courier New" w:hAnsi="Courier New"/>
                <w:sz w:val="18"/>
                <w:szCs w:val="18"/>
                <w:color w:val="auto"/>
                <w:w w:val="96"/>
              </w:rPr>
              <w:t>42,913,460</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8.</w:t>
            </w:r>
          </w:p>
        </w:tc>
        <w:tc>
          <w:tcPr>
            <w:tcW w:w="72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Shared</w:t>
            </w:r>
          </w:p>
        </w:tc>
        <w:tc>
          <w:tcPr>
            <w:tcW w:w="2000" w:type="dxa"/>
            <w:vAlign w:val="bottom"/>
          </w:tcPr>
          <w:p>
            <w:pPr>
              <w:ind w:left="60"/>
              <w:spacing w:after="0"/>
              <w:rPr>
                <w:sz w:val="20"/>
                <w:szCs w:val="20"/>
                <w:color w:val="auto"/>
              </w:rPr>
            </w:pPr>
            <w:r>
              <w:rPr>
                <w:rFonts w:ascii="Courier New" w:cs="Courier New" w:eastAsia="Courier New" w:hAnsi="Courier New"/>
                <w:sz w:val="18"/>
                <w:szCs w:val="18"/>
                <w:color w:val="auto"/>
              </w:rPr>
              <w:t>Dispositive Power</w:t>
            </w:r>
          </w:p>
        </w:tc>
        <w:tc>
          <w:tcPr>
            <w:tcW w:w="1220" w:type="dxa"/>
            <w:vAlign w:val="bottom"/>
          </w:tcPr>
          <w:p>
            <w:pPr>
              <w:ind w:left="160"/>
              <w:spacing w:after="0"/>
              <w:rPr>
                <w:sz w:val="20"/>
                <w:szCs w:val="20"/>
                <w:color w:val="auto"/>
              </w:rPr>
            </w:pPr>
            <w:r>
              <w:rPr>
                <w:rFonts w:ascii="Courier New" w:cs="Courier New" w:eastAsia="Courier New" w:hAnsi="Courier New"/>
                <w:sz w:val="18"/>
                <w:szCs w:val="18"/>
                <w:color w:val="auto"/>
              </w:rPr>
              <w:t>0</w:t>
            </w:r>
          </w:p>
        </w:tc>
      </w:tr>
    </w:tbl>
    <w:p>
      <w:pPr>
        <w:spacing w:after="0" w:line="207" w:lineRule="exact"/>
        <w:rPr>
          <w:sz w:val="24"/>
          <w:szCs w:val="24"/>
          <w:color w:val="auto"/>
        </w:rPr>
      </w:pPr>
    </w:p>
    <w:p>
      <w:pPr>
        <w:ind w:left="320" w:right="3499" w:hanging="312"/>
        <w:spacing w:after="0" w:line="235" w:lineRule="auto"/>
        <w:tabs>
          <w:tab w:leader="none" w:pos="3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42,913,460</w:t>
      </w:r>
    </w:p>
    <w:p>
      <w:pPr>
        <w:spacing w:after="0" w:line="208"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Check Box if the Aggregate Amount in Row (9) Excludes Certain Shares</w:t>
      </w:r>
    </w:p>
    <w:p>
      <w:pPr>
        <w:spacing w:after="0" w:line="16" w:lineRule="exact"/>
        <w:rPr>
          <w:rFonts w:ascii="Courier New" w:cs="Courier New" w:eastAsia="Courier New" w:hAnsi="Courier New"/>
          <w:sz w:val="16"/>
          <w:szCs w:val="16"/>
          <w:color w:val="auto"/>
        </w:rPr>
      </w:pPr>
    </w:p>
    <w:p>
      <w:pPr>
        <w:ind w:left="86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NOT APPLICABLE</w:t>
      </w:r>
    </w:p>
    <w:p>
      <w:pPr>
        <w:spacing w:after="0" w:line="201" w:lineRule="exact"/>
        <w:rPr>
          <w:rFonts w:ascii="Courier New" w:cs="Courier New" w:eastAsia="Courier New" w:hAnsi="Courier New"/>
          <w:sz w:val="16"/>
          <w:szCs w:val="16"/>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ind w:left="860"/>
        <w:spacing w:after="0" w:line="238" w:lineRule="auto"/>
        <w:rPr>
          <w:sz w:val="20"/>
          <w:szCs w:val="20"/>
          <w:color w:val="auto"/>
        </w:rPr>
      </w:pPr>
      <w:r>
        <w:rPr>
          <w:rFonts w:ascii="Courier New" w:cs="Courier New" w:eastAsia="Courier New" w:hAnsi="Courier New"/>
          <w:sz w:val="18"/>
          <w:szCs w:val="18"/>
          <w:color w:val="auto"/>
        </w:rPr>
        <w:t>6.3%</w:t>
      </w:r>
    </w:p>
    <w:p>
      <w:pPr>
        <w:spacing w:after="0" w:line="201" w:lineRule="exact"/>
        <w:rPr>
          <w:sz w:val="24"/>
          <w:szCs w:val="24"/>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ind w:left="86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IA</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*Any shares reported in Items 5 and 6 are also reported in Item 7.</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VICTORIA PLACE, 5TH FLOOR, 31 VICTORIA STREET, HAMILTON HM 10, BERMUDA NA</w:t>
      </w:r>
    </w:p>
    <w:p>
      <w:pPr>
        <w:spacing w:after="0" w:line="218"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2(a) Name of Person(s) Filing:</w:t>
      </w:r>
    </w:p>
    <w:p>
      <w:pPr>
        <w:spacing w:after="0" w:line="238" w:lineRule="auto"/>
        <w:rPr>
          <w:sz w:val="20"/>
          <w:szCs w:val="20"/>
          <w:color w:val="auto"/>
        </w:rPr>
      </w:pPr>
      <w:r>
        <w:rPr>
          <w:rFonts w:ascii="Courier New" w:cs="Courier New" w:eastAsia="Courier New" w:hAnsi="Courier New"/>
          <w:sz w:val="18"/>
          <w:szCs w:val="18"/>
          <w:color w:val="auto"/>
        </w:rPr>
        <w:t>(1) T. ROWE PRICE ASSOCIATES, INC. ("Price Associates")</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2(b) Address of Principal Business Office:</w:t>
      </w:r>
    </w:p>
    <w:p>
      <w:pPr>
        <w:spacing w:after="0" w:line="238" w:lineRule="auto"/>
        <w:rPr>
          <w:sz w:val="20"/>
          <w:szCs w:val="20"/>
          <w:color w:val="auto"/>
        </w:rPr>
      </w:pPr>
      <w:r>
        <w:rPr>
          <w:rFonts w:ascii="Courier New" w:cs="Courier New" w:eastAsia="Courier New" w:hAnsi="Courier New"/>
          <w:sz w:val="18"/>
          <w:szCs w:val="18"/>
          <w:color w:val="auto"/>
        </w:rPr>
        <w:t>100 E. Pratt Street, Baltimore, MD 21202</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2(c) Citizenship or Place of Organization:</w:t>
      </w:r>
    </w:p>
    <w:p>
      <w:pPr>
        <w:spacing w:after="0" w:line="238" w:lineRule="auto"/>
        <w:rPr>
          <w:sz w:val="20"/>
          <w:szCs w:val="20"/>
          <w:color w:val="auto"/>
        </w:rPr>
      </w:pPr>
      <w:r>
        <w:rPr>
          <w:rFonts w:ascii="Courier New" w:cs="Courier New" w:eastAsia="Courier New" w:hAnsi="Courier New"/>
          <w:sz w:val="18"/>
          <w:szCs w:val="18"/>
          <w:color w:val="auto"/>
        </w:rPr>
        <w:t>(1) Maryland</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 COMMON STOCK</w:t>
      </w:r>
    </w:p>
    <w:p>
      <w:pPr>
        <w:sectPr>
          <w:pgSz w:w="11900" w:h="16848" w:orient="portrait"/>
          <w:cols w:equalWidth="0" w:num="1">
            <w:col w:w="10139"/>
          </w:cols>
          <w:pgMar w:left="320" w:top="244" w:right="1440" w:bottom="0" w:gutter="0" w:footer="0" w:header="0"/>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Item 2(e) Cusip Number: G5876H105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 The person filing this Schedule 13G is an:</w:t>
      </w:r>
    </w:p>
    <w:p>
      <w:pPr>
        <w:spacing w:after="0" w:line="4" w:lineRule="exact"/>
        <w:rPr>
          <w:sz w:val="20"/>
          <w:szCs w:val="20"/>
          <w:color w:val="auto"/>
        </w:rPr>
      </w:pPr>
    </w:p>
    <w:p>
      <w:pPr>
        <w:ind w:left="420" w:right="2859" w:hanging="412"/>
        <w:spacing w:after="0" w:line="235" w:lineRule="auto"/>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Investment Adviser registered under Section 203 of the Investment Advisers Act of 1940</w:t>
      </w:r>
    </w:p>
    <w:p>
      <w:pPr>
        <w:spacing w:after="0" w:line="208" w:lineRule="exact"/>
        <w:rPr>
          <w:sz w:val="20"/>
          <w:szCs w:val="20"/>
          <w:color w:val="auto"/>
        </w:rPr>
      </w:pPr>
    </w:p>
    <w:p>
      <w:pPr>
        <w:ind w:left="860" w:right="2759" w:hanging="841"/>
        <w:spacing w:after="0" w:line="235" w:lineRule="auto"/>
        <w:rPr>
          <w:sz w:val="20"/>
          <w:szCs w:val="20"/>
          <w:color w:val="auto"/>
        </w:rPr>
      </w:pPr>
      <w:r>
        <w:rPr>
          <w:rFonts w:ascii="Courier New" w:cs="Courier New" w:eastAsia="Courier New" w:hAnsi="Courier New"/>
          <w:sz w:val="18"/>
          <w:szCs w:val="18"/>
          <w:color w:val="auto"/>
        </w:rPr>
        <w:t>Item 4: Reference is made to Items 5-11 on the preceding pages of this Schedule 13G.</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ind w:left="860"/>
        <w:spacing w:after="0" w:line="238" w:lineRule="auto"/>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7" w:lineRule="exact"/>
        <w:rPr>
          <w:sz w:val="20"/>
          <w:szCs w:val="20"/>
          <w:color w:val="auto"/>
        </w:rPr>
      </w:pPr>
    </w:p>
    <w:p>
      <w:pPr>
        <w:ind w:left="860" w:right="2019" w:hanging="852"/>
        <w:spacing w:after="0" w:line="275" w:lineRule="auto"/>
        <w:tabs>
          <w:tab w:leader="none" w:pos="86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Price Associates does not serve as custodian of the assets of any of its clients; accordingly, in each instance only the client or the client's custodian or trustee bank has the right to receive dividends paid with respect to, and proceeds from the sale of, such securities.</w:t>
      </w:r>
    </w:p>
    <w:p>
      <w:pPr>
        <w:spacing w:after="0" w:line="181" w:lineRule="exact"/>
        <w:rPr>
          <w:rFonts w:ascii="Courier New" w:cs="Courier New" w:eastAsia="Courier New" w:hAnsi="Courier New"/>
          <w:sz w:val="16"/>
          <w:szCs w:val="16"/>
          <w:color w:val="auto"/>
        </w:rPr>
      </w:pPr>
    </w:p>
    <w:p>
      <w:pPr>
        <w:ind w:left="860" w:right="201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The ultimate power to direct the receipt of dividends paid with respect to, and the proceeds from the sale of, such securities, is vested in the individual and institutional clients which Price Associates serves as investment adviser. Any and all discretionary authority which has been delegated to Price Associates may be revoked in whole or in part at any time.</w:t>
      </w:r>
    </w:p>
    <w:p>
      <w:pPr>
        <w:spacing w:after="0" w:line="209" w:lineRule="exact"/>
        <w:rPr>
          <w:rFonts w:ascii="Courier New" w:cs="Courier New" w:eastAsia="Courier New" w:hAnsi="Courier New"/>
          <w:sz w:val="16"/>
          <w:szCs w:val="16"/>
          <w:color w:val="auto"/>
        </w:rPr>
      </w:pPr>
    </w:p>
    <w:p>
      <w:pPr>
        <w:ind w:left="860" w:right="191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Except as may be indicated if this is a joint filing with one of the registered investment companies sponsored by Price Associates which it also serves as investment adviser ("T. Rowe Price Funds"), not more than 5% of the class of such securities is owned by any one client subject to the investment advice of Price Associates.</w:t>
      </w:r>
    </w:p>
    <w:p>
      <w:pPr>
        <w:spacing w:after="0" w:line="208" w:lineRule="exact"/>
        <w:rPr>
          <w:rFonts w:ascii="Courier New" w:cs="Courier New" w:eastAsia="Courier New" w:hAnsi="Courier New"/>
          <w:sz w:val="16"/>
          <w:szCs w:val="16"/>
          <w:color w:val="auto"/>
        </w:rPr>
      </w:pPr>
    </w:p>
    <w:p>
      <w:pPr>
        <w:ind w:left="860" w:right="1919" w:hanging="852"/>
        <w:spacing w:after="0" w:line="237" w:lineRule="auto"/>
        <w:tabs>
          <w:tab w:leader="none" w:pos="8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 respect to securities owned by any one of the T. Rowe Price Funds, only the custodian for each of such Funds, has the right to receive dividends paid with respect to, and proceeds from the sale of, such securities. No other person is known to have such right, except that the shareholders of each such Fund participate proportionately in any dividends and distributions so paid.</w:t>
      </w:r>
    </w:p>
    <w:p>
      <w:pPr>
        <w:spacing w:after="0" w:line="209" w:lineRule="exact"/>
        <w:rPr>
          <w:sz w:val="20"/>
          <w:szCs w:val="20"/>
          <w:color w:val="auto"/>
        </w:rPr>
      </w:pPr>
    </w:p>
    <w:p>
      <w:pPr>
        <w:ind w:left="860" w:right="1919" w:hanging="841"/>
        <w:spacing w:after="0" w:line="235"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left="860" w:right="3279" w:hanging="841"/>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 Not Applicable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ind w:left="860"/>
        <w:spacing w:after="0" w:line="238" w:lineRule="auto"/>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4" w:lineRule="exact"/>
        <w:rPr>
          <w:sz w:val="20"/>
          <w:szCs w:val="20"/>
          <w:color w:val="auto"/>
        </w:rPr>
      </w:pPr>
    </w:p>
    <w:p>
      <w:pPr>
        <w:ind w:left="960" w:right="2019"/>
        <w:spacing w:after="0" w:line="237" w:lineRule="auto"/>
        <w:rPr>
          <w:sz w:val="20"/>
          <w:szCs w:val="20"/>
          <w:color w:val="auto"/>
        </w:rPr>
      </w:pPr>
      <w:r>
        <w:rPr>
          <w:rFonts w:ascii="Courier New" w:cs="Courier New" w:eastAsia="Courier New" w:hAnsi="Courier New"/>
          <w:sz w:val="18"/>
          <w:szCs w:val="18"/>
          <w:color w:val="auto"/>
        </w:rPr>
        <w:t>By signing below I certify that, to the best of my knowledge and belief, the securities referred to above were acquired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 T. Rowe Price Associates, Inc. hereby declares and affirms that the filing</w:t>
      </w:r>
    </w:p>
    <w:p>
      <w:pPr>
        <w:spacing w:after="0" w:line="9" w:lineRule="exact"/>
        <w:rPr>
          <w:sz w:val="20"/>
          <w:szCs w:val="20"/>
          <w:color w:val="auto"/>
        </w:rPr>
      </w:pPr>
    </w:p>
    <w:p>
      <w:pPr>
        <w:jc w:val="both"/>
        <w:ind w:left="960" w:right="2339"/>
        <w:spacing w:after="0" w:line="236" w:lineRule="auto"/>
        <w:rPr>
          <w:sz w:val="20"/>
          <w:szCs w:val="20"/>
          <w:color w:val="auto"/>
        </w:rPr>
      </w:pPr>
      <w:r>
        <w:rPr>
          <w:rFonts w:ascii="Courier New" w:cs="Courier New" w:eastAsia="Courier New" w:hAnsi="Courier New"/>
          <w:sz w:val="18"/>
          <w:szCs w:val="18"/>
          <w:color w:val="auto"/>
        </w:rPr>
        <w:t>of Schedule 13G shall not be construed as an admission that Price Associates is the beneficial owner of the securities referred to, which beneficial ownership is expressly denied.</w:t>
      </w:r>
    </w:p>
    <w:p>
      <w:pPr>
        <w:spacing w:after="0" w:line="203"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jc w:val="both"/>
        <w:ind w:left="960" w:right="201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 ROWE PRICE ASSOCIATES, INC.</w:t>
      </w:r>
    </w:p>
    <w:p>
      <w:pPr>
        <w:spacing w:after="0" w:line="238" w:lineRule="auto"/>
        <w:rPr>
          <w:sz w:val="20"/>
          <w:szCs w:val="20"/>
          <w:color w:val="auto"/>
        </w:rPr>
      </w:pPr>
      <w:r>
        <w:rPr>
          <w:rFonts w:ascii="Courier New" w:cs="Courier New" w:eastAsia="Courier New" w:hAnsi="Courier New"/>
          <w:sz w:val="18"/>
          <w:szCs w:val="18"/>
          <w:color w:val="auto"/>
        </w:rPr>
        <w:t>Date: April 12, 2021</w:t>
      </w:r>
    </w:p>
    <w:p>
      <w:pPr>
        <w:spacing w:after="0" w:line="238" w:lineRule="auto"/>
        <w:rPr>
          <w:sz w:val="20"/>
          <w:szCs w:val="20"/>
          <w:color w:val="auto"/>
        </w:rPr>
      </w:pPr>
      <w:r>
        <w:rPr>
          <w:rFonts w:ascii="Courier New" w:cs="Courier New" w:eastAsia="Courier New" w:hAnsi="Courier New"/>
          <w:sz w:val="18"/>
          <w:szCs w:val="18"/>
          <w:color w:val="auto"/>
        </w:rPr>
        <w:t>Signature: /s/ David Oestreicher</w:t>
      </w:r>
    </w:p>
    <w:p>
      <w:pPr>
        <w:spacing w:after="0" w:line="5" w:lineRule="exact"/>
        <w:rPr>
          <w:sz w:val="20"/>
          <w:szCs w:val="20"/>
          <w:color w:val="auto"/>
        </w:rPr>
      </w:pPr>
    </w:p>
    <w:p>
      <w:pPr>
        <w:ind w:right="4119"/>
        <w:spacing w:after="0" w:line="469" w:lineRule="auto"/>
        <w:rPr>
          <w:sz w:val="20"/>
          <w:szCs w:val="20"/>
          <w:color w:val="auto"/>
        </w:rPr>
      </w:pPr>
      <w:r>
        <w:rPr>
          <w:rFonts w:ascii="Courier New" w:cs="Courier New" w:eastAsia="Courier New" w:hAnsi="Courier New"/>
          <w:sz w:val="18"/>
          <w:szCs w:val="18"/>
          <w:color w:val="auto"/>
        </w:rPr>
        <w:t>Name &amp; Title: David Oestreicher, Executive Vice President 03/31/2021</w:t>
      </w:r>
    </w:p>
    <w:sectPr>
      <w:pgSz w:w="11900" w:h="16838" w:orient="portrait"/>
      <w:cols w:equalWidth="0" w:num="1">
        <w:col w:w="10139"/>
      </w:cols>
      <w:pgMar w:left="320" w:top="339" w:right="1440" w:bottom="75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lowerRoman"/>
      <w:start w:val="10"/>
    </w:lvl>
  </w:abstractNum>
  <w:abstractNum w:abstractNumId="1">
    <w:nsid w:val="625558EC"/>
    <w:multiLevelType w:val="hybridMultilevel"/>
    <w:lvl w:ilvl="0">
      <w:lvlJc w:val="left"/>
      <w:lvlText w:val="%1."/>
      <w:numFmt w:val="decimal"/>
      <w:start w:val="1"/>
    </w:lvl>
  </w:abstractNum>
  <w:abstractNum w:abstractNumId="2">
    <w:nsid w:val="238E1F29"/>
    <w:multiLevelType w:val="hybridMultilevel"/>
    <w:lvl w:ilvl="0">
      <w:lvlJc w:val="left"/>
      <w:lvlText w:val="%1."/>
      <w:numFmt w:val="decimal"/>
      <w:start w:val="9"/>
    </w:lvl>
  </w:abstractNum>
  <w:abstractNum w:abstractNumId="3">
    <w:nsid w:val="46E87CCD"/>
    <w:multiLevelType w:val="hybridMultilevel"/>
    <w:lvl w:ilvl="0">
      <w:lvlJc w:val="left"/>
      <w:lvlText w:val="%1."/>
      <w:numFmt w:val="decimal"/>
      <w:start w:val="12"/>
    </w:lvl>
  </w:abstractNum>
  <w:abstractNum w:abstractNumId="4">
    <w:nsid w:val="3D1B58BA"/>
    <w:multiLevelType w:val="hybridMultilevel"/>
    <w:lvl w:ilvl="0">
      <w:lvlJc w:val="left"/>
      <w:lvlText w:val="X"/>
      <w:numFmt w:val="bullet"/>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2021-04-12T13:09:00Z</dcterms:created>
  <dcterms:modified xsi:type="dcterms:W3CDTF">2021-04-12T13:09:00Z</dcterms:modified>
</cp:coreProperties>
</file>