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15,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4" w:space="720"/>
            <w:col w:w="27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spacing w:after="0" w:line="19" w:lineRule="exact"/>
        <w:rPr>
          <w:sz w:val="24"/>
          <w:szCs w:val="24"/>
          <w:color w:val="auto"/>
        </w:rPr>
      </w:pPr>
    </w:p>
    <w:p>
      <w:pPr>
        <w:ind w:left="4584"/>
        <w:spacing w:after="0"/>
        <w:rPr>
          <w:sz w:val="20"/>
          <w:szCs w:val="20"/>
          <w:color w:val="auto"/>
        </w:rPr>
      </w:pPr>
      <w:r>
        <w:rPr>
          <w:rFonts w:ascii="Arial" w:cs="Arial" w:eastAsia="Arial" w:hAnsi="Arial"/>
          <w:sz w:val="18"/>
          <w:szCs w:val="18"/>
          <w:b w:val="1"/>
          <w:bCs w:val="1"/>
          <w:color w:val="auto"/>
        </w:rPr>
        <w:t>Victoria Place, 5</w:t>
      </w:r>
      <w:r>
        <w:rPr>
          <w:rFonts w:ascii="Arial" w:cs="Arial" w:eastAsia="Arial" w:hAnsi="Arial"/>
          <w:sz w:val="15"/>
          <w:szCs w:val="15"/>
          <w:b w:val="1"/>
          <w:bCs w:val="1"/>
          <w:color w:val="auto"/>
        </w:rPr>
        <w:t>th</w:t>
      </w:r>
      <w:r>
        <w:rPr>
          <w:rFonts w:ascii="Arial" w:cs="Arial" w:eastAsia="Arial" w:hAnsi="Arial"/>
          <w:sz w:val="18"/>
          <w:szCs w:val="18"/>
          <w:b w:val="1"/>
          <w:bCs w:val="1"/>
          <w:color w:val="auto"/>
        </w:rPr>
        <w:t xml:space="preserve"> Floor</w:t>
      </w:r>
    </w:p>
    <w:p>
      <w:pPr>
        <w:spacing w:after="0" w:line="27" w:lineRule="exact"/>
        <w:rPr>
          <w:sz w:val="24"/>
          <w:szCs w:val="24"/>
          <w:color w:val="auto"/>
        </w:rPr>
      </w:pPr>
    </w:p>
    <w:p>
      <w:pPr>
        <w:ind w:left="4824"/>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4"/>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4"/>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(441) 294-8000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263525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4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ind w:left="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5.07 Submission of Matters to a Vote of Security Holders.</w:t>
      </w:r>
    </w:p>
    <w:p>
      <w:pPr>
        <w:spacing w:after="0" w:line="121" w:lineRule="exact"/>
        <w:rPr>
          <w:sz w:val="20"/>
          <w:szCs w:val="20"/>
          <w:color w:val="auto"/>
        </w:rPr>
      </w:pPr>
    </w:p>
    <w:p>
      <w:pPr>
        <w:ind w:left="4" w:right="60"/>
        <w:spacing w:after="0" w:line="291" w:lineRule="auto"/>
        <w:rPr>
          <w:sz w:val="20"/>
          <w:szCs w:val="20"/>
          <w:color w:val="auto"/>
        </w:rPr>
      </w:pPr>
      <w:r>
        <w:rPr>
          <w:rFonts w:ascii="Arial" w:cs="Arial" w:eastAsia="Arial" w:hAnsi="Arial"/>
          <w:sz w:val="16"/>
          <w:szCs w:val="16"/>
          <w:color w:val="auto"/>
        </w:rPr>
        <w:t>At the close of business on February 25, 2021, the record date for the Marvell Shareholder Meeting, there were 675,695,984 common shares, $0.002 par value per share, of Marvell outstanding and entitled to vote. A total of 535,597,437 common shares were voted virtually or by proxy, representing</w:t>
      </w:r>
    </w:p>
    <w:p>
      <w:pPr>
        <w:jc w:val="both"/>
        <w:ind w:left="4" w:right="320"/>
        <w:spacing w:after="0" w:line="302" w:lineRule="auto"/>
        <w:rPr>
          <w:sz w:val="20"/>
          <w:szCs w:val="20"/>
          <w:color w:val="auto"/>
        </w:rPr>
      </w:pPr>
      <w:r>
        <w:rPr>
          <w:rFonts w:ascii="Arial" w:cs="Arial" w:eastAsia="Arial" w:hAnsi="Arial"/>
          <w:sz w:val="16"/>
          <w:szCs w:val="16"/>
          <w:color w:val="auto"/>
        </w:rPr>
        <w:t>79.26% of the common shares outstanding and entitled to vote, which constituted a quorum to conduct business at the Marvell Shareholder Meeting. The following are the final voting results on proposals considered and voted upon at the Marvell Shareholder Meeting, each of which is described in greater detail in Marvell’s definitive proxy statement filed with the U.S. Securities and Exchange Commission on March 11, 2021.</w:t>
      </w:r>
    </w:p>
    <w:p>
      <w:pPr>
        <w:spacing w:after="0" w:line="178" w:lineRule="exact"/>
        <w:rPr>
          <w:sz w:val="20"/>
          <w:szCs w:val="20"/>
          <w:color w:val="auto"/>
        </w:rPr>
      </w:pPr>
    </w:p>
    <w:p>
      <w:pPr>
        <w:ind w:left="424" w:right="20" w:hanging="424"/>
        <w:spacing w:after="0" w:line="281" w:lineRule="auto"/>
        <w:tabs>
          <w:tab w:leader="none" w:pos="424" w:val="left"/>
        </w:tabs>
        <w:numPr>
          <w:ilvl w:val="0"/>
          <w:numId w:val="2"/>
        </w:numPr>
        <w:rPr>
          <w:rFonts w:ascii="Arial" w:cs="Arial" w:eastAsia="Arial" w:hAnsi="Arial"/>
          <w:sz w:val="17"/>
          <w:szCs w:val="17"/>
          <w:color w:val="auto"/>
        </w:rPr>
      </w:pPr>
      <w:r>
        <w:rPr>
          <w:rFonts w:ascii="Arial" w:cs="Arial" w:eastAsia="Arial" w:hAnsi="Arial"/>
          <w:sz w:val="17"/>
          <w:szCs w:val="17"/>
          <w:b w:val="1"/>
          <w:bCs w:val="1"/>
          <w:color w:val="auto"/>
        </w:rPr>
        <w:t>To approve the Marvell Bye-Law Amendment Proposal, an amendment to Marvell’s Fourth Amended and Restated Bye-Laws to reduce the shareholder vote required to approve a merger with any other company from the affirmative vote of 75% of the votes cast at a general meeting of the shareholders, the statutory default under Bermuda law, to a simple majority of the votes cast at a general meeting of the shareholders (in each case, provided a quorum is present at such general meeting of the shareholders):</w:t>
      </w:r>
    </w:p>
    <w:p>
      <w:pPr>
        <w:spacing w:after="0" w:line="191" w:lineRule="exact"/>
        <w:rPr>
          <w:sz w:val="20"/>
          <w:szCs w:val="20"/>
          <w:color w:val="auto"/>
        </w:rPr>
      </w:pPr>
    </w:p>
    <w:tbl>
      <w:tblPr>
        <w:tblLayout w:type="fixed"/>
        <w:tblInd w:w="444" w:type="dxa"/>
        <w:tblCellMar>
          <w:top w:w="0" w:type="dxa"/>
          <w:left w:w="0" w:type="dxa"/>
          <w:bottom w:w="0" w:type="dxa"/>
          <w:right w:w="0" w:type="dxa"/>
        </w:tblCellMar>
      </w:tblPr>
      <w:tr>
        <w:trPr>
          <w:trHeight w:val="181"/>
        </w:trPr>
        <w:tc>
          <w:tcPr>
            <w:tcW w:w="306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For</w:t>
            </w:r>
          </w:p>
        </w:tc>
        <w:tc>
          <w:tcPr>
            <w:tcW w:w="262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Against</w:t>
            </w:r>
          </w:p>
        </w:tc>
        <w:tc>
          <w:tcPr>
            <w:tcW w:w="2680" w:type="dxa"/>
            <w:vAlign w:val="bottom"/>
            <w:gridSpan w:val="2"/>
          </w:tcPr>
          <w:p>
            <w:pPr>
              <w:jc w:val="center"/>
              <w:ind w:right="160"/>
              <w:spacing w:after="0"/>
              <w:rPr>
                <w:sz w:val="20"/>
                <w:szCs w:val="20"/>
                <w:color w:val="auto"/>
              </w:rPr>
            </w:pPr>
            <w:r>
              <w:rPr>
                <w:rFonts w:ascii="Arial" w:cs="Arial" w:eastAsia="Arial" w:hAnsi="Arial"/>
                <w:sz w:val="14"/>
                <w:szCs w:val="14"/>
                <w:color w:val="auto"/>
                <w:w w:val="94"/>
              </w:rPr>
              <w:t>Abstain</w:t>
            </w:r>
          </w:p>
        </w:tc>
        <w:tc>
          <w:tcPr>
            <w:tcW w:w="2220" w:type="dxa"/>
            <w:vAlign w:val="bottom"/>
          </w:tcPr>
          <w:p>
            <w:pPr>
              <w:jc w:val="center"/>
              <w:spacing w:after="0"/>
              <w:rPr>
                <w:sz w:val="20"/>
                <w:szCs w:val="20"/>
                <w:color w:val="auto"/>
              </w:rPr>
            </w:pPr>
            <w:r>
              <w:rPr>
                <w:rFonts w:ascii="Arial" w:cs="Arial" w:eastAsia="Arial" w:hAnsi="Arial"/>
                <w:sz w:val="14"/>
                <w:szCs w:val="14"/>
                <w:color w:val="auto"/>
                <w:w w:val="93"/>
              </w:rPr>
              <w:t>Broker Non-Votes</w:t>
            </w:r>
          </w:p>
        </w:tc>
      </w:tr>
      <w:tr>
        <w:trPr>
          <w:trHeight w:val="224"/>
        </w:trPr>
        <w:tc>
          <w:tcPr>
            <w:tcW w:w="2960" w:type="dxa"/>
            <w:vAlign w:val="bottom"/>
            <w:tcBorders>
              <w:top w:val="single" w:sz="8" w:color="auto"/>
            </w:tcBorders>
          </w:tcPr>
          <w:p>
            <w:pPr>
              <w:jc w:val="right"/>
              <w:ind w:right="959"/>
              <w:spacing w:after="0"/>
              <w:rPr>
                <w:sz w:val="20"/>
                <w:szCs w:val="20"/>
                <w:color w:val="auto"/>
              </w:rPr>
            </w:pPr>
            <w:r>
              <w:rPr>
                <w:rFonts w:ascii="Arial" w:cs="Arial" w:eastAsia="Arial" w:hAnsi="Arial"/>
                <w:sz w:val="18"/>
                <w:szCs w:val="18"/>
                <w:color w:val="auto"/>
              </w:rPr>
              <w:t>533,698,481</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819"/>
              <w:spacing w:after="0"/>
              <w:rPr>
                <w:sz w:val="20"/>
                <w:szCs w:val="20"/>
                <w:color w:val="auto"/>
              </w:rPr>
            </w:pPr>
            <w:r>
              <w:rPr>
                <w:rFonts w:ascii="Arial" w:cs="Arial" w:eastAsia="Arial" w:hAnsi="Arial"/>
                <w:sz w:val="18"/>
                <w:szCs w:val="18"/>
                <w:color w:val="auto"/>
              </w:rPr>
              <w:t>1,356,745</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542,211</w:t>
            </w:r>
          </w:p>
        </w:tc>
        <w:tc>
          <w:tcPr>
            <w:tcW w:w="160" w:type="dxa"/>
            <w:vAlign w:val="bottom"/>
          </w:tcPr>
          <w:p>
            <w:pPr>
              <w:spacing w:after="0"/>
              <w:rPr>
                <w:sz w:val="19"/>
                <w:szCs w:val="19"/>
                <w:color w:val="auto"/>
              </w:rPr>
            </w:pPr>
          </w:p>
        </w:tc>
        <w:tc>
          <w:tcPr>
            <w:tcW w:w="2220" w:type="dxa"/>
            <w:vAlign w:val="bottom"/>
            <w:tcBorders>
              <w:top w:val="single" w:sz="8" w:color="auto"/>
            </w:tcBorders>
          </w:tcPr>
          <w:p>
            <w:pPr>
              <w:jc w:val="right"/>
              <w:ind w:right="979"/>
              <w:spacing w:after="0"/>
              <w:rPr>
                <w:sz w:val="20"/>
                <w:szCs w:val="20"/>
                <w:color w:val="auto"/>
              </w:rPr>
            </w:pPr>
            <w:r>
              <w:rPr>
                <w:rFonts w:ascii="Arial" w:cs="Arial" w:eastAsia="Arial" w:hAnsi="Arial"/>
                <w:sz w:val="18"/>
                <w:szCs w:val="18"/>
                <w:color w:val="auto"/>
              </w:rPr>
              <w:t>0</w:t>
            </w:r>
          </w:p>
        </w:tc>
      </w:tr>
    </w:tbl>
    <w:p>
      <w:pPr>
        <w:spacing w:after="0" w:line="210" w:lineRule="exact"/>
        <w:rPr>
          <w:sz w:val="20"/>
          <w:szCs w:val="20"/>
          <w:color w:val="auto"/>
        </w:rPr>
      </w:pPr>
    </w:p>
    <w:p>
      <w:pPr>
        <w:ind w:left="424" w:right="40" w:hanging="424"/>
        <w:spacing w:after="0" w:line="291" w:lineRule="auto"/>
        <w:tabs>
          <w:tab w:leader="none" w:pos="424" w:val="left"/>
        </w:tabs>
        <w:numPr>
          <w:ilvl w:val="0"/>
          <w:numId w:val="3"/>
        </w:numPr>
        <w:rPr>
          <w:rFonts w:ascii="Arial" w:cs="Arial" w:eastAsia="Arial" w:hAnsi="Arial"/>
          <w:sz w:val="16"/>
          <w:szCs w:val="16"/>
          <w:color w:val="auto"/>
        </w:rPr>
      </w:pPr>
      <w:r>
        <w:rPr>
          <w:rFonts w:ascii="Arial" w:cs="Arial" w:eastAsia="Arial" w:hAnsi="Arial"/>
          <w:sz w:val="16"/>
          <w:szCs w:val="16"/>
          <w:b w:val="1"/>
          <w:bCs w:val="1"/>
          <w:color w:val="auto"/>
        </w:rPr>
        <w:t>To approve (i) the Agreement and Plan of Merger and Reorganization, dated as of October 29, 2020, by and among Marvell, Marvell Technology, Inc. (f/k/a Maui HoldCo, Inc.), a Delaware corporation and a wholly owned subsidiary of Marvell (“MTI”), Maui Acquisition Company Ltd, a Bermuda exempted company and a wholly owned subsidiary of MTI (“Bermuda Merger Sub”), Indigo Acquisition Corp., a Delaware corporation and a wholly owned subsidiary of MTI (“Delaware Merger Sub”), and Inphi Corporation, a Delaware corporation (“Inphi”), pursuant to which (a) Bermuda Merger Sub will be merged with and into Marvell (the “Bermuda Merger”), with Marvell continuing as a wholly owned subsidiary of MTI, and (b) Delaware Merger Sub will be merged with and into Inphi, with Inphi continuing as a wholly owned subsidiary of MTI; (ii) the statutory merger agreement complying with the requirements of Section 105 of the Companies Act 1981 of Bermuda, as amended; and (iii) the Bermuda Merger (the “Marvell Merger Proposal”):</w:t>
      </w:r>
    </w:p>
    <w:p>
      <w:pPr>
        <w:spacing w:after="0" w:line="186" w:lineRule="exact"/>
        <w:rPr>
          <w:sz w:val="20"/>
          <w:szCs w:val="20"/>
          <w:color w:val="auto"/>
        </w:rPr>
      </w:pPr>
    </w:p>
    <w:tbl>
      <w:tblPr>
        <w:tblLayout w:type="fixed"/>
        <w:tblInd w:w="444" w:type="dxa"/>
        <w:tblCellMar>
          <w:top w:w="0" w:type="dxa"/>
          <w:left w:w="0" w:type="dxa"/>
          <w:bottom w:w="0" w:type="dxa"/>
          <w:right w:w="0" w:type="dxa"/>
        </w:tblCellMar>
      </w:tblPr>
      <w:tr>
        <w:trPr>
          <w:trHeight w:val="181"/>
        </w:trPr>
        <w:tc>
          <w:tcPr>
            <w:tcW w:w="306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For</w:t>
            </w:r>
          </w:p>
        </w:tc>
        <w:tc>
          <w:tcPr>
            <w:tcW w:w="262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Against</w:t>
            </w:r>
          </w:p>
        </w:tc>
        <w:tc>
          <w:tcPr>
            <w:tcW w:w="2680" w:type="dxa"/>
            <w:vAlign w:val="bottom"/>
            <w:gridSpan w:val="2"/>
          </w:tcPr>
          <w:p>
            <w:pPr>
              <w:jc w:val="center"/>
              <w:ind w:right="160"/>
              <w:spacing w:after="0"/>
              <w:rPr>
                <w:sz w:val="20"/>
                <w:szCs w:val="20"/>
                <w:color w:val="auto"/>
              </w:rPr>
            </w:pPr>
            <w:r>
              <w:rPr>
                <w:rFonts w:ascii="Arial" w:cs="Arial" w:eastAsia="Arial" w:hAnsi="Arial"/>
                <w:sz w:val="14"/>
                <w:szCs w:val="14"/>
                <w:color w:val="auto"/>
                <w:w w:val="94"/>
              </w:rPr>
              <w:t>Abstain</w:t>
            </w:r>
          </w:p>
        </w:tc>
        <w:tc>
          <w:tcPr>
            <w:tcW w:w="2220" w:type="dxa"/>
            <w:vAlign w:val="bottom"/>
          </w:tcPr>
          <w:p>
            <w:pPr>
              <w:jc w:val="center"/>
              <w:spacing w:after="0"/>
              <w:rPr>
                <w:sz w:val="20"/>
                <w:szCs w:val="20"/>
                <w:color w:val="auto"/>
              </w:rPr>
            </w:pPr>
            <w:r>
              <w:rPr>
                <w:rFonts w:ascii="Arial" w:cs="Arial" w:eastAsia="Arial" w:hAnsi="Arial"/>
                <w:sz w:val="14"/>
                <w:szCs w:val="14"/>
                <w:color w:val="auto"/>
                <w:w w:val="93"/>
              </w:rPr>
              <w:t>Broker Non-Votes</w:t>
            </w:r>
          </w:p>
        </w:tc>
      </w:tr>
      <w:tr>
        <w:trPr>
          <w:trHeight w:val="224"/>
        </w:trPr>
        <w:tc>
          <w:tcPr>
            <w:tcW w:w="2960" w:type="dxa"/>
            <w:vAlign w:val="bottom"/>
            <w:tcBorders>
              <w:top w:val="single" w:sz="8" w:color="auto"/>
            </w:tcBorders>
          </w:tcPr>
          <w:p>
            <w:pPr>
              <w:jc w:val="right"/>
              <w:ind w:right="959"/>
              <w:spacing w:after="0"/>
              <w:rPr>
                <w:sz w:val="20"/>
                <w:szCs w:val="20"/>
                <w:color w:val="auto"/>
              </w:rPr>
            </w:pPr>
            <w:r>
              <w:rPr>
                <w:rFonts w:ascii="Arial" w:cs="Arial" w:eastAsia="Arial" w:hAnsi="Arial"/>
                <w:sz w:val="18"/>
                <w:szCs w:val="18"/>
                <w:color w:val="auto"/>
              </w:rPr>
              <w:t>534,570,284</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396,409</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630,744</w:t>
            </w:r>
          </w:p>
        </w:tc>
        <w:tc>
          <w:tcPr>
            <w:tcW w:w="160" w:type="dxa"/>
            <w:vAlign w:val="bottom"/>
          </w:tcPr>
          <w:p>
            <w:pPr>
              <w:spacing w:after="0"/>
              <w:rPr>
                <w:sz w:val="19"/>
                <w:szCs w:val="19"/>
                <w:color w:val="auto"/>
              </w:rPr>
            </w:pPr>
          </w:p>
        </w:tc>
        <w:tc>
          <w:tcPr>
            <w:tcW w:w="2220" w:type="dxa"/>
            <w:vAlign w:val="bottom"/>
            <w:tcBorders>
              <w:top w:val="single" w:sz="8" w:color="auto"/>
            </w:tcBorders>
          </w:tcPr>
          <w:p>
            <w:pPr>
              <w:jc w:val="right"/>
              <w:ind w:right="979"/>
              <w:spacing w:after="0"/>
              <w:rPr>
                <w:sz w:val="20"/>
                <w:szCs w:val="20"/>
                <w:color w:val="auto"/>
              </w:rPr>
            </w:pPr>
            <w:r>
              <w:rPr>
                <w:rFonts w:ascii="Arial" w:cs="Arial" w:eastAsia="Arial" w:hAnsi="Arial"/>
                <w:sz w:val="18"/>
                <w:szCs w:val="18"/>
                <w:color w:val="auto"/>
              </w:rPr>
              <w:t>0</w:t>
            </w:r>
          </w:p>
        </w:tc>
      </w:tr>
    </w:tbl>
    <w:p>
      <w:pPr>
        <w:spacing w:after="0" w:line="210" w:lineRule="exact"/>
        <w:rPr>
          <w:sz w:val="20"/>
          <w:szCs w:val="20"/>
          <w:color w:val="auto"/>
        </w:rPr>
      </w:pPr>
    </w:p>
    <w:p>
      <w:pPr>
        <w:ind w:left="424" w:right="280" w:hanging="424"/>
        <w:spacing w:after="0" w:line="266" w:lineRule="auto"/>
        <w:tabs>
          <w:tab w:leader="none" w:pos="424"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To approve adjournments to the Marvell Shareholder Meeting, if necessary or appropriate, to permit further solicitation of proxies if there are not sufficient votes at the time of the Marvell Shareholder Meeting to approve the Marvell Bye-Law Amendment Proposal or the Marvell Merger Proposal:</w:t>
      </w:r>
    </w:p>
    <w:p>
      <w:pPr>
        <w:spacing w:after="0" w:line="202" w:lineRule="exact"/>
        <w:rPr>
          <w:sz w:val="20"/>
          <w:szCs w:val="20"/>
          <w:color w:val="auto"/>
        </w:rPr>
      </w:pPr>
    </w:p>
    <w:tbl>
      <w:tblPr>
        <w:tblLayout w:type="fixed"/>
        <w:tblInd w:w="444" w:type="dxa"/>
        <w:tblCellMar>
          <w:top w:w="0" w:type="dxa"/>
          <w:left w:w="0" w:type="dxa"/>
          <w:bottom w:w="0" w:type="dxa"/>
          <w:right w:w="0" w:type="dxa"/>
        </w:tblCellMar>
      </w:tblPr>
      <w:tr>
        <w:trPr>
          <w:trHeight w:val="181"/>
        </w:trPr>
        <w:tc>
          <w:tcPr>
            <w:tcW w:w="3060" w:type="dxa"/>
            <w:vAlign w:val="bottom"/>
            <w:gridSpan w:val="2"/>
          </w:tcPr>
          <w:p>
            <w:pPr>
              <w:jc w:val="center"/>
              <w:ind w:right="100"/>
              <w:spacing w:after="0"/>
              <w:rPr>
                <w:sz w:val="20"/>
                <w:szCs w:val="20"/>
                <w:color w:val="auto"/>
              </w:rPr>
            </w:pPr>
            <w:r>
              <w:rPr>
                <w:rFonts w:ascii="Arial" w:cs="Arial" w:eastAsia="Arial" w:hAnsi="Arial"/>
                <w:sz w:val="14"/>
                <w:szCs w:val="14"/>
                <w:color w:val="auto"/>
                <w:w w:val="95"/>
              </w:rPr>
              <w:t>For</w:t>
            </w:r>
          </w:p>
        </w:tc>
        <w:tc>
          <w:tcPr>
            <w:tcW w:w="2620" w:type="dxa"/>
            <w:vAlign w:val="bottom"/>
            <w:gridSpan w:val="2"/>
          </w:tcPr>
          <w:p>
            <w:pPr>
              <w:jc w:val="center"/>
              <w:ind w:right="100"/>
              <w:spacing w:after="0"/>
              <w:rPr>
                <w:sz w:val="20"/>
                <w:szCs w:val="20"/>
                <w:color w:val="auto"/>
              </w:rPr>
            </w:pPr>
            <w:r>
              <w:rPr>
                <w:rFonts w:ascii="Arial" w:cs="Arial" w:eastAsia="Arial" w:hAnsi="Arial"/>
                <w:sz w:val="14"/>
                <w:szCs w:val="14"/>
                <w:color w:val="auto"/>
                <w:w w:val="94"/>
              </w:rPr>
              <w:t>Against</w:t>
            </w:r>
          </w:p>
        </w:tc>
        <w:tc>
          <w:tcPr>
            <w:tcW w:w="2680" w:type="dxa"/>
            <w:vAlign w:val="bottom"/>
            <w:gridSpan w:val="2"/>
          </w:tcPr>
          <w:p>
            <w:pPr>
              <w:jc w:val="center"/>
              <w:ind w:right="160"/>
              <w:spacing w:after="0"/>
              <w:rPr>
                <w:sz w:val="20"/>
                <w:szCs w:val="20"/>
                <w:color w:val="auto"/>
              </w:rPr>
            </w:pPr>
            <w:r>
              <w:rPr>
                <w:rFonts w:ascii="Arial" w:cs="Arial" w:eastAsia="Arial" w:hAnsi="Arial"/>
                <w:sz w:val="14"/>
                <w:szCs w:val="14"/>
                <w:color w:val="auto"/>
                <w:w w:val="94"/>
              </w:rPr>
              <w:t>Abstain</w:t>
            </w:r>
          </w:p>
        </w:tc>
        <w:tc>
          <w:tcPr>
            <w:tcW w:w="2220" w:type="dxa"/>
            <w:vAlign w:val="bottom"/>
          </w:tcPr>
          <w:p>
            <w:pPr>
              <w:jc w:val="center"/>
              <w:spacing w:after="0"/>
              <w:rPr>
                <w:sz w:val="20"/>
                <w:szCs w:val="20"/>
                <w:color w:val="auto"/>
              </w:rPr>
            </w:pPr>
            <w:r>
              <w:rPr>
                <w:rFonts w:ascii="Arial" w:cs="Arial" w:eastAsia="Arial" w:hAnsi="Arial"/>
                <w:sz w:val="14"/>
                <w:szCs w:val="14"/>
                <w:color w:val="auto"/>
                <w:w w:val="93"/>
              </w:rPr>
              <w:t>Broker Non-Votes</w:t>
            </w:r>
          </w:p>
        </w:tc>
      </w:tr>
      <w:tr>
        <w:trPr>
          <w:trHeight w:val="224"/>
        </w:trPr>
        <w:tc>
          <w:tcPr>
            <w:tcW w:w="2960" w:type="dxa"/>
            <w:vAlign w:val="bottom"/>
            <w:tcBorders>
              <w:top w:val="single" w:sz="8" w:color="auto"/>
            </w:tcBorders>
          </w:tcPr>
          <w:p>
            <w:pPr>
              <w:jc w:val="right"/>
              <w:ind w:right="959"/>
              <w:spacing w:after="0"/>
              <w:rPr>
                <w:sz w:val="20"/>
                <w:szCs w:val="20"/>
                <w:color w:val="auto"/>
              </w:rPr>
            </w:pPr>
            <w:r>
              <w:rPr>
                <w:rFonts w:ascii="Arial" w:cs="Arial" w:eastAsia="Arial" w:hAnsi="Arial"/>
                <w:sz w:val="18"/>
                <w:szCs w:val="18"/>
                <w:color w:val="auto"/>
              </w:rPr>
              <w:t>462,472,079</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779"/>
              <w:spacing w:after="0"/>
              <w:rPr>
                <w:sz w:val="20"/>
                <w:szCs w:val="20"/>
                <w:color w:val="auto"/>
              </w:rPr>
            </w:pPr>
            <w:r>
              <w:rPr>
                <w:rFonts w:ascii="Arial" w:cs="Arial" w:eastAsia="Arial" w:hAnsi="Arial"/>
                <w:sz w:val="18"/>
                <w:szCs w:val="18"/>
                <w:color w:val="auto"/>
              </w:rPr>
              <w:t>72,429,279</w:t>
            </w:r>
          </w:p>
        </w:tc>
        <w:tc>
          <w:tcPr>
            <w:tcW w:w="100" w:type="dxa"/>
            <w:vAlign w:val="bottom"/>
          </w:tcPr>
          <w:p>
            <w:pPr>
              <w:spacing w:after="0"/>
              <w:rPr>
                <w:sz w:val="19"/>
                <w:szCs w:val="19"/>
                <w:color w:val="auto"/>
              </w:rPr>
            </w:pPr>
          </w:p>
        </w:tc>
        <w:tc>
          <w:tcPr>
            <w:tcW w:w="2520" w:type="dxa"/>
            <w:vAlign w:val="bottom"/>
            <w:tcBorders>
              <w:top w:val="single" w:sz="8" w:color="auto"/>
            </w:tcBorders>
          </w:tcPr>
          <w:p>
            <w:pPr>
              <w:jc w:val="right"/>
              <w:ind w:right="899"/>
              <w:spacing w:after="0"/>
              <w:rPr>
                <w:sz w:val="20"/>
                <w:szCs w:val="20"/>
                <w:color w:val="auto"/>
              </w:rPr>
            </w:pPr>
            <w:r>
              <w:rPr>
                <w:rFonts w:ascii="Arial" w:cs="Arial" w:eastAsia="Arial" w:hAnsi="Arial"/>
                <w:sz w:val="18"/>
                <w:szCs w:val="18"/>
                <w:color w:val="auto"/>
              </w:rPr>
              <w:t>696,079</w:t>
            </w:r>
          </w:p>
        </w:tc>
        <w:tc>
          <w:tcPr>
            <w:tcW w:w="160" w:type="dxa"/>
            <w:vAlign w:val="bottom"/>
          </w:tcPr>
          <w:p>
            <w:pPr>
              <w:spacing w:after="0"/>
              <w:rPr>
                <w:sz w:val="19"/>
                <w:szCs w:val="19"/>
                <w:color w:val="auto"/>
              </w:rPr>
            </w:pPr>
          </w:p>
        </w:tc>
        <w:tc>
          <w:tcPr>
            <w:tcW w:w="2220" w:type="dxa"/>
            <w:vAlign w:val="bottom"/>
            <w:tcBorders>
              <w:top w:val="single" w:sz="8" w:color="auto"/>
            </w:tcBorders>
          </w:tcPr>
          <w:p>
            <w:pPr>
              <w:jc w:val="right"/>
              <w:ind w:right="979"/>
              <w:spacing w:after="0"/>
              <w:rPr>
                <w:sz w:val="20"/>
                <w:szCs w:val="20"/>
                <w:color w:val="auto"/>
              </w:rPr>
            </w:pPr>
            <w:r>
              <w:rPr>
                <w:rFonts w:ascii="Arial" w:cs="Arial" w:eastAsia="Arial" w:hAnsi="Arial"/>
                <w:sz w:val="18"/>
                <w:szCs w:val="18"/>
                <w:color w:val="auto"/>
              </w:rPr>
              <w:t>0</w:t>
            </w:r>
          </w:p>
        </w:tc>
      </w:tr>
    </w:tbl>
    <w:p>
      <w:pPr>
        <w:spacing w:after="0" w:line="291"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Item 8.01 Other Events.</w:t>
      </w:r>
    </w:p>
    <w:p>
      <w:pPr>
        <w:spacing w:after="0" w:line="121" w:lineRule="exact"/>
        <w:rPr>
          <w:sz w:val="20"/>
          <w:szCs w:val="20"/>
          <w:color w:val="auto"/>
        </w:rPr>
      </w:pPr>
    </w:p>
    <w:p>
      <w:pPr>
        <w:jc w:val="both"/>
        <w:ind w:left="4" w:right="20"/>
        <w:spacing w:after="0" w:line="263" w:lineRule="auto"/>
        <w:rPr>
          <w:sz w:val="20"/>
          <w:szCs w:val="20"/>
          <w:color w:val="auto"/>
        </w:rPr>
      </w:pPr>
      <w:r>
        <w:rPr>
          <w:rFonts w:ascii="Arial" w:cs="Arial" w:eastAsia="Arial" w:hAnsi="Arial"/>
          <w:sz w:val="18"/>
          <w:szCs w:val="18"/>
          <w:color w:val="auto"/>
        </w:rPr>
        <w:t>On April 15, 2021, Marvell issued a press release announcing that Marvell shareholders voted to approve the previously announced proposed acquisition of Inphi (NASDAQ: IPHI) at the Marvell Shareholder Meeting. A copy of the press release is furnished herewith as Exhibit 99.1 and is incorporated by reference herein.</w:t>
      </w:r>
    </w:p>
    <w:p>
      <w:pPr>
        <w:sectPr>
          <w:pgSz w:w="11900" w:h="16838" w:orient="portrait"/>
          <w:cols w:equalWidth="0" w:num="1">
            <w:col w:w="11024"/>
          </w:cols>
          <w:pgMar w:left="436" w:top="297" w:right="4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Item 9.01 Financial Statements and Exhibits.</w:t>
      </w:r>
    </w:p>
    <w:p>
      <w:pPr>
        <w:spacing w:after="0" w:line="135" w:lineRule="exact"/>
        <w:rPr>
          <w:sz w:val="20"/>
          <w:szCs w:val="20"/>
          <w:color w:val="auto"/>
        </w:rPr>
      </w:pPr>
    </w:p>
    <w:p>
      <w:pPr>
        <w:ind w:left="960" w:hanging="532"/>
        <w:spacing w:after="0"/>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880"/>
        <w:spacing w:after="0"/>
        <w:tabs>
          <w:tab w:leader="none" w:pos="148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5">
        <w:r>
          <w:rPr>
            <w:rFonts w:ascii="Arial" w:cs="Arial" w:eastAsia="Arial" w:hAnsi="Arial"/>
            <w:sz w:val="15"/>
            <w:szCs w:val="15"/>
            <w:u w:val="single" w:color="auto"/>
            <w:color w:val="0000EE"/>
          </w:rPr>
          <w:t>Press Release, dated April 15, 2021</w:t>
        </w:r>
      </w:hyperlink>
    </w:p>
    <w:p>
      <w:pPr>
        <w:spacing w:after="0" w:line="117" w:lineRule="exact"/>
        <w:rPr>
          <w:sz w:val="20"/>
          <w:szCs w:val="20"/>
          <w:color w:val="auto"/>
        </w:rPr>
      </w:pPr>
    </w:p>
    <w:p>
      <w:pPr>
        <w:ind w:left="880"/>
        <w:spacing w:after="0"/>
        <w:tabs>
          <w:tab w:leader="none" w:pos="1480" w:val="left"/>
        </w:tabs>
        <w:rPr>
          <w:sz w:val="20"/>
          <w:szCs w:val="20"/>
          <w:color w:val="auto"/>
        </w:rPr>
      </w:pPr>
      <w:r>
        <w:rPr>
          <w:rFonts w:ascii="Arial" w:cs="Arial" w:eastAsia="Arial" w:hAnsi="Arial"/>
          <w:sz w:val="16"/>
          <w:szCs w:val="16"/>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ectPr>
          <w:pgSz w:w="11900" w:h="16838" w:orient="portrait"/>
          <w:cols w:equalWidth="0" w:num="1">
            <w:col w:w="10019"/>
          </w:cols>
          <w:pgMar w:left="440" w:top="297" w:right="1440"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16,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Shareholders Approve the Proposed Acquisition of 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Shareholders Approve Marvell’s Reorganization of the Combined Company into Delaware</w:t>
      </w:r>
    </w:p>
    <w:p>
      <w:pPr>
        <w:spacing w:after="0" w:line="207"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b w:val="1"/>
          <w:bCs w:val="1"/>
          <w:color w:val="auto"/>
        </w:rPr>
        <w:t xml:space="preserve">Santa Clara, California, April 15, 2021 </w:t>
      </w:r>
      <w:r>
        <w:rPr>
          <w:rFonts w:ascii="Arial" w:cs="Arial" w:eastAsia="Arial" w:hAnsi="Arial"/>
          <w:sz w:val="18"/>
          <w:szCs w:val="18"/>
          <w:color w:val="auto"/>
        </w:rPr>
        <w:t>– Marvell Technology Group Ltd. (NASDAQ: MRVL) (“Marvell”) announced that its shareholders have voted</w:t>
      </w:r>
      <w:r>
        <w:rPr>
          <w:rFonts w:ascii="Arial" w:cs="Arial" w:eastAsia="Arial" w:hAnsi="Arial"/>
          <w:sz w:val="18"/>
          <w:szCs w:val="18"/>
          <w:b w:val="1"/>
          <w:bCs w:val="1"/>
          <w:color w:val="auto"/>
        </w:rPr>
        <w:t xml:space="preserve"> </w:t>
      </w:r>
      <w:r>
        <w:rPr>
          <w:rFonts w:ascii="Arial" w:cs="Arial" w:eastAsia="Arial" w:hAnsi="Arial"/>
          <w:sz w:val="18"/>
          <w:szCs w:val="18"/>
          <w:color w:val="auto"/>
        </w:rPr>
        <w:t>to approve the previously announced proposed acquisition of Inphi Corporation, Inc. (NASDAQ: IPHI) and also Marvell’s proposal to reorganize so that the combined company will be domiciled in the United States. In a preliminary count of the voting results from today’s meeting of shareholders, more than 99 percent of votes represented in person or by proxy were voted in favor of approving these proposals. At a meeting held today prior to the Marvell shareholder vote, Inphi Corporation shareholders voted to approve the merger with Marvell. Marvell expects the transaction to close on or around April 20, 2021, subject to customary closing conditions.</w:t>
      </w:r>
    </w:p>
    <w:p>
      <w:pPr>
        <w:spacing w:after="0" w:line="19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final voting results on all agenda items for each company’s special meeting will be disclosed in separate Current Reports on Form 8-K to be filed with the Securities and Exchange Commission.</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ind w:right="100"/>
        <w:spacing w:after="0" w:line="270" w:lineRule="auto"/>
        <w:rPr>
          <w:sz w:val="20"/>
          <w:szCs w:val="20"/>
          <w:color w:val="auto"/>
        </w:rPr>
      </w:pPr>
      <w:r>
        <w:rPr>
          <w:rFonts w:ascii="Arial" w:cs="Arial" w:eastAsia="Arial" w:hAnsi="Arial"/>
          <w:sz w:val="17"/>
          <w:szCs w:val="17"/>
          <w:color w:val="auto"/>
        </w:rPr>
        <w:t>This press release contains forward-looking statements with respect to the proposed transaction between Marvell, Inphi and Marvell Technology, Inc. (“MTI”), including statements regarding the anticipated timing of the closing of the transaction.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anticipated tax treatment, unforeseen liabilities and other conditions to the completion of the transaction; failure to realize the anticipated benefits of the proposed transaction, including as a result of delay in completing the transaction or our ability to</w:t>
      </w:r>
    </w:p>
    <w:p>
      <w:pPr>
        <w:sectPr>
          <w:pgSz w:w="11900" w:h="16838" w:orient="portrait"/>
          <w:cols w:equalWidth="0" w:num="1">
            <w:col w:w="11020"/>
          </w:cols>
          <w:pgMar w:left="440" w:top="121" w:right="439" w:bottom="1440" w:gutter="0" w:footer="0" w:header="0"/>
        </w:sectPr>
      </w:pPr>
    </w:p>
    <w:bookmarkStart w:id="5" w:name="page6"/>
    <w:bookmarkEnd w:id="5"/>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3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sectPr>
      <w:pgSz w:w="11900" w:h="16838" w:orient="portrait"/>
      <w:cols w:equalWidth="0" w:num="1">
        <w:col w:w="10980"/>
      </w:cols>
      <w:pgMar w:left="440" w:top="27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1."/>
      <w:numFmt w:val="decimal"/>
      <w:start w:val="1"/>
    </w:lvl>
  </w:abstractNum>
  <w:abstractNum w:abstractNumId="2">
    <w:nsid w:val="625558EC"/>
    <w:multiLevelType w:val="hybridMultilevel"/>
    <w:lvl w:ilvl="0">
      <w:lvlJc w:val="left"/>
      <w:lvlText w:val="%1."/>
      <w:numFmt w:val="decimal"/>
      <w:start w:val="2"/>
    </w:lvl>
  </w:abstractNum>
  <w:abstractNum w:abstractNumId="3">
    <w:nsid w:val="238E1F29"/>
    <w:multiLevelType w:val="hybridMultilevel"/>
    <w:lvl w:ilvl="0">
      <w:lvlJc w:val="left"/>
      <w:lvlText w:val="%1."/>
      <w:numFmt w:val="decimal"/>
      <w:start w:val="3"/>
    </w:lvl>
  </w:abstractNum>
  <w:abstractNum w:abstractNumId="4">
    <w:nsid w:val="46E87CCD"/>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2021-04-16T07:59:21Z</dcterms:created>
  <dcterms:modified xsi:type="dcterms:W3CDTF">2021-04-16T07:59:21Z</dcterms:modified>
</cp:coreProperties>
</file>