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4100"/>
        <w:spacing w:after="0"/>
        <w:rPr>
          <w:sz w:val="20"/>
          <w:szCs w:val="20"/>
          <w:color w:val="auto"/>
        </w:rPr>
      </w:pPr>
      <w:r>
        <w:rPr>
          <w:rFonts w:ascii="Arial" w:cs="Arial" w:eastAsia="Arial" w:hAnsi="Arial"/>
          <w:sz w:val="22"/>
          <w:szCs w:val="22"/>
          <w:b w:val="1"/>
          <w:bCs w:val="1"/>
          <w:color w:val="auto"/>
        </w:rPr>
        <w:t>Date of Report: April 15, 2021</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43"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19" w:lineRule="exact"/>
        <w:rPr>
          <w:sz w:val="24"/>
          <w:szCs w:val="24"/>
          <w:color w:val="auto"/>
        </w:rPr>
      </w:pPr>
    </w:p>
    <w:p>
      <w:pPr>
        <w:ind w:left="4560"/>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ind w:left="480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ind w:left="514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294-8000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06"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ind w:left="4"/>
        <w:spacing w:after="0"/>
        <w:tabs>
          <w:tab w:leader="none" w:pos="1184"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3.03</w:t>
      </w:r>
      <w:r>
        <w:rPr>
          <w:sz w:val="20"/>
          <w:szCs w:val="20"/>
          <w:color w:val="auto"/>
        </w:rPr>
        <w:tab/>
      </w:r>
      <w:r>
        <w:rPr>
          <w:rFonts w:ascii="Arial" w:cs="Arial" w:eastAsia="Arial" w:hAnsi="Arial"/>
          <w:sz w:val="16"/>
          <w:szCs w:val="16"/>
          <w:b w:val="1"/>
          <w:bCs w:val="1"/>
          <w:color w:val="auto"/>
        </w:rPr>
        <w:t>Material Modification to Rights of Security Holders.</w:t>
      </w:r>
    </w:p>
    <w:p>
      <w:pPr>
        <w:spacing w:after="0" w:line="121" w:lineRule="exact"/>
        <w:rPr>
          <w:sz w:val="20"/>
          <w:szCs w:val="20"/>
          <w:color w:val="auto"/>
        </w:rPr>
      </w:pPr>
    </w:p>
    <w:p>
      <w:pPr>
        <w:ind w:left="4"/>
        <w:spacing w:after="0" w:line="272" w:lineRule="auto"/>
        <w:rPr>
          <w:sz w:val="20"/>
          <w:szCs w:val="20"/>
          <w:color w:val="auto"/>
        </w:rPr>
      </w:pPr>
      <w:r>
        <w:rPr>
          <w:rFonts w:ascii="Arial" w:cs="Arial" w:eastAsia="Arial" w:hAnsi="Arial"/>
          <w:sz w:val="17"/>
          <w:szCs w:val="17"/>
          <w:color w:val="auto"/>
        </w:rPr>
        <w:t>On April 19, 2021, Marvell Technology Group Ltd., a Bermuda exempted company (“Marvell”), announced the early participation results of Marvell Technology, Inc.’s, a Delaware corporation and Marvell’s wholly owned subsidiary (“MTI”), previously announced solicitations of consents (each, a “Consent Solicitation” and, collectively, the “Consent Solicitations”) to adopt certain proposed amendments (the “Amendments”) to the indenture, dated as of June 22, 2018 (the “Marvell Base Indenture”), as amended by a first supplemental indenture, dated as of June 22, 2018 (the “Marvell First Supplemental Indenture” and, together with the Marvell Base Indenture, the “Marvell Indenture”), between Marvell and U.S. Bank National Association, as trustee (the “Marvell Trustee”), pursuant to which Marvell’s 4.200% Senior Notes due 2023 (the “2023 Notes”) and 4.875% Senior Notes due 2028 (the “2028 Notes” and, together with the 2023 Notes, the “Marvell Notes”) were issued.</w:t>
      </w:r>
    </w:p>
    <w:p>
      <w:pPr>
        <w:spacing w:after="0" w:line="177" w:lineRule="exact"/>
        <w:rPr>
          <w:sz w:val="20"/>
          <w:szCs w:val="20"/>
          <w:color w:val="auto"/>
        </w:rPr>
      </w:pPr>
    </w:p>
    <w:p>
      <w:pPr>
        <w:ind w:left="4" w:right="80"/>
        <w:spacing w:after="0" w:line="271" w:lineRule="auto"/>
        <w:rPr>
          <w:sz w:val="20"/>
          <w:szCs w:val="20"/>
          <w:color w:val="auto"/>
        </w:rPr>
      </w:pPr>
      <w:r>
        <w:rPr>
          <w:rFonts w:ascii="Arial" w:cs="Arial" w:eastAsia="Arial" w:hAnsi="Arial"/>
          <w:sz w:val="17"/>
          <w:szCs w:val="17"/>
          <w:color w:val="auto"/>
        </w:rPr>
        <w:t>As of 5:00 p.m., New York City time, on April 16, 2021 (the “Early Participation Date”), MTI has received consents from holders representing 86.47% in principal amount of the 2023 Notes and 95.34% in principal amount of the 2028 Notes. On April 15, 2021, Marvell executed a Second Supplemental Indenture (the “Marvell Second Supplemental Indenture”), between Marvell and the Marvell Trustee, to the Marvell Indenture in order to effect the Amendments, which, among other things, eliminate (i) substantially all of the restrictive covenants in the Marvell Indenture, (ii) any restrictions on Marvell in the Marvell Indenture from consolidating with or merging into any other person or conveying, transferring or leasing all or any of its properties and assets to any person and (iii) certain of the events that may lead to an “Event of Default” in the Marvell Indenture (other than for the failure to pay principal, premium or interest). The Marvell Second Supplemental Indenture will become operative upon the settlement of the Exchange Offers (as defined below) and Consent Solicitations, which is expected to occur on or about May 4, 2021.</w:t>
      </w:r>
    </w:p>
    <w:p>
      <w:pPr>
        <w:spacing w:after="0" w:line="178" w:lineRule="exact"/>
        <w:rPr>
          <w:sz w:val="20"/>
          <w:szCs w:val="20"/>
          <w:color w:val="auto"/>
        </w:rPr>
      </w:pPr>
    </w:p>
    <w:p>
      <w:pPr>
        <w:ind w:left="4" w:right="100"/>
        <w:spacing w:after="0" w:line="342" w:lineRule="auto"/>
        <w:rPr>
          <w:sz w:val="20"/>
          <w:szCs w:val="20"/>
          <w:color w:val="auto"/>
        </w:rPr>
      </w:pPr>
      <w:r>
        <w:rPr>
          <w:rFonts w:ascii="Arial" w:cs="Arial" w:eastAsia="Arial" w:hAnsi="Arial"/>
          <w:sz w:val="16"/>
          <w:szCs w:val="16"/>
          <w:color w:val="auto"/>
        </w:rPr>
        <w:t>The foregoing description of the Marvell Second Supplemental Indenture does not purport to be complete and is qualified in its entirety by reference to the full text of such document, a copy of which is filed as Exhibit 4.1 to this Current Report on Form 8-K and incorporated herein in its entirety.</w:t>
      </w:r>
    </w:p>
    <w:p>
      <w:pPr>
        <w:spacing w:after="0" w:line="268" w:lineRule="exact"/>
        <w:rPr>
          <w:sz w:val="20"/>
          <w:szCs w:val="20"/>
          <w:color w:val="auto"/>
        </w:rPr>
      </w:pPr>
    </w:p>
    <w:p>
      <w:pPr>
        <w:ind w:left="4"/>
        <w:spacing w:after="0"/>
        <w:tabs>
          <w:tab w:leader="none" w:pos="1184"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left="4" w:right="100"/>
        <w:spacing w:after="0" w:line="342" w:lineRule="auto"/>
        <w:rPr>
          <w:sz w:val="20"/>
          <w:szCs w:val="20"/>
          <w:color w:val="auto"/>
        </w:rPr>
      </w:pPr>
      <w:r>
        <w:rPr>
          <w:rFonts w:ascii="Arial" w:cs="Arial" w:eastAsia="Arial" w:hAnsi="Arial"/>
          <w:sz w:val="16"/>
          <w:szCs w:val="16"/>
          <w:color w:val="auto"/>
        </w:rPr>
        <w:t>Also on April 19, 2021, Marvell announced the early tender results of MTI’s previously announced private exchange offers to certain eligible holders (the “Exchange Offers”) for any and all outstanding Marvell Notes for up to an aggregate principal amount of $1.0 billion of new notes issued by MTI.</w:t>
      </w:r>
    </w:p>
    <w:p>
      <w:pPr>
        <w:spacing w:after="0" w:line="124" w:lineRule="exact"/>
        <w:rPr>
          <w:sz w:val="20"/>
          <w:szCs w:val="20"/>
          <w:color w:val="auto"/>
        </w:rPr>
      </w:pPr>
    </w:p>
    <w:p>
      <w:pPr>
        <w:ind w:left="4" w:right="160"/>
        <w:spacing w:after="0" w:line="284" w:lineRule="auto"/>
        <w:rPr>
          <w:sz w:val="20"/>
          <w:szCs w:val="20"/>
          <w:color w:val="auto"/>
        </w:rPr>
      </w:pPr>
      <w:r>
        <w:rPr>
          <w:rFonts w:ascii="Arial" w:cs="Arial" w:eastAsia="Arial" w:hAnsi="Arial"/>
          <w:sz w:val="16"/>
          <w:szCs w:val="16"/>
          <w:color w:val="auto"/>
        </w:rPr>
        <w:t>The Exchange Offers and Consent Solicitations are being conducted in connection with Marvell’s previously announced proposed acquisition of Inphi Corporation (“Inphi”), which is currently expected to close on or around April 20, 2021, subject to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 (i) Bermuda Merger Sub will be merged with and into Marvell (the “Bermuda Merger”), with Marvell continuing as a wholly owned subsidiary of MTI; and</w:t>
      </w:r>
    </w:p>
    <w:p>
      <w:pPr>
        <w:spacing w:after="0" w:line="4" w:lineRule="exact"/>
        <w:rPr>
          <w:sz w:val="20"/>
          <w:szCs w:val="20"/>
          <w:color w:val="auto"/>
        </w:rPr>
      </w:pPr>
    </w:p>
    <w:p>
      <w:pPr>
        <w:ind w:left="4" w:right="340" w:hanging="4"/>
        <w:spacing w:after="0" w:line="260" w:lineRule="auto"/>
        <w:tabs>
          <w:tab w:leader="none" w:pos="269" w:val="left"/>
        </w:tabs>
        <w:numPr>
          <w:ilvl w:val="0"/>
          <w:numId w:val="2"/>
        </w:numPr>
        <w:rPr>
          <w:rFonts w:ascii="Arial" w:cs="Arial" w:eastAsia="Arial" w:hAnsi="Arial"/>
          <w:sz w:val="18"/>
          <w:szCs w:val="18"/>
          <w:color w:val="auto"/>
        </w:rPr>
      </w:pPr>
      <w:r>
        <w:rPr>
          <w:rFonts w:ascii="Arial" w:cs="Arial" w:eastAsia="Arial" w:hAnsi="Arial"/>
          <w:sz w:val="18"/>
          <w:szCs w:val="18"/>
          <w:color w:val="auto"/>
        </w:rPr>
        <w:t>Delaware Merger Sub will be merged with and into Inphi (the “Delaware Merger” and, together with the Bermuda Merger, the “Mergers”), with Inphi continuing as a wholly owned subsidiary of MTI.</w:t>
      </w:r>
    </w:p>
    <w:p>
      <w:pPr>
        <w:spacing w:after="0" w:line="185" w:lineRule="exact"/>
        <w:rPr>
          <w:sz w:val="20"/>
          <w:szCs w:val="20"/>
          <w:color w:val="auto"/>
        </w:rPr>
      </w:pPr>
    </w:p>
    <w:p>
      <w:pPr>
        <w:ind w:left="4"/>
        <w:spacing w:after="0" w:line="301" w:lineRule="auto"/>
        <w:rPr>
          <w:sz w:val="20"/>
          <w:szCs w:val="20"/>
          <w:color w:val="auto"/>
        </w:rPr>
      </w:pPr>
      <w:r>
        <w:rPr>
          <w:rFonts w:ascii="Arial" w:cs="Arial" w:eastAsia="Arial" w:hAnsi="Arial"/>
          <w:sz w:val="16"/>
          <w:szCs w:val="16"/>
          <w:color w:val="auto"/>
        </w:rPr>
        <w:t>The Exchange Offers and Consent Solicitations are being made solely pursuant to the terms and subject to the conditions set forth in the confidential offering memorandum dated April 5, 2021 in a private offering exempt from, or not subject to, registration under the Securities Act of 1933, as amended (the “Securities Act”). The Exchange Offers and Consent Solicitations will expire at 11:59 p.m., New York City time, on April 30, 2021, unless extended or earlier terminated, and are conditioned, among other things, upon the closing of the Mergers, which is expected to occur in April 2021.</w:t>
      </w:r>
    </w:p>
    <w:p>
      <w:pPr>
        <w:spacing w:after="0" w:line="157" w:lineRule="exact"/>
        <w:rPr>
          <w:sz w:val="20"/>
          <w:szCs w:val="20"/>
          <w:color w:val="auto"/>
        </w:rPr>
      </w:pPr>
    </w:p>
    <w:p>
      <w:pPr>
        <w:ind w:left="4"/>
        <w:spacing w:after="0"/>
        <w:rPr>
          <w:sz w:val="20"/>
          <w:szCs w:val="20"/>
          <w:color w:val="auto"/>
        </w:rPr>
      </w:pPr>
      <w:r>
        <w:rPr>
          <w:rFonts w:ascii="Arial" w:cs="Arial" w:eastAsia="Arial" w:hAnsi="Arial"/>
          <w:sz w:val="16"/>
          <w:szCs w:val="16"/>
          <w:color w:val="auto"/>
        </w:rPr>
        <w:t>A copy of the press release issued by Marvell is attached as Exhibit 99.1 to this Current Report on Form 8-K and incorporated herein in its entirety.</w:t>
      </w:r>
    </w:p>
    <w:p>
      <w:pPr>
        <w:sectPr>
          <w:pgSz w:w="11900" w:h="16838" w:orient="portrait"/>
          <w:cols w:equalWidth="0" w:num="1">
            <w:col w:w="10984"/>
          </w:cols>
          <w:pgMar w:left="436" w:top="297" w:right="47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Cautionary Statement Regarding Forward-Looking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Current Report on Form 8-K contains forward-looking statements with respect to the Exchange Offers and Consent Solicitations proposed transaction between Marvell, Inphi and MTI, including statements regarding the anticipated timing of the closing of the transaction.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ectPr>
          <w:pgSz w:w="11900" w:h="16838" w:orient="portrait"/>
          <w:cols w:equalWidth="0" w:num="1">
            <w:col w:w="10980"/>
          </w:cols>
          <w:pgMar w:left="440" w:top="297" w:right="479" w:bottom="1440" w:gutter="0" w:footer="0" w:header="0"/>
        </w:sectPr>
      </w:pPr>
    </w:p>
    <w:bookmarkStart w:id="3" w:name="page4"/>
    <w:bookmarkEnd w:id="3"/>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660" w:hanging="660"/>
        <w:spacing w:after="0" w:line="277" w:lineRule="auto"/>
        <w:tabs>
          <w:tab w:leader="none" w:pos="640" w:val="left"/>
        </w:tabs>
        <w:rPr>
          <w:rFonts w:ascii="Arial" w:cs="Arial" w:eastAsia="Arial" w:hAnsi="Arial"/>
          <w:sz w:val="18"/>
          <w:szCs w:val="18"/>
          <w:u w:val="single" w:color="auto"/>
          <w:color w:val="0000EE"/>
        </w:rPr>
      </w:pPr>
      <w:r>
        <w:rPr>
          <w:rFonts w:ascii="Arial" w:cs="Arial" w:eastAsia="Arial" w:hAnsi="Arial"/>
          <w:sz w:val="18"/>
          <w:szCs w:val="18"/>
          <w:color w:val="auto"/>
        </w:rPr>
        <w:t>4.1</w:t>
      </w:r>
      <w:r>
        <w:rPr>
          <w:sz w:val="20"/>
          <w:szCs w:val="20"/>
          <w:color w:val="auto"/>
        </w:rPr>
        <w:tab/>
      </w:r>
      <w:hyperlink w:anchor="page6">
        <w:r>
          <w:rPr>
            <w:rFonts w:ascii="Arial" w:cs="Arial" w:eastAsia="Arial" w:hAnsi="Arial"/>
            <w:sz w:val="18"/>
            <w:szCs w:val="18"/>
            <w:u w:val="single" w:color="auto"/>
            <w:color w:val="0000EE"/>
          </w:rPr>
          <w:t>Second Supplemental Indenture, dated as of April 15, 2021, by and between Marvell Technology Group Ltd. and U.S. Bank National</w:t>
        </w:r>
      </w:hyperlink>
      <w:r>
        <w:rPr>
          <w:rFonts w:ascii="Arial" w:cs="Arial" w:eastAsia="Arial" w:hAnsi="Arial"/>
          <w:sz w:val="18"/>
          <w:szCs w:val="18"/>
          <w:u w:val="single" w:color="auto"/>
          <w:color w:val="0000EE"/>
        </w:rPr>
        <w:t xml:space="preserve"> </w:t>
      </w:r>
      <w:hyperlink w:anchor="page6">
        <w:r>
          <w:rPr>
            <w:rFonts w:ascii="Arial" w:cs="Arial" w:eastAsia="Arial" w:hAnsi="Arial"/>
            <w:sz w:val="18"/>
            <w:szCs w:val="18"/>
            <w:u w:val="single" w:color="auto"/>
            <w:color w:val="0000EE"/>
          </w:rPr>
          <w:t>Association</w:t>
        </w:r>
      </w:hyperlink>
    </w:p>
    <w:p>
      <w:pPr>
        <w:spacing w:after="0" w:line="6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13">
        <w:r>
          <w:rPr>
            <w:rFonts w:ascii="Arial" w:cs="Arial" w:eastAsia="Arial" w:hAnsi="Arial"/>
            <w:sz w:val="16"/>
            <w:szCs w:val="16"/>
            <w:u w:val="single" w:color="auto"/>
            <w:color w:val="0000EE"/>
          </w:rPr>
          <w:t>Press release, dated April 19, 2021</w:t>
        </w:r>
      </w:hyperlink>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260"/>
          </w:cols>
          <w:pgMar w:left="440" w:top="297" w:right="1199" w:bottom="1440" w:gutter="0" w:footer="0" w:header="0"/>
        </w:sectPr>
      </w:pPr>
    </w:p>
    <w:bookmarkStart w:id="4" w:name="page5"/>
    <w:bookmarkEnd w:id="4"/>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60" w:val="left"/>
        </w:tabs>
        <w:rPr>
          <w:sz w:val="20"/>
          <w:szCs w:val="20"/>
          <w:color w:val="auto"/>
        </w:rPr>
      </w:pPr>
      <w:r>
        <w:rPr>
          <w:rFonts w:ascii="Arial" w:cs="Arial" w:eastAsia="Arial" w:hAnsi="Arial"/>
          <w:sz w:val="18"/>
          <w:szCs w:val="18"/>
          <w:color w:val="auto"/>
        </w:rPr>
        <w:t>Date: April 19, 2021</w:t>
      </w:r>
      <w:r>
        <w:rPr>
          <w:sz w:val="20"/>
          <w:szCs w:val="20"/>
          <w:color w:val="auto"/>
        </w:rPr>
        <w:tab/>
      </w:r>
      <w:r>
        <w:rPr>
          <w:rFonts w:ascii="Arial" w:cs="Arial" w:eastAsia="Arial" w:hAnsi="Arial"/>
          <w:sz w:val="16"/>
          <w:szCs w:val="16"/>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940"/>
          </w:cols>
          <w:pgMar w:left="440" w:top="297" w:right="519"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4.1</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6"/>
          <w:szCs w:val="16"/>
          <w:b w:val="1"/>
          <w:bCs w:val="1"/>
          <w:color w:val="auto"/>
        </w:rPr>
        <w:t>Marvell Technology Group Ltd.,</w:t>
      </w:r>
    </w:p>
    <w:p>
      <w:pPr>
        <w:spacing w:after="0" w:line="248"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as Issuer</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and</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6"/>
          <w:szCs w:val="16"/>
          <w:b w:val="1"/>
          <w:bCs w:val="1"/>
          <w:color w:val="auto"/>
        </w:rPr>
        <w:t>U.S. Bank National Association,</w:t>
      </w:r>
    </w:p>
    <w:p>
      <w:pPr>
        <w:spacing w:after="0" w:line="50"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as Trustee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228600</wp:posOffset>
            </wp:positionV>
            <wp:extent cx="147447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51" w:lineRule="exact"/>
        <w:rPr>
          <w:sz w:val="20"/>
          <w:szCs w:val="20"/>
          <w:color w:val="auto"/>
        </w:rPr>
      </w:pPr>
    </w:p>
    <w:p>
      <w:pPr>
        <w:jc w:val="center"/>
        <w:ind w:right="1020"/>
        <w:spacing w:after="0"/>
        <w:rPr>
          <w:sz w:val="20"/>
          <w:szCs w:val="20"/>
          <w:color w:val="auto"/>
        </w:rPr>
      </w:pPr>
      <w:r>
        <w:rPr>
          <w:rFonts w:ascii="Arial" w:cs="Arial" w:eastAsia="Arial" w:hAnsi="Arial"/>
          <w:sz w:val="17"/>
          <w:szCs w:val="17"/>
          <w:b w:val="1"/>
          <w:bCs w:val="1"/>
          <w:color w:val="auto"/>
        </w:rPr>
        <w:t>4.200% Senior Notes due 2023</w:t>
      </w:r>
    </w:p>
    <w:p>
      <w:pPr>
        <w:spacing w:after="0" w:line="237"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and</w:t>
      </w:r>
    </w:p>
    <w:p>
      <w:pPr>
        <w:spacing w:after="0" w:line="225"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4.875% Senior Notes due 2028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248920</wp:posOffset>
            </wp:positionV>
            <wp:extent cx="1474470"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83" w:lineRule="exact"/>
        <w:rPr>
          <w:sz w:val="20"/>
          <w:szCs w:val="20"/>
          <w:color w:val="auto"/>
        </w:rPr>
      </w:pPr>
    </w:p>
    <w:p>
      <w:pPr>
        <w:jc w:val="center"/>
        <w:ind w:right="1000"/>
        <w:spacing w:after="0"/>
        <w:rPr>
          <w:sz w:val="20"/>
          <w:szCs w:val="20"/>
          <w:color w:val="auto"/>
        </w:rPr>
      </w:pPr>
      <w:r>
        <w:rPr>
          <w:rFonts w:ascii="Arial" w:cs="Arial" w:eastAsia="Arial" w:hAnsi="Arial"/>
          <w:sz w:val="16"/>
          <w:szCs w:val="16"/>
          <w:b w:val="1"/>
          <w:bCs w:val="1"/>
          <w:color w:val="auto"/>
        </w:rPr>
        <w:t>Second Supplemental Indenture</w:t>
      </w:r>
    </w:p>
    <w:p>
      <w:pPr>
        <w:spacing w:after="0" w:line="248"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Dated as of April 15, 2021</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to</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Indenture</w:t>
      </w:r>
    </w:p>
    <w:p>
      <w:pPr>
        <w:spacing w:after="0" w:line="225" w:lineRule="exact"/>
        <w:rPr>
          <w:sz w:val="20"/>
          <w:szCs w:val="20"/>
          <w:color w:val="auto"/>
        </w:rPr>
      </w:pPr>
    </w:p>
    <w:p>
      <w:pPr>
        <w:ind w:left="3520"/>
        <w:spacing w:after="0"/>
        <w:rPr>
          <w:sz w:val="20"/>
          <w:szCs w:val="20"/>
          <w:color w:val="auto"/>
        </w:rPr>
      </w:pPr>
      <w:r>
        <w:rPr>
          <w:rFonts w:ascii="Arial" w:cs="Arial" w:eastAsia="Arial" w:hAnsi="Arial"/>
          <w:sz w:val="18"/>
          <w:szCs w:val="18"/>
          <w:b w:val="1"/>
          <w:bCs w:val="1"/>
          <w:color w:val="auto"/>
        </w:rPr>
        <w:t>Dated as of June 22, 2018</w:t>
      </w:r>
    </w:p>
    <w:p>
      <w:pPr>
        <w:sectPr>
          <w:pgSz w:w="11900" w:h="16838" w:orient="portrait"/>
          <w:cols w:equalWidth="0" w:num="1">
            <w:col w:w="10020"/>
          </w:cols>
          <w:pgMar w:left="1440" w:top="121" w:right="439" w:bottom="1440" w:gutter="0" w:footer="0" w:header="0"/>
        </w:sectPr>
      </w:pPr>
    </w:p>
    <w:bookmarkStart w:id="6" w:name="page7"/>
    <w:bookmarkEnd w:id="6"/>
    <w:p>
      <w:pPr>
        <w:ind w:left="4" w:firstLine="4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SECOND SUPPLEMENTAL INDENTURE, dated as of April 15, 2021 (“</w:t>
      </w:r>
      <w:r>
        <w:rPr>
          <w:rFonts w:ascii="Arial" w:cs="Arial" w:eastAsia="Arial" w:hAnsi="Arial"/>
          <w:sz w:val="18"/>
          <w:szCs w:val="18"/>
          <w:u w:val="single" w:color="auto"/>
          <w:color w:val="auto"/>
        </w:rPr>
        <w:t>Second Supplemental Indenture</w:t>
      </w:r>
      <w:r>
        <w:rPr>
          <w:rFonts w:ascii="Arial" w:cs="Arial" w:eastAsia="Arial" w:hAnsi="Arial"/>
          <w:sz w:val="18"/>
          <w:szCs w:val="18"/>
          <w:color w:val="auto"/>
        </w:rPr>
        <w:t>”), by and between Marvell Technology Group Ltd., a Bermuda exempted company (the “</w:t>
      </w:r>
      <w:r>
        <w:rPr>
          <w:rFonts w:ascii="Arial" w:cs="Arial" w:eastAsia="Arial" w:hAnsi="Arial"/>
          <w:sz w:val="18"/>
          <w:szCs w:val="18"/>
          <w:u w:val="single" w:color="auto"/>
          <w:color w:val="auto"/>
        </w:rPr>
        <w:t>Company</w:t>
      </w:r>
      <w:r>
        <w:rPr>
          <w:rFonts w:ascii="Arial" w:cs="Arial" w:eastAsia="Arial" w:hAnsi="Arial"/>
          <w:sz w:val="18"/>
          <w:szCs w:val="18"/>
          <w:color w:val="auto"/>
        </w:rPr>
        <w:t>”), and U.S. Bank National Association, a national banking association, as trustee (the “</w:t>
      </w:r>
      <w:r>
        <w:rPr>
          <w:rFonts w:ascii="Arial" w:cs="Arial" w:eastAsia="Arial" w:hAnsi="Arial"/>
          <w:sz w:val="18"/>
          <w:szCs w:val="18"/>
          <w:u w:val="single" w:color="auto"/>
          <w:color w:val="auto"/>
        </w:rPr>
        <w:t>Trustee</w:t>
      </w:r>
      <w:r>
        <w:rPr>
          <w:rFonts w:ascii="Arial" w:cs="Arial" w:eastAsia="Arial" w:hAnsi="Arial"/>
          <w:sz w:val="18"/>
          <w:szCs w:val="18"/>
          <w:color w:val="auto"/>
        </w:rPr>
        <w:t>”).</w:t>
      </w:r>
    </w:p>
    <w:p>
      <w:pPr>
        <w:spacing w:after="0" w:line="184" w:lineRule="exact"/>
        <w:rPr>
          <w:sz w:val="20"/>
          <w:szCs w:val="20"/>
          <w:color w:val="auto"/>
        </w:rPr>
      </w:pPr>
    </w:p>
    <w:p>
      <w:pPr>
        <w:ind w:left="4" w:right="40" w:firstLine="440"/>
        <w:spacing w:after="0" w:line="259" w:lineRule="auto"/>
        <w:rPr>
          <w:sz w:val="20"/>
          <w:szCs w:val="20"/>
          <w:color w:val="auto"/>
        </w:rPr>
      </w:pPr>
      <w:r>
        <w:rPr>
          <w:rFonts w:ascii="Arial" w:cs="Arial" w:eastAsia="Arial" w:hAnsi="Arial"/>
          <w:sz w:val="18"/>
          <w:szCs w:val="18"/>
          <w:color w:val="auto"/>
        </w:rPr>
        <w:t>WHEREAS, the Company has heretofore executed and delivered to the Trustee an Indenture, dated as of June 22, 2018 (the “</w:t>
      </w:r>
      <w:r>
        <w:rPr>
          <w:rFonts w:ascii="Arial" w:cs="Arial" w:eastAsia="Arial" w:hAnsi="Arial"/>
          <w:sz w:val="18"/>
          <w:szCs w:val="18"/>
          <w:u w:val="single" w:color="auto"/>
          <w:color w:val="auto"/>
        </w:rPr>
        <w:t>Base Indenture</w:t>
      </w:r>
      <w:r>
        <w:rPr>
          <w:rFonts w:ascii="Arial" w:cs="Arial" w:eastAsia="Arial" w:hAnsi="Arial"/>
          <w:sz w:val="18"/>
          <w:szCs w:val="18"/>
          <w:color w:val="auto"/>
        </w:rPr>
        <w:t>”), as amended by the First Supplemental Indenture, dated as of June 22, 2018 (the “</w:t>
      </w:r>
      <w:r>
        <w:rPr>
          <w:rFonts w:ascii="Arial" w:cs="Arial" w:eastAsia="Arial" w:hAnsi="Arial"/>
          <w:sz w:val="18"/>
          <w:szCs w:val="18"/>
          <w:u w:val="single" w:color="auto"/>
          <w:color w:val="auto"/>
        </w:rPr>
        <w:t>First Supplemental Indenture</w:t>
      </w:r>
      <w:r>
        <w:rPr>
          <w:rFonts w:ascii="Arial" w:cs="Arial" w:eastAsia="Arial" w:hAnsi="Arial"/>
          <w:sz w:val="18"/>
          <w:szCs w:val="18"/>
          <w:color w:val="auto"/>
        </w:rPr>
        <w:t>” and together with the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providing for the issuance of 4.200% Senior Notes due 2023 and 4.875 Senior Notes due 2028 (each, a “</w:t>
      </w:r>
      <w:r>
        <w:rPr>
          <w:rFonts w:ascii="Arial" w:cs="Arial" w:eastAsia="Arial" w:hAnsi="Arial"/>
          <w:sz w:val="18"/>
          <w:szCs w:val="18"/>
          <w:u w:val="single" w:color="auto"/>
          <w:color w:val="auto"/>
        </w:rPr>
        <w:t>Series</w:t>
      </w:r>
      <w:r>
        <w:rPr>
          <w:rFonts w:ascii="Arial" w:cs="Arial" w:eastAsia="Arial" w:hAnsi="Arial"/>
          <w:sz w:val="18"/>
          <w:szCs w:val="18"/>
          <w:color w:val="auto"/>
        </w:rPr>
        <w:t>,” and collectively, the “</w:t>
      </w:r>
      <w:r>
        <w:rPr>
          <w:rFonts w:ascii="Arial" w:cs="Arial" w:eastAsia="Arial" w:hAnsi="Arial"/>
          <w:sz w:val="18"/>
          <w:szCs w:val="18"/>
          <w:u w:val="single" w:color="auto"/>
          <w:color w:val="auto"/>
        </w:rPr>
        <w:t>Notes</w:t>
      </w:r>
      <w:r>
        <w:rPr>
          <w:rFonts w:ascii="Arial" w:cs="Arial" w:eastAsia="Arial" w:hAnsi="Arial"/>
          <w:sz w:val="18"/>
          <w:szCs w:val="18"/>
          <w:color w:val="auto"/>
        </w:rPr>
        <w:t>”);</w:t>
      </w:r>
    </w:p>
    <w:p>
      <w:pPr>
        <w:spacing w:after="0" w:line="187" w:lineRule="exact"/>
        <w:rPr>
          <w:sz w:val="20"/>
          <w:szCs w:val="20"/>
          <w:color w:val="auto"/>
        </w:rPr>
      </w:pPr>
    </w:p>
    <w:p>
      <w:pPr>
        <w:jc w:val="both"/>
        <w:ind w:left="4" w:right="160" w:firstLine="440"/>
        <w:spacing w:after="0" w:line="259" w:lineRule="auto"/>
        <w:rPr>
          <w:sz w:val="20"/>
          <w:szCs w:val="20"/>
          <w:color w:val="auto"/>
        </w:rPr>
      </w:pPr>
      <w:r>
        <w:rPr>
          <w:rFonts w:ascii="Arial" w:cs="Arial" w:eastAsia="Arial" w:hAnsi="Arial"/>
          <w:sz w:val="18"/>
          <w:szCs w:val="18"/>
          <w:color w:val="auto"/>
        </w:rPr>
        <w:t>WHEREAS, Section 902 of the Base Indenture provides that the Indenture may be amended or supplemented with the consent of the Holders of not less than a majority in aggregate principal amount of the Outstanding Securities of each series affected by such supplemental indenture, subject to certain exceptions set forth in Section 902 (not applicable to the amendments to the Indenture to be effected by this Second Supplemental Indenture), which require the affirmative consent of each Holder affected thereby;</w:t>
      </w:r>
    </w:p>
    <w:p>
      <w:pPr>
        <w:spacing w:after="0" w:line="187" w:lineRule="exact"/>
        <w:rPr>
          <w:sz w:val="20"/>
          <w:szCs w:val="20"/>
          <w:color w:val="auto"/>
        </w:rPr>
      </w:pPr>
    </w:p>
    <w:p>
      <w:pPr>
        <w:ind w:left="4" w:right="160" w:firstLine="440"/>
        <w:spacing w:after="0" w:line="259" w:lineRule="auto"/>
        <w:rPr>
          <w:sz w:val="20"/>
          <w:szCs w:val="20"/>
          <w:color w:val="auto"/>
        </w:rPr>
      </w:pPr>
      <w:r>
        <w:rPr>
          <w:rFonts w:ascii="Arial" w:cs="Arial" w:eastAsia="Arial" w:hAnsi="Arial"/>
          <w:sz w:val="18"/>
          <w:szCs w:val="18"/>
          <w:color w:val="auto"/>
        </w:rPr>
        <w:t>WHEREAS, Marvell Technology, Inc. (“</w:t>
      </w:r>
      <w:r>
        <w:rPr>
          <w:rFonts w:ascii="Arial" w:cs="Arial" w:eastAsia="Arial" w:hAnsi="Arial"/>
          <w:sz w:val="18"/>
          <w:szCs w:val="18"/>
          <w:u w:val="single" w:color="auto"/>
          <w:color w:val="auto"/>
        </w:rPr>
        <w:t>MTI</w:t>
      </w:r>
      <w:r>
        <w:rPr>
          <w:rFonts w:ascii="Arial" w:cs="Arial" w:eastAsia="Arial" w:hAnsi="Arial"/>
          <w:sz w:val="18"/>
          <w:szCs w:val="18"/>
          <w:color w:val="auto"/>
        </w:rPr>
        <w:t>”), on behalf of the Company, has solicited, and has received, upon the terms and subject to the conditions set forth in the exchange offering memorandum and consent solicitation statement, dated April 5, 2021 (the “</w:t>
      </w:r>
      <w:r>
        <w:rPr>
          <w:rFonts w:ascii="Arial" w:cs="Arial" w:eastAsia="Arial" w:hAnsi="Arial"/>
          <w:sz w:val="18"/>
          <w:szCs w:val="18"/>
          <w:u w:val="single" w:color="auto"/>
          <w:color w:val="auto"/>
        </w:rPr>
        <w:t>Offering Memorandum</w:t>
      </w:r>
      <w:r>
        <w:rPr>
          <w:rFonts w:ascii="Arial" w:cs="Arial" w:eastAsia="Arial" w:hAnsi="Arial"/>
          <w:sz w:val="18"/>
          <w:szCs w:val="18"/>
          <w:color w:val="auto"/>
        </w:rPr>
        <w:t>”), consents (“</w:t>
      </w:r>
      <w:r>
        <w:rPr>
          <w:rFonts w:ascii="Arial" w:cs="Arial" w:eastAsia="Arial" w:hAnsi="Arial"/>
          <w:sz w:val="18"/>
          <w:szCs w:val="18"/>
          <w:u w:val="single" w:color="auto"/>
          <w:color w:val="auto"/>
        </w:rPr>
        <w:t>Consents</w:t>
      </w:r>
      <w:r>
        <w:rPr>
          <w:rFonts w:ascii="Arial" w:cs="Arial" w:eastAsia="Arial" w:hAnsi="Arial"/>
          <w:sz w:val="18"/>
          <w:szCs w:val="18"/>
          <w:color w:val="auto"/>
        </w:rPr>
        <w:t>”) from eligible Holders of a majority in principal amount of each Series of then Outstanding Notes (the “</w:t>
      </w:r>
      <w:r>
        <w:rPr>
          <w:rFonts w:ascii="Arial" w:cs="Arial" w:eastAsia="Arial" w:hAnsi="Arial"/>
          <w:sz w:val="18"/>
          <w:szCs w:val="18"/>
          <w:u w:val="single" w:color="auto"/>
          <w:color w:val="auto"/>
        </w:rPr>
        <w:t>Consenting Holders</w:t>
      </w:r>
      <w:r>
        <w:rPr>
          <w:rFonts w:ascii="Arial" w:cs="Arial" w:eastAsia="Arial" w:hAnsi="Arial"/>
          <w:sz w:val="18"/>
          <w:szCs w:val="18"/>
          <w:color w:val="auto"/>
        </w:rPr>
        <w:t>”) to the amendments of certain provisions of the Indenture as set forth in Section 4 hereof;</w:t>
      </w:r>
    </w:p>
    <w:p>
      <w:pPr>
        <w:spacing w:after="0" w:line="187" w:lineRule="exact"/>
        <w:rPr>
          <w:sz w:val="20"/>
          <w:szCs w:val="20"/>
          <w:color w:val="auto"/>
        </w:rPr>
      </w:pPr>
    </w:p>
    <w:p>
      <w:pPr>
        <w:jc w:val="both"/>
        <w:ind w:left="4" w:right="260" w:firstLine="440"/>
        <w:spacing w:after="0" w:line="263" w:lineRule="auto"/>
        <w:rPr>
          <w:sz w:val="20"/>
          <w:szCs w:val="20"/>
          <w:color w:val="auto"/>
        </w:rPr>
      </w:pPr>
      <w:r>
        <w:rPr>
          <w:rFonts w:ascii="Arial" w:cs="Arial" w:eastAsia="Arial" w:hAnsi="Arial"/>
          <w:sz w:val="18"/>
          <w:szCs w:val="18"/>
          <w:color w:val="auto"/>
        </w:rPr>
        <w:t>WHEREAS, in accordance with Section 902 of the Base Indenture, the Consenting Holders, by delivery of their Consents, have permitted and approved any and all conforming changes, including conforming amendments, to the Notes and any related documents and any documents appended thereto that may be required by, or as a result of, this Second Supplemental Indenture; and</w:t>
      </w:r>
    </w:p>
    <w:p>
      <w:pPr>
        <w:spacing w:after="0" w:line="184" w:lineRule="exact"/>
        <w:rPr>
          <w:sz w:val="20"/>
          <w:szCs w:val="20"/>
          <w:color w:val="auto"/>
        </w:rPr>
      </w:pPr>
    </w:p>
    <w:p>
      <w:pPr>
        <w:ind w:left="4" w:right="40" w:firstLine="440"/>
        <w:spacing w:after="0" w:line="259" w:lineRule="auto"/>
        <w:rPr>
          <w:sz w:val="20"/>
          <w:szCs w:val="20"/>
          <w:color w:val="auto"/>
        </w:rPr>
      </w:pPr>
      <w:r>
        <w:rPr>
          <w:rFonts w:ascii="Arial" w:cs="Arial" w:eastAsia="Arial" w:hAnsi="Arial"/>
          <w:sz w:val="18"/>
          <w:szCs w:val="18"/>
          <w:color w:val="auto"/>
        </w:rPr>
        <w:t>WHEREAS, all things necessary to make this Second Supplemental Indenture a valid and binding agreement of the parties, in accordance with its terms, and a valid amendment of, and supplement to, the Indenture have been done, and the execution and delivery of this Second Supplemental Indenture have been duly authorized in all respects and, pursuant to Section 902 of the Base Indenture, the Company and the Trustee are authorized to execute and deliver this Second Supplemental Indenture.</w:t>
      </w:r>
    </w:p>
    <w:p>
      <w:pPr>
        <w:spacing w:after="0" w:line="187" w:lineRule="exact"/>
        <w:rPr>
          <w:sz w:val="20"/>
          <w:szCs w:val="20"/>
          <w:color w:val="auto"/>
        </w:rPr>
      </w:pPr>
    </w:p>
    <w:p>
      <w:pPr>
        <w:ind w:left="4" w:right="980" w:firstLine="440"/>
        <w:spacing w:after="0" w:line="342" w:lineRule="auto"/>
        <w:rPr>
          <w:sz w:val="20"/>
          <w:szCs w:val="20"/>
          <w:color w:val="auto"/>
        </w:rPr>
      </w:pPr>
      <w:r>
        <w:rPr>
          <w:rFonts w:ascii="Arial" w:cs="Arial" w:eastAsia="Arial" w:hAnsi="Arial"/>
          <w:sz w:val="16"/>
          <w:szCs w:val="16"/>
          <w:color w:val="auto"/>
        </w:rPr>
        <w:t>NOW, THEREFORE, in consideration of the foregoing and for other good and valuable consideration, the receipt of which is hereby acknowledged, the Company and the Trustee mutually covenant and agree for the equal and ratable benefit of the Holders as follows:</w:t>
      </w:r>
    </w:p>
    <w:p>
      <w:pPr>
        <w:spacing w:after="0" w:line="29" w:lineRule="exact"/>
        <w:rPr>
          <w:sz w:val="20"/>
          <w:szCs w:val="20"/>
          <w:color w:val="auto"/>
        </w:rPr>
      </w:pPr>
    </w:p>
    <w:p>
      <w:pPr>
        <w:ind w:left="424" w:hanging="424"/>
        <w:spacing w:after="0" w:line="279" w:lineRule="auto"/>
        <w:tabs>
          <w:tab w:leader="none" w:pos="424" w:val="left"/>
        </w:tabs>
        <w:numPr>
          <w:ilvl w:val="0"/>
          <w:numId w:val="3"/>
        </w:numPr>
        <w:rPr>
          <w:rFonts w:ascii="Arial" w:cs="Arial" w:eastAsia="Arial" w:hAnsi="Arial"/>
          <w:sz w:val="17"/>
          <w:szCs w:val="17"/>
          <w:color w:val="auto"/>
        </w:rPr>
      </w:pPr>
      <w:r>
        <w:rPr>
          <w:rFonts w:ascii="Arial" w:cs="Arial" w:eastAsia="Arial" w:hAnsi="Arial"/>
          <w:sz w:val="17"/>
          <w:szCs w:val="17"/>
          <w:u w:val="single" w:color="auto"/>
          <w:color w:val="auto"/>
        </w:rPr>
        <w:t>Definitions</w:t>
      </w:r>
      <w:r>
        <w:rPr>
          <w:rFonts w:ascii="Arial" w:cs="Arial" w:eastAsia="Arial" w:hAnsi="Arial"/>
          <w:sz w:val="17"/>
          <w:szCs w:val="17"/>
          <w:i w:val="1"/>
          <w:iCs w:val="1"/>
          <w:color w:val="auto"/>
        </w:rPr>
        <w:t>.</w:t>
      </w:r>
      <w:r>
        <w:rPr>
          <w:rFonts w:ascii="Arial" w:cs="Arial" w:eastAsia="Arial" w:hAnsi="Arial"/>
          <w:sz w:val="17"/>
          <w:szCs w:val="17"/>
          <w:color w:val="auto"/>
        </w:rPr>
        <w:t xml:space="preserve"> Capitalized terms used herein and not otherwise defined herein have the meanings assigned to them in the Indenture, unless otherwise indicated. To the extent terms are defined in both this Second Supplemental Indenture and the Indenture, the applicable definition in this Second Supplemental Indenture shall control. The words “herein,” “hereof” and “hereby” and other words of similar import used in this Second Supplemental Indenture refer to this Second Supplemental Indenture as a whole and not to any particular section hereof.</w:t>
      </w:r>
    </w:p>
    <w:p>
      <w:pPr>
        <w:spacing w:after="0" w:line="104"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0984"/>
          </w:cols>
          <w:pgMar w:left="436" w:top="274" w:right="479" w:bottom="1440" w:gutter="0" w:footer="0" w:header="0"/>
        </w:sectPr>
      </w:pPr>
    </w:p>
    <w:bookmarkStart w:id="7" w:name="page8"/>
    <w:bookmarkEnd w:id="7"/>
    <w:p>
      <w:pPr>
        <w:ind w:left="424" w:right="40" w:hanging="424"/>
        <w:spacing w:after="0" w:line="275" w:lineRule="auto"/>
        <w:tabs>
          <w:tab w:leader="none" w:pos="424" w:val="left"/>
        </w:tabs>
        <w:numPr>
          <w:ilvl w:val="0"/>
          <w:numId w:val="4"/>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Relationship with Indenture</w:t>
      </w:r>
      <w:r>
        <w:rPr>
          <w:rFonts w:ascii="Arial" w:cs="Arial" w:eastAsia="Arial" w:hAnsi="Arial"/>
          <w:sz w:val="17"/>
          <w:szCs w:val="17"/>
          <w:i w:val="1"/>
          <w:iCs w:val="1"/>
          <w:color w:val="auto"/>
        </w:rPr>
        <w:t>.</w:t>
      </w:r>
      <w:r>
        <w:rPr>
          <w:rFonts w:ascii="Arial" w:cs="Arial" w:eastAsia="Arial" w:hAnsi="Arial"/>
          <w:sz w:val="17"/>
          <w:szCs w:val="17"/>
          <w:color w:val="auto"/>
        </w:rPr>
        <w:t xml:space="preserve"> The terms and provisions contained in this Second Supplemental Indenture will constitute, and are hereby expressly made, a part of the Indenture, and the Company and the Trustee, by their execution and delivery of this Second Supplemental Indenture, expressly agree to such terms and provisions and to be bound thereby. The Indenture and this Second Supplemental Indenture shall be read, taken and construed as one and the same instrument. In the event that any provision of this Second Supplemental Indenture expressly limits, qualifies or conflicts with a provision of the Indenture, such provision of this Second Supplemental Indenture shall control.</w:t>
      </w:r>
    </w:p>
    <w:p>
      <w:pPr>
        <w:spacing w:after="0" w:line="81" w:lineRule="exact"/>
        <w:rPr>
          <w:rFonts w:ascii="Arial" w:cs="Arial" w:eastAsia="Arial" w:hAnsi="Arial"/>
          <w:sz w:val="17"/>
          <w:szCs w:val="17"/>
          <w:color w:val="auto"/>
        </w:rPr>
      </w:pPr>
    </w:p>
    <w:p>
      <w:pPr>
        <w:ind w:left="424" w:hanging="424"/>
        <w:spacing w:after="0"/>
        <w:tabs>
          <w:tab w:leader="none" w:pos="424" w:val="left"/>
        </w:tabs>
        <w:numPr>
          <w:ilvl w:val="0"/>
          <w:numId w:val="4"/>
        </w:numPr>
        <w:rPr>
          <w:rFonts w:ascii="Arial" w:cs="Arial" w:eastAsia="Arial" w:hAnsi="Arial"/>
          <w:sz w:val="18"/>
          <w:szCs w:val="18"/>
          <w:color w:val="auto"/>
        </w:rPr>
      </w:pPr>
      <w:r>
        <w:rPr>
          <w:rFonts w:ascii="Arial" w:cs="Arial" w:eastAsia="Arial" w:hAnsi="Arial"/>
          <w:sz w:val="18"/>
          <w:szCs w:val="18"/>
          <w:u w:val="single" w:color="auto"/>
          <w:color w:val="auto"/>
        </w:rPr>
        <w:t>Effectiveness; Conditions Precedent</w:t>
      </w:r>
      <w:r>
        <w:rPr>
          <w:rFonts w:ascii="Arial" w:cs="Arial" w:eastAsia="Arial" w:hAnsi="Arial"/>
          <w:sz w:val="18"/>
          <w:szCs w:val="18"/>
          <w:i w:val="1"/>
          <w:iCs w:val="1"/>
          <w:color w:val="auto"/>
        </w:rPr>
        <w:t>.</w:t>
      </w:r>
    </w:p>
    <w:p>
      <w:pPr>
        <w:spacing w:after="0" w:line="130" w:lineRule="exact"/>
        <w:rPr>
          <w:rFonts w:ascii="Arial" w:cs="Arial" w:eastAsia="Arial" w:hAnsi="Arial"/>
          <w:sz w:val="18"/>
          <w:szCs w:val="18"/>
          <w:color w:val="auto"/>
        </w:rPr>
      </w:pPr>
    </w:p>
    <w:p>
      <w:pPr>
        <w:ind w:left="964" w:hanging="532"/>
        <w:spacing w:after="0" w:line="255" w:lineRule="auto"/>
        <w:tabs>
          <w:tab w:leader="none" w:pos="964" w:val="left"/>
        </w:tabs>
        <w:numPr>
          <w:ilvl w:val="1"/>
          <w:numId w:val="4"/>
        </w:numPr>
        <w:rPr>
          <w:rFonts w:ascii="Arial" w:cs="Arial" w:eastAsia="Arial" w:hAnsi="Arial"/>
          <w:sz w:val="18"/>
          <w:szCs w:val="18"/>
          <w:color w:val="auto"/>
        </w:rPr>
      </w:pPr>
      <w:r>
        <w:rPr>
          <w:rFonts w:ascii="Arial" w:cs="Arial" w:eastAsia="Arial" w:hAnsi="Arial"/>
          <w:sz w:val="18"/>
          <w:szCs w:val="18"/>
          <w:color w:val="auto"/>
        </w:rPr>
        <w:t>The Company represents and warrants that each of the conditions precedent to the amendment and supplement of the Indenture (including such conditions pursuant to Article IX of the Base Indenture) have been satisfied in all respects. Pursuant to Section 902 of the Base Indenture, the Consenting Holders of each Series of Notes, voting as a single class, have consented to the amendments set forth in Section 4 hereof with respect to each Series of Notes and the Indenture and have authorized and directed the Trustee to execute this Second Supplemental Indenture. The Company and the Trustee are on this date executing this Second Supplemental Indenture, which will become effective on the date hereof.</w:t>
      </w:r>
    </w:p>
    <w:p>
      <w:pPr>
        <w:spacing w:after="0" w:line="97" w:lineRule="exact"/>
        <w:rPr>
          <w:rFonts w:ascii="Arial" w:cs="Arial" w:eastAsia="Arial" w:hAnsi="Arial"/>
          <w:sz w:val="18"/>
          <w:szCs w:val="18"/>
          <w:color w:val="auto"/>
        </w:rPr>
      </w:pPr>
    </w:p>
    <w:p>
      <w:pPr>
        <w:ind w:left="964" w:hanging="532"/>
        <w:spacing w:after="0" w:line="254" w:lineRule="auto"/>
        <w:tabs>
          <w:tab w:leader="none" w:pos="964" w:val="left"/>
        </w:tabs>
        <w:numPr>
          <w:ilvl w:val="1"/>
          <w:numId w:val="4"/>
        </w:numPr>
        <w:rPr>
          <w:rFonts w:ascii="Arial" w:cs="Arial" w:eastAsia="Arial" w:hAnsi="Arial"/>
          <w:sz w:val="18"/>
          <w:szCs w:val="18"/>
          <w:color w:val="auto"/>
        </w:rPr>
      </w:pPr>
      <w:r>
        <w:rPr>
          <w:rFonts w:ascii="Arial" w:cs="Arial" w:eastAsia="Arial" w:hAnsi="Arial"/>
          <w:sz w:val="18"/>
          <w:szCs w:val="18"/>
          <w:color w:val="auto"/>
        </w:rPr>
        <w:t>The amendments set forth in Section 4 hereof shall become operative, and the terms of the Indenture and each Series of Notes shall be amended as provided for in Section 4 below, upon written notice from the Company to the Trustee that MTI has made the Consent Payment (as defined in the Offering Memorandum) to each of the Consenting Holders whose Consent has been accepted by MTI in accordance with the terms of the Offering Memorandum. If the Trustee receives written notice from the Company that the Consent Payment has not been made in accordance with the terms of the Offering Memorandum, this Second Supplemental Indenture shall terminate immediately without any amendments contained in Section 4 hereof becoming or remaining operative, as applicable, and without the need for further action hereunder or thereunder.</w:t>
      </w:r>
    </w:p>
    <w:p>
      <w:pPr>
        <w:spacing w:after="0" w:line="100" w:lineRule="exact"/>
        <w:rPr>
          <w:rFonts w:ascii="Arial" w:cs="Arial" w:eastAsia="Arial" w:hAnsi="Arial"/>
          <w:sz w:val="18"/>
          <w:szCs w:val="18"/>
          <w:color w:val="auto"/>
        </w:rPr>
      </w:pPr>
    </w:p>
    <w:p>
      <w:pPr>
        <w:ind w:left="424" w:right="320" w:hanging="424"/>
        <w:spacing w:after="0" w:line="277" w:lineRule="auto"/>
        <w:tabs>
          <w:tab w:leader="none" w:pos="424" w:val="left"/>
        </w:tabs>
        <w:numPr>
          <w:ilvl w:val="0"/>
          <w:numId w:val="4"/>
        </w:numPr>
        <w:rPr>
          <w:rFonts w:ascii="Arial" w:cs="Arial" w:eastAsia="Arial" w:hAnsi="Arial"/>
          <w:sz w:val="18"/>
          <w:szCs w:val="18"/>
          <w:color w:val="auto"/>
        </w:rPr>
      </w:pPr>
      <w:r>
        <w:rPr>
          <w:rFonts w:ascii="Arial" w:cs="Arial" w:eastAsia="Arial" w:hAnsi="Arial"/>
          <w:sz w:val="18"/>
          <w:szCs w:val="18"/>
          <w:u w:val="single" w:color="auto"/>
          <w:color w:val="auto"/>
        </w:rPr>
        <w:t>Indenture Amendments</w:t>
      </w:r>
      <w:r>
        <w:rPr>
          <w:rFonts w:ascii="Arial" w:cs="Arial" w:eastAsia="Arial" w:hAnsi="Arial"/>
          <w:sz w:val="18"/>
          <w:szCs w:val="18"/>
          <w:i w:val="1"/>
          <w:iCs w:val="1"/>
          <w:color w:val="auto"/>
        </w:rPr>
        <w:t>.</w:t>
      </w:r>
      <w:r>
        <w:rPr>
          <w:rFonts w:ascii="Arial" w:cs="Arial" w:eastAsia="Arial" w:hAnsi="Arial"/>
          <w:sz w:val="18"/>
          <w:szCs w:val="18"/>
          <w:color w:val="auto"/>
        </w:rPr>
        <w:t xml:space="preserve"> Pursuant to Section 902 of the Base Indenture, and subject to Section 3(b) of this Second Supplemental Indenture, the Indenture and each Series of Notes are hereby amended as follows:</w:t>
      </w:r>
    </w:p>
    <w:p>
      <w:pPr>
        <w:spacing w:after="0" w:line="75" w:lineRule="exact"/>
        <w:rPr>
          <w:rFonts w:ascii="Arial" w:cs="Arial" w:eastAsia="Arial" w:hAnsi="Arial"/>
          <w:sz w:val="18"/>
          <w:szCs w:val="18"/>
          <w:color w:val="auto"/>
        </w:rPr>
      </w:pPr>
    </w:p>
    <w:p>
      <w:pPr>
        <w:ind w:left="964" w:right="100" w:hanging="532"/>
        <w:spacing w:after="0" w:line="277" w:lineRule="auto"/>
        <w:tabs>
          <w:tab w:leader="none" w:pos="964" w:val="left"/>
        </w:tabs>
        <w:numPr>
          <w:ilvl w:val="1"/>
          <w:numId w:val="4"/>
        </w:numPr>
        <w:rPr>
          <w:rFonts w:ascii="Arial" w:cs="Arial" w:eastAsia="Arial" w:hAnsi="Arial"/>
          <w:sz w:val="18"/>
          <w:szCs w:val="18"/>
          <w:color w:val="auto"/>
        </w:rPr>
      </w:pPr>
      <w:r>
        <w:rPr>
          <w:rFonts w:ascii="Arial" w:cs="Arial" w:eastAsia="Arial" w:hAnsi="Arial"/>
          <w:sz w:val="18"/>
          <w:szCs w:val="18"/>
          <w:color w:val="auto"/>
        </w:rPr>
        <w:t>Section 403 (</w:t>
      </w:r>
      <w:r>
        <w:rPr>
          <w:rFonts w:ascii="Arial" w:cs="Arial" w:eastAsia="Arial" w:hAnsi="Arial"/>
          <w:sz w:val="18"/>
          <w:szCs w:val="18"/>
          <w:i w:val="1"/>
          <w:iCs w:val="1"/>
          <w:color w:val="auto"/>
        </w:rPr>
        <w:t>Purchase of Notes upon a Change of Control Repurchase Event</w:t>
      </w:r>
      <w:r>
        <w:rPr>
          <w:rFonts w:ascii="Arial" w:cs="Arial" w:eastAsia="Arial" w:hAnsi="Arial"/>
          <w:sz w:val="18"/>
          <w:szCs w:val="18"/>
          <w:color w:val="auto"/>
        </w:rPr>
        <w:t>) of the First Supplemental Indenture is deleted in its entirety and replaced with “Reserved.”</w:t>
      </w:r>
    </w:p>
    <w:p>
      <w:pPr>
        <w:spacing w:after="0" w:line="75" w:lineRule="exact"/>
        <w:rPr>
          <w:rFonts w:ascii="Arial" w:cs="Arial" w:eastAsia="Arial" w:hAnsi="Arial"/>
          <w:sz w:val="18"/>
          <w:szCs w:val="18"/>
          <w:color w:val="auto"/>
        </w:rPr>
      </w:pPr>
    </w:p>
    <w:p>
      <w:pPr>
        <w:ind w:left="964" w:hanging="532"/>
        <w:spacing w:after="0"/>
        <w:tabs>
          <w:tab w:leader="none" w:pos="964" w:val="left"/>
        </w:tabs>
        <w:numPr>
          <w:ilvl w:val="1"/>
          <w:numId w:val="4"/>
        </w:numPr>
        <w:rPr>
          <w:rFonts w:ascii="Arial" w:cs="Arial" w:eastAsia="Arial" w:hAnsi="Arial"/>
          <w:sz w:val="18"/>
          <w:szCs w:val="18"/>
          <w:color w:val="auto"/>
        </w:rPr>
      </w:pPr>
      <w:r>
        <w:rPr>
          <w:rFonts w:ascii="Arial" w:cs="Arial" w:eastAsia="Arial" w:hAnsi="Arial"/>
          <w:sz w:val="18"/>
          <w:szCs w:val="18"/>
          <w:color w:val="auto"/>
        </w:rPr>
        <w:t>Section 501 (</w:t>
      </w:r>
      <w:r>
        <w:rPr>
          <w:rFonts w:ascii="Arial" w:cs="Arial" w:eastAsia="Arial" w:hAnsi="Arial"/>
          <w:sz w:val="18"/>
          <w:szCs w:val="18"/>
          <w:i w:val="1"/>
          <w:iCs w:val="1"/>
          <w:color w:val="auto"/>
        </w:rPr>
        <w:t>Limitation on Liens</w:t>
      </w:r>
      <w:r>
        <w:rPr>
          <w:rFonts w:ascii="Arial" w:cs="Arial" w:eastAsia="Arial" w:hAnsi="Arial"/>
          <w:sz w:val="18"/>
          <w:szCs w:val="18"/>
          <w:color w:val="auto"/>
        </w:rPr>
        <w:t>) of the First Supplemental Indenture is deleted in its entirety and replaced with “Reserved.”</w:t>
      </w:r>
    </w:p>
    <w:p>
      <w:pPr>
        <w:spacing w:after="0" w:line="15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4"/>
          </w:cols>
          <w:pgMar w:left="436" w:top="274" w:right="459" w:bottom="1440" w:gutter="0" w:footer="0" w:header="0"/>
        </w:sectPr>
      </w:pPr>
    </w:p>
    <w:bookmarkStart w:id="8" w:name="page9"/>
    <w:bookmarkEnd w:id="8"/>
    <w:p>
      <w:pPr>
        <w:ind w:left="964" w:right="300" w:hanging="532"/>
        <w:spacing w:after="0" w:line="277" w:lineRule="auto"/>
        <w:tabs>
          <w:tab w:leader="none" w:pos="964" w:val="left"/>
        </w:tabs>
        <w:numPr>
          <w:ilvl w:val="1"/>
          <w:numId w:val="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Section 502 (</w:t>
      </w:r>
      <w:r>
        <w:rPr>
          <w:rFonts w:ascii="Arial" w:cs="Arial" w:eastAsia="Arial" w:hAnsi="Arial"/>
          <w:sz w:val="18"/>
          <w:szCs w:val="18"/>
          <w:i w:val="1"/>
          <w:iCs w:val="1"/>
          <w:color w:val="auto"/>
        </w:rPr>
        <w:t>Limitation on Sale and Leaseback Transactions</w:t>
      </w:r>
      <w:r>
        <w:rPr>
          <w:rFonts w:ascii="Arial" w:cs="Arial" w:eastAsia="Arial" w:hAnsi="Arial"/>
          <w:sz w:val="18"/>
          <w:szCs w:val="18"/>
          <w:color w:val="auto"/>
        </w:rPr>
        <w:t>) of the First Supplemental Indenture is deleted in its entirety and replaced with “Reserved.”</w:t>
      </w:r>
    </w:p>
    <w:p>
      <w:pPr>
        <w:spacing w:after="0" w:line="75" w:lineRule="exact"/>
        <w:rPr>
          <w:rFonts w:ascii="Arial" w:cs="Arial" w:eastAsia="Arial" w:hAnsi="Arial"/>
          <w:sz w:val="18"/>
          <w:szCs w:val="18"/>
          <w:color w:val="auto"/>
        </w:rPr>
      </w:pPr>
    </w:p>
    <w:p>
      <w:pPr>
        <w:ind w:left="964" w:right="100" w:hanging="532"/>
        <w:spacing w:after="0" w:line="277" w:lineRule="auto"/>
        <w:tabs>
          <w:tab w:leader="none" w:pos="964" w:val="left"/>
        </w:tabs>
        <w:numPr>
          <w:ilvl w:val="1"/>
          <w:numId w:val="5"/>
        </w:numPr>
        <w:rPr>
          <w:rFonts w:ascii="Arial" w:cs="Arial" w:eastAsia="Arial" w:hAnsi="Arial"/>
          <w:sz w:val="18"/>
          <w:szCs w:val="18"/>
          <w:color w:val="auto"/>
        </w:rPr>
      </w:pPr>
      <w:r>
        <w:rPr>
          <w:rFonts w:ascii="Arial" w:cs="Arial" w:eastAsia="Arial" w:hAnsi="Arial"/>
          <w:sz w:val="18"/>
          <w:szCs w:val="18"/>
          <w:color w:val="auto"/>
        </w:rPr>
        <w:t>Sections 503(a)(3), (4), (5), (6), (7) and (8) (“</w:t>
      </w:r>
      <w:r>
        <w:rPr>
          <w:rFonts w:ascii="Arial" w:cs="Arial" w:eastAsia="Arial" w:hAnsi="Arial"/>
          <w:sz w:val="18"/>
          <w:szCs w:val="18"/>
          <w:i w:val="1"/>
          <w:iCs w:val="1"/>
          <w:color w:val="auto"/>
        </w:rPr>
        <w:t>Events of Default</w:t>
      </w:r>
      <w:r>
        <w:rPr>
          <w:rFonts w:ascii="Arial" w:cs="Arial" w:eastAsia="Arial" w:hAnsi="Arial"/>
          <w:sz w:val="18"/>
          <w:szCs w:val="18"/>
          <w:color w:val="auto"/>
        </w:rPr>
        <w:t>”) of the First Supplemental Indenture are each deleted in their entirety and replaced with “Reserved.”</w:t>
      </w:r>
    </w:p>
    <w:p>
      <w:pPr>
        <w:spacing w:after="0" w:line="75" w:lineRule="exact"/>
        <w:rPr>
          <w:rFonts w:ascii="Arial" w:cs="Arial" w:eastAsia="Arial" w:hAnsi="Arial"/>
          <w:sz w:val="18"/>
          <w:szCs w:val="18"/>
          <w:color w:val="auto"/>
        </w:rPr>
      </w:pPr>
    </w:p>
    <w:p>
      <w:pPr>
        <w:ind w:left="964" w:right="140" w:hanging="532"/>
        <w:spacing w:after="0" w:line="277" w:lineRule="auto"/>
        <w:tabs>
          <w:tab w:leader="none" w:pos="964" w:val="left"/>
        </w:tabs>
        <w:numPr>
          <w:ilvl w:val="1"/>
          <w:numId w:val="5"/>
        </w:numPr>
        <w:rPr>
          <w:rFonts w:ascii="Arial" w:cs="Arial" w:eastAsia="Arial" w:hAnsi="Arial"/>
          <w:sz w:val="18"/>
          <w:szCs w:val="18"/>
          <w:color w:val="auto"/>
        </w:rPr>
      </w:pPr>
      <w:r>
        <w:rPr>
          <w:rFonts w:ascii="Arial" w:cs="Arial" w:eastAsia="Arial" w:hAnsi="Arial"/>
          <w:sz w:val="18"/>
          <w:szCs w:val="18"/>
          <w:color w:val="auto"/>
        </w:rPr>
        <w:t>Section 801 (</w:t>
      </w:r>
      <w:r>
        <w:rPr>
          <w:rFonts w:ascii="Arial" w:cs="Arial" w:eastAsia="Arial" w:hAnsi="Arial"/>
          <w:sz w:val="18"/>
          <w:szCs w:val="18"/>
          <w:i w:val="1"/>
          <w:iCs w:val="1"/>
          <w:color w:val="auto"/>
        </w:rPr>
        <w:t>Company May Merge or Transfer Assets Only on Certain Terms</w:t>
      </w:r>
      <w:r>
        <w:rPr>
          <w:rFonts w:ascii="Arial" w:cs="Arial" w:eastAsia="Arial" w:hAnsi="Arial"/>
          <w:sz w:val="18"/>
          <w:szCs w:val="18"/>
          <w:color w:val="auto"/>
        </w:rPr>
        <w:t>) of the Base Indenture is deleted in its entirety and replaced with “Reserved.”</w:t>
      </w:r>
    </w:p>
    <w:p>
      <w:pPr>
        <w:spacing w:after="0" w:line="75" w:lineRule="exact"/>
        <w:rPr>
          <w:rFonts w:ascii="Arial" w:cs="Arial" w:eastAsia="Arial" w:hAnsi="Arial"/>
          <w:sz w:val="18"/>
          <w:szCs w:val="18"/>
          <w:color w:val="auto"/>
        </w:rPr>
      </w:pPr>
    </w:p>
    <w:p>
      <w:pPr>
        <w:ind w:left="964" w:hanging="532"/>
        <w:spacing w:after="0"/>
        <w:tabs>
          <w:tab w:leader="none" w:pos="964" w:val="left"/>
        </w:tabs>
        <w:numPr>
          <w:ilvl w:val="1"/>
          <w:numId w:val="5"/>
        </w:numPr>
        <w:rPr>
          <w:rFonts w:ascii="Arial" w:cs="Arial" w:eastAsia="Arial" w:hAnsi="Arial"/>
          <w:sz w:val="18"/>
          <w:szCs w:val="18"/>
          <w:color w:val="auto"/>
        </w:rPr>
      </w:pPr>
      <w:r>
        <w:rPr>
          <w:rFonts w:ascii="Arial" w:cs="Arial" w:eastAsia="Arial" w:hAnsi="Arial"/>
          <w:sz w:val="18"/>
          <w:szCs w:val="18"/>
          <w:color w:val="auto"/>
        </w:rPr>
        <w:t>Section 1008 (</w:t>
      </w:r>
      <w:r>
        <w:rPr>
          <w:rFonts w:ascii="Arial" w:cs="Arial" w:eastAsia="Arial" w:hAnsi="Arial"/>
          <w:sz w:val="18"/>
          <w:szCs w:val="18"/>
          <w:i w:val="1"/>
          <w:iCs w:val="1"/>
          <w:color w:val="auto"/>
        </w:rPr>
        <w:t>Provision of Financial Information</w:t>
      </w:r>
      <w:r>
        <w:rPr>
          <w:rFonts w:ascii="Arial" w:cs="Arial" w:eastAsia="Arial" w:hAnsi="Arial"/>
          <w:sz w:val="18"/>
          <w:szCs w:val="18"/>
          <w:color w:val="auto"/>
        </w:rPr>
        <w:t>) of the Base Indenture is deleted in its entirety and replaced with “Reserved.”</w:t>
      </w:r>
    </w:p>
    <w:p>
      <w:pPr>
        <w:spacing w:after="0" w:line="130" w:lineRule="exact"/>
        <w:rPr>
          <w:rFonts w:ascii="Arial" w:cs="Arial" w:eastAsia="Arial" w:hAnsi="Arial"/>
          <w:sz w:val="18"/>
          <w:szCs w:val="18"/>
          <w:color w:val="auto"/>
        </w:rPr>
      </w:pPr>
    </w:p>
    <w:p>
      <w:pPr>
        <w:ind w:left="424" w:right="60" w:hanging="424"/>
        <w:spacing w:after="0" w:line="311" w:lineRule="auto"/>
        <w:tabs>
          <w:tab w:leader="none" w:pos="424" w:val="left"/>
        </w:tabs>
        <w:numPr>
          <w:ilvl w:val="0"/>
          <w:numId w:val="6"/>
        </w:numPr>
        <w:rPr>
          <w:rFonts w:ascii="Arial" w:cs="Arial" w:eastAsia="Arial" w:hAnsi="Arial"/>
          <w:sz w:val="16"/>
          <w:szCs w:val="16"/>
          <w:color w:val="auto"/>
        </w:rPr>
      </w:pPr>
      <w:r>
        <w:rPr>
          <w:rFonts w:ascii="Arial" w:cs="Arial" w:eastAsia="Arial" w:hAnsi="Arial"/>
          <w:sz w:val="16"/>
          <w:szCs w:val="16"/>
          <w:u w:val="single" w:color="auto"/>
          <w:color w:val="auto"/>
        </w:rPr>
        <w:t>Conforming Changes</w:t>
      </w:r>
      <w:r>
        <w:rPr>
          <w:rFonts w:ascii="Arial" w:cs="Arial" w:eastAsia="Arial" w:hAnsi="Arial"/>
          <w:sz w:val="16"/>
          <w:szCs w:val="16"/>
          <w:i w:val="1"/>
          <w:iCs w:val="1"/>
          <w:color w:val="auto"/>
        </w:rPr>
        <w:t>.</w:t>
      </w:r>
      <w:r>
        <w:rPr>
          <w:rFonts w:ascii="Arial" w:cs="Arial" w:eastAsia="Arial" w:hAnsi="Arial"/>
          <w:sz w:val="16"/>
          <w:szCs w:val="16"/>
          <w:color w:val="auto"/>
        </w:rPr>
        <w:t xml:space="preserve"> In accordance with Section 902 of the Base Indenture, the Consenting Holders, by delivery of their Consents, permit and approve any and all conforming changes, including conforming amendments, to the Series of Notes to which their Consents relate and any related documents and any documents appended thereto that may be required by, or as a result of, this Second Supplemental Indenture.</w:t>
      </w:r>
    </w:p>
    <w:p>
      <w:pPr>
        <w:spacing w:after="0" w:line="54" w:lineRule="exact"/>
        <w:rPr>
          <w:rFonts w:ascii="Arial" w:cs="Arial" w:eastAsia="Arial" w:hAnsi="Arial"/>
          <w:sz w:val="16"/>
          <w:szCs w:val="16"/>
          <w:color w:val="auto"/>
        </w:rPr>
      </w:pPr>
    </w:p>
    <w:p>
      <w:pPr>
        <w:ind w:left="424" w:right="280" w:hanging="424"/>
        <w:spacing w:after="0" w:line="263" w:lineRule="auto"/>
        <w:tabs>
          <w:tab w:leader="none" w:pos="424" w:val="left"/>
        </w:tabs>
        <w:numPr>
          <w:ilvl w:val="0"/>
          <w:numId w:val="6"/>
        </w:numPr>
        <w:rPr>
          <w:rFonts w:ascii="Arial" w:cs="Arial" w:eastAsia="Arial" w:hAnsi="Arial"/>
          <w:sz w:val="18"/>
          <w:szCs w:val="18"/>
          <w:color w:val="auto"/>
        </w:rPr>
      </w:pPr>
      <w:r>
        <w:rPr>
          <w:rFonts w:ascii="Arial" w:cs="Arial" w:eastAsia="Arial" w:hAnsi="Arial"/>
          <w:sz w:val="18"/>
          <w:szCs w:val="18"/>
          <w:u w:val="single" w:color="auto"/>
          <w:color w:val="auto"/>
        </w:rPr>
        <w:t>Notes</w:t>
      </w:r>
      <w:r>
        <w:rPr>
          <w:rFonts w:ascii="Arial" w:cs="Arial" w:eastAsia="Arial" w:hAnsi="Arial"/>
          <w:sz w:val="18"/>
          <w:szCs w:val="18"/>
          <w:i w:val="1"/>
          <w:iCs w:val="1"/>
          <w:color w:val="auto"/>
        </w:rPr>
        <w:t>.</w:t>
      </w:r>
      <w:r>
        <w:rPr>
          <w:rFonts w:ascii="Arial" w:cs="Arial" w:eastAsia="Arial" w:hAnsi="Arial"/>
          <w:sz w:val="18"/>
          <w:szCs w:val="18"/>
          <w:color w:val="auto"/>
        </w:rPr>
        <w:t xml:space="preserve"> Each Series of Notes, with effect on and from the date hereof, shall be deemed supplemented, modified and amended in such manner as necessary to make the terms of such Series of Notes consistent with the terms of the Indenture, as amended by this Second Supplemental Indenture.</w:t>
      </w:r>
    </w:p>
    <w:p>
      <w:pPr>
        <w:spacing w:after="0" w:line="89" w:lineRule="exact"/>
        <w:rPr>
          <w:rFonts w:ascii="Arial" w:cs="Arial" w:eastAsia="Arial" w:hAnsi="Arial"/>
          <w:sz w:val="18"/>
          <w:szCs w:val="18"/>
          <w:color w:val="auto"/>
        </w:rPr>
      </w:pPr>
    </w:p>
    <w:p>
      <w:pPr>
        <w:ind w:left="424" w:hanging="424"/>
        <w:spacing w:after="0" w:line="296" w:lineRule="auto"/>
        <w:tabs>
          <w:tab w:leader="none" w:pos="424" w:val="left"/>
        </w:tabs>
        <w:numPr>
          <w:ilvl w:val="0"/>
          <w:numId w:val="6"/>
        </w:numPr>
        <w:rPr>
          <w:rFonts w:ascii="Arial" w:cs="Arial" w:eastAsia="Arial" w:hAnsi="Arial"/>
          <w:sz w:val="16"/>
          <w:szCs w:val="16"/>
          <w:color w:val="auto"/>
        </w:rPr>
      </w:pPr>
      <w:r>
        <w:rPr>
          <w:rFonts w:ascii="Arial" w:cs="Arial" w:eastAsia="Arial" w:hAnsi="Arial"/>
          <w:sz w:val="16"/>
          <w:szCs w:val="16"/>
          <w:u w:val="single" w:color="auto"/>
          <w:color w:val="auto"/>
        </w:rPr>
        <w:t>Ratification of the Indenture; Second Supplemental Indenture Part of the Indenture</w:t>
      </w:r>
      <w:r>
        <w:rPr>
          <w:rFonts w:ascii="Arial" w:cs="Arial" w:eastAsia="Arial" w:hAnsi="Arial"/>
          <w:sz w:val="16"/>
          <w:szCs w:val="16"/>
          <w:i w:val="1"/>
          <w:iCs w:val="1"/>
          <w:color w:val="auto"/>
        </w:rPr>
        <w:t>.</w:t>
      </w:r>
      <w:r>
        <w:rPr>
          <w:rFonts w:ascii="Arial" w:cs="Arial" w:eastAsia="Arial" w:hAnsi="Arial"/>
          <w:sz w:val="16"/>
          <w:szCs w:val="16"/>
          <w:color w:val="auto"/>
        </w:rPr>
        <w:t xml:space="preserve"> Except as expressly amended hereby, the Indenture is in all respects ratified and confirmed and all the terms, conditions and provisions thereof shall remain in full force and effect. This Second Supplemental Indenture shall form a part of the Indenture for all purposes, and every Holder heretofore or hereafter authenticated and delivered shall be bound hereby. Upon and after the execution of this Second Supplemental Indenture, each reference to the Indenture or the Notes in the Indenture or the Notes shall mean and be a reference to the Indenture or the Notes as modified hereby after giving effect to this Second Supplemental Indenture.</w:t>
      </w:r>
    </w:p>
    <w:p>
      <w:pPr>
        <w:spacing w:after="0" w:line="66" w:lineRule="exact"/>
        <w:rPr>
          <w:rFonts w:ascii="Arial" w:cs="Arial" w:eastAsia="Arial" w:hAnsi="Arial"/>
          <w:sz w:val="16"/>
          <w:szCs w:val="16"/>
          <w:color w:val="auto"/>
        </w:rPr>
      </w:pPr>
    </w:p>
    <w:p>
      <w:pPr>
        <w:ind w:left="424" w:right="40" w:hanging="424"/>
        <w:spacing w:after="0" w:line="271" w:lineRule="auto"/>
        <w:tabs>
          <w:tab w:leader="none" w:pos="424" w:val="left"/>
        </w:tabs>
        <w:numPr>
          <w:ilvl w:val="0"/>
          <w:numId w:val="6"/>
        </w:numPr>
        <w:rPr>
          <w:rFonts w:ascii="Arial" w:cs="Arial" w:eastAsia="Arial" w:hAnsi="Arial"/>
          <w:sz w:val="17"/>
          <w:szCs w:val="17"/>
          <w:color w:val="auto"/>
        </w:rPr>
      </w:pPr>
      <w:r>
        <w:rPr>
          <w:rFonts w:ascii="Arial" w:cs="Arial" w:eastAsia="Arial" w:hAnsi="Arial"/>
          <w:sz w:val="17"/>
          <w:szCs w:val="17"/>
          <w:u w:val="single" w:color="auto"/>
          <w:color w:val="auto"/>
        </w:rPr>
        <w:t>Counterparts; Electronic Signatures and Delivery</w:t>
      </w:r>
      <w:r>
        <w:rPr>
          <w:rFonts w:ascii="Arial" w:cs="Arial" w:eastAsia="Arial" w:hAnsi="Arial"/>
          <w:sz w:val="17"/>
          <w:szCs w:val="17"/>
          <w:i w:val="1"/>
          <w:iCs w:val="1"/>
          <w:color w:val="auto"/>
        </w:rPr>
        <w:t>.</w:t>
      </w:r>
      <w:r>
        <w:rPr>
          <w:rFonts w:ascii="Arial" w:cs="Arial" w:eastAsia="Arial" w:hAnsi="Arial"/>
          <w:sz w:val="17"/>
          <w:szCs w:val="17"/>
          <w:color w:val="auto"/>
        </w:rPr>
        <w:t xml:space="preserve"> This Second Supplemental Indenture may be executed in any number of counterparts, each of which so executed shall be deemed to be an original, but all such counterparts shall together constitute but one and the same instrument. The words “execution,” “signed,” “signature,” and words of like import in this Second Supplemental Indenture or in any certificate, agreement or document related to this Second Supplemental Indenture shall include electronic signatures (including, without limitation, DocuSign and AdobeSign). The use of electronic signatures and electronic records (including, without limitation, any contract or other record created, generated, sent, communicated, received, or stored by electronic means) shall be of the same legal effect, validity and enforceability as a manually executed signature or use of a paper-based record-keeping system to the fullest extent permitted by applicable law. Delivery of an executed counterpart signature page of this Second Supplemental Indenture in .pdf format and by e-mail</w:t>
      </w:r>
    </w:p>
    <w:p>
      <w:pPr>
        <w:spacing w:after="0" w:line="111"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4"/>
          </w:cols>
          <w:pgMar w:left="436" w:top="274" w:right="459" w:bottom="1440" w:gutter="0" w:footer="0" w:header="0"/>
        </w:sectPr>
      </w:pPr>
    </w:p>
    <w:bookmarkStart w:id="9" w:name="page10"/>
    <w:bookmarkEnd w:id="9"/>
    <w:p>
      <w:pPr>
        <w:ind w:left="424" w:right="12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or telecopy or another method or system specified by the Trustee shall be effective as delivery of a manually executed counterpart of this Second Supplemental Indenture. The Company assumes all risks arising out of the use of electronic signatures and electronic methods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82" w:lineRule="exact"/>
        <w:rPr>
          <w:sz w:val="20"/>
          <w:szCs w:val="20"/>
          <w:color w:val="auto"/>
        </w:rPr>
      </w:pPr>
    </w:p>
    <w:p>
      <w:pPr>
        <w:ind w:left="424" w:right="180" w:hanging="424"/>
        <w:spacing w:after="0" w:line="277"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i w:val="1"/>
          <w:iCs w:val="1"/>
          <w:color w:val="auto"/>
        </w:rPr>
        <w:t>.</w:t>
      </w:r>
      <w:r>
        <w:rPr>
          <w:rFonts w:ascii="Arial" w:cs="Arial" w:eastAsia="Arial" w:hAnsi="Arial"/>
          <w:sz w:val="18"/>
          <w:szCs w:val="18"/>
          <w:color w:val="auto"/>
        </w:rPr>
        <w:t xml:space="preserve"> THIS SECOND SUPPLEMENTAL INDENTURE AND THE NOTES SHALL BE GOVERNED BY, AND CONSTRUED IN ACCORDANCE WITH, THE LAW OF THE STATE OF NEW YORK.</w:t>
      </w:r>
    </w:p>
    <w:p>
      <w:pPr>
        <w:spacing w:after="0" w:line="75" w:lineRule="exact"/>
        <w:rPr>
          <w:rFonts w:ascii="Arial" w:cs="Arial" w:eastAsia="Arial" w:hAnsi="Arial"/>
          <w:sz w:val="18"/>
          <w:szCs w:val="18"/>
          <w:color w:val="auto"/>
        </w:rPr>
      </w:pPr>
    </w:p>
    <w:p>
      <w:pPr>
        <w:ind w:left="424" w:hanging="424"/>
        <w:spacing w:after="0" w:line="257"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u w:val="single" w:color="auto"/>
          <w:color w:val="auto"/>
        </w:rPr>
        <w:t>Recitals by the Company</w:t>
      </w:r>
      <w:r>
        <w:rPr>
          <w:rFonts w:ascii="Arial" w:cs="Arial" w:eastAsia="Arial" w:hAnsi="Arial"/>
          <w:sz w:val="18"/>
          <w:szCs w:val="18"/>
          <w:color w:val="auto"/>
        </w:rPr>
        <w:t>. The recitals in this Second Supplemental Indenture are made by the Company only and not by the Trustee, and the Trustee assumes no responsibility for their correctness. The Trustee makes no representations as to the validity or sufficiency of this Second Supplemental Indenture or of the Notes. All of the provisions contained in the Indenture in respect of the rights, privileges, immunities, powers and duties of the Trustee shall be applicable in respect of the Notes and of this Second Supplemental Indenture as fully and with like effect as if set forth herein in full.</w:t>
      </w:r>
    </w:p>
    <w:p>
      <w:pPr>
        <w:spacing w:after="0" w:line="93" w:lineRule="exact"/>
        <w:rPr>
          <w:rFonts w:ascii="Arial" w:cs="Arial" w:eastAsia="Arial" w:hAnsi="Arial"/>
          <w:sz w:val="18"/>
          <w:szCs w:val="18"/>
          <w:color w:val="auto"/>
        </w:rPr>
      </w:pPr>
    </w:p>
    <w:p>
      <w:pPr>
        <w:ind w:left="424" w:right="240" w:hanging="424"/>
        <w:spacing w:after="0" w:line="277"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u w:val="single" w:color="auto"/>
          <w:color w:val="auto"/>
        </w:rPr>
        <w:t>Separability Clause</w:t>
      </w:r>
      <w:r>
        <w:rPr>
          <w:rFonts w:ascii="Arial" w:cs="Arial" w:eastAsia="Arial" w:hAnsi="Arial"/>
          <w:sz w:val="18"/>
          <w:szCs w:val="18"/>
          <w:color w:val="auto"/>
        </w:rPr>
        <w:t>. In case any provision in this Second Supplemental Indenture shall be invalid, illegal or unenforceable, the validity, legality and enforceability of the remaining provisions shall not in any way be affected or impaired thereby</w:t>
      </w:r>
    </w:p>
    <w:p>
      <w:pPr>
        <w:spacing w:after="0" w:line="75" w:lineRule="exact"/>
        <w:rPr>
          <w:rFonts w:ascii="Arial" w:cs="Arial" w:eastAsia="Arial" w:hAnsi="Arial"/>
          <w:sz w:val="18"/>
          <w:szCs w:val="18"/>
          <w:color w:val="auto"/>
        </w:rPr>
      </w:pPr>
    </w:p>
    <w:p>
      <w:pPr>
        <w:ind w:left="424" w:right="460" w:hanging="424"/>
        <w:spacing w:after="0" w:line="277"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u w:val="single" w:color="auto"/>
          <w:color w:val="auto"/>
        </w:rPr>
        <w:t>Successors and Assigns</w:t>
      </w:r>
      <w:r>
        <w:rPr>
          <w:rFonts w:ascii="Arial" w:cs="Arial" w:eastAsia="Arial" w:hAnsi="Arial"/>
          <w:sz w:val="18"/>
          <w:szCs w:val="18"/>
          <w:color w:val="auto"/>
        </w:rPr>
        <w:t>. All covenants and agreements in this Second Supplemental Indenture by the Company shall bind its successors and assigns, whether so expressed or not.</w:t>
      </w:r>
    </w:p>
    <w:p>
      <w:pPr>
        <w:spacing w:after="0" w:line="170" w:lineRule="exact"/>
        <w:rPr>
          <w:sz w:val="20"/>
          <w:szCs w:val="20"/>
          <w:color w:val="auto"/>
        </w:rPr>
      </w:pPr>
    </w:p>
    <w:p>
      <w:pPr>
        <w:jc w:val="center"/>
        <w:ind w:right="-3"/>
        <w:spacing w:after="0"/>
        <w:rPr>
          <w:sz w:val="20"/>
          <w:szCs w:val="20"/>
          <w:color w:val="auto"/>
        </w:rPr>
      </w:pPr>
      <w:r>
        <w:rPr>
          <w:rFonts w:ascii="Arial" w:cs="Arial" w:eastAsia="Arial" w:hAnsi="Arial"/>
          <w:sz w:val="18"/>
          <w:szCs w:val="18"/>
          <w:i w:val="1"/>
          <w:iCs w:val="1"/>
          <w:color w:val="auto"/>
        </w:rPr>
        <w:t>[Signature pages follow]</w:t>
      </w:r>
    </w:p>
    <w:p>
      <w:pPr>
        <w:spacing w:after="0" w:line="15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4"/>
          </w:cols>
          <w:pgMar w:left="436" w:top="274" w:right="459" w:bottom="1440" w:gutter="0" w:footer="0" w:header="0"/>
        </w:sectPr>
      </w:pPr>
    </w:p>
    <w:bookmarkStart w:id="10" w:name="page11"/>
    <w:bookmarkEnd w:id="10"/>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have caused this Second Supplemental Indenture to be duly executed as of the date first written above.</w:t>
      </w:r>
    </w:p>
    <w:p>
      <w:pPr>
        <w:spacing w:after="0" w:line="271"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Chief Financial Officer</w:t>
      </w:r>
    </w:p>
    <w:p>
      <w:pPr>
        <w:sectPr>
          <w:pgSz w:w="11900" w:h="16838" w:orient="portrait"/>
          <w:cols w:equalWidth="0" w:num="1">
            <w:col w:w="10180"/>
          </w:cols>
          <w:pgMar w:left="880" w:top="274" w:right="839" w:bottom="1440" w:gutter="0" w:footer="0" w:header="0"/>
        </w:sectPr>
      </w:pPr>
    </w:p>
    <w:bookmarkStart w:id="11" w:name="page12"/>
    <w:bookmarkEnd w:id="11"/>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U.S. BANK NATIONAL ASSOCIATION,</w:t>
      </w:r>
    </w:p>
    <w:p>
      <w:pPr>
        <w:spacing w:after="0" w:line="3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David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3759835</wp:posOffset>
            </wp:positionH>
            <wp:positionV relativeFrom="paragraph">
              <wp:posOffset>14605</wp:posOffset>
            </wp:positionV>
            <wp:extent cx="259715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2597150" cy="8890"/>
                    </a:xfrm>
                    <a:prstGeom prst="rect">
                      <a:avLst/>
                    </a:prstGeom>
                    <a:noFill/>
                  </pic:spPr>
                </pic:pic>
              </a:graphicData>
            </a:graphic>
          </wp:anchor>
        </w:drawing>
      </w:r>
    </w:p>
    <w:p>
      <w:pPr>
        <w:spacing w:after="0" w:line="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David Jason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ectPr>
          <w:pgSz w:w="11900" w:h="16838" w:orient="portrait"/>
          <w:cols w:equalWidth="0" w:num="1">
            <w:col w:w="9019"/>
          </w:cols>
          <w:pgMar w:left="1440" w:top="270" w:right="1440" w:bottom="1440" w:gutter="0" w:footer="0" w:header="0"/>
        </w:sectPr>
      </w:pPr>
    </w:p>
    <w:bookmarkStart w:id="12" w:name="page13"/>
    <w:bookmarkEnd w:id="1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PRESS RELEASE</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Results of Early Participation in Exchange Offers and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Solicitations for Marvell Notes</w:t>
      </w:r>
    </w:p>
    <w:p>
      <w:pPr>
        <w:spacing w:after="0" w:line="207" w:lineRule="exact"/>
        <w:rPr>
          <w:sz w:val="20"/>
          <w:szCs w:val="20"/>
          <w:color w:val="auto"/>
        </w:rPr>
      </w:pPr>
    </w:p>
    <w:p>
      <w:pPr>
        <w:ind w:right="280"/>
        <w:spacing w:after="0" w:line="289" w:lineRule="auto"/>
        <w:rPr>
          <w:sz w:val="20"/>
          <w:szCs w:val="20"/>
          <w:color w:val="auto"/>
        </w:rPr>
      </w:pPr>
      <w:r>
        <w:rPr>
          <w:rFonts w:ascii="Arial" w:cs="Arial" w:eastAsia="Arial" w:hAnsi="Arial"/>
          <w:sz w:val="16"/>
          <w:szCs w:val="16"/>
          <w:b w:val="1"/>
          <w:bCs w:val="1"/>
          <w:color w:val="auto"/>
        </w:rPr>
        <w:t xml:space="preserve">Santa Clara, California, April 19, 2021 </w:t>
      </w:r>
      <w:r>
        <w:rPr>
          <w:rFonts w:ascii="Arial" w:cs="Arial" w:eastAsia="Arial" w:hAnsi="Arial"/>
          <w:sz w:val="16"/>
          <w:szCs w:val="16"/>
          <w:color w:val="auto"/>
        </w:rPr>
        <w:t>– Marvell Technology Group Ltd. (NASDAQ: MRVL) (“Marvell”) announced today that its wholly owned</w:t>
      </w:r>
      <w:r>
        <w:rPr>
          <w:rFonts w:ascii="Arial" w:cs="Arial" w:eastAsia="Arial" w:hAnsi="Arial"/>
          <w:sz w:val="16"/>
          <w:szCs w:val="16"/>
          <w:b w:val="1"/>
          <w:bCs w:val="1"/>
          <w:color w:val="auto"/>
        </w:rPr>
        <w:t xml:space="preserve"> </w:t>
      </w:r>
      <w:r>
        <w:rPr>
          <w:rFonts w:ascii="Arial" w:cs="Arial" w:eastAsia="Arial" w:hAnsi="Arial"/>
          <w:sz w:val="16"/>
          <w:szCs w:val="16"/>
          <w:color w:val="auto"/>
        </w:rPr>
        <w:t>subsidiary, Marvell Technology, Inc. (“MTI”), has received consents from holders representing in excess of a majority in principal amount of each of Marvell’s outstanding 4.200% Senior Notes due 2023 and 4.875% Senior Notes due 2028 (together, the “Marvell Notes”) pursuant to its previously announced (i) private exchange offers to certain eligible holders (the “Exchange Offers”) for any and all outstanding Marvell Notes for up to an aggregate principal amount of $1.0 billion of new notes issued by MTI (the “MTI Notes”), and (ii) related solicitations of consents (each, a “Consent Solicitation” and, together, the “Consent Solicitations”). The consents received in the Consent Solicitations permit Marvell to adopt certain proposed amendments to the indenture governing the Marvell Notes (the “Indenture”) to, among other things, eliminate (i) substantially all of the restrictive covenants in the Indenture, (ii) any restrictions on Marvell in the Indenture from consolidating with or merging into any other person or conveying, transferring or leasing all or any of its properties and assets to any person and (iii) certain of the events that may lead to an “Event of Default” in the Indenture (other than for the failure to pay principal, premium or interest) (collectively, the “Amendments”).</w:t>
      </w:r>
    </w:p>
    <w:p>
      <w:pPr>
        <w:spacing w:after="0" w:line="165" w:lineRule="exact"/>
        <w:rPr>
          <w:sz w:val="20"/>
          <w:szCs w:val="20"/>
          <w:color w:val="auto"/>
        </w:rPr>
      </w:pPr>
    </w:p>
    <w:p>
      <w:pPr>
        <w:ind w:right="420"/>
        <w:spacing w:after="0" w:line="263" w:lineRule="auto"/>
        <w:rPr>
          <w:sz w:val="20"/>
          <w:szCs w:val="20"/>
          <w:color w:val="auto"/>
        </w:rPr>
      </w:pPr>
      <w:r>
        <w:rPr>
          <w:rFonts w:ascii="Arial" w:cs="Arial" w:eastAsia="Arial" w:hAnsi="Arial"/>
          <w:sz w:val="18"/>
          <w:szCs w:val="18"/>
          <w:color w:val="auto"/>
        </w:rPr>
        <w:t>Marvell has executed a supplemental indenture (the “Supplemental Indenture”) to the Indenture to effect the Amendments approved in the Consent Solicitations. The Supplemental Indenture will become operative upon the settlement of the Exchange Offers and Consent Solicitations, which is expected to occur on or about May 4, 2021.</w:t>
      </w:r>
    </w:p>
    <w:p>
      <w:pPr>
        <w:spacing w:after="0" w:line="184" w:lineRule="exact"/>
        <w:rPr>
          <w:sz w:val="20"/>
          <w:szCs w:val="20"/>
          <w:color w:val="auto"/>
        </w:rPr>
      </w:pPr>
    </w:p>
    <w:p>
      <w:pPr>
        <w:ind w:right="100"/>
        <w:spacing w:after="0" w:line="269" w:lineRule="auto"/>
        <w:rPr>
          <w:sz w:val="20"/>
          <w:szCs w:val="20"/>
          <w:color w:val="auto"/>
        </w:rPr>
      </w:pPr>
      <w:r>
        <w:rPr>
          <w:rFonts w:ascii="Arial" w:cs="Arial" w:eastAsia="Arial" w:hAnsi="Arial"/>
          <w:sz w:val="17"/>
          <w:szCs w:val="17"/>
          <w:color w:val="auto"/>
        </w:rPr>
        <w:t>As of 5:00 p.m., New York City time, on April 16, 2021 (the “Early Participation Date”), the principal amounts of Marvell Notes set forth in the table below had been validly tendered and not validly withdrawn (and consents thereby validly given and not validly revoked). For each $1,000 principal amount of Marvell Notes validly tendered (and not validly withdrawn) at or prior to the Early Participation Date, eligible holders of Marvell Notes will be eligible to receive $1,000 principal amount of MTI Notes of the applicable series, plus a consent payment of $1.00 in cash (the “Total Consideration”). The Total Consideration includes an early participation premium, payable in MTI Notes, equal to $30.00. To be eligible to receive the Total Consideration, eligible holders must have validly tendered (and not validly withdrawn) their Marvell Notes at or prior to the Early Participation Date. For each $1,000 principal amount of Marvell Notes validly tendered (and not validly withdrawn) after the Early Participation Date but at or prior to 11:59 p.m., New York City time, on April 30, 2021 (the “Expiration Date”), eligible holders of Marvell Notes will be eligible to receive $970 principal amount of MTI Notes of the applicable series, plus a consent payment of $1.00 in cash. Tenders of Marvell Notes in the Exchange Offers may not be withdrawn at any time after 5:00 p.m., New York City time, on the Early Participation Date. Consents delivered in connection with the Consent Solicitations may no longer be revoked.</w:t>
      </w:r>
    </w:p>
    <w:p>
      <w:pPr>
        <w:spacing w:after="0" w:line="19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040" w:type="dxa"/>
            <w:vAlign w:val="bottom"/>
            <w:gridSpan w:val="2"/>
          </w:tcPr>
          <w:p>
            <w:pPr>
              <w:spacing w:after="0"/>
              <w:rPr>
                <w:sz w:val="20"/>
                <w:szCs w:val="20"/>
                <w:color w:val="auto"/>
              </w:rPr>
            </w:pPr>
            <w:r>
              <w:rPr>
                <w:rFonts w:ascii="Arial" w:cs="Arial" w:eastAsia="Arial" w:hAnsi="Arial"/>
                <w:sz w:val="14"/>
                <w:szCs w:val="14"/>
                <w:b w:val="1"/>
                <w:bCs w:val="1"/>
                <w:color w:val="auto"/>
              </w:rPr>
              <w:t>Series</w:t>
            </w:r>
          </w:p>
        </w:tc>
        <w:tc>
          <w:tcPr>
            <w:tcW w:w="1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02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Series of</w:t>
            </w:r>
          </w:p>
        </w:tc>
        <w:tc>
          <w:tcPr>
            <w:tcW w:w="11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2"/>
              </w:rPr>
              <w:t>Aggregate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120" w:type="dxa"/>
            <w:vAlign w:val="bottom"/>
            <w:gridSpan w:val="4"/>
            <w:vMerge w:val="restart"/>
          </w:tcPr>
          <w:p>
            <w:pPr>
              <w:ind w:left="60"/>
              <w:spacing w:after="0"/>
              <w:rPr>
                <w:sz w:val="20"/>
                <w:szCs w:val="20"/>
                <w:color w:val="auto"/>
              </w:rPr>
            </w:pPr>
            <w:r>
              <w:rPr>
                <w:rFonts w:ascii="Arial" w:cs="Arial" w:eastAsia="Arial" w:hAnsi="Arial"/>
                <w:sz w:val="14"/>
                <w:szCs w:val="14"/>
                <w:b w:val="1"/>
                <w:bCs w:val="1"/>
                <w:color w:val="auto"/>
              </w:rPr>
              <w:t>Marvell Notes Tendered at</w:t>
            </w:r>
          </w:p>
        </w:tc>
        <w:tc>
          <w:tcPr>
            <w:tcW w:w="0" w:type="dxa"/>
            <w:vAlign w:val="bottom"/>
          </w:tcPr>
          <w:p>
            <w:pPr>
              <w:spacing w:after="0"/>
              <w:rPr>
                <w:sz w:val="1"/>
                <w:szCs w:val="1"/>
                <w:color w:val="auto"/>
              </w:rPr>
            </w:pPr>
          </w:p>
        </w:tc>
      </w:tr>
      <w:tr>
        <w:trPr>
          <w:trHeight w:val="149"/>
        </w:trPr>
        <w:tc>
          <w:tcPr>
            <w:tcW w:w="30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of Marvell</w:t>
            </w:r>
          </w:p>
        </w:tc>
        <w:tc>
          <w:tcPr>
            <w:tcW w:w="144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CUSIP/ISIN</w:t>
            </w:r>
          </w:p>
        </w:tc>
        <w:tc>
          <w:tcPr>
            <w:tcW w:w="3020" w:type="dxa"/>
            <w:vAlign w:val="bottom"/>
            <w:gridSpan w:val="2"/>
            <w:vMerge w:val="continue"/>
          </w:tcPr>
          <w:p>
            <w:pPr>
              <w:spacing w:after="0"/>
              <w:rPr>
                <w:sz w:val="12"/>
                <w:szCs w:val="12"/>
                <w:color w:val="auto"/>
              </w:rPr>
            </w:pPr>
          </w:p>
        </w:tc>
        <w:tc>
          <w:tcPr>
            <w:tcW w:w="112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4"/>
              </w:rPr>
              <w:t>Principal</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12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5"/>
        </w:trPr>
        <w:tc>
          <w:tcPr>
            <w:tcW w:w="3040" w:type="dxa"/>
            <w:vAlign w:val="bottom"/>
            <w:gridSpan w:val="2"/>
          </w:tcPr>
          <w:p>
            <w:pPr>
              <w:spacing w:after="0"/>
              <w:rPr>
                <w:sz w:val="20"/>
                <w:szCs w:val="20"/>
                <w:color w:val="auto"/>
              </w:rPr>
            </w:pPr>
            <w:r>
              <w:rPr>
                <w:rFonts w:ascii="Arial" w:cs="Arial" w:eastAsia="Arial" w:hAnsi="Arial"/>
                <w:sz w:val="14"/>
                <w:szCs w:val="14"/>
                <w:b w:val="1"/>
                <w:bCs w:val="1"/>
                <w:color w:val="auto"/>
              </w:rPr>
              <w:t>Notes</w:t>
            </w:r>
          </w:p>
        </w:tc>
        <w:tc>
          <w:tcPr>
            <w:tcW w:w="1440" w:type="dxa"/>
            <w:vAlign w:val="bottom"/>
            <w:gridSpan w:val="2"/>
            <w:vMerge w:val="continue"/>
          </w:tcPr>
          <w:p>
            <w:pPr>
              <w:spacing w:after="0"/>
              <w:rPr>
                <w:sz w:val="15"/>
                <w:szCs w:val="15"/>
                <w:color w:val="auto"/>
              </w:rPr>
            </w:pPr>
          </w:p>
        </w:tc>
        <w:tc>
          <w:tcPr>
            <w:tcW w:w="30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8"/>
              </w:rPr>
              <w:t>MTI Notes</w:t>
            </w:r>
          </w:p>
        </w:tc>
        <w:tc>
          <w:tcPr>
            <w:tcW w:w="11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8"/>
              </w:rPr>
              <w:t>Amount</w:t>
            </w:r>
          </w:p>
        </w:tc>
        <w:tc>
          <w:tcPr>
            <w:tcW w:w="1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120" w:type="dxa"/>
            <w:vAlign w:val="bottom"/>
            <w:gridSpan w:val="4"/>
          </w:tcPr>
          <w:p>
            <w:pPr>
              <w:ind w:left="120"/>
              <w:spacing w:after="0"/>
              <w:rPr>
                <w:sz w:val="20"/>
                <w:szCs w:val="20"/>
                <w:color w:val="auto"/>
              </w:rPr>
            </w:pPr>
            <w:r>
              <w:rPr>
                <w:rFonts w:ascii="Arial" w:cs="Arial" w:eastAsia="Arial" w:hAnsi="Arial"/>
                <w:sz w:val="14"/>
                <w:szCs w:val="14"/>
                <w:b w:val="1"/>
                <w:bCs w:val="1"/>
                <w:color w:val="auto"/>
              </w:rPr>
              <w:t>Early Participation Date</w:t>
            </w:r>
          </w:p>
        </w:tc>
        <w:tc>
          <w:tcPr>
            <w:tcW w:w="0" w:type="dxa"/>
            <w:vAlign w:val="bottom"/>
          </w:tcPr>
          <w:p>
            <w:pPr>
              <w:spacing w:after="0"/>
              <w:rPr>
                <w:sz w:val="1"/>
                <w:szCs w:val="1"/>
                <w:color w:val="auto"/>
              </w:rPr>
            </w:pPr>
          </w:p>
        </w:tc>
      </w:tr>
      <w:tr>
        <w:trPr>
          <w:trHeight w:val="142"/>
        </w:trPr>
        <w:tc>
          <w:tcPr>
            <w:tcW w:w="28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12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28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100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60" w:type="dxa"/>
            <w:vAlign w:val="bottom"/>
            <w:tcBorders>
              <w:top w:val="single" w:sz="8" w:color="auto"/>
            </w:tcBorders>
            <w:gridSpan w:val="3"/>
          </w:tcPr>
          <w:p>
            <w:pPr>
              <w:spacing w:after="0" w:line="142" w:lineRule="exact"/>
              <w:rPr>
                <w:sz w:val="20"/>
                <w:szCs w:val="20"/>
                <w:color w:val="auto"/>
              </w:rPr>
            </w:pPr>
            <w:r>
              <w:rPr>
                <w:rFonts w:ascii="Arial" w:cs="Arial" w:eastAsia="Arial" w:hAnsi="Arial"/>
                <w:sz w:val="14"/>
                <w:szCs w:val="14"/>
                <w:b w:val="1"/>
                <w:bCs w:val="1"/>
                <w:color w:val="auto"/>
              </w:rPr>
              <w:t>Principal Amount</w:t>
            </w:r>
          </w:p>
        </w:tc>
        <w:tc>
          <w:tcPr>
            <w:tcW w:w="680" w:type="dxa"/>
            <w:vAlign w:val="bottom"/>
            <w:tcBorders>
              <w:top w:val="single" w:sz="8" w:color="auto"/>
            </w:tcBorders>
          </w:tcPr>
          <w:p>
            <w:pPr>
              <w:spacing w:after="0" w:line="142" w:lineRule="exact"/>
              <w:rPr>
                <w:sz w:val="20"/>
                <w:szCs w:val="20"/>
                <w:color w:val="auto"/>
              </w:rPr>
            </w:pPr>
            <w:r>
              <w:rPr>
                <w:rFonts w:ascii="Arial" w:cs="Arial" w:eastAsia="Arial" w:hAnsi="Arial"/>
                <w:sz w:val="14"/>
                <w:szCs w:val="14"/>
                <w:b w:val="1"/>
                <w:bCs w:val="1"/>
                <w:color w:val="auto"/>
                <w:w w:val="87"/>
              </w:rPr>
              <w:t>Percentage</w:t>
            </w: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3040" w:type="dxa"/>
            <w:vAlign w:val="bottom"/>
            <w:tcBorders>
              <w:top w:val="single" w:sz="8" w:color="CCEEFF"/>
            </w:tcBorders>
            <w:gridSpan w:val="2"/>
            <w:shd w:val="clear" w:color="auto" w:fill="CCEEFF"/>
          </w:tcPr>
          <w:p>
            <w:pPr>
              <w:spacing w:after="0" w:line="182" w:lineRule="exact"/>
              <w:rPr>
                <w:sz w:val="20"/>
                <w:szCs w:val="20"/>
                <w:color w:val="auto"/>
              </w:rPr>
            </w:pPr>
            <w:r>
              <w:rPr>
                <w:rFonts w:ascii="Arial" w:cs="Arial" w:eastAsia="Arial" w:hAnsi="Arial"/>
                <w:sz w:val="18"/>
                <w:szCs w:val="18"/>
                <w:color w:val="auto"/>
              </w:rPr>
              <w:t>4.200% Senior Notes due 2023</w:t>
            </w:r>
          </w:p>
        </w:tc>
        <w:tc>
          <w:tcPr>
            <w:tcW w:w="1440" w:type="dxa"/>
            <w:vAlign w:val="bottom"/>
            <w:tcBorders>
              <w:top w:val="single" w:sz="8" w:color="CCEEFF"/>
            </w:tcBorders>
            <w:gridSpan w:val="2"/>
            <w:shd w:val="clear" w:color="auto" w:fill="CCEEFF"/>
          </w:tcPr>
          <w:p>
            <w:pPr>
              <w:jc w:val="center"/>
              <w:ind w:right="220"/>
              <w:spacing w:after="0" w:line="182" w:lineRule="exact"/>
              <w:rPr>
                <w:sz w:val="20"/>
                <w:szCs w:val="20"/>
                <w:color w:val="auto"/>
              </w:rPr>
            </w:pPr>
            <w:r>
              <w:rPr>
                <w:rFonts w:ascii="Arial" w:cs="Arial" w:eastAsia="Arial" w:hAnsi="Arial"/>
                <w:sz w:val="18"/>
                <w:szCs w:val="18"/>
                <w:color w:val="auto"/>
                <w:w w:val="97"/>
              </w:rPr>
              <w:t>57385L AA6 /</w:t>
            </w:r>
          </w:p>
        </w:tc>
        <w:tc>
          <w:tcPr>
            <w:tcW w:w="2820" w:type="dxa"/>
            <w:vAlign w:val="bottom"/>
            <w:tcBorders>
              <w:top w:val="single" w:sz="8" w:color="CCEEFF"/>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100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960" w:type="dxa"/>
            <w:vAlign w:val="bottom"/>
            <w:tcBorders>
              <w:top w:val="single" w:sz="8" w:color="auto"/>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68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284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44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94"/>
              </w:rPr>
              <w:t>US57385LAA61</w:t>
            </w:r>
          </w:p>
        </w:tc>
        <w:tc>
          <w:tcPr>
            <w:tcW w:w="3020" w:type="dxa"/>
            <w:vAlign w:val="bottom"/>
            <w:gridSpan w:val="2"/>
            <w:shd w:val="clear" w:color="auto" w:fill="CCEEFF"/>
          </w:tcPr>
          <w:p>
            <w:pPr>
              <w:jc w:val="center"/>
              <w:ind w:right="200"/>
              <w:spacing w:after="0"/>
              <w:rPr>
                <w:sz w:val="20"/>
                <w:szCs w:val="20"/>
                <w:color w:val="auto"/>
              </w:rPr>
            </w:pPr>
            <w:r>
              <w:rPr>
                <w:rFonts w:ascii="Arial" w:cs="Arial" w:eastAsia="Arial" w:hAnsi="Arial"/>
                <w:sz w:val="18"/>
                <w:szCs w:val="18"/>
                <w:color w:val="auto"/>
                <w:w w:val="91"/>
              </w:rPr>
              <w:t>MTI 4.200% Senior Notes due 2023</w:t>
            </w:r>
          </w:p>
        </w:tc>
        <w:tc>
          <w:tcPr>
            <w:tcW w:w="1120" w:type="dxa"/>
            <w:vAlign w:val="bottom"/>
            <w:gridSpan w:val="2"/>
            <w:shd w:val="clear" w:color="auto" w:fill="CCEEFF"/>
          </w:tcPr>
          <w:p>
            <w:pPr>
              <w:jc w:val="center"/>
              <w:ind w:right="120"/>
              <w:spacing w:after="0"/>
              <w:rPr>
                <w:sz w:val="20"/>
                <w:szCs w:val="20"/>
                <w:color w:val="auto"/>
              </w:rPr>
            </w:pPr>
            <w:r>
              <w:rPr>
                <w:rFonts w:ascii="Arial" w:cs="Arial" w:eastAsia="Arial" w:hAnsi="Arial"/>
                <w:sz w:val="18"/>
                <w:szCs w:val="18"/>
                <w:color w:val="auto"/>
                <w:w w:val="90"/>
              </w:rPr>
              <w:t>$500,000,000</w:t>
            </w:r>
          </w:p>
        </w:tc>
        <w:tc>
          <w:tcPr>
            <w:tcW w:w="28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432,365,000</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86.47%</w:t>
            </w:r>
          </w:p>
        </w:tc>
        <w:tc>
          <w:tcPr>
            <w:tcW w:w="0" w:type="dxa"/>
            <w:vAlign w:val="bottom"/>
          </w:tcPr>
          <w:p>
            <w:pPr>
              <w:spacing w:after="0"/>
              <w:rPr>
                <w:sz w:val="1"/>
                <w:szCs w:val="1"/>
                <w:color w:val="auto"/>
              </w:rPr>
            </w:pPr>
          </w:p>
        </w:tc>
      </w:tr>
      <w:tr>
        <w:trPr>
          <w:trHeight w:val="202"/>
        </w:trPr>
        <w:tc>
          <w:tcPr>
            <w:tcW w:w="3040" w:type="dxa"/>
            <w:vAlign w:val="bottom"/>
            <w:gridSpan w:val="2"/>
          </w:tcPr>
          <w:p>
            <w:pPr>
              <w:spacing w:after="0" w:line="201" w:lineRule="exact"/>
              <w:rPr>
                <w:sz w:val="20"/>
                <w:szCs w:val="20"/>
                <w:color w:val="auto"/>
              </w:rPr>
            </w:pPr>
            <w:r>
              <w:rPr>
                <w:rFonts w:ascii="Arial" w:cs="Arial" w:eastAsia="Arial" w:hAnsi="Arial"/>
                <w:sz w:val="18"/>
                <w:szCs w:val="18"/>
                <w:color w:val="auto"/>
              </w:rPr>
              <w:t>4.875% Senior Notes due 2028</w:t>
            </w:r>
          </w:p>
        </w:tc>
        <w:tc>
          <w:tcPr>
            <w:tcW w:w="1440" w:type="dxa"/>
            <w:vAlign w:val="bottom"/>
            <w:gridSpan w:val="2"/>
          </w:tcPr>
          <w:p>
            <w:pPr>
              <w:jc w:val="center"/>
              <w:ind w:right="200"/>
              <w:spacing w:after="0" w:line="201" w:lineRule="exact"/>
              <w:rPr>
                <w:sz w:val="20"/>
                <w:szCs w:val="20"/>
                <w:color w:val="auto"/>
              </w:rPr>
            </w:pPr>
            <w:r>
              <w:rPr>
                <w:rFonts w:ascii="Arial" w:cs="Arial" w:eastAsia="Arial" w:hAnsi="Arial"/>
                <w:sz w:val="18"/>
                <w:szCs w:val="18"/>
                <w:color w:val="auto"/>
                <w:w w:val="95"/>
              </w:rPr>
              <w:t>57385L AB4 /</w:t>
            </w:r>
          </w:p>
        </w:tc>
        <w:tc>
          <w:tcPr>
            <w:tcW w:w="28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8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440" w:type="dxa"/>
            <w:vAlign w:val="bottom"/>
            <w:gridSpan w:val="2"/>
          </w:tcPr>
          <w:p>
            <w:pPr>
              <w:jc w:val="center"/>
              <w:ind w:right="220"/>
              <w:spacing w:after="0"/>
              <w:rPr>
                <w:sz w:val="20"/>
                <w:szCs w:val="20"/>
                <w:color w:val="auto"/>
              </w:rPr>
            </w:pPr>
            <w:r>
              <w:rPr>
                <w:rFonts w:ascii="Arial" w:cs="Arial" w:eastAsia="Arial" w:hAnsi="Arial"/>
                <w:sz w:val="18"/>
                <w:szCs w:val="18"/>
                <w:color w:val="auto"/>
                <w:w w:val="94"/>
              </w:rPr>
              <w:t>US57385LAB45</w:t>
            </w:r>
          </w:p>
        </w:tc>
        <w:tc>
          <w:tcPr>
            <w:tcW w:w="3020" w:type="dxa"/>
            <w:vAlign w:val="bottom"/>
            <w:gridSpan w:val="2"/>
          </w:tcPr>
          <w:p>
            <w:pPr>
              <w:jc w:val="center"/>
              <w:ind w:right="200"/>
              <w:spacing w:after="0"/>
              <w:rPr>
                <w:sz w:val="20"/>
                <w:szCs w:val="20"/>
                <w:color w:val="auto"/>
              </w:rPr>
            </w:pPr>
            <w:r>
              <w:rPr>
                <w:rFonts w:ascii="Arial" w:cs="Arial" w:eastAsia="Arial" w:hAnsi="Arial"/>
                <w:sz w:val="18"/>
                <w:szCs w:val="18"/>
                <w:color w:val="auto"/>
                <w:w w:val="91"/>
              </w:rPr>
              <w:t>MTI 4.875% Senior Notes due 2028</w:t>
            </w:r>
          </w:p>
        </w:tc>
        <w:tc>
          <w:tcPr>
            <w:tcW w:w="1120" w:type="dxa"/>
            <w:vAlign w:val="bottom"/>
            <w:gridSpan w:val="2"/>
          </w:tcPr>
          <w:p>
            <w:pPr>
              <w:jc w:val="center"/>
              <w:ind w:right="120"/>
              <w:spacing w:after="0"/>
              <w:rPr>
                <w:sz w:val="20"/>
                <w:szCs w:val="20"/>
                <w:color w:val="auto"/>
              </w:rPr>
            </w:pPr>
            <w:r>
              <w:rPr>
                <w:rFonts w:ascii="Arial" w:cs="Arial" w:eastAsia="Arial" w:hAnsi="Arial"/>
                <w:sz w:val="18"/>
                <w:szCs w:val="18"/>
                <w:color w:val="auto"/>
                <w:w w:val="90"/>
              </w:rPr>
              <w:t>$500,000,000</w:t>
            </w:r>
          </w:p>
        </w:tc>
        <w:tc>
          <w:tcPr>
            <w:tcW w:w="28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1220" w:type="dxa"/>
            <w:vAlign w:val="bottom"/>
            <w:gridSpan w:val="2"/>
          </w:tcPr>
          <w:p>
            <w:pPr>
              <w:ind w:left="60"/>
              <w:spacing w:after="0"/>
              <w:rPr>
                <w:sz w:val="20"/>
                <w:szCs w:val="20"/>
                <w:color w:val="auto"/>
              </w:rPr>
            </w:pPr>
            <w:r>
              <w:rPr>
                <w:rFonts w:ascii="Arial" w:cs="Arial" w:eastAsia="Arial" w:hAnsi="Arial"/>
                <w:sz w:val="18"/>
                <w:szCs w:val="18"/>
                <w:color w:val="auto"/>
              </w:rPr>
              <w:t>476,687,000</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95.34%</w:t>
            </w:r>
          </w:p>
        </w:tc>
        <w:tc>
          <w:tcPr>
            <w:tcW w:w="0" w:type="dxa"/>
            <w:vAlign w:val="bottom"/>
          </w:tcPr>
          <w:p>
            <w:pPr>
              <w:spacing w:after="0"/>
              <w:rPr>
                <w:sz w:val="1"/>
                <w:szCs w:val="1"/>
                <w:color w:val="auto"/>
              </w:rPr>
            </w:pPr>
          </w:p>
        </w:tc>
      </w:tr>
    </w:tbl>
    <w:p>
      <w:pPr>
        <w:sectPr>
          <w:pgSz w:w="11900" w:h="16838" w:orient="portrait"/>
          <w:cols w:equalWidth="0" w:num="1">
            <w:col w:w="11020"/>
          </w:cols>
          <w:pgMar w:left="440" w:top="121" w:right="439" w:bottom="1440" w:gutter="0" w:footer="0" w:header="0"/>
        </w:sectPr>
      </w:pPr>
    </w:p>
    <w:bookmarkStart w:id="13" w:name="page14"/>
    <w:bookmarkEnd w:id="13"/>
    <w:p>
      <w:pPr>
        <w:ind w:left="4" w:right="18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Exchange Offers and Consent Solicitations are being conducted in connection with the previously announced proposed acquisition of Inphi Corporation (“Inphi”), which is currently expected to close on or around April 20, 2021, subject to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 (i) Bermuda Merger Sub will be merged with and into Marvell (the “Bermuda Merger”), with Marvell continuing as a wholly owned subsidiary of MTI, and</w:t>
      </w:r>
    </w:p>
    <w:p>
      <w:pPr>
        <w:spacing w:after="0" w:line="4" w:lineRule="exact"/>
        <w:rPr>
          <w:sz w:val="20"/>
          <w:szCs w:val="20"/>
          <w:color w:val="auto"/>
        </w:rPr>
      </w:pPr>
    </w:p>
    <w:p>
      <w:pPr>
        <w:ind w:left="4" w:right="340" w:hanging="4"/>
        <w:spacing w:after="0" w:line="260" w:lineRule="auto"/>
        <w:tabs>
          <w:tab w:leader="none" w:pos="269" w:val="left"/>
        </w:tabs>
        <w:numPr>
          <w:ilvl w:val="0"/>
          <w:numId w:val="8"/>
        </w:numPr>
        <w:rPr>
          <w:rFonts w:ascii="Arial" w:cs="Arial" w:eastAsia="Arial" w:hAnsi="Arial"/>
          <w:sz w:val="18"/>
          <w:szCs w:val="18"/>
          <w:color w:val="auto"/>
        </w:rPr>
      </w:pPr>
      <w:r>
        <w:rPr>
          <w:rFonts w:ascii="Arial" w:cs="Arial" w:eastAsia="Arial" w:hAnsi="Arial"/>
          <w:sz w:val="18"/>
          <w:szCs w:val="18"/>
          <w:color w:val="auto"/>
        </w:rPr>
        <w:t>Delaware Merger Sub will be merged with and into Inphi (the “Delaware Merger” and, together with the Bermuda Merger, the “Mergers”), with Inphi continuing as a wholly owned subsidiary of MTI.</w:t>
      </w:r>
    </w:p>
    <w:p>
      <w:pPr>
        <w:spacing w:after="0" w:line="185" w:lineRule="exact"/>
        <w:rPr>
          <w:sz w:val="20"/>
          <w:szCs w:val="20"/>
          <w:color w:val="auto"/>
        </w:rPr>
      </w:pPr>
    </w:p>
    <w:p>
      <w:pPr>
        <w:jc w:val="both"/>
        <w:ind w:left="4" w:right="280"/>
        <w:spacing w:after="0" w:line="279" w:lineRule="auto"/>
        <w:rPr>
          <w:sz w:val="20"/>
          <w:szCs w:val="20"/>
          <w:color w:val="auto"/>
        </w:rPr>
      </w:pPr>
      <w:r>
        <w:rPr>
          <w:rFonts w:ascii="Arial" w:cs="Arial" w:eastAsia="Arial" w:hAnsi="Arial"/>
          <w:sz w:val="17"/>
          <w:szCs w:val="17"/>
          <w:color w:val="auto"/>
        </w:rPr>
        <w:t>The Exchange Offers and Consent Solicitations are being made solely pursuant to the terms and subject to the conditions set forth in the confidential offering memorandum dated April 5, 2021 (the “Offering Memorandum”) in a private offering exempt from, or not subject to, registration under the Securities Act of 1933, as amended (the “Securities Act”). The Exchange Offers and Consent Solicitations will expire on the Expiration Date, unless extended or earlier terminated, and are conditioned, among other things, upon the closing of the Mergers.</w:t>
      </w:r>
    </w:p>
    <w:p>
      <w:pPr>
        <w:spacing w:after="0" w:line="171" w:lineRule="exact"/>
        <w:rPr>
          <w:sz w:val="20"/>
          <w:szCs w:val="20"/>
          <w:color w:val="auto"/>
        </w:rPr>
      </w:pPr>
    </w:p>
    <w:p>
      <w:pPr>
        <w:ind w:left="4"/>
        <w:spacing w:after="0" w:line="272" w:lineRule="auto"/>
        <w:rPr>
          <w:sz w:val="20"/>
          <w:szCs w:val="20"/>
          <w:color w:val="auto"/>
        </w:rPr>
      </w:pPr>
      <w:r>
        <w:rPr>
          <w:rFonts w:ascii="Arial" w:cs="Arial" w:eastAsia="Arial" w:hAnsi="Arial"/>
          <w:sz w:val="17"/>
          <w:szCs w:val="17"/>
          <w:color w:val="auto"/>
        </w:rPr>
        <w:t>Documents relating to the Exchange Offers and Consent Solicitations will only be distributed to eligible holders of Marvell Notes who properly complete and return an eligibility certification confirming that they are either a “qualified institutional buyer” within the meaning of Rule 144A under the Securities Act or not a “U.S. person” and outside the United States under Regulation S under the Securities Act for purposes of applicable securities laws. The complete terms and conditions of the Exchange Offers and Consent Solicitations are described in the Offering Memorandum, copies of which may be obtained by contacting D.F. King &amp; Co., Inc., the exchange agent and information agent in connection with the Exchange Offers and Consent Solicitations, by telephone at (866) 796-6867 (U.S. toll-free) or (212) 269-5550 (banks and brokers), or by email at marvell@dfking.com. The eligibility certification is also available by contacting D.F. King &amp; Co., Inc. at the information above.</w:t>
      </w:r>
    </w:p>
    <w:p>
      <w:pPr>
        <w:spacing w:after="0" w:line="177" w:lineRule="exact"/>
        <w:rPr>
          <w:sz w:val="20"/>
          <w:szCs w:val="20"/>
          <w:color w:val="auto"/>
        </w:rPr>
      </w:pPr>
    </w:p>
    <w:p>
      <w:pPr>
        <w:ind w:left="4" w:right="60"/>
        <w:spacing w:after="0" w:line="263" w:lineRule="auto"/>
        <w:rPr>
          <w:sz w:val="20"/>
          <w:szCs w:val="20"/>
          <w:color w:val="auto"/>
        </w:rPr>
      </w:pPr>
      <w:r>
        <w:rPr>
          <w:rFonts w:ascii="Arial" w:cs="Arial" w:eastAsia="Arial" w:hAnsi="Arial"/>
          <w:sz w:val="18"/>
          <w:szCs w:val="18"/>
          <w:color w:val="auto"/>
        </w:rPr>
        <w:t>The MTI Notes have not been registered under the Securities Act or any state securities laws, and unless so registered, may not be offered or sold in the United States absent registration or an applicable exemption from, or in a transaction not subject to, the registration requirements of the Securities Act and other applicable securities laws.</w:t>
      </w:r>
    </w:p>
    <w:p>
      <w:pPr>
        <w:spacing w:after="0" w:line="184" w:lineRule="exact"/>
        <w:rPr>
          <w:sz w:val="20"/>
          <w:szCs w:val="20"/>
          <w:color w:val="auto"/>
        </w:rPr>
      </w:pPr>
    </w:p>
    <w:p>
      <w:pPr>
        <w:jc w:val="both"/>
        <w:ind w:left="4"/>
        <w:spacing w:after="0" w:line="259" w:lineRule="auto"/>
        <w:rPr>
          <w:sz w:val="20"/>
          <w:szCs w:val="20"/>
          <w:color w:val="auto"/>
        </w:rPr>
      </w:pPr>
      <w:r>
        <w:rPr>
          <w:rFonts w:ascii="Arial" w:cs="Arial" w:eastAsia="Arial" w:hAnsi="Arial"/>
          <w:sz w:val="18"/>
          <w:szCs w:val="18"/>
          <w:color w:val="auto"/>
        </w:rPr>
        <w:t>This press release does not constitute an offer to sell or purchase, or a solicitation of an offer to sell or purchase, or the solicitation of tenders or consents with respect to, any security. No offer, solicitation, purchase or sale will be made in any jurisdiction in which such an offer, solicitation or sale would be unlawful. The Exchange Offers and Consent Solicitations are being made solely pursuant to the Offering Memorandum and only to such persons and in such jurisdictions as are permitted under applicable law.</w:t>
      </w:r>
    </w:p>
    <w:p>
      <w:pPr>
        <w:spacing w:after="0" w:line="291" w:lineRule="exact"/>
        <w:rPr>
          <w:sz w:val="20"/>
          <w:szCs w:val="20"/>
          <w:color w:val="auto"/>
        </w:rPr>
      </w:pPr>
    </w:p>
    <w:p>
      <w:pPr>
        <w:ind w:left="4"/>
        <w:spacing w:after="0"/>
        <w:rPr>
          <w:sz w:val="20"/>
          <w:szCs w:val="20"/>
          <w:color w:val="auto"/>
        </w:rPr>
      </w:pPr>
      <w:r>
        <w:rPr>
          <w:rFonts w:ascii="Arial" w:cs="Arial" w:eastAsia="Arial" w:hAnsi="Arial"/>
          <w:sz w:val="18"/>
          <w:szCs w:val="18"/>
          <w:b w:val="1"/>
          <w:bCs w:val="1"/>
          <w:u w:val="single" w:color="auto"/>
          <w:color w:val="auto"/>
        </w:rPr>
        <w:t>About Marvell</w:t>
      </w:r>
    </w:p>
    <w:p>
      <w:pPr>
        <w:spacing w:after="0" w:line="121" w:lineRule="exact"/>
        <w:rPr>
          <w:sz w:val="20"/>
          <w:szCs w:val="20"/>
          <w:color w:val="auto"/>
        </w:rPr>
      </w:pPr>
    </w:p>
    <w:p>
      <w:pPr>
        <w:ind w:left="4" w:right="20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ind w:left="4" w:right="8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United States and/or elsewhere. Other names and brands may be claimed as the property of others.</w:t>
      </w:r>
    </w:p>
    <w:p>
      <w:pPr>
        <w:sectPr>
          <w:pgSz w:w="11900" w:h="16838" w:orient="portrait"/>
          <w:cols w:equalWidth="0" w:num="1">
            <w:col w:w="10984"/>
          </w:cols>
          <w:pgMar w:left="436" w:top="274" w:right="479" w:bottom="1440" w:gutter="0" w:footer="0" w:header="0"/>
        </w:sectPr>
      </w:pPr>
    </w:p>
    <w:bookmarkStart w:id="14" w:name="page15"/>
    <w:bookmarkEnd w:id="14"/>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 Regarding Forward 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press release contains forward-looking statements with respect to the Exchange Offers and Consent Solicitations and the proposed transaction between Marvell, Inphi and MTI, including statements regarding the anticipated timing of the closing of the transaction.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and the occurrence of any event, change or other circumstances that could give rise to the termination of the Merger Agreement. The foregoing list of factors is not exhaustive. You should</w:t>
      </w:r>
    </w:p>
    <w:p>
      <w:pPr>
        <w:sectPr>
          <w:pgSz w:w="11900" w:h="16838" w:orient="portrait"/>
          <w:cols w:equalWidth="0" w:num="1">
            <w:col w:w="10980"/>
          </w:cols>
          <w:pgMar w:left="440" w:top="270" w:right="479" w:bottom="1440" w:gutter="0" w:footer="0" w:header="0"/>
        </w:sectPr>
      </w:pPr>
    </w:p>
    <w:bookmarkStart w:id="15" w:name="page16"/>
    <w:bookmarkEnd w:id="15"/>
    <w:p>
      <w:pPr>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sectPr>
      <w:pgSz w:w="11900" w:h="16838" w:orient="portrait"/>
      <w:cols w:equalWidth="0" w:num="1">
        <w:col w:w="10880"/>
      </w:cols>
      <w:pgMar w:left="440" w:top="274" w:right="5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1)"/>
      <w:numFmt w:val="lowerRoman"/>
      <w:start w:val="2"/>
    </w:lvl>
  </w:abstractNum>
  <w:abstractNum w:abstractNumId="2">
    <w:nsid w:val="3D1B58BA"/>
    <w:multiLevelType w:val="hybridMultilevel"/>
    <w:lvl w:ilvl="0">
      <w:lvlJc w:val="left"/>
      <w:lvlText w:val="%1."/>
      <w:numFmt w:val="decimal"/>
      <w:start w:val="1"/>
    </w:lvl>
  </w:abstractNum>
  <w:abstractNum w:abstractNumId="3">
    <w:nsid w:val="507ED7AB"/>
    <w:multiLevelType w:val="hybridMultilevel"/>
    <w:lvl w:ilvl="0">
      <w:lvlJc w:val="left"/>
      <w:lvlText w:val="%1."/>
      <w:numFmt w:val="decimal"/>
      <w:start w:val="2"/>
    </w:lvl>
    <w:lvl w:ilvl="1">
      <w:lvlJc w:val="left"/>
      <w:lvlText w:val="(%2)"/>
      <w:numFmt w:val="lowerLetter"/>
      <w:start w:val="1"/>
    </w:lvl>
  </w:abstractNum>
  <w:abstractNum w:abstractNumId="4">
    <w:nsid w:val="2EB141F2"/>
    <w:multiLevelType w:val="hybridMultilevel"/>
    <w:lvl w:ilvl="0">
      <w:lvlJc w:val="left"/>
      <w:lvlText w:val="%1"/>
      <w:numFmt w:val="decimal"/>
      <w:start w:val="1"/>
    </w:lvl>
    <w:lvl w:ilvl="1">
      <w:lvlJc w:val="left"/>
      <w:lvlText w:val="(%2)"/>
      <w:numFmt w:val="lowerLetter"/>
      <w:start w:val="3"/>
    </w:lvl>
  </w:abstractNum>
  <w:abstractNum w:abstractNumId="5">
    <w:nsid w:val="41B71EFB"/>
    <w:multiLevelType w:val="hybridMultilevel"/>
    <w:lvl w:ilvl="0">
      <w:lvlJc w:val="left"/>
      <w:lvlText w:val="%1."/>
      <w:numFmt w:val="decimal"/>
      <w:start w:val="5"/>
    </w:lvl>
    <w:lvl w:ilvl="1">
      <w:lvlJc w:val="left"/>
      <w:lvlText w:val="%2"/>
      <w:numFmt w:val="lowerLetter"/>
      <w:start w:val="1"/>
    </w:lvl>
  </w:abstractNum>
  <w:abstractNum w:abstractNumId="6">
    <w:nsid w:val="79E2A9E3"/>
    <w:multiLevelType w:val="hybridMultilevel"/>
    <w:lvl w:ilvl="0">
      <w:lvlJc w:val="left"/>
      <w:lvlText w:val="%1."/>
      <w:numFmt w:val="decimal"/>
      <w:start w:val="9"/>
    </w:lvl>
  </w:abstractNum>
  <w:abstractNum w:abstractNumId="7">
    <w:nsid w:val="7545E146"/>
    <w:multiLevelType w:val="hybridMultilevel"/>
    <w:lvl w:ilvl="0">
      <w:lvlJc w:val="left"/>
      <w:lvlText w:val="(%1)"/>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2021-04-19T08:09:00Z</dcterms:created>
  <dcterms:modified xsi:type="dcterms:W3CDTF">2021-04-19T08:09:00Z</dcterms:modified>
</cp:coreProperties>
</file>