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360"/>
        <w:spacing w:after="0" w:line="24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-232410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8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13335</wp:posOffset>
            </wp:positionV>
            <wp:extent cx="6995795" cy="735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735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20" w:right="35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GAYNOR MITCHELL</w:t>
        </w:r>
      </w:hyperlink>
    </w:p>
    <w:p>
      <w:pPr>
        <w:spacing w:after="0" w:line="30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5488 MARVELL LANE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 w:line="199" w:lineRule="exact"/>
              <w:rPr>
                <w:rFonts w:ascii="Arial" w:cs="Arial" w:eastAsia="Arial" w:hAnsi="Arial"/>
                <w:sz w:val="20"/>
                <w:szCs w:val="20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0"/>
                  <w:szCs w:val="20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[</w:t>
            </w:r>
          </w:p>
        </w:tc>
        <w:tc>
          <w:tcPr>
            <w:tcW w:w="2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5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X</w:t>
            </w: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9"/>
              </w:rPr>
              <w:t>EVP, CALO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04/15/2021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25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0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2,636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48,995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1,307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47,688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1,969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49,657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7"/>
              </w:rPr>
              <w:t>977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48,680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2,817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51,497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1,397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50,100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21,998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72,098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Common Shares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04/15/2021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10,907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48.78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61,191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2,636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2,636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10,545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1,969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1,969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4"/>
              </w:rPr>
              <w:t>2,817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2,817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22,532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21,998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21,998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1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3"/>
              </w:rPr>
              <w:t>19,373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19,373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4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19,373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-3202940</wp:posOffset>
            </wp:positionV>
            <wp:extent cx="28575" cy="32086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20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07/15/2021, 10/15/2021, 01/15/2022 and 04/15/2022.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April 15, 2021.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vest on each of 07/15/2021, 10/15/2021, 01/15/2022, 04/15/22, 07/15/2022, 10/15/2022, 01/15/2023 and 04/15/2023.</w:t>
      </w:r>
    </w:p>
    <w:p>
      <w:pPr>
        <w:spacing w:after="0" w:line="4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/>
        <w:spacing w:after="0" w:line="242" w:lineRule="auto"/>
        <w:tabs>
          <w:tab w:leader="none" w:pos="167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grant is fully vested. Reflects the number of shares earned in respect of performance based restricted stock units granted on 04/15/2018. The achievement levels of the relative TSR performance metrics applicable to the award and the number of shares earned based on such results were certified on 04/15/2021.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98"/>
              </w:rPr>
              <w:t>Mitchell Gaynor by Blair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  <w:w w:val="89"/>
              </w:rPr>
              <w:t>04/19/2021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Walters as Attorney-in-Fact</w:t>
            </w: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080"/>
          </w:cols>
          <w:pgMar w:left="460" w:top="220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2021-04-19T10:46:31Z</dcterms:created>
  <dcterms:modified xsi:type="dcterms:W3CDTF">2021-04-19T10:46:31Z</dcterms:modified>
</cp:coreProperties>
</file>