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360"/>
        <w:spacing w:after="0" w:line="24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-232410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8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13335</wp:posOffset>
            </wp:positionV>
            <wp:extent cx="6995795" cy="735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735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20" w:right="35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Koopmans Chris</w:t>
        </w:r>
      </w:hyperlink>
    </w:p>
    <w:p>
      <w:pPr>
        <w:spacing w:after="0" w:line="30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5488 MARVELL LANE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 w:line="199" w:lineRule="exact"/>
              <w:rPr>
                <w:rFonts w:ascii="Arial" w:cs="Arial" w:eastAsia="Arial" w:hAnsi="Arial"/>
                <w:sz w:val="20"/>
                <w:szCs w:val="20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0"/>
                  <w:szCs w:val="20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[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5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EVP, Chief Operations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04/15/2021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25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0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15,568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63,854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7,719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56,135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1,394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57,529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7"/>
              </w:rPr>
              <w:t>483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57,046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2,284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59,330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7"/>
              </w:rPr>
              <w:t>790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58,540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2,320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60,860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1,070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59,790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15,568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15,568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1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1,394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1,394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2,284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2,284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18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9,139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2,320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2,320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18,556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16,606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16,606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16,606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-3202940</wp:posOffset>
            </wp:positionV>
            <wp:extent cx="28575" cy="32086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20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/>
        <w:spacing w:after="0" w:line="242" w:lineRule="auto"/>
        <w:tabs>
          <w:tab w:leader="none" w:pos="167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grant is fully vested. Reflects the number of shares earned in respect of performance based restricted stock units granted on 04/15/2018. The achievement levels of the relative TSR performance metrics applicable to the award and the number of shares earned based on such results were certified on 04/15/2021.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April 15, 2021.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07/15/2021, 10/15/2021, 01/15/2022 and 04/15/2022.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vest on each of 07/15/2021, 10/15/2021, 01/15/2022, 04/15/22, 07/15/2022, 10/15/2022, 01/15/2023 and 04/15/2023.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ind w:left="660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 xml:space="preserve">Christopher Koopmans by Blair </w:t>
      </w:r>
      <w:r>
        <w:rPr>
          <w:rFonts w:ascii="Arial" w:cs="Arial" w:eastAsia="Arial" w:hAnsi="Arial"/>
          <w:sz w:val="32"/>
          <w:szCs w:val="32"/>
          <w:color w:val="0000FF"/>
          <w:vertAlign w:val="subscript"/>
        </w:rPr>
        <w:t>04/19/2021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-26035</wp:posOffset>
            </wp:positionV>
            <wp:extent cx="134112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-14605</wp:posOffset>
            </wp:positionV>
            <wp:extent cx="11607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5585460</wp:posOffset>
            </wp:positionH>
            <wp:positionV relativeFrom="paragraph">
              <wp:posOffset>-79375</wp:posOffset>
            </wp:positionV>
            <wp:extent cx="47688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** 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</w:t>
      </w:r>
    </w:p>
    <w:p>
      <w:pPr>
        <w:sectPr>
          <w:pgSz w:w="11900" w:h="16838" w:orient="portrait"/>
          <w:cols w:equalWidth="0" w:num="1">
            <w:col w:w="11080"/>
          </w:cols>
          <w:pgMar w:left="460" w:top="220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2021-04-19T15:17:31Z</dcterms:created>
  <dcterms:modified xsi:type="dcterms:W3CDTF">2021-04-19T15:17:31Z</dcterms:modified>
</cp:coreProperties>
</file>