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6" w:lineRule="exact"/>
        <w:rPr>
          <w:sz w:val="24"/>
          <w:szCs w:val="24"/>
          <w:color w:val="auto"/>
        </w:rPr>
      </w:pPr>
    </w:p>
    <w:p>
      <w:pPr>
        <w:ind w:left="360"/>
        <w:spacing w:after="0" w:line="22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34290</wp:posOffset>
            </wp:positionH>
            <wp:positionV relativeFrom="paragraph">
              <wp:posOffset>-231775</wp:posOffset>
            </wp:positionV>
            <wp:extent cx="130810" cy="130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3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3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5266690</wp:posOffset>
            </wp:positionH>
            <wp:positionV relativeFrom="paragraph">
              <wp:posOffset>-624205</wp:posOffset>
            </wp:positionV>
            <wp:extent cx="57785" cy="637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3985895</wp:posOffset>
            </wp:positionH>
            <wp:positionV relativeFrom="paragraph">
              <wp:posOffset>-624205</wp:posOffset>
            </wp:positionV>
            <wp:extent cx="57785" cy="637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-1635760</wp:posOffset>
            </wp:positionH>
            <wp:positionV relativeFrom="paragraph">
              <wp:posOffset>15240</wp:posOffset>
            </wp:positionV>
            <wp:extent cx="6993890" cy="74428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890" cy="7442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60" w:space="300"/>
            <w:col w:w="8520"/>
          </w:cols>
          <w:pgMar w:left="460" w:top="221" w:right="359" w:bottom="0" w:gutter="0" w:footer="0" w:header="0"/>
        </w:sectPr>
      </w:pP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Meintjes Willem A</w:t>
        </w:r>
      </w:hyperlink>
    </w:p>
    <w:p>
      <w:pPr>
        <w:spacing w:after="0" w:line="301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780" w:type="dxa"/>
            <w:vAlign w:val="bottom"/>
            <w:gridSpan w:val="3"/>
          </w:tcPr>
          <w:p>
            <w:pPr>
              <w:spacing w:after="0" w:line="137" w:lineRule="exact"/>
              <w:rPr>
                <w:rFonts w:ascii="Arial" w:cs="Arial" w:eastAsia="Arial" w:hAnsi="Arial"/>
                <w:sz w:val="15"/>
                <w:szCs w:val="15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5"/>
                  <w:szCs w:val="15"/>
                  <w:color w:val="0000EE"/>
                </w:rPr>
                <w:t>MARVELL TECHNOLOGY GROUP LTD</w:t>
              </w:r>
            </w:hyperlink>
          </w:p>
        </w:tc>
        <w:tc>
          <w:tcPr>
            <w:tcW w:w="18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1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6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0"/>
                <w:szCs w:val="20"/>
                <w:color w:val="000000"/>
              </w:rPr>
              <w:t>]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6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SVP, Chief Accounting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368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36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9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100"/>
        <w:spacing w:after="0" w:line="216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80"/>
            <w:col w:w="7240"/>
          </w:cols>
          <w:pgMar w:left="460" w:top="221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0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4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7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Transaction</w:t>
            </w:r>
          </w:p>
        </w:tc>
        <w:tc>
          <w:tcPr>
            <w:tcW w:w="2620" w:type="dxa"/>
            <w:vAlign w:val="bottom"/>
            <w:gridSpan w:val="6"/>
          </w:tcPr>
          <w:p>
            <w:pPr>
              <w:ind w:left="1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Disposed Of (D) (Instr. 3, 4 and 5)  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</w:tcPr>
          <w:p>
            <w:pPr>
              <w:jc w:val="center"/>
              <w:ind w:left="607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center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Price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</w:tcPr>
          <w:p>
            <w:pPr>
              <w:jc w:val="center"/>
              <w:ind w:left="6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04/15/2021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jc w:val="center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lef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7,274</w:t>
            </w:r>
          </w:p>
        </w:tc>
        <w:tc>
          <w:tcPr>
            <w:tcW w:w="6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1280" w:type="dxa"/>
            <w:vAlign w:val="bottom"/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43,670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04/15/2021</w:t>
            </w: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2,628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2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48.78</w:t>
            </w: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41,042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</w:tcPr>
          <w:p>
            <w:pPr>
              <w:jc w:val="center"/>
              <w:ind w:left="6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04/15/2021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jc w:val="center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lef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1,465</w:t>
            </w:r>
          </w:p>
        </w:tc>
        <w:tc>
          <w:tcPr>
            <w:tcW w:w="6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1280" w:type="dxa"/>
            <w:vAlign w:val="bottom"/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42,507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04/15/2021</w:t>
            </w: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493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2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48.78</w:t>
            </w: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42,014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</w:tcPr>
          <w:p>
            <w:pPr>
              <w:jc w:val="center"/>
              <w:ind w:left="6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04/15/2021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jc w:val="center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lef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1,134</w:t>
            </w:r>
          </w:p>
        </w:tc>
        <w:tc>
          <w:tcPr>
            <w:tcW w:w="6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1280" w:type="dxa"/>
            <w:vAlign w:val="bottom"/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43,148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04/15/2021</w:t>
            </w: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376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2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48.78</w:t>
            </w: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42,772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</w:tcPr>
          <w:p>
            <w:pPr>
              <w:jc w:val="center"/>
              <w:ind w:left="6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04/15/2021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jc w:val="center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lef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1,160</w:t>
            </w:r>
          </w:p>
        </w:tc>
        <w:tc>
          <w:tcPr>
            <w:tcW w:w="6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1280" w:type="dxa"/>
            <w:vAlign w:val="bottom"/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43,932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04/15/2021</w:t>
            </w: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368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2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48.78</w:t>
            </w: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43,564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2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20" w:type="dxa"/>
            <w:vAlign w:val="bottom"/>
            <w:gridSpan w:val="10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4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righ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righ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Number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6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Shares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3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7,274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center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04/15/2021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7,274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3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1,465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center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04/15/2021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1,465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3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1,134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center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04/15/2021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1,134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4,534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3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1,160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center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04/15/2021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1,160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9,278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3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(7)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6,458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center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04/15/2021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6,458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6,458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-3243580</wp:posOffset>
            </wp:positionV>
            <wp:extent cx="29210" cy="324866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3248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320" w:firstLine="1"/>
        <w:spacing w:after="0" w:line="247" w:lineRule="auto"/>
        <w:tabs>
          <w:tab w:leader="none" w:pos="168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grant is fully vested. Reflects the number of shares earned in respect of performance based restricted stock units granted on 04/15/2018. The achievement levels of the relative TSR performance metrics applicable to the award and the number of shares earned based on such results were certified on 04/15/2021.</w:t>
      </w:r>
    </w:p>
    <w:p>
      <w:pPr>
        <w:spacing w:after="0" w:line="2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award fully vested on April 15, 2021.</w:t>
      </w:r>
    </w:p>
    <w:p>
      <w:pPr>
        <w:spacing w:after="0" w:line="4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quarterly on each of 07/15/2021, 10/15/2021, 01/15/2022 and 04/15/2022.</w:t>
      </w:r>
    </w:p>
    <w:p>
      <w:pPr>
        <w:spacing w:after="0" w:line="4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RSU's vest on each of 07/15/2021, 10/15/2021, 01/15/2022, 04/15/22, 07/15/2022, 10/15/2022, 01/15/2023 and 04/15/2023.</w:t>
      </w:r>
    </w:p>
    <w:p>
      <w:pPr>
        <w:spacing w:after="0" w:line="4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Restricted Stock Units (RSUs) will vest in equal quarterly installments over three years, and were granted as part of the annual grant process.</w:t>
      </w:r>
    </w:p>
    <w:p>
      <w:pPr>
        <w:spacing w:after="0" w:line="3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William Meintjes by Blair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04/19/2021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7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200" w:type="dxa"/>
            <w:vAlign w:val="bottom"/>
            <w:gridSpan w:val="3"/>
            <w:vMerge w:val="restart"/>
          </w:tcPr>
          <w:p>
            <w:pPr>
              <w:spacing w:after="0" w:line="1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Walters as Attorney-in-Fact</w:t>
            </w: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84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4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2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ectPr>
          <w:pgSz w:w="11900" w:h="16838" w:orient="portrait"/>
          <w:cols w:equalWidth="0" w:num="1">
            <w:col w:w="11080"/>
          </w:cols>
          <w:pgMar w:left="460" w:top="221" w:right="359" w:bottom="0" w:gutter="0" w:footer="0" w:header="0"/>
          <w:type w:val="continuous"/>
        </w:sectPr>
      </w:pPr>
    </w:p>
    <w:bookmarkStart w:id="1" w:name="page2"/>
    <w:bookmarkEnd w:id="1"/>
    <w:p>
      <w:pPr>
        <w:jc w:val="both"/>
        <w:ind w:right="2539" w:firstLine="1"/>
        <w:spacing w:after="0" w:line="332" w:lineRule="auto"/>
        <w:tabs>
          <w:tab w:leader="none" w:pos="136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2"/>
          <w:szCs w:val="12"/>
          <w:color w:val="auto"/>
        </w:rPr>
      </w:pPr>
    </w:p>
    <w:p>
      <w:pPr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9959"/>
      </w:cols>
      <w:pgMar w:left="500" w:top="125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63580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2021-04-19T15:26:13Z</dcterms:created>
  <dcterms:modified xsi:type="dcterms:W3CDTF">2021-04-19T15:26:13Z</dcterms:modified>
</cp:coreProperties>
</file>