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66040</wp:posOffset>
            </wp:positionV>
            <wp:extent cx="699516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108585</wp:posOffset>
            </wp:positionV>
            <wp:extent cx="699516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09"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SECURITIES AND EXCHANGE COMMISSION</w:t>
      </w:r>
    </w:p>
    <w:p>
      <w:pPr>
        <w:spacing w:after="0" w:line="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133350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48"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POST-EFFECTIVE AMENDMENT NO. 1</w:t>
      </w:r>
    </w:p>
    <w:p>
      <w:pPr>
        <w:spacing w:after="0" w:line="38"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TO</w:t>
      </w:r>
    </w:p>
    <w:p>
      <w:pPr>
        <w:spacing w:after="0" w:line="10"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FORM S-3</w:t>
      </w:r>
    </w:p>
    <w:p>
      <w:pPr>
        <w:spacing w:after="0" w:line="10"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REGISTRATION STATEMENT</w:t>
      </w:r>
    </w:p>
    <w:p>
      <w:pPr>
        <w:spacing w:after="0" w:line="6"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under</w:t>
      </w:r>
    </w:p>
    <w:p>
      <w:pPr>
        <w:spacing w:after="0" w:line="7"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125730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50"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w:t>
      </w:r>
    </w:p>
    <w:p>
      <w:pPr>
        <w:spacing w:after="0" w:line="3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124460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(State or other jurisdiction of incorporation or organization)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125095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77-0481679</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(I.R.S. Employer Identification Number)</w:t>
      </w:r>
    </w:p>
    <w:p>
      <w:pPr>
        <w:spacing w:after="0" w:line="4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294-8000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125095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3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116205</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9"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Approximate date of commencement of proposed sale to the public: </w:t>
      </w:r>
      <w:r>
        <w:rPr>
          <w:rFonts w:ascii="Arial" w:cs="Arial" w:eastAsia="Arial" w:hAnsi="Arial"/>
          <w:sz w:val="18"/>
          <w:szCs w:val="18"/>
          <w:color w:val="auto"/>
        </w:rPr>
        <w:t>Not applicable.</w:t>
      </w:r>
    </w:p>
    <w:p>
      <w:pPr>
        <w:spacing w:after="0" w:line="81" w:lineRule="exact"/>
        <w:rPr>
          <w:sz w:val="24"/>
          <w:szCs w:val="24"/>
          <w:color w:val="auto"/>
        </w:rPr>
      </w:pPr>
    </w:p>
    <w:p>
      <w:pPr>
        <w:ind w:right="400"/>
        <w:spacing w:after="0" w:line="233" w:lineRule="exact"/>
        <w:rPr>
          <w:sz w:val="20"/>
          <w:szCs w:val="20"/>
          <w:color w:val="auto"/>
        </w:rPr>
      </w:pPr>
      <w:r>
        <w:rPr>
          <w:rFonts w:ascii="Arial" w:cs="Arial" w:eastAsia="Arial" w:hAnsi="Arial"/>
          <w:sz w:val="18"/>
          <w:szCs w:val="18"/>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8"/>
          <w:szCs w:val="18"/>
          <w:color w:val="auto"/>
        </w:rPr>
        <w:t>☐</w:t>
      </w:r>
    </w:p>
    <w:p>
      <w:pPr>
        <w:spacing w:after="0" w:line="34" w:lineRule="exact"/>
        <w:rPr>
          <w:sz w:val="24"/>
          <w:szCs w:val="24"/>
          <w:color w:val="auto"/>
        </w:rPr>
      </w:pPr>
    </w:p>
    <w:p>
      <w:pPr>
        <w:ind w:right="120"/>
        <w:spacing w:after="0" w:line="233" w:lineRule="exact"/>
        <w:rPr>
          <w:sz w:val="20"/>
          <w:szCs w:val="20"/>
          <w:color w:val="auto"/>
        </w:rPr>
      </w:pPr>
      <w:r>
        <w:rPr>
          <w:rFonts w:ascii="Arial" w:cs="Arial" w:eastAsia="Arial" w:hAnsi="Arial"/>
          <w:sz w:val="17"/>
          <w:szCs w:val="17"/>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7"/>
          <w:szCs w:val="17"/>
          <w:color w:val="auto"/>
        </w:rPr>
        <w:t>☐</w:t>
      </w:r>
    </w:p>
    <w:p>
      <w:pPr>
        <w:spacing w:after="0" w:line="47" w:lineRule="exact"/>
        <w:rPr>
          <w:sz w:val="24"/>
          <w:szCs w:val="24"/>
          <w:color w:val="auto"/>
        </w:rPr>
      </w:pPr>
    </w:p>
    <w:p>
      <w:pPr>
        <w:ind w:right="100"/>
        <w:spacing w:after="0" w:line="233" w:lineRule="exact"/>
        <w:rPr>
          <w:sz w:val="20"/>
          <w:szCs w:val="20"/>
          <w:color w:val="auto"/>
        </w:rPr>
      </w:pPr>
      <w:r>
        <w:rPr>
          <w:rFonts w:ascii="Arial" w:cs="Arial" w:eastAsia="Arial" w:hAnsi="Arial"/>
          <w:sz w:val="17"/>
          <w:szCs w:val="17"/>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7"/>
          <w:szCs w:val="17"/>
          <w:color w:val="auto"/>
        </w:rPr>
        <w:t>☐</w:t>
      </w:r>
    </w:p>
    <w:p>
      <w:pPr>
        <w:spacing w:after="0" w:line="34" w:lineRule="exact"/>
        <w:rPr>
          <w:sz w:val="24"/>
          <w:szCs w:val="24"/>
          <w:color w:val="auto"/>
        </w:rPr>
      </w:pPr>
    </w:p>
    <w:p>
      <w:pPr>
        <w:ind w:right="320"/>
        <w:spacing w:after="0" w:line="233" w:lineRule="exact"/>
        <w:rPr>
          <w:sz w:val="20"/>
          <w:szCs w:val="20"/>
          <w:color w:val="auto"/>
        </w:rPr>
      </w:pPr>
      <w:r>
        <w:rPr>
          <w:rFonts w:ascii="Arial" w:cs="Arial" w:eastAsia="Arial" w:hAnsi="Arial"/>
          <w:sz w:val="18"/>
          <w:szCs w:val="18"/>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8"/>
          <w:szCs w:val="18"/>
          <w:color w:val="auto"/>
        </w:rPr>
        <w:t>☐</w:t>
      </w:r>
    </w:p>
    <w:p>
      <w:pPr>
        <w:spacing w:after="0" w:line="34" w:lineRule="exact"/>
        <w:rPr>
          <w:sz w:val="24"/>
          <w:szCs w:val="24"/>
          <w:color w:val="auto"/>
        </w:rPr>
      </w:pPr>
    </w:p>
    <w:p>
      <w:pPr>
        <w:ind w:right="60"/>
        <w:spacing w:after="0" w:line="233" w:lineRule="exact"/>
        <w:rPr>
          <w:sz w:val="20"/>
          <w:szCs w:val="20"/>
          <w:color w:val="auto"/>
        </w:rPr>
      </w:pPr>
      <w:r>
        <w:rPr>
          <w:rFonts w:ascii="Arial" w:cs="Arial" w:eastAsia="Arial" w:hAnsi="Arial"/>
          <w:sz w:val="18"/>
          <w:szCs w:val="18"/>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8"/>
          <w:szCs w:val="18"/>
          <w:color w:val="auto"/>
        </w:rPr>
        <w:t>☐</w:t>
      </w:r>
    </w:p>
    <w:p>
      <w:pPr>
        <w:spacing w:after="0" w:line="47" w:lineRule="exact"/>
        <w:rPr>
          <w:sz w:val="24"/>
          <w:szCs w:val="24"/>
          <w:color w:val="auto"/>
        </w:rPr>
      </w:pPr>
    </w:p>
    <w:p>
      <w:pPr>
        <w:ind w:right="240"/>
        <w:spacing w:after="0" w:line="233" w:lineRule="exact"/>
        <w:rPr>
          <w:sz w:val="20"/>
          <w:szCs w:val="20"/>
          <w:color w:val="auto"/>
        </w:rPr>
      </w:pPr>
      <w:r>
        <w:rPr>
          <w:rFonts w:ascii="Arial" w:cs="Arial" w:eastAsia="Arial" w:hAnsi="Arial"/>
          <w:sz w:val="18"/>
          <w:szCs w:val="18"/>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8"/>
          <w:szCs w:val="18"/>
          <w:color w:val="auto"/>
        </w:rPr>
        <w:t>☐</w:t>
      </w:r>
    </w:p>
    <w:p>
      <w:pPr>
        <w:spacing w:after="0" w:line="34" w:lineRule="exact"/>
        <w:rPr>
          <w:sz w:val="24"/>
          <w:szCs w:val="24"/>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16"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74"/>
        </w:trPr>
        <w:tc>
          <w:tcPr>
            <w:tcW w:w="1800" w:type="dxa"/>
            <w:vAlign w:val="bottom"/>
            <w:tcBorders>
              <w:bottom w:val="single" w:sz="8" w:color="auto"/>
            </w:tcBorders>
          </w:tcPr>
          <w:p>
            <w:pPr>
              <w:spacing w:after="0"/>
              <w:rPr>
                <w:sz w:val="6"/>
                <w:szCs w:val="6"/>
                <w:color w:val="auto"/>
              </w:rPr>
            </w:pPr>
          </w:p>
        </w:tc>
        <w:tc>
          <w:tcPr>
            <w:tcW w:w="3520" w:type="dxa"/>
            <w:vAlign w:val="bottom"/>
            <w:tcBorders>
              <w:bottom w:val="single" w:sz="8" w:color="auto"/>
            </w:tcBorders>
          </w:tcPr>
          <w:p>
            <w:pPr>
              <w:spacing w:after="0"/>
              <w:rPr>
                <w:sz w:val="6"/>
                <w:szCs w:val="6"/>
                <w:color w:val="auto"/>
              </w:rPr>
            </w:pPr>
          </w:p>
        </w:tc>
        <w:tc>
          <w:tcPr>
            <w:tcW w:w="5300" w:type="dxa"/>
            <w:vAlign w:val="bottom"/>
            <w:tcBorders>
              <w:bottom w:val="single" w:sz="8" w:color="auto"/>
            </w:tcBorders>
          </w:tcPr>
          <w:p>
            <w:pPr>
              <w:spacing w:after="0"/>
              <w:rPr>
                <w:sz w:val="6"/>
                <w:szCs w:val="6"/>
                <w:color w:val="auto"/>
              </w:rPr>
            </w:pPr>
          </w:p>
        </w:tc>
        <w:tc>
          <w:tcPr>
            <w:tcW w:w="400" w:type="dxa"/>
            <w:vAlign w:val="bottom"/>
            <w:tcBorders>
              <w:bottom w:val="single" w:sz="8" w:color="auto"/>
            </w:tcBorders>
          </w:tcPr>
          <w:p>
            <w:pPr>
              <w:spacing w:after="0"/>
              <w:rPr>
                <w:sz w:val="6"/>
                <w:szCs w:val="6"/>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229" w:right="439" w:bottom="1440" w:gutter="0" w:footer="0" w:header="0"/>
        </w:sectPr>
      </w:pPr>
    </w:p>
    <w:bookmarkStart w:id="1" w:name="page2"/>
    <w:bookmarkEnd w:id="1"/>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DEREGISTRATION OF SECURITIES</w:t>
      </w:r>
    </w:p>
    <w:p>
      <w:pPr>
        <w:spacing w:after="0" w:line="229" w:lineRule="exact"/>
        <w:rPr>
          <w:sz w:val="20"/>
          <w:szCs w:val="20"/>
          <w:color w:val="auto"/>
        </w:rPr>
      </w:pPr>
    </w:p>
    <w:p>
      <w:pPr>
        <w:ind w:right="160"/>
        <w:spacing w:after="0" w:line="279" w:lineRule="auto"/>
        <w:rPr>
          <w:rFonts w:ascii="Arial" w:cs="Arial" w:eastAsia="Arial" w:hAnsi="Arial"/>
          <w:sz w:val="17"/>
          <w:szCs w:val="17"/>
          <w:color w:val="auto"/>
        </w:rPr>
      </w:pPr>
      <w:r>
        <w:rPr>
          <w:rFonts w:ascii="Arial" w:cs="Arial" w:eastAsia="Arial" w:hAnsi="Arial"/>
          <w:sz w:val="17"/>
          <w:szCs w:val="17"/>
          <w:color w:val="auto"/>
        </w:rPr>
        <w:t xml:space="preserve">This Post-Effective Amendment No. 1 to Form S-3 relates to the </w:t>
      </w:r>
      <w:hyperlink r:id="rId17">
        <w:r>
          <w:rPr>
            <w:rFonts w:ascii="Arial" w:cs="Arial" w:eastAsia="Arial" w:hAnsi="Arial"/>
            <w:sz w:val="17"/>
            <w:szCs w:val="17"/>
            <w:u w:val="single" w:color="auto"/>
            <w:color w:val="0000EE"/>
          </w:rPr>
          <w:t>Registration Statement on Form S-3 (File No. 333-237335)</w:t>
        </w:r>
        <w:r>
          <w:rPr>
            <w:rFonts w:ascii="Arial" w:cs="Arial" w:eastAsia="Arial" w:hAnsi="Arial"/>
            <w:sz w:val="17"/>
            <w:szCs w:val="17"/>
            <w:u w:val="single" w:color="auto"/>
            <w:color w:val="auto"/>
          </w:rPr>
          <w:t xml:space="preserve"> </w:t>
        </w:r>
      </w:hyperlink>
      <w:r>
        <w:rPr>
          <w:rFonts w:ascii="Arial" w:cs="Arial" w:eastAsia="Arial" w:hAnsi="Arial"/>
          <w:sz w:val="17"/>
          <w:szCs w:val="17"/>
          <w:color w:val="auto"/>
        </w:rPr>
        <w:t xml:space="preserve">(the “Registration Statement”), initially filed with the U.S. Securities and Exchange Commission (the “Commission”) on March 23, 2020 by Marvell Technology Group Ltd., a Bermuda exempted company (“Marvell” or the “Registrant”), and as amended by the Registrant on </w:t>
      </w:r>
      <w:hyperlink r:id="rId18">
        <w:r>
          <w:rPr>
            <w:rFonts w:ascii="Arial" w:cs="Arial" w:eastAsia="Arial" w:hAnsi="Arial"/>
            <w:sz w:val="17"/>
            <w:szCs w:val="17"/>
            <w:u w:val="single" w:color="auto"/>
            <w:color w:val="0000EE"/>
          </w:rPr>
          <w:t>August 28, 2020</w:t>
        </w:r>
      </w:hyperlink>
      <w:r>
        <w:rPr>
          <w:rFonts w:ascii="Arial" w:cs="Arial" w:eastAsia="Arial" w:hAnsi="Arial"/>
          <w:sz w:val="17"/>
          <w:szCs w:val="17"/>
          <w:color w:val="auto"/>
        </w:rPr>
        <w:t>, registering the offer and sale of up to $588,146,311 in the aggregate of the securities covered by the Registration Statement in one or more offerings.</w:t>
      </w:r>
    </w:p>
    <w:p>
      <w:pPr>
        <w:spacing w:after="0" w:line="171" w:lineRule="exact"/>
        <w:rPr>
          <w:sz w:val="20"/>
          <w:szCs w:val="20"/>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 In accordance with an undertaking made by the Registrant in the Registration Statement to remove from registration, by means of a post-effective amendment, any of the securities which remain unsold at the termination of the offering, the Registrant hereby removes from registration all of the securities registered under the Registration Statement which remain unsold as of April 20, 2021.</w:t>
      </w:r>
    </w:p>
    <w:p>
      <w:pPr>
        <w:sectPr>
          <w:pgSz w:w="11900" w:h="16838" w:orient="portrait"/>
          <w:cols w:equalWidth="0" w:num="1">
            <w:col w:w="10960"/>
          </w:cols>
          <w:pgMar w:left="440" w:top="270" w:right="499" w:bottom="1440" w:gutter="0" w:footer="0" w:header="0"/>
        </w:sectPr>
      </w:pPr>
    </w:p>
    <w:bookmarkStart w:id="2" w:name="page3"/>
    <w:bookmarkEnd w:id="2"/>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S-3,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tabs>
          <w:tab w:leader="none" w:pos="84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jc w:val="cente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jc w:val="cente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17" Type="http://schemas.openxmlformats.org/officeDocument/2006/relationships/hyperlink" Target="http://www.sec.gov/Archives/edgar/data/1058057/000119312520081619/d901838ds3.htm" TargetMode="External"/><Relationship Id="rId18" Type="http://schemas.openxmlformats.org/officeDocument/2006/relationships/hyperlink" Target="http://www.sec.gov/Archives/edgar/data/1058057/000119312520234834/d70429ds3a.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2021-04-20T15:16:08Z</dcterms:created>
  <dcterms:modified xsi:type="dcterms:W3CDTF">2021-04-20T15:16:08Z</dcterms:modified>
</cp:coreProperties>
</file>