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ind w:left="1740"/>
        <w:spacing w:after="0"/>
        <w:rPr>
          <w:sz w:val="20"/>
          <w:szCs w:val="20"/>
          <w:color w:val="auto"/>
        </w:rPr>
      </w:pPr>
      <w:r>
        <w:rPr>
          <w:rFonts w:ascii="Arial" w:cs="Arial" w:eastAsia="Arial" w:hAnsi="Arial"/>
          <w:sz w:val="18"/>
          <w:szCs w:val="18"/>
          <w:b w:val="1"/>
          <w:bCs w:val="1"/>
          <w:color w:val="auto"/>
        </w:rPr>
        <w:t>As filed with the Securities and Exchange Commission on April 20, 2021</w:t>
      </w:r>
    </w:p>
    <w:p>
      <w:pPr>
        <w:spacing w:after="0" w:line="158"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333-254356</w:t>
      </w:r>
    </w:p>
    <w:p>
      <w:pPr>
        <w:spacing w:after="0" w:line="27"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333-237333</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333-233851</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333-230616</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333-226085</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333-224015</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333-217004</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333-213059</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333-204730</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333-194865</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333-187641</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333-180412</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333-163644</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333-151816</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333-148621</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333-133281</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333-124072</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333-114434</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333-108334</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333-104925</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333-87322</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333-56322</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333-55974</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333-40152</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333-40154</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-636905</wp:posOffset>
            </wp:positionH>
            <wp:positionV relativeFrom="paragraph">
              <wp:posOffset>66040</wp:posOffset>
            </wp:positionV>
            <wp:extent cx="6995160" cy="825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6995160" cy="8255"/>
                    </a:xfrm>
                    <a:prstGeom prst="rect">
                      <a:avLst/>
                    </a:prstGeom>
                    <a:noFill/>
                  </pic:spPr>
                </pic:pic>
              </a:graphicData>
            </a:graphic>
          </wp:anchor>
        </w:drawing>
        <w:drawing>
          <wp:anchor simplePos="0" relativeHeight="251657728" behindDoc="1" locked="0" layoutInCell="0" allowOverlap="1">
            <wp:simplePos x="0" y="0"/>
            <wp:positionH relativeFrom="column">
              <wp:posOffset>-636905</wp:posOffset>
            </wp:positionH>
            <wp:positionV relativeFrom="paragraph">
              <wp:posOffset>108585</wp:posOffset>
            </wp:positionV>
            <wp:extent cx="6995160" cy="825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6995160" cy="8255"/>
                    </a:xfrm>
                    <a:prstGeom prst="rect">
                      <a:avLst/>
                    </a:prstGeom>
                    <a:noFill/>
                  </pic:spPr>
                </pic:pic>
              </a:graphicData>
            </a:graphic>
          </wp:anchor>
        </w:drawing>
      </w:r>
    </w:p>
    <w:p>
      <w:pPr>
        <w:spacing w:after="0" w:line="191" w:lineRule="exact"/>
        <w:rPr>
          <w:sz w:val="24"/>
          <w:szCs w:val="24"/>
          <w:color w:val="auto"/>
        </w:rPr>
      </w:pPr>
    </w:p>
    <w:p>
      <w:pPr>
        <w:jc w:val="center"/>
        <w:ind w:right="1020"/>
        <w:spacing w:after="0"/>
        <w:rPr>
          <w:sz w:val="20"/>
          <w:szCs w:val="20"/>
          <w:color w:val="auto"/>
        </w:rPr>
      </w:pPr>
      <w:r>
        <w:rPr>
          <w:rFonts w:ascii="Arial" w:cs="Arial" w:eastAsia="Arial" w:hAnsi="Arial"/>
          <w:sz w:val="32"/>
          <w:szCs w:val="32"/>
          <w:b w:val="1"/>
          <w:bCs w:val="1"/>
          <w:color w:val="auto"/>
        </w:rPr>
        <w:t>UNITED STATES</w:t>
      </w:r>
    </w:p>
    <w:p>
      <w:pPr>
        <w:spacing w:after="0" w:line="31" w:lineRule="exact"/>
        <w:rPr>
          <w:sz w:val="24"/>
          <w:szCs w:val="24"/>
          <w:color w:val="auto"/>
        </w:rPr>
      </w:pPr>
    </w:p>
    <w:p>
      <w:pPr>
        <w:jc w:val="center"/>
        <w:ind w:right="1020"/>
        <w:spacing w:after="0"/>
        <w:rPr>
          <w:sz w:val="20"/>
          <w:szCs w:val="20"/>
          <w:color w:val="auto"/>
        </w:rPr>
      </w:pPr>
      <w:r>
        <w:rPr>
          <w:rFonts w:ascii="Arial" w:cs="Arial" w:eastAsia="Arial" w:hAnsi="Arial"/>
          <w:sz w:val="32"/>
          <w:szCs w:val="32"/>
          <w:b w:val="1"/>
          <w:bCs w:val="1"/>
          <w:color w:val="auto"/>
        </w:rPr>
        <w:t>SECURITIES AND EXCHANGE COMMISSION</w:t>
      </w:r>
    </w:p>
    <w:p>
      <w:pPr>
        <w:ind w:left="3400"/>
        <w:spacing w:after="0"/>
        <w:rPr>
          <w:sz w:val="20"/>
          <w:szCs w:val="20"/>
          <w:color w:val="auto"/>
        </w:rPr>
      </w:pPr>
      <w:r>
        <w:rPr>
          <w:rFonts w:ascii="Arial" w:cs="Arial" w:eastAsia="Arial" w:hAnsi="Arial"/>
          <w:sz w:val="22"/>
          <w:szCs w:val="22"/>
          <w:b w:val="1"/>
          <w:bCs w:val="1"/>
          <w:color w:val="auto"/>
        </w:rPr>
        <w:t>Washington, D.C. 20549</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2122805</wp:posOffset>
            </wp:positionH>
            <wp:positionV relativeFrom="paragraph">
              <wp:posOffset>158750</wp:posOffset>
            </wp:positionV>
            <wp:extent cx="1474470" cy="889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1474470" cy="8890"/>
                    </a:xfrm>
                    <a:prstGeom prst="rect">
                      <a:avLst/>
                    </a:prstGeom>
                    <a:noFill/>
                  </pic:spPr>
                </pic:pic>
              </a:graphicData>
            </a:graphic>
          </wp:anchor>
        </w:drawing>
      </w:r>
    </w:p>
    <w:p>
      <w:pPr>
        <w:spacing w:after="0" w:line="351" w:lineRule="exact"/>
        <w:rPr>
          <w:sz w:val="24"/>
          <w:szCs w:val="24"/>
          <w:color w:val="auto"/>
        </w:rPr>
      </w:pPr>
    </w:p>
    <w:p>
      <w:pPr>
        <w:jc w:val="center"/>
        <w:ind w:left="320" w:right="1340"/>
        <w:spacing w:after="0" w:line="247" w:lineRule="auto"/>
        <w:rPr>
          <w:sz w:val="20"/>
          <w:szCs w:val="20"/>
          <w:color w:val="auto"/>
        </w:rPr>
      </w:pPr>
      <w:r>
        <w:rPr>
          <w:rFonts w:ascii="Arial" w:cs="Arial" w:eastAsia="Arial" w:hAnsi="Arial"/>
          <w:sz w:val="31"/>
          <w:szCs w:val="31"/>
          <w:b w:val="1"/>
          <w:bCs w:val="1"/>
          <w:color w:val="auto"/>
        </w:rPr>
        <w:t>POST-EFFECTIVE AMENDMENT NO. 1 TO: FORM S-8 REGISTRATION STATEMENT No. 333-254356 FORM S-8 REGISTRATION STATEMENT No. 333-237333 FORM S-8 REGISTRATION STATEMENT No. 333-233851 FORM S-8 REGISTRATION STATEMENT No. 333-230616 FORM S-8 REGISTRATION STATEMENT No. 333-226085 FORM S-8 REGISTRATION STATEMENT No. 333-224015 FORM S-8 REGISTRATION STATEMENT No. 333-217004 FORM S-8 REGISTRATION STATEMENT No. 333-213059 FORM S-8 REGISTRATION STATEMENT No. 333-204730 FORM S-8 REGISTRATION STATEMENT No. 333-194865 FORM S-8 REGISTRATION STATEMENT No. 333-187641 FORM S-8 REGISTRATION STATEMENT No. 333-180412 FORM S-8 REGISTRATION STATEMENT No. 333-163644 FORM S-8 REGISTRATION STATEMENT No. 333-151816 FORM S-8 REGISTRATION STATEMENT No. 333-148621 FORM S-8 REGISTRATION STATEMENT No. 333-133281 FORM S-8 REGISTRATION STATEMENT No. 333-124072 FORM S-8 REGISTRATION STATEMENT No. 333-114434 FORM S-8 REGISTRATION STATEMENT No. 333-108334 FORM S-8 REGISTRATION STATEMENT No. 333-104925 FORM S-8 REGISTRATION STATEMENT No. 333-87322 FORM S-8 REGISTRATION STATEMENT No. 333-56322 FORM S-8 REGISTRATION STATEMENT No. 333-55974</w:t>
      </w:r>
    </w:p>
    <w:p>
      <w:pPr>
        <w:sectPr>
          <w:pgSz w:w="11900" w:h="16838" w:orient="portrait"/>
          <w:cols w:equalWidth="0" w:num="1">
            <w:col w:w="10020"/>
          </w:cols>
          <w:pgMar w:left="1440" w:top="229" w:right="439" w:bottom="0" w:gutter="0" w:footer="0" w:header="0"/>
        </w:sectPr>
      </w:pPr>
    </w:p>
    <w:bookmarkStart w:id="1" w:name="page2"/>
    <w:bookmarkEnd w:id="1"/>
    <w:p>
      <w:pPr>
        <w:ind w:left="1400"/>
        <w:spacing w:after="0"/>
        <w:rPr>
          <w:sz w:val="20"/>
          <w:szCs w:val="20"/>
          <w:color w:val="auto"/>
        </w:rPr>
      </w:pPr>
      <w:r>
        <w:rPr>
          <w:rFonts w:ascii="Arial" w:cs="Arial" w:eastAsia="Arial" w:hAnsi="Arial"/>
          <w:sz w:val="31"/>
          <w:szCs w:val="31"/>
          <w:b w:val="1"/>
          <w:bCs w:val="1"/>
          <w:color w:val="auto"/>
        </w:rPr>
        <w:t>FORM S-8 REGISTRATION STATEMENT No. 333-40152</w:t>
      </w:r>
    </w:p>
    <w:p>
      <w:pPr>
        <w:spacing w:after="0" w:line="45" w:lineRule="exact"/>
        <w:rPr>
          <w:sz w:val="20"/>
          <w:szCs w:val="20"/>
          <w:color w:val="auto"/>
        </w:rPr>
      </w:pPr>
    </w:p>
    <w:p>
      <w:pPr>
        <w:ind w:left="1400"/>
        <w:spacing w:after="0"/>
        <w:rPr>
          <w:sz w:val="20"/>
          <w:szCs w:val="20"/>
          <w:color w:val="auto"/>
        </w:rPr>
      </w:pPr>
      <w:r>
        <w:rPr>
          <w:rFonts w:ascii="Arial" w:cs="Arial" w:eastAsia="Arial" w:hAnsi="Arial"/>
          <w:sz w:val="31"/>
          <w:szCs w:val="31"/>
          <w:b w:val="1"/>
          <w:bCs w:val="1"/>
          <w:color w:val="auto"/>
        </w:rPr>
        <w:t>FORM S-8 REGISTRATION STATEMENT No. 333-40154</w:t>
      </w:r>
    </w:p>
    <w:p>
      <w:pPr>
        <w:jc w:val="center"/>
        <w:ind w:right="20"/>
        <w:spacing w:after="0"/>
        <w:rPr>
          <w:sz w:val="20"/>
          <w:szCs w:val="20"/>
          <w:color w:val="auto"/>
        </w:rPr>
      </w:pPr>
      <w:r>
        <w:rPr>
          <w:rFonts w:ascii="Arial" w:cs="Arial" w:eastAsia="Arial" w:hAnsi="Arial"/>
          <w:sz w:val="22"/>
          <w:szCs w:val="22"/>
          <w:b w:val="1"/>
          <w:bCs w:val="1"/>
          <w:i w:val="1"/>
          <w:iCs w:val="1"/>
          <w:color w:val="auto"/>
        </w:rPr>
        <w:t>UNDER</w:t>
      </w:r>
    </w:p>
    <w:p>
      <w:pPr>
        <w:jc w:val="center"/>
        <w:ind w:right="20"/>
        <w:spacing w:after="0"/>
        <w:rPr>
          <w:sz w:val="20"/>
          <w:szCs w:val="20"/>
          <w:color w:val="auto"/>
        </w:rPr>
      </w:pPr>
      <w:r>
        <w:rPr>
          <w:rFonts w:ascii="Arial" w:cs="Arial" w:eastAsia="Arial" w:hAnsi="Arial"/>
          <w:sz w:val="22"/>
          <w:szCs w:val="22"/>
          <w:b w:val="1"/>
          <w:bCs w:val="1"/>
          <w:i w:val="1"/>
          <w:iCs w:val="1"/>
          <w:color w:val="auto"/>
        </w:rPr>
        <w:t>THE SECURITIES ACT OF 1933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2757805</wp:posOffset>
            </wp:positionH>
            <wp:positionV relativeFrom="paragraph">
              <wp:posOffset>158750</wp:posOffset>
            </wp:positionV>
            <wp:extent cx="1474470" cy="825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1474470" cy="8255"/>
                    </a:xfrm>
                    <a:prstGeom prst="rect">
                      <a:avLst/>
                    </a:prstGeom>
                    <a:noFill/>
                  </pic:spPr>
                </pic:pic>
              </a:graphicData>
            </a:graphic>
          </wp:anchor>
        </w:drawing>
      </w:r>
    </w:p>
    <w:p>
      <w:pPr>
        <w:spacing w:after="0" w:line="349" w:lineRule="exact"/>
        <w:rPr>
          <w:sz w:val="20"/>
          <w:szCs w:val="20"/>
          <w:color w:val="auto"/>
        </w:rPr>
      </w:pPr>
    </w:p>
    <w:p>
      <w:pPr>
        <w:jc w:val="center"/>
        <w:ind w:right="40"/>
        <w:spacing w:after="0"/>
        <w:rPr>
          <w:sz w:val="20"/>
          <w:szCs w:val="20"/>
          <w:color w:val="auto"/>
        </w:rPr>
      </w:pPr>
      <w:r>
        <w:rPr>
          <w:rFonts w:ascii="Arial" w:cs="Arial" w:eastAsia="Arial" w:hAnsi="Arial"/>
          <w:sz w:val="43"/>
          <w:szCs w:val="43"/>
          <w:b w:val="1"/>
          <w:bCs w:val="1"/>
          <w:color w:val="auto"/>
        </w:rPr>
        <w:t>MARVELL TECHNOLOGY GROUP LTD.</w:t>
      </w:r>
    </w:p>
    <w:p>
      <w:pPr>
        <w:spacing w:after="0" w:line="50" w:lineRule="exact"/>
        <w:rPr>
          <w:sz w:val="20"/>
          <w:szCs w:val="20"/>
          <w:color w:val="auto"/>
        </w:rPr>
      </w:pPr>
    </w:p>
    <w:p>
      <w:pPr>
        <w:jc w:val="center"/>
        <w:ind w:right="20"/>
        <w:spacing w:after="0"/>
        <w:rPr>
          <w:sz w:val="20"/>
          <w:szCs w:val="20"/>
          <w:color w:val="auto"/>
        </w:rPr>
      </w:pPr>
      <w:r>
        <w:rPr>
          <w:rFonts w:ascii="Arial" w:cs="Arial" w:eastAsia="Arial" w:hAnsi="Arial"/>
          <w:sz w:val="18"/>
          <w:szCs w:val="18"/>
          <w:b w:val="1"/>
          <w:bCs w:val="1"/>
          <w:color w:val="auto"/>
        </w:rPr>
        <w:t>(Exact name of registrant as specified in its charter)</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2757805</wp:posOffset>
            </wp:positionH>
            <wp:positionV relativeFrom="paragraph">
              <wp:posOffset>167640</wp:posOffset>
            </wp:positionV>
            <wp:extent cx="1474470" cy="825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1474470" cy="8255"/>
                    </a:xfrm>
                    <a:prstGeom prst="rect">
                      <a:avLst/>
                    </a:prstGeom>
                    <a:noFill/>
                  </pic:spPr>
                </pic:pic>
              </a:graphicData>
            </a:graphic>
          </wp:anchor>
        </w:drawing>
      </w:r>
    </w:p>
    <w:p>
      <w:pPr>
        <w:sectPr>
          <w:pgSz w:w="11900" w:h="16838" w:orient="portrait"/>
          <w:cols w:equalWidth="0" w:num="1">
            <w:col w:w="11020"/>
          </w:cols>
          <w:pgMar w:left="440" w:top="98" w:right="439" w:bottom="1440" w:gutter="0" w:footer="0" w:header="0"/>
        </w:sectPr>
      </w:pPr>
    </w:p>
    <w:p>
      <w:pPr>
        <w:spacing w:after="0" w:line="200" w:lineRule="exact"/>
        <w:rPr>
          <w:sz w:val="20"/>
          <w:szCs w:val="20"/>
          <w:color w:val="auto"/>
        </w:rPr>
      </w:pPr>
    </w:p>
    <w:p>
      <w:pPr>
        <w:spacing w:after="0" w:line="248" w:lineRule="exact"/>
        <w:rPr>
          <w:sz w:val="20"/>
          <w:szCs w:val="20"/>
          <w:color w:val="auto"/>
        </w:rPr>
      </w:pPr>
    </w:p>
    <w:p>
      <w:pPr>
        <w:ind w:left="2420"/>
        <w:spacing w:after="0"/>
        <w:rPr>
          <w:sz w:val="20"/>
          <w:szCs w:val="20"/>
          <w:color w:val="auto"/>
        </w:rPr>
      </w:pPr>
      <w:r>
        <w:rPr>
          <w:rFonts w:ascii="Arial" w:cs="Arial" w:eastAsia="Arial" w:hAnsi="Arial"/>
          <w:sz w:val="16"/>
          <w:szCs w:val="16"/>
          <w:b w:val="1"/>
          <w:bCs w:val="1"/>
          <w:color w:val="auto"/>
        </w:rPr>
        <w:t>Bermuda</w:t>
      </w:r>
    </w:p>
    <w:p>
      <w:pPr>
        <w:spacing w:after="0" w:line="20" w:lineRule="exact"/>
        <w:rPr>
          <w:sz w:val="20"/>
          <w:szCs w:val="20"/>
          <w:color w:val="auto"/>
        </w:rPr>
      </w:pPr>
      <w:r>
        <w:rPr>
          <w:sz w:val="20"/>
          <w:szCs w:val="20"/>
          <w:color w:val="auto"/>
        </w:rPr>
        <w:br w:type="column"/>
      </w:r>
    </w:p>
    <w:p>
      <w:pPr>
        <w:spacing w:after="0" w:line="200" w:lineRule="exact"/>
        <w:rPr>
          <w:sz w:val="20"/>
          <w:szCs w:val="20"/>
          <w:color w:val="auto"/>
        </w:rPr>
      </w:pPr>
    </w:p>
    <w:p>
      <w:pPr>
        <w:spacing w:after="0" w:line="228" w:lineRule="exact"/>
        <w:rPr>
          <w:sz w:val="20"/>
          <w:szCs w:val="20"/>
          <w:color w:val="auto"/>
        </w:rPr>
      </w:pPr>
    </w:p>
    <w:p>
      <w:pPr>
        <w:spacing w:after="0"/>
        <w:rPr>
          <w:sz w:val="20"/>
          <w:szCs w:val="20"/>
          <w:color w:val="auto"/>
        </w:rPr>
      </w:pPr>
      <w:r>
        <w:rPr>
          <w:rFonts w:ascii="Arial" w:cs="Arial" w:eastAsia="Arial" w:hAnsi="Arial"/>
          <w:sz w:val="16"/>
          <w:szCs w:val="16"/>
          <w:b w:val="1"/>
          <w:bCs w:val="1"/>
          <w:color w:val="auto"/>
        </w:rPr>
        <w:t>77-0481679</w:t>
      </w:r>
    </w:p>
    <w:p>
      <w:pPr>
        <w:spacing w:after="0" w:line="31" w:lineRule="exact"/>
        <w:rPr>
          <w:sz w:val="20"/>
          <w:szCs w:val="20"/>
          <w:color w:val="auto"/>
        </w:rPr>
      </w:pPr>
    </w:p>
    <w:p>
      <w:pPr>
        <w:sectPr>
          <w:pgSz w:w="11900" w:h="16838" w:orient="portrait"/>
          <w:cols w:equalWidth="0" w:num="2">
            <w:col w:w="7180" w:space="720"/>
            <w:col w:w="3120"/>
          </w:cols>
          <w:pgMar w:left="440" w:top="98" w:right="439" w:bottom="1440" w:gutter="0" w:footer="0" w:header="0"/>
          <w:type w:val="continuous"/>
        </w:sectPr>
      </w:pPr>
    </w:p>
    <w:p>
      <w:pPr>
        <w:spacing w:after="0" w:line="12" w:lineRule="exact"/>
        <w:rPr>
          <w:sz w:val="20"/>
          <w:szCs w:val="20"/>
          <w:color w:val="auto"/>
        </w:rPr>
      </w:pPr>
    </w:p>
    <w:p>
      <w:pPr>
        <w:ind w:left="1880"/>
        <w:spacing w:after="0"/>
        <w:rPr>
          <w:sz w:val="20"/>
          <w:szCs w:val="20"/>
          <w:color w:val="auto"/>
        </w:rPr>
      </w:pPr>
      <w:r>
        <w:rPr>
          <w:rFonts w:ascii="Arial" w:cs="Arial" w:eastAsia="Arial" w:hAnsi="Arial"/>
          <w:sz w:val="13"/>
          <w:szCs w:val="13"/>
          <w:b w:val="1"/>
          <w:bCs w:val="1"/>
          <w:color w:val="auto"/>
        </w:rPr>
        <w:t>(State or other jurisdiction of</w:t>
      </w:r>
    </w:p>
    <w:p>
      <w:pPr>
        <w:ind w:left="1840"/>
        <w:spacing w:after="0"/>
        <w:rPr>
          <w:sz w:val="20"/>
          <w:szCs w:val="20"/>
          <w:color w:val="auto"/>
        </w:rPr>
      </w:pPr>
      <w:r>
        <w:rPr>
          <w:rFonts w:ascii="Arial" w:cs="Arial" w:eastAsia="Arial" w:hAnsi="Arial"/>
          <w:sz w:val="13"/>
          <w:szCs w:val="13"/>
          <w:b w:val="1"/>
          <w:bCs w:val="1"/>
          <w:color w:val="auto"/>
        </w:rPr>
        <w:t>incorporation or organization)</w:t>
      </w:r>
    </w:p>
    <w:p>
      <w:pPr>
        <w:spacing w:after="0" w:line="20" w:lineRule="exact"/>
        <w:rPr>
          <w:sz w:val="20"/>
          <w:szCs w:val="20"/>
          <w:color w:val="auto"/>
        </w:rPr>
      </w:pPr>
      <w:r>
        <w:rPr>
          <w:sz w:val="20"/>
          <w:szCs w:val="20"/>
          <w:color w:val="auto"/>
        </w:rPr>
        <w:br w:type="column"/>
      </w:r>
    </w:p>
    <w:p>
      <w:pPr>
        <w:ind w:left="40"/>
        <w:spacing w:after="0"/>
        <w:rPr>
          <w:sz w:val="20"/>
          <w:szCs w:val="20"/>
          <w:color w:val="auto"/>
        </w:rPr>
      </w:pPr>
      <w:r>
        <w:rPr>
          <w:rFonts w:ascii="Arial" w:cs="Arial" w:eastAsia="Arial" w:hAnsi="Arial"/>
          <w:sz w:val="14"/>
          <w:szCs w:val="14"/>
          <w:b w:val="1"/>
          <w:bCs w:val="1"/>
          <w:color w:val="auto"/>
        </w:rPr>
        <w:t>(I.R.S. Employer</w:t>
      </w:r>
    </w:p>
    <w:p>
      <w:pPr>
        <w:spacing w:after="0"/>
        <w:rPr>
          <w:sz w:val="20"/>
          <w:szCs w:val="20"/>
          <w:color w:val="auto"/>
        </w:rPr>
      </w:pPr>
      <w:r>
        <w:rPr>
          <w:rFonts w:ascii="Arial" w:cs="Arial" w:eastAsia="Arial" w:hAnsi="Arial"/>
          <w:sz w:val="13"/>
          <w:szCs w:val="13"/>
          <w:b w:val="1"/>
          <w:bCs w:val="1"/>
          <w:color w:val="auto"/>
        </w:rPr>
        <w:t>Identification No.)</w:t>
      </w:r>
    </w:p>
    <w:p>
      <w:pPr>
        <w:spacing w:after="0" w:line="149" w:lineRule="exact"/>
        <w:rPr>
          <w:sz w:val="20"/>
          <w:szCs w:val="20"/>
          <w:color w:val="auto"/>
        </w:rPr>
      </w:pPr>
    </w:p>
    <w:p>
      <w:pPr>
        <w:sectPr>
          <w:pgSz w:w="11900" w:h="16838" w:orient="portrait"/>
          <w:cols w:equalWidth="0" w:num="2">
            <w:col w:w="7060" w:space="720"/>
            <w:col w:w="3240"/>
          </w:cols>
          <w:pgMar w:left="440" w:top="98" w:right="439" w:bottom="1440" w:gutter="0" w:footer="0" w:header="0"/>
          <w:type w:val="continuous"/>
        </w:sectPr>
      </w:pPr>
    </w:p>
    <w:p>
      <w:pPr>
        <w:jc w:val="center"/>
        <w:ind w:right="20"/>
        <w:spacing w:after="0"/>
        <w:rPr>
          <w:sz w:val="20"/>
          <w:szCs w:val="20"/>
          <w:color w:val="auto"/>
        </w:rPr>
      </w:pPr>
      <w:r>
        <w:rPr>
          <w:rFonts w:ascii="Arial" w:cs="Arial" w:eastAsia="Arial" w:hAnsi="Arial"/>
          <w:sz w:val="18"/>
          <w:szCs w:val="18"/>
          <w:b w:val="1"/>
          <w:bCs w:val="1"/>
          <w:color w:val="auto"/>
        </w:rPr>
        <w:t>Victoria Place, 5</w:t>
      </w:r>
      <w:r>
        <w:rPr>
          <w:rFonts w:ascii="Arial" w:cs="Arial" w:eastAsia="Arial" w:hAnsi="Arial"/>
          <w:sz w:val="15"/>
          <w:szCs w:val="15"/>
          <w:b w:val="1"/>
          <w:bCs w:val="1"/>
          <w:color w:val="auto"/>
        </w:rPr>
        <w:t>th</w:t>
      </w:r>
      <w:r>
        <w:rPr>
          <w:rFonts w:ascii="Arial" w:cs="Arial" w:eastAsia="Arial" w:hAnsi="Arial"/>
          <w:sz w:val="18"/>
          <w:szCs w:val="18"/>
          <w:b w:val="1"/>
          <w:bCs w:val="1"/>
          <w:color w:val="auto"/>
        </w:rPr>
        <w:t xml:space="preserve"> Floor</w:t>
      </w:r>
    </w:p>
    <w:p>
      <w:pPr>
        <w:spacing w:after="0" w:line="27" w:lineRule="exact"/>
        <w:rPr>
          <w:sz w:val="20"/>
          <w:szCs w:val="20"/>
          <w:color w:val="auto"/>
        </w:rPr>
      </w:pPr>
    </w:p>
    <w:p>
      <w:pPr>
        <w:jc w:val="center"/>
        <w:ind w:right="20"/>
        <w:spacing w:after="0"/>
        <w:rPr>
          <w:sz w:val="20"/>
          <w:szCs w:val="20"/>
          <w:color w:val="auto"/>
        </w:rPr>
      </w:pPr>
      <w:r>
        <w:rPr>
          <w:rFonts w:ascii="Arial" w:cs="Arial" w:eastAsia="Arial" w:hAnsi="Arial"/>
          <w:sz w:val="18"/>
          <w:szCs w:val="18"/>
          <w:b w:val="1"/>
          <w:bCs w:val="1"/>
          <w:color w:val="auto"/>
        </w:rPr>
        <w:t>31 Victoria Street</w:t>
      </w:r>
    </w:p>
    <w:p>
      <w:pPr>
        <w:spacing w:after="0" w:line="9" w:lineRule="exact"/>
        <w:rPr>
          <w:sz w:val="20"/>
          <w:szCs w:val="20"/>
          <w:color w:val="auto"/>
        </w:rPr>
      </w:pPr>
    </w:p>
    <w:p>
      <w:pPr>
        <w:jc w:val="center"/>
        <w:ind w:right="20"/>
        <w:spacing w:after="0"/>
        <w:rPr>
          <w:sz w:val="20"/>
          <w:szCs w:val="20"/>
          <w:color w:val="auto"/>
        </w:rPr>
      </w:pPr>
      <w:r>
        <w:rPr>
          <w:rFonts w:ascii="Arial" w:cs="Arial" w:eastAsia="Arial" w:hAnsi="Arial"/>
          <w:sz w:val="18"/>
          <w:szCs w:val="18"/>
          <w:b w:val="1"/>
          <w:bCs w:val="1"/>
          <w:color w:val="auto"/>
        </w:rPr>
        <w:t>Hamilton HM 10</w:t>
      </w:r>
    </w:p>
    <w:p>
      <w:pPr>
        <w:spacing w:after="0" w:line="9" w:lineRule="exact"/>
        <w:rPr>
          <w:sz w:val="20"/>
          <w:szCs w:val="20"/>
          <w:color w:val="auto"/>
        </w:rPr>
      </w:pPr>
    </w:p>
    <w:p>
      <w:pPr>
        <w:jc w:val="center"/>
        <w:ind w:right="20"/>
        <w:spacing w:after="0"/>
        <w:rPr>
          <w:sz w:val="20"/>
          <w:szCs w:val="20"/>
          <w:color w:val="auto"/>
        </w:rPr>
      </w:pPr>
      <w:r>
        <w:rPr>
          <w:rFonts w:ascii="Arial" w:cs="Arial" w:eastAsia="Arial" w:hAnsi="Arial"/>
          <w:sz w:val="18"/>
          <w:szCs w:val="18"/>
          <w:b w:val="1"/>
          <w:bCs w:val="1"/>
          <w:color w:val="auto"/>
        </w:rPr>
        <w:t>Bermuda</w:t>
      </w:r>
    </w:p>
    <w:p>
      <w:pPr>
        <w:spacing w:after="0" w:line="2" w:lineRule="exact"/>
        <w:rPr>
          <w:sz w:val="20"/>
          <w:szCs w:val="20"/>
          <w:color w:val="auto"/>
        </w:rPr>
      </w:pPr>
    </w:p>
    <w:p>
      <w:pPr>
        <w:jc w:val="center"/>
        <w:ind w:right="20"/>
        <w:spacing w:after="0"/>
        <w:rPr>
          <w:sz w:val="20"/>
          <w:szCs w:val="20"/>
          <w:color w:val="auto"/>
        </w:rPr>
      </w:pPr>
      <w:r>
        <w:rPr>
          <w:rFonts w:ascii="Arial" w:cs="Arial" w:eastAsia="Arial" w:hAnsi="Arial"/>
          <w:sz w:val="12"/>
          <w:szCs w:val="12"/>
          <w:b w:val="1"/>
          <w:bCs w:val="1"/>
          <w:color w:val="auto"/>
        </w:rPr>
        <w:t>(Address of principal executive offices, including Zip Code)</w:t>
      </w:r>
    </w:p>
    <w:p>
      <w:pPr>
        <w:sectPr>
          <w:pgSz w:w="11900" w:h="16838" w:orient="portrait"/>
          <w:cols w:equalWidth="0" w:num="1">
            <w:col w:w="11020"/>
          </w:cols>
          <w:pgMar w:left="440" w:top="98" w:right="439" w:bottom="1440" w:gutter="0" w:footer="0" w:header="0"/>
          <w:type w:val="continuous"/>
        </w:sectPr>
      </w:pPr>
    </w:p>
    <w:p>
      <w:pPr>
        <w:spacing w:after="0" w:line="134" w:lineRule="exact"/>
        <w:rPr>
          <w:sz w:val="20"/>
          <w:szCs w:val="20"/>
          <w:color w:val="auto"/>
        </w:rPr>
      </w:pPr>
    </w:p>
    <w:p>
      <w:pPr>
        <w:jc w:val="center"/>
        <w:spacing w:after="0" w:line="254" w:lineRule="auto"/>
        <w:rPr>
          <w:sz w:val="20"/>
          <w:szCs w:val="20"/>
          <w:color w:val="auto"/>
        </w:rPr>
      </w:pPr>
      <w:r>
        <w:rPr>
          <w:rFonts w:ascii="Arial" w:cs="Arial" w:eastAsia="Arial" w:hAnsi="Arial"/>
          <w:sz w:val="18"/>
          <w:szCs w:val="18"/>
          <w:b w:val="1"/>
          <w:bCs w:val="1"/>
          <w:color w:val="auto"/>
        </w:rPr>
        <w:t>2000 Employee Stock Purchase Plan, as amended and restated Aquantia Corp. 2004 Equity Incentive Plan Aquantia Corp. 2015 Equity Incentive Plan Aquantia Corp. 2017 Equity Incentive Plan Cavium, Inc. 2016 Equity Incentive Plan Cavium, Inc. 2007 Equity Incentive Plan QLogic Corporation 2005 Performance Incentive Plan Marvell Technology Group Ltd. Amended and Restated 1995 Stock Option Plan</w:t>
      </w:r>
    </w:p>
    <w:p>
      <w:pPr>
        <w:spacing w:after="0" w:line="200" w:lineRule="exact"/>
        <w:rPr>
          <w:sz w:val="20"/>
          <w:szCs w:val="20"/>
          <w:color w:val="auto"/>
        </w:rPr>
      </w:pPr>
    </w:p>
    <w:p>
      <w:pPr>
        <w:spacing w:after="0" w:line="225" w:lineRule="exact"/>
        <w:rPr>
          <w:sz w:val="20"/>
          <w:szCs w:val="20"/>
          <w:color w:val="auto"/>
        </w:rPr>
      </w:pPr>
    </w:p>
    <w:p>
      <w:pPr>
        <w:jc w:val="center"/>
        <w:spacing w:after="0"/>
        <w:rPr>
          <w:sz w:val="20"/>
          <w:szCs w:val="20"/>
          <w:color w:val="auto"/>
        </w:rPr>
      </w:pPr>
      <w:r>
        <w:rPr>
          <w:rFonts w:ascii="Arial" w:cs="Arial" w:eastAsia="Arial" w:hAnsi="Arial"/>
          <w:sz w:val="14"/>
          <w:szCs w:val="14"/>
          <w:b w:val="1"/>
          <w:bCs w:val="1"/>
          <w:color w:val="auto"/>
        </w:rPr>
        <w:t>(Full title of the plans)</w:t>
      </w:r>
    </w:p>
    <w:p>
      <w:pPr>
        <w:spacing w:after="0" w:line="124"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Mitchell Gaynor</w:t>
      </w:r>
    </w:p>
    <w:p>
      <w:pPr>
        <w:spacing w:after="0" w:line="2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Executive Vice President, Chief Legal Officer and Secretary</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Semiconductor, Inc.</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5488 Marvell Lane</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Santa Clara, California 95054</w:t>
      </w:r>
    </w:p>
    <w:p>
      <w:pPr>
        <w:spacing w:after="0" w:line="2" w:lineRule="exact"/>
        <w:rPr>
          <w:sz w:val="20"/>
          <w:szCs w:val="20"/>
          <w:color w:val="auto"/>
        </w:rPr>
      </w:pPr>
    </w:p>
    <w:p>
      <w:pPr>
        <w:jc w:val="center"/>
        <w:spacing w:after="0"/>
        <w:rPr>
          <w:sz w:val="20"/>
          <w:szCs w:val="20"/>
          <w:color w:val="auto"/>
        </w:rPr>
      </w:pPr>
      <w:r>
        <w:rPr>
          <w:rFonts w:ascii="Arial" w:cs="Arial" w:eastAsia="Arial" w:hAnsi="Arial"/>
          <w:sz w:val="14"/>
          <w:szCs w:val="14"/>
          <w:b w:val="1"/>
          <w:bCs w:val="1"/>
          <w:color w:val="auto"/>
        </w:rPr>
        <w:t>(Name and address of agent for service)</w:t>
      </w:r>
    </w:p>
    <w:p>
      <w:pPr>
        <w:spacing w:after="0" w:line="124"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(408) 222-2500</w:t>
      </w:r>
    </w:p>
    <w:p>
      <w:pPr>
        <w:spacing w:after="0" w:line="21" w:lineRule="exact"/>
        <w:rPr>
          <w:sz w:val="20"/>
          <w:szCs w:val="20"/>
          <w:color w:val="auto"/>
        </w:rPr>
      </w:pPr>
    </w:p>
    <w:p>
      <w:pPr>
        <w:jc w:val="center"/>
        <w:spacing w:after="0"/>
        <w:rPr>
          <w:sz w:val="20"/>
          <w:szCs w:val="20"/>
          <w:color w:val="auto"/>
        </w:rPr>
      </w:pPr>
      <w:r>
        <w:rPr>
          <w:rFonts w:ascii="Arial" w:cs="Arial" w:eastAsia="Arial" w:hAnsi="Arial"/>
          <w:sz w:val="14"/>
          <w:szCs w:val="14"/>
          <w:b w:val="1"/>
          <w:bCs w:val="1"/>
          <w:color w:val="auto"/>
        </w:rPr>
        <w:t>(Telephone number, including area code, of agent for service)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2757805</wp:posOffset>
            </wp:positionH>
            <wp:positionV relativeFrom="paragraph">
              <wp:posOffset>159385</wp:posOffset>
            </wp:positionV>
            <wp:extent cx="1474470" cy="8255"/>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1474470" cy="8255"/>
                    </a:xfrm>
                    <a:prstGeom prst="rect">
                      <a:avLst/>
                    </a:prstGeom>
                    <a:noFill/>
                  </pic:spPr>
                </pic:pic>
              </a:graphicData>
            </a:graphic>
          </wp:anchor>
        </w:drawing>
      </w:r>
    </w:p>
    <w:p>
      <w:pPr>
        <w:spacing w:after="0" w:line="378" w:lineRule="exact"/>
        <w:rPr>
          <w:sz w:val="20"/>
          <w:szCs w:val="20"/>
          <w:color w:val="auto"/>
        </w:rPr>
      </w:pPr>
    </w:p>
    <w:p>
      <w:pPr>
        <w:ind w:right="100"/>
        <w:spacing w:after="0" w:line="263" w:lineRule="auto"/>
        <w:rPr>
          <w:sz w:val="20"/>
          <w:szCs w:val="20"/>
          <w:color w:val="auto"/>
        </w:rPr>
      </w:pPr>
      <w:r>
        <w:rPr>
          <w:rFonts w:ascii="Arial" w:cs="Arial" w:eastAsia="Arial" w:hAnsi="Arial"/>
          <w:sz w:val="18"/>
          <w:szCs w:val="18"/>
          <w:color w:val="auto"/>
        </w:rPr>
        <w:t>Indicate by check mark whether the registrant is a large accelerated filer, an accelerated filer, a non-accelerated filer, a smaller reporting company, or an emerging growth company. See the definitions of “large accelerated filer,” “accelerated filer,” “smaller reporting company” and “emerging growth company” in Rule 12b-2 of the Exchange Act.</w:t>
      </w:r>
    </w:p>
    <w:p>
      <w:pPr>
        <w:spacing w:after="0" w:line="83" w:lineRule="exact"/>
        <w:rPr>
          <w:sz w:val="20"/>
          <w:szCs w:val="20"/>
          <w:color w:val="auto"/>
        </w:rPr>
      </w:pPr>
    </w:p>
    <w:tbl>
      <w:tblPr>
        <w:tblLayout w:type="fixed"/>
        <w:tblInd w:w="0" w:type="dxa"/>
        <w:tblCellMar>
          <w:top w:w="0" w:type="dxa"/>
          <w:left w:w="0" w:type="dxa"/>
          <w:bottom w:w="0" w:type="dxa"/>
          <w:right w:w="0" w:type="dxa"/>
        </w:tblCellMar>
      </w:tblPr>
      <w:tr>
        <w:trPr>
          <w:trHeight w:val="283"/>
        </w:trPr>
        <w:tc>
          <w:tcPr>
            <w:tcW w:w="1800" w:type="dxa"/>
            <w:vAlign w:val="bottom"/>
          </w:tcPr>
          <w:p>
            <w:pPr>
              <w:spacing w:after="0"/>
              <w:rPr>
                <w:sz w:val="20"/>
                <w:szCs w:val="20"/>
                <w:color w:val="auto"/>
              </w:rPr>
            </w:pPr>
            <w:r>
              <w:rPr>
                <w:rFonts w:ascii="Arial" w:cs="Arial" w:eastAsia="Arial" w:hAnsi="Arial"/>
                <w:sz w:val="18"/>
                <w:szCs w:val="18"/>
                <w:color w:val="auto"/>
                <w:w w:val="99"/>
              </w:rPr>
              <w:t>Large accelerated filer</w:t>
            </w:r>
          </w:p>
        </w:tc>
        <w:tc>
          <w:tcPr>
            <w:tcW w:w="3520" w:type="dxa"/>
            <w:vAlign w:val="bottom"/>
          </w:tcPr>
          <w:p>
            <w:pPr>
              <w:ind w:left="200"/>
              <w:spacing w:after="0" w:line="181" w:lineRule="exact"/>
              <w:rPr>
                <w:sz w:val="20"/>
                <w:szCs w:val="20"/>
                <w:color w:val="auto"/>
              </w:rPr>
            </w:pPr>
            <w:r>
              <w:rPr>
                <w:rFonts w:ascii="MS PGothic" w:cs="MS PGothic" w:eastAsia="MS PGothic" w:hAnsi="MS PGothic"/>
                <w:sz w:val="18"/>
                <w:szCs w:val="18"/>
                <w:color w:val="auto"/>
              </w:rPr>
              <w:t>☒</w:t>
            </w:r>
          </w:p>
        </w:tc>
        <w:tc>
          <w:tcPr>
            <w:tcW w:w="5300" w:type="dxa"/>
            <w:vAlign w:val="bottom"/>
          </w:tcPr>
          <w:p>
            <w:pPr>
              <w:ind w:left="3160"/>
              <w:spacing w:after="0"/>
              <w:rPr>
                <w:sz w:val="20"/>
                <w:szCs w:val="20"/>
                <w:color w:val="auto"/>
              </w:rPr>
            </w:pPr>
            <w:r>
              <w:rPr>
                <w:rFonts w:ascii="Arial" w:cs="Arial" w:eastAsia="Arial" w:hAnsi="Arial"/>
                <w:sz w:val="18"/>
                <w:szCs w:val="18"/>
                <w:color w:val="auto"/>
              </w:rPr>
              <w:t>Accelerated filer</w:t>
            </w:r>
          </w:p>
        </w:tc>
        <w:tc>
          <w:tcPr>
            <w:tcW w:w="400" w:type="dxa"/>
            <w:vAlign w:val="bottom"/>
          </w:tcPr>
          <w:p>
            <w:pPr>
              <w:ind w:left="180"/>
              <w:spacing w:after="0" w:line="181" w:lineRule="exact"/>
              <w:rPr>
                <w:sz w:val="20"/>
                <w:szCs w:val="20"/>
                <w:color w:val="auto"/>
              </w:rPr>
            </w:pPr>
            <w:r>
              <w:rPr>
                <w:rFonts w:ascii="MS PGothic" w:cs="MS PGothic" w:eastAsia="MS PGothic" w:hAnsi="MS PGothic"/>
                <w:sz w:val="18"/>
                <w:szCs w:val="18"/>
                <w:color w:val="auto"/>
              </w:rPr>
              <w:t>☐</w:t>
            </w:r>
          </w:p>
        </w:tc>
      </w:tr>
      <w:tr>
        <w:trPr>
          <w:trHeight w:val="324"/>
        </w:trPr>
        <w:tc>
          <w:tcPr>
            <w:tcW w:w="1800" w:type="dxa"/>
            <w:vAlign w:val="bottom"/>
          </w:tcPr>
          <w:p>
            <w:pPr>
              <w:spacing w:after="0"/>
              <w:rPr>
                <w:sz w:val="20"/>
                <w:szCs w:val="20"/>
                <w:color w:val="auto"/>
              </w:rPr>
            </w:pPr>
            <w:r>
              <w:rPr>
                <w:rFonts w:ascii="Arial" w:cs="Arial" w:eastAsia="Arial" w:hAnsi="Arial"/>
                <w:sz w:val="18"/>
                <w:szCs w:val="18"/>
                <w:color w:val="auto"/>
              </w:rPr>
              <w:t>Non-accelerated filer</w:t>
            </w:r>
          </w:p>
        </w:tc>
        <w:tc>
          <w:tcPr>
            <w:tcW w:w="3520" w:type="dxa"/>
            <w:vAlign w:val="bottom"/>
          </w:tcPr>
          <w:p>
            <w:pPr>
              <w:ind w:left="200"/>
              <w:spacing w:after="0" w:line="181" w:lineRule="exact"/>
              <w:rPr>
                <w:sz w:val="20"/>
                <w:szCs w:val="20"/>
                <w:color w:val="auto"/>
              </w:rPr>
            </w:pPr>
            <w:r>
              <w:rPr>
                <w:rFonts w:ascii="MS PGothic" w:cs="MS PGothic" w:eastAsia="MS PGothic" w:hAnsi="MS PGothic"/>
                <w:sz w:val="18"/>
                <w:szCs w:val="18"/>
                <w:color w:val="auto"/>
              </w:rPr>
              <w:t>☐</w:t>
            </w:r>
          </w:p>
        </w:tc>
        <w:tc>
          <w:tcPr>
            <w:tcW w:w="5300" w:type="dxa"/>
            <w:vAlign w:val="bottom"/>
          </w:tcPr>
          <w:p>
            <w:pPr>
              <w:ind w:left="3160"/>
              <w:spacing w:after="0"/>
              <w:rPr>
                <w:sz w:val="20"/>
                <w:szCs w:val="20"/>
                <w:color w:val="auto"/>
              </w:rPr>
            </w:pPr>
            <w:r>
              <w:rPr>
                <w:rFonts w:ascii="Arial" w:cs="Arial" w:eastAsia="Arial" w:hAnsi="Arial"/>
                <w:sz w:val="18"/>
                <w:szCs w:val="18"/>
                <w:color w:val="auto"/>
                <w:w w:val="98"/>
              </w:rPr>
              <w:t>Smaller reporting company</w:t>
            </w:r>
          </w:p>
        </w:tc>
        <w:tc>
          <w:tcPr>
            <w:tcW w:w="400" w:type="dxa"/>
            <w:vAlign w:val="bottom"/>
          </w:tcPr>
          <w:p>
            <w:pPr>
              <w:ind w:left="180"/>
              <w:spacing w:after="0" w:line="181" w:lineRule="exact"/>
              <w:rPr>
                <w:sz w:val="20"/>
                <w:szCs w:val="20"/>
                <w:color w:val="auto"/>
              </w:rPr>
            </w:pPr>
            <w:r>
              <w:rPr>
                <w:rFonts w:ascii="MS PGothic" w:cs="MS PGothic" w:eastAsia="MS PGothic" w:hAnsi="MS PGothic"/>
                <w:sz w:val="18"/>
                <w:szCs w:val="18"/>
                <w:color w:val="auto"/>
              </w:rPr>
              <w:t>☐</w:t>
            </w:r>
          </w:p>
        </w:tc>
      </w:tr>
      <w:tr>
        <w:trPr>
          <w:trHeight w:val="324"/>
        </w:trPr>
        <w:tc>
          <w:tcPr>
            <w:tcW w:w="1800" w:type="dxa"/>
            <w:vAlign w:val="bottom"/>
          </w:tcPr>
          <w:p>
            <w:pPr>
              <w:spacing w:after="0"/>
              <w:rPr>
                <w:sz w:val="24"/>
                <w:szCs w:val="24"/>
                <w:color w:val="auto"/>
              </w:rPr>
            </w:pPr>
          </w:p>
        </w:tc>
        <w:tc>
          <w:tcPr>
            <w:tcW w:w="3520" w:type="dxa"/>
            <w:vAlign w:val="bottom"/>
          </w:tcPr>
          <w:p>
            <w:pPr>
              <w:spacing w:after="0"/>
              <w:rPr>
                <w:sz w:val="24"/>
                <w:szCs w:val="24"/>
                <w:color w:val="auto"/>
              </w:rPr>
            </w:pPr>
          </w:p>
        </w:tc>
        <w:tc>
          <w:tcPr>
            <w:tcW w:w="5300" w:type="dxa"/>
            <w:vAlign w:val="bottom"/>
          </w:tcPr>
          <w:p>
            <w:pPr>
              <w:ind w:left="3160"/>
              <w:spacing w:after="0"/>
              <w:rPr>
                <w:sz w:val="20"/>
                <w:szCs w:val="20"/>
                <w:color w:val="auto"/>
              </w:rPr>
            </w:pPr>
            <w:r>
              <w:rPr>
                <w:rFonts w:ascii="Arial" w:cs="Arial" w:eastAsia="Arial" w:hAnsi="Arial"/>
                <w:sz w:val="18"/>
                <w:szCs w:val="18"/>
                <w:color w:val="auto"/>
                <w:w w:val="99"/>
              </w:rPr>
              <w:t>Emerging growth company</w:t>
            </w:r>
          </w:p>
        </w:tc>
        <w:tc>
          <w:tcPr>
            <w:tcW w:w="400" w:type="dxa"/>
            <w:vAlign w:val="bottom"/>
          </w:tcPr>
          <w:p>
            <w:pPr>
              <w:ind w:left="180"/>
              <w:spacing w:after="0" w:line="181" w:lineRule="exact"/>
              <w:rPr>
                <w:sz w:val="20"/>
                <w:szCs w:val="20"/>
                <w:color w:val="auto"/>
              </w:rPr>
            </w:pPr>
            <w:r>
              <w:rPr>
                <w:rFonts w:ascii="MS PGothic" w:cs="MS PGothic" w:eastAsia="MS PGothic" w:hAnsi="MS PGothic"/>
                <w:sz w:val="18"/>
                <w:szCs w:val="18"/>
                <w:color w:val="auto"/>
              </w:rPr>
              <w:t>☐</w:t>
            </w:r>
          </w:p>
        </w:tc>
      </w:tr>
      <w:tr>
        <w:trPr>
          <w:trHeight w:val="209"/>
        </w:trPr>
        <w:tc>
          <w:tcPr>
            <w:tcW w:w="1800" w:type="dxa"/>
            <w:vAlign w:val="bottom"/>
            <w:tcBorders>
              <w:bottom w:val="single" w:sz="8" w:color="auto"/>
            </w:tcBorders>
          </w:tcPr>
          <w:p>
            <w:pPr>
              <w:spacing w:after="0"/>
              <w:rPr>
                <w:sz w:val="18"/>
                <w:szCs w:val="18"/>
                <w:color w:val="auto"/>
              </w:rPr>
            </w:pPr>
          </w:p>
        </w:tc>
        <w:tc>
          <w:tcPr>
            <w:tcW w:w="3520" w:type="dxa"/>
            <w:vAlign w:val="bottom"/>
            <w:tcBorders>
              <w:bottom w:val="single" w:sz="8" w:color="auto"/>
            </w:tcBorders>
          </w:tcPr>
          <w:p>
            <w:pPr>
              <w:spacing w:after="0"/>
              <w:rPr>
                <w:sz w:val="18"/>
                <w:szCs w:val="18"/>
                <w:color w:val="auto"/>
              </w:rPr>
            </w:pPr>
          </w:p>
        </w:tc>
        <w:tc>
          <w:tcPr>
            <w:tcW w:w="5300" w:type="dxa"/>
            <w:vAlign w:val="bottom"/>
            <w:tcBorders>
              <w:bottom w:val="single" w:sz="8" w:color="auto"/>
            </w:tcBorders>
          </w:tcPr>
          <w:p>
            <w:pPr>
              <w:spacing w:after="0"/>
              <w:rPr>
                <w:sz w:val="18"/>
                <w:szCs w:val="18"/>
                <w:color w:val="auto"/>
              </w:rPr>
            </w:pPr>
          </w:p>
        </w:tc>
        <w:tc>
          <w:tcPr>
            <w:tcW w:w="400" w:type="dxa"/>
            <w:vAlign w:val="bottom"/>
            <w:tcBorders>
              <w:bottom w:val="single" w:sz="8" w:color="auto"/>
            </w:tcBorders>
          </w:tcPr>
          <w:p>
            <w:pPr>
              <w:spacing w:after="0"/>
              <w:rPr>
                <w:sz w:val="18"/>
                <w:szCs w:val="18"/>
                <w:color w:val="auto"/>
              </w:rPr>
            </w:pPr>
          </w:p>
        </w:tc>
      </w:tr>
      <w:tr>
        <w:trPr>
          <w:trHeight w:val="48"/>
        </w:trPr>
        <w:tc>
          <w:tcPr>
            <w:tcW w:w="1800" w:type="dxa"/>
            <w:vAlign w:val="bottom"/>
            <w:tcBorders>
              <w:bottom w:val="single" w:sz="8" w:color="auto"/>
            </w:tcBorders>
          </w:tcPr>
          <w:p>
            <w:pPr>
              <w:spacing w:after="0"/>
              <w:rPr>
                <w:sz w:val="4"/>
                <w:szCs w:val="4"/>
                <w:color w:val="auto"/>
              </w:rPr>
            </w:pPr>
          </w:p>
        </w:tc>
        <w:tc>
          <w:tcPr>
            <w:tcW w:w="3520" w:type="dxa"/>
            <w:vAlign w:val="bottom"/>
            <w:tcBorders>
              <w:bottom w:val="single" w:sz="8" w:color="auto"/>
            </w:tcBorders>
          </w:tcPr>
          <w:p>
            <w:pPr>
              <w:spacing w:after="0"/>
              <w:rPr>
                <w:sz w:val="4"/>
                <w:szCs w:val="4"/>
                <w:color w:val="auto"/>
              </w:rPr>
            </w:pPr>
          </w:p>
        </w:tc>
        <w:tc>
          <w:tcPr>
            <w:tcW w:w="5300" w:type="dxa"/>
            <w:vAlign w:val="bottom"/>
            <w:tcBorders>
              <w:bottom w:val="single" w:sz="8" w:color="auto"/>
            </w:tcBorders>
          </w:tcPr>
          <w:p>
            <w:pPr>
              <w:spacing w:after="0"/>
              <w:rPr>
                <w:sz w:val="4"/>
                <w:szCs w:val="4"/>
                <w:color w:val="auto"/>
              </w:rPr>
            </w:pPr>
          </w:p>
        </w:tc>
        <w:tc>
          <w:tcPr>
            <w:tcW w:w="400" w:type="dxa"/>
            <w:vAlign w:val="bottom"/>
            <w:tcBorders>
              <w:bottom w:val="single" w:sz="8" w:color="auto"/>
            </w:tcBorders>
          </w:tcPr>
          <w:p>
            <w:pPr>
              <w:spacing w:after="0"/>
              <w:rPr>
                <w:sz w:val="4"/>
                <w:szCs w:val="4"/>
                <w:color w:val="auto"/>
              </w:rPr>
            </w:pPr>
          </w:p>
        </w:tc>
      </w:tr>
    </w:tbl>
    <w:p>
      <w:pPr>
        <w:sectPr>
          <w:pgSz w:w="11900" w:h="16838" w:orient="portrait"/>
          <w:cols w:equalWidth="0" w:num="1">
            <w:col w:w="11020"/>
          </w:cols>
          <w:pgMar w:left="440" w:top="98" w:right="439" w:bottom="1440" w:gutter="0" w:footer="0" w:header="0"/>
          <w:type w:val="continuous"/>
        </w:sectPr>
      </w:pPr>
    </w:p>
    <w:bookmarkStart w:id="2" w:name="page3"/>
    <w:bookmarkEnd w:id="2"/>
    <w:p>
      <w:pPr>
        <w:jc w:val="center"/>
        <w:ind w:right="-19"/>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7174865" cy="38100"/>
                    </a:xfrm>
                    <a:prstGeom prst="rect">
                      <a:avLst/>
                    </a:prstGeom>
                    <a:noFill/>
                  </pic:spPr>
                </pic:pic>
              </a:graphicData>
            </a:graphic>
          </wp:anchor>
        </w:drawing>
        <w:t>DEREGISTRATION OF UNSOLD SECURITIES</w:t>
      </w:r>
    </w:p>
    <w:p>
      <w:pPr>
        <w:spacing w:after="0" w:line="229" w:lineRule="exact"/>
        <w:rPr>
          <w:sz w:val="20"/>
          <w:szCs w:val="20"/>
          <w:color w:val="auto"/>
        </w:rPr>
      </w:pPr>
    </w:p>
    <w:p>
      <w:pPr>
        <w:ind w:right="60"/>
        <w:spacing w:after="0" w:line="263" w:lineRule="auto"/>
        <w:rPr>
          <w:sz w:val="20"/>
          <w:szCs w:val="20"/>
          <w:color w:val="auto"/>
        </w:rPr>
      </w:pPr>
      <w:r>
        <w:rPr>
          <w:rFonts w:ascii="Arial" w:cs="Arial" w:eastAsia="Arial" w:hAnsi="Arial"/>
          <w:sz w:val="18"/>
          <w:szCs w:val="18"/>
          <w:color w:val="auto"/>
        </w:rPr>
        <w:t>This Post-Effective Amendment No. 1, filed by Marvell Technology Group Ltd., a Bermuda exempted company (“Marvell” or the “Registrant”), relates to the following Registration Statements on Form S-8 (collectively, the “Registration Statements”), previously filed with the U.S. Securities and Exchange Commission (the “SEC”) by Marvell:</w:t>
      </w:r>
    </w:p>
    <w:p>
      <w:pPr>
        <w:spacing w:after="0" w:line="89" w:lineRule="exact"/>
        <w:rPr>
          <w:sz w:val="20"/>
          <w:szCs w:val="20"/>
          <w:color w:val="auto"/>
        </w:rPr>
      </w:pPr>
    </w:p>
    <w:p>
      <w:pPr>
        <w:jc w:val="both"/>
        <w:ind w:left="960" w:right="140" w:hanging="424"/>
        <w:spacing w:after="0" w:line="263" w:lineRule="auto"/>
        <w:tabs>
          <w:tab w:leader="none" w:pos="960" w:val="left"/>
        </w:tabs>
        <w:numPr>
          <w:ilvl w:val="0"/>
          <w:numId w:val="1"/>
        </w:numPr>
        <w:rPr>
          <w:rFonts w:ascii="Arial" w:cs="Arial" w:eastAsia="Arial" w:hAnsi="Arial"/>
          <w:sz w:val="18"/>
          <w:szCs w:val="18"/>
          <w:color w:val="0000EE"/>
        </w:rPr>
      </w:pPr>
      <w:hyperlink r:id="rId15">
        <w:r>
          <w:rPr>
            <w:rFonts w:ascii="Arial" w:cs="Arial" w:eastAsia="Arial" w:hAnsi="Arial"/>
            <w:sz w:val="18"/>
            <w:szCs w:val="18"/>
            <w:u w:val="single" w:color="auto"/>
            <w:color w:val="0000EE"/>
          </w:rPr>
          <w:t>Registration No. 333-254356</w:t>
        </w:r>
      </w:hyperlink>
      <w:r>
        <w:rPr>
          <w:rFonts w:ascii="Arial" w:cs="Arial" w:eastAsia="Arial" w:hAnsi="Arial"/>
          <w:sz w:val="18"/>
          <w:szCs w:val="18"/>
          <w:color w:val="000000"/>
        </w:rPr>
        <w:t>,</w:t>
      </w:r>
      <w:r>
        <w:rPr>
          <w:rFonts w:ascii="Arial" w:cs="Arial" w:eastAsia="Arial" w:hAnsi="Arial"/>
          <w:sz w:val="18"/>
          <w:szCs w:val="18"/>
          <w:color w:val="0000EE"/>
        </w:rPr>
        <w:t xml:space="preserve"> </w:t>
      </w:r>
      <w:r>
        <w:rPr>
          <w:rFonts w:ascii="Arial" w:cs="Arial" w:eastAsia="Arial" w:hAnsi="Arial"/>
          <w:sz w:val="18"/>
          <w:szCs w:val="18"/>
          <w:color w:val="000000"/>
        </w:rPr>
        <w:t>filed with the SEC on March 16, 2021, registering 8,000,000 common shares of Marvell, par value $0.002</w:t>
      </w:r>
      <w:r>
        <w:rPr>
          <w:rFonts w:ascii="Arial" w:cs="Arial" w:eastAsia="Arial" w:hAnsi="Arial"/>
          <w:sz w:val="18"/>
          <w:szCs w:val="18"/>
          <w:color w:val="0000EE"/>
        </w:rPr>
        <w:t xml:space="preserve"> </w:t>
      </w:r>
      <w:r>
        <w:rPr>
          <w:rFonts w:ascii="Arial" w:cs="Arial" w:eastAsia="Arial" w:hAnsi="Arial"/>
          <w:sz w:val="18"/>
          <w:szCs w:val="18"/>
          <w:color w:val="000000"/>
        </w:rPr>
        <w:t>per share (“Common Shares”), under the Marvell Technology Group Ltd. 2000 Employee Stock Purchase Plan, as amended and restated (the “2000 ESPP”);</w:t>
      </w:r>
    </w:p>
    <w:p>
      <w:pPr>
        <w:spacing w:after="0" w:line="89" w:lineRule="exact"/>
        <w:rPr>
          <w:rFonts w:ascii="Arial" w:cs="Arial" w:eastAsia="Arial" w:hAnsi="Arial"/>
          <w:sz w:val="18"/>
          <w:szCs w:val="18"/>
          <w:color w:val="0000EE"/>
        </w:rPr>
      </w:pPr>
    </w:p>
    <w:p>
      <w:pPr>
        <w:ind w:left="960" w:hanging="424"/>
        <w:spacing w:after="0"/>
        <w:tabs>
          <w:tab w:leader="none" w:pos="960" w:val="left"/>
        </w:tabs>
        <w:numPr>
          <w:ilvl w:val="0"/>
          <w:numId w:val="1"/>
        </w:numPr>
        <w:rPr>
          <w:rFonts w:ascii="Arial" w:cs="Arial" w:eastAsia="Arial" w:hAnsi="Arial"/>
          <w:sz w:val="17"/>
          <w:szCs w:val="17"/>
          <w:color w:val="0000EE"/>
        </w:rPr>
      </w:pPr>
      <w:hyperlink r:id="rId16">
        <w:r>
          <w:rPr>
            <w:rFonts w:ascii="Arial" w:cs="Arial" w:eastAsia="Arial" w:hAnsi="Arial"/>
            <w:sz w:val="17"/>
            <w:szCs w:val="17"/>
            <w:u w:val="single" w:color="auto"/>
            <w:color w:val="0000EE"/>
          </w:rPr>
          <w:t>Registration No. 333-237333</w:t>
        </w:r>
      </w:hyperlink>
      <w:r>
        <w:rPr>
          <w:rFonts w:ascii="Arial" w:cs="Arial" w:eastAsia="Arial" w:hAnsi="Arial"/>
          <w:sz w:val="17"/>
          <w:szCs w:val="17"/>
          <w:color w:val="000000"/>
        </w:rPr>
        <w:t>,</w:t>
      </w:r>
      <w:r>
        <w:rPr>
          <w:rFonts w:ascii="Arial" w:cs="Arial" w:eastAsia="Arial" w:hAnsi="Arial"/>
          <w:sz w:val="17"/>
          <w:szCs w:val="17"/>
          <w:color w:val="0000EE"/>
        </w:rPr>
        <w:t xml:space="preserve"> </w:t>
      </w:r>
      <w:r>
        <w:rPr>
          <w:rFonts w:ascii="Arial" w:cs="Arial" w:eastAsia="Arial" w:hAnsi="Arial"/>
          <w:sz w:val="17"/>
          <w:szCs w:val="17"/>
          <w:color w:val="000000"/>
        </w:rPr>
        <w:t>filed with the SEC on March 23, 2020, registering 8,000,000 Common Shares under the 2000 ESPP;</w:t>
      </w:r>
    </w:p>
    <w:p>
      <w:pPr>
        <w:spacing w:after="0" w:line="142" w:lineRule="exact"/>
        <w:rPr>
          <w:rFonts w:ascii="Arial" w:cs="Arial" w:eastAsia="Arial" w:hAnsi="Arial"/>
          <w:sz w:val="17"/>
          <w:szCs w:val="17"/>
          <w:color w:val="0000EE"/>
        </w:rPr>
      </w:pPr>
    </w:p>
    <w:p>
      <w:pPr>
        <w:ind w:left="960" w:hanging="424"/>
        <w:spacing w:after="0" w:line="308" w:lineRule="auto"/>
        <w:tabs>
          <w:tab w:leader="none" w:pos="960" w:val="left"/>
        </w:tabs>
        <w:numPr>
          <w:ilvl w:val="0"/>
          <w:numId w:val="1"/>
        </w:numPr>
        <w:rPr>
          <w:rFonts w:ascii="Arial" w:cs="Arial" w:eastAsia="Arial" w:hAnsi="Arial"/>
          <w:sz w:val="17"/>
          <w:szCs w:val="17"/>
          <w:color w:val="0000EE"/>
        </w:rPr>
      </w:pPr>
      <w:hyperlink r:id="rId17">
        <w:r>
          <w:rPr>
            <w:rFonts w:ascii="Arial" w:cs="Arial" w:eastAsia="Arial" w:hAnsi="Arial"/>
            <w:sz w:val="17"/>
            <w:szCs w:val="17"/>
            <w:u w:val="single" w:color="auto"/>
            <w:color w:val="0000EE"/>
          </w:rPr>
          <w:t>Registration No. 333-233851</w:t>
        </w:r>
      </w:hyperlink>
      <w:r>
        <w:rPr>
          <w:rFonts w:ascii="Arial" w:cs="Arial" w:eastAsia="Arial" w:hAnsi="Arial"/>
          <w:sz w:val="17"/>
          <w:szCs w:val="17"/>
          <w:color w:val="000000"/>
        </w:rPr>
        <w:t>,</w:t>
      </w:r>
      <w:r>
        <w:rPr>
          <w:rFonts w:ascii="Arial" w:cs="Arial" w:eastAsia="Arial" w:hAnsi="Arial"/>
          <w:sz w:val="17"/>
          <w:szCs w:val="17"/>
          <w:color w:val="0000EE"/>
        </w:rPr>
        <w:t xml:space="preserve"> </w:t>
      </w:r>
      <w:r>
        <w:rPr>
          <w:rFonts w:ascii="Arial" w:cs="Arial" w:eastAsia="Arial" w:hAnsi="Arial"/>
          <w:sz w:val="17"/>
          <w:szCs w:val="17"/>
          <w:color w:val="000000"/>
        </w:rPr>
        <w:t>filed with the SEC on September 19, 2019, registering 2,128,823 Common Shares under the Aquantia Corp.</w:t>
      </w:r>
      <w:r>
        <w:rPr>
          <w:rFonts w:ascii="Arial" w:cs="Arial" w:eastAsia="Arial" w:hAnsi="Arial"/>
          <w:sz w:val="17"/>
          <w:szCs w:val="17"/>
          <w:color w:val="0000EE"/>
        </w:rPr>
        <w:t xml:space="preserve"> </w:t>
      </w:r>
      <w:r>
        <w:rPr>
          <w:rFonts w:ascii="Arial" w:cs="Arial" w:eastAsia="Arial" w:hAnsi="Arial"/>
          <w:sz w:val="17"/>
          <w:szCs w:val="17"/>
          <w:color w:val="000000"/>
        </w:rPr>
        <w:t>2004 Equity Incentive Plan, the Aquantia Corp. 2015 Equity Incentive Plan and the Aquantia Corp. 2017 Equity Incentive Plan;</w:t>
      </w:r>
    </w:p>
    <w:p>
      <w:pPr>
        <w:spacing w:after="0" w:line="51" w:lineRule="exact"/>
        <w:rPr>
          <w:rFonts w:ascii="Arial" w:cs="Arial" w:eastAsia="Arial" w:hAnsi="Arial"/>
          <w:sz w:val="17"/>
          <w:szCs w:val="17"/>
          <w:color w:val="0000EE"/>
        </w:rPr>
      </w:pPr>
    </w:p>
    <w:p>
      <w:pPr>
        <w:ind w:left="960" w:hanging="424"/>
        <w:spacing w:after="0"/>
        <w:tabs>
          <w:tab w:leader="none" w:pos="960" w:val="left"/>
        </w:tabs>
        <w:numPr>
          <w:ilvl w:val="0"/>
          <w:numId w:val="1"/>
        </w:numPr>
        <w:rPr>
          <w:rFonts w:ascii="Arial" w:cs="Arial" w:eastAsia="Arial" w:hAnsi="Arial"/>
          <w:sz w:val="17"/>
          <w:szCs w:val="17"/>
          <w:color w:val="0000EE"/>
        </w:rPr>
      </w:pPr>
      <w:hyperlink r:id="rId18">
        <w:r>
          <w:rPr>
            <w:rFonts w:ascii="Arial" w:cs="Arial" w:eastAsia="Arial" w:hAnsi="Arial"/>
            <w:sz w:val="17"/>
            <w:szCs w:val="17"/>
            <w:u w:val="single" w:color="auto"/>
            <w:color w:val="0000EE"/>
          </w:rPr>
          <w:t>Registration No. 333-230616</w:t>
        </w:r>
      </w:hyperlink>
      <w:r>
        <w:rPr>
          <w:rFonts w:ascii="Arial" w:cs="Arial" w:eastAsia="Arial" w:hAnsi="Arial"/>
          <w:sz w:val="17"/>
          <w:szCs w:val="17"/>
          <w:color w:val="000000"/>
        </w:rPr>
        <w:t>,</w:t>
      </w:r>
      <w:r>
        <w:rPr>
          <w:rFonts w:ascii="Arial" w:cs="Arial" w:eastAsia="Arial" w:hAnsi="Arial"/>
          <w:sz w:val="17"/>
          <w:szCs w:val="17"/>
          <w:color w:val="0000EE"/>
        </w:rPr>
        <w:t xml:space="preserve"> </w:t>
      </w:r>
      <w:r>
        <w:rPr>
          <w:rFonts w:ascii="Arial" w:cs="Arial" w:eastAsia="Arial" w:hAnsi="Arial"/>
          <w:sz w:val="17"/>
          <w:szCs w:val="17"/>
          <w:color w:val="000000"/>
        </w:rPr>
        <w:t>filed with the SEC on March 29, 2019, registering 8,000,000 Common Shares under the 2000 ESPP;</w:t>
      </w:r>
    </w:p>
    <w:p>
      <w:pPr>
        <w:spacing w:after="0" w:line="142" w:lineRule="exact"/>
        <w:rPr>
          <w:rFonts w:ascii="Arial" w:cs="Arial" w:eastAsia="Arial" w:hAnsi="Arial"/>
          <w:sz w:val="17"/>
          <w:szCs w:val="17"/>
          <w:color w:val="0000EE"/>
        </w:rPr>
      </w:pPr>
    </w:p>
    <w:p>
      <w:pPr>
        <w:ind w:left="960" w:right="240" w:hanging="424"/>
        <w:spacing w:after="0" w:line="308" w:lineRule="auto"/>
        <w:tabs>
          <w:tab w:leader="none" w:pos="960" w:val="left"/>
        </w:tabs>
        <w:numPr>
          <w:ilvl w:val="0"/>
          <w:numId w:val="1"/>
        </w:numPr>
        <w:rPr>
          <w:rFonts w:ascii="Arial" w:cs="Arial" w:eastAsia="Arial" w:hAnsi="Arial"/>
          <w:sz w:val="17"/>
          <w:szCs w:val="17"/>
          <w:color w:val="0000EE"/>
        </w:rPr>
      </w:pPr>
      <w:hyperlink r:id="rId19">
        <w:r>
          <w:rPr>
            <w:rFonts w:ascii="Arial" w:cs="Arial" w:eastAsia="Arial" w:hAnsi="Arial"/>
            <w:sz w:val="17"/>
            <w:szCs w:val="17"/>
            <w:u w:val="single" w:color="auto"/>
            <w:color w:val="0000EE"/>
          </w:rPr>
          <w:t>Registration No. 333-226085</w:t>
        </w:r>
      </w:hyperlink>
      <w:r>
        <w:rPr>
          <w:rFonts w:ascii="Arial" w:cs="Arial" w:eastAsia="Arial" w:hAnsi="Arial"/>
          <w:sz w:val="17"/>
          <w:szCs w:val="17"/>
          <w:color w:val="000000"/>
        </w:rPr>
        <w:t>,</w:t>
      </w:r>
      <w:r>
        <w:rPr>
          <w:rFonts w:ascii="Arial" w:cs="Arial" w:eastAsia="Arial" w:hAnsi="Arial"/>
          <w:sz w:val="17"/>
          <w:szCs w:val="17"/>
          <w:color w:val="0000EE"/>
        </w:rPr>
        <w:t xml:space="preserve"> </w:t>
      </w:r>
      <w:r>
        <w:rPr>
          <w:rFonts w:ascii="Arial" w:cs="Arial" w:eastAsia="Arial" w:hAnsi="Arial"/>
          <w:sz w:val="17"/>
          <w:szCs w:val="17"/>
          <w:color w:val="000000"/>
        </w:rPr>
        <w:t>filed with the SEC on July 6, 2018, registering 15,824,555 Common Shares under the Cavium, Inc. 2016</w:t>
      </w:r>
      <w:r>
        <w:rPr>
          <w:rFonts w:ascii="Arial" w:cs="Arial" w:eastAsia="Arial" w:hAnsi="Arial"/>
          <w:sz w:val="17"/>
          <w:szCs w:val="17"/>
          <w:color w:val="0000EE"/>
        </w:rPr>
        <w:t xml:space="preserve"> </w:t>
      </w:r>
      <w:r>
        <w:rPr>
          <w:rFonts w:ascii="Arial" w:cs="Arial" w:eastAsia="Arial" w:hAnsi="Arial"/>
          <w:sz w:val="17"/>
          <w:szCs w:val="17"/>
          <w:color w:val="000000"/>
        </w:rPr>
        <w:t>Equity Incentive Plan, Cavium, Inc. 2007 Equity Incentive Plan and QLogic Corporation 2005 Performance Incentive Plan;</w:t>
      </w:r>
    </w:p>
    <w:p>
      <w:pPr>
        <w:spacing w:after="0" w:line="51" w:lineRule="exact"/>
        <w:rPr>
          <w:rFonts w:ascii="Arial" w:cs="Arial" w:eastAsia="Arial" w:hAnsi="Arial"/>
          <w:sz w:val="17"/>
          <w:szCs w:val="17"/>
          <w:color w:val="0000EE"/>
        </w:rPr>
      </w:pPr>
    </w:p>
    <w:p>
      <w:pPr>
        <w:ind w:left="960" w:hanging="424"/>
        <w:spacing w:after="0"/>
        <w:tabs>
          <w:tab w:leader="none" w:pos="960" w:val="left"/>
        </w:tabs>
        <w:numPr>
          <w:ilvl w:val="0"/>
          <w:numId w:val="1"/>
        </w:numPr>
        <w:rPr>
          <w:rFonts w:ascii="Arial" w:cs="Arial" w:eastAsia="Arial" w:hAnsi="Arial"/>
          <w:sz w:val="17"/>
          <w:szCs w:val="17"/>
          <w:color w:val="0000EE"/>
        </w:rPr>
      </w:pPr>
      <w:hyperlink r:id="rId20">
        <w:r>
          <w:rPr>
            <w:rFonts w:ascii="Arial" w:cs="Arial" w:eastAsia="Arial" w:hAnsi="Arial"/>
            <w:sz w:val="17"/>
            <w:szCs w:val="17"/>
            <w:u w:val="single" w:color="auto"/>
            <w:color w:val="0000EE"/>
          </w:rPr>
          <w:t>Registration No. 333-224015</w:t>
        </w:r>
      </w:hyperlink>
      <w:r>
        <w:rPr>
          <w:rFonts w:ascii="Arial" w:cs="Arial" w:eastAsia="Arial" w:hAnsi="Arial"/>
          <w:sz w:val="17"/>
          <w:szCs w:val="17"/>
          <w:color w:val="000000"/>
        </w:rPr>
        <w:t>,</w:t>
      </w:r>
      <w:r>
        <w:rPr>
          <w:rFonts w:ascii="Arial" w:cs="Arial" w:eastAsia="Arial" w:hAnsi="Arial"/>
          <w:sz w:val="17"/>
          <w:szCs w:val="17"/>
          <w:color w:val="0000EE"/>
        </w:rPr>
        <w:t xml:space="preserve"> </w:t>
      </w:r>
      <w:r>
        <w:rPr>
          <w:rFonts w:ascii="Arial" w:cs="Arial" w:eastAsia="Arial" w:hAnsi="Arial"/>
          <w:sz w:val="17"/>
          <w:szCs w:val="17"/>
          <w:color w:val="000000"/>
        </w:rPr>
        <w:t>filed with the SEC on March 29, 2018, registering 7,425,413 Common Shares under the 2000 ESPP;</w:t>
      </w:r>
    </w:p>
    <w:p>
      <w:pPr>
        <w:spacing w:after="0" w:line="142" w:lineRule="exact"/>
        <w:rPr>
          <w:rFonts w:ascii="Arial" w:cs="Arial" w:eastAsia="Arial" w:hAnsi="Arial"/>
          <w:sz w:val="17"/>
          <w:szCs w:val="17"/>
          <w:color w:val="0000EE"/>
        </w:rPr>
      </w:pPr>
    </w:p>
    <w:p>
      <w:pPr>
        <w:ind w:left="960" w:hanging="424"/>
        <w:spacing w:after="0"/>
        <w:tabs>
          <w:tab w:leader="none" w:pos="960" w:val="left"/>
        </w:tabs>
        <w:numPr>
          <w:ilvl w:val="0"/>
          <w:numId w:val="1"/>
        </w:numPr>
        <w:rPr>
          <w:rFonts w:ascii="Arial" w:cs="Arial" w:eastAsia="Arial" w:hAnsi="Arial"/>
          <w:sz w:val="17"/>
          <w:szCs w:val="17"/>
          <w:color w:val="0000EE"/>
        </w:rPr>
      </w:pPr>
      <w:hyperlink r:id="rId21">
        <w:r>
          <w:rPr>
            <w:rFonts w:ascii="Arial" w:cs="Arial" w:eastAsia="Arial" w:hAnsi="Arial"/>
            <w:sz w:val="17"/>
            <w:szCs w:val="17"/>
            <w:u w:val="single" w:color="auto"/>
            <w:color w:val="0000EE"/>
          </w:rPr>
          <w:t>Registration No. 333-217004</w:t>
        </w:r>
      </w:hyperlink>
      <w:r>
        <w:rPr>
          <w:rFonts w:ascii="Arial" w:cs="Arial" w:eastAsia="Arial" w:hAnsi="Arial"/>
          <w:sz w:val="17"/>
          <w:szCs w:val="17"/>
          <w:color w:val="000000"/>
        </w:rPr>
        <w:t>,</w:t>
      </w:r>
      <w:r>
        <w:rPr>
          <w:rFonts w:ascii="Arial" w:cs="Arial" w:eastAsia="Arial" w:hAnsi="Arial"/>
          <w:sz w:val="17"/>
          <w:szCs w:val="17"/>
          <w:color w:val="0000EE"/>
        </w:rPr>
        <w:t xml:space="preserve"> </w:t>
      </w:r>
      <w:r>
        <w:rPr>
          <w:rFonts w:ascii="Arial" w:cs="Arial" w:eastAsia="Arial" w:hAnsi="Arial"/>
          <w:sz w:val="17"/>
          <w:szCs w:val="17"/>
          <w:color w:val="000000"/>
        </w:rPr>
        <w:t>filed with the SEC on March 29, 2017, registering 7,616,626 Common Shares under the 2000 ESPP;</w:t>
      </w:r>
    </w:p>
    <w:p>
      <w:pPr>
        <w:spacing w:after="0" w:line="142" w:lineRule="exact"/>
        <w:rPr>
          <w:rFonts w:ascii="Arial" w:cs="Arial" w:eastAsia="Arial" w:hAnsi="Arial"/>
          <w:sz w:val="17"/>
          <w:szCs w:val="17"/>
          <w:color w:val="0000EE"/>
        </w:rPr>
      </w:pPr>
    </w:p>
    <w:p>
      <w:pPr>
        <w:ind w:left="960" w:hanging="424"/>
        <w:spacing w:after="0"/>
        <w:tabs>
          <w:tab w:leader="none" w:pos="960" w:val="left"/>
        </w:tabs>
        <w:numPr>
          <w:ilvl w:val="0"/>
          <w:numId w:val="1"/>
        </w:numPr>
        <w:rPr>
          <w:rFonts w:ascii="Arial" w:cs="Arial" w:eastAsia="Arial" w:hAnsi="Arial"/>
          <w:sz w:val="17"/>
          <w:szCs w:val="17"/>
          <w:color w:val="0000EE"/>
        </w:rPr>
      </w:pPr>
      <w:hyperlink r:id="rId22">
        <w:r>
          <w:rPr>
            <w:rFonts w:ascii="Arial" w:cs="Arial" w:eastAsia="Arial" w:hAnsi="Arial"/>
            <w:sz w:val="17"/>
            <w:szCs w:val="17"/>
            <w:u w:val="single" w:color="auto"/>
            <w:color w:val="0000EE"/>
          </w:rPr>
          <w:t>Registration No. 333-213059</w:t>
        </w:r>
      </w:hyperlink>
      <w:r>
        <w:rPr>
          <w:rFonts w:ascii="Arial" w:cs="Arial" w:eastAsia="Arial" w:hAnsi="Arial"/>
          <w:sz w:val="17"/>
          <w:szCs w:val="17"/>
          <w:color w:val="000000"/>
        </w:rPr>
        <w:t>,</w:t>
      </w:r>
      <w:r>
        <w:rPr>
          <w:rFonts w:ascii="Arial" w:cs="Arial" w:eastAsia="Arial" w:hAnsi="Arial"/>
          <w:sz w:val="17"/>
          <w:szCs w:val="17"/>
          <w:color w:val="0000EE"/>
        </w:rPr>
        <w:t xml:space="preserve"> </w:t>
      </w:r>
      <w:r>
        <w:rPr>
          <w:rFonts w:ascii="Arial" w:cs="Arial" w:eastAsia="Arial" w:hAnsi="Arial"/>
          <w:sz w:val="17"/>
          <w:szCs w:val="17"/>
          <w:color w:val="000000"/>
        </w:rPr>
        <w:t>filed with the SEC on August 10, 2016, registering 7,612,279 Common Shares under the 2000 ESPP;</w:t>
      </w:r>
    </w:p>
    <w:p>
      <w:pPr>
        <w:spacing w:after="0" w:line="142" w:lineRule="exact"/>
        <w:rPr>
          <w:rFonts w:ascii="Arial" w:cs="Arial" w:eastAsia="Arial" w:hAnsi="Arial"/>
          <w:sz w:val="17"/>
          <w:szCs w:val="17"/>
          <w:color w:val="0000EE"/>
        </w:rPr>
      </w:pPr>
    </w:p>
    <w:p>
      <w:pPr>
        <w:ind w:left="960" w:hanging="424"/>
        <w:spacing w:after="0"/>
        <w:tabs>
          <w:tab w:leader="none" w:pos="960" w:val="left"/>
        </w:tabs>
        <w:numPr>
          <w:ilvl w:val="0"/>
          <w:numId w:val="1"/>
        </w:numPr>
        <w:rPr>
          <w:rFonts w:ascii="Arial" w:cs="Arial" w:eastAsia="Arial" w:hAnsi="Arial"/>
          <w:sz w:val="17"/>
          <w:szCs w:val="17"/>
          <w:color w:val="0000EE"/>
        </w:rPr>
      </w:pPr>
      <w:hyperlink r:id="rId23">
        <w:r>
          <w:rPr>
            <w:rFonts w:ascii="Arial" w:cs="Arial" w:eastAsia="Arial" w:hAnsi="Arial"/>
            <w:sz w:val="17"/>
            <w:szCs w:val="17"/>
            <w:u w:val="single" w:color="auto"/>
            <w:color w:val="0000EE"/>
          </w:rPr>
          <w:t>Registration No. 333-204730</w:t>
        </w:r>
      </w:hyperlink>
      <w:r>
        <w:rPr>
          <w:rFonts w:ascii="Arial" w:cs="Arial" w:eastAsia="Arial" w:hAnsi="Arial"/>
          <w:sz w:val="17"/>
          <w:szCs w:val="17"/>
          <w:color w:val="000000"/>
        </w:rPr>
        <w:t>,</w:t>
      </w:r>
      <w:r>
        <w:rPr>
          <w:rFonts w:ascii="Arial" w:cs="Arial" w:eastAsia="Arial" w:hAnsi="Arial"/>
          <w:sz w:val="17"/>
          <w:szCs w:val="17"/>
          <w:color w:val="0000EE"/>
        </w:rPr>
        <w:t xml:space="preserve"> </w:t>
      </w:r>
      <w:r>
        <w:rPr>
          <w:rFonts w:ascii="Arial" w:cs="Arial" w:eastAsia="Arial" w:hAnsi="Arial"/>
          <w:sz w:val="17"/>
          <w:szCs w:val="17"/>
          <w:color w:val="000000"/>
        </w:rPr>
        <w:t>filed with the SEC on June 4, 2015, registering 7,721,312 Common Shares under the 2000 ESPP;</w:t>
      </w:r>
    </w:p>
    <w:p>
      <w:pPr>
        <w:spacing w:after="0" w:line="142" w:lineRule="exact"/>
        <w:rPr>
          <w:rFonts w:ascii="Arial" w:cs="Arial" w:eastAsia="Arial" w:hAnsi="Arial"/>
          <w:sz w:val="17"/>
          <w:szCs w:val="17"/>
          <w:color w:val="0000EE"/>
        </w:rPr>
      </w:pPr>
    </w:p>
    <w:p>
      <w:pPr>
        <w:ind w:left="960" w:hanging="424"/>
        <w:spacing w:after="0"/>
        <w:tabs>
          <w:tab w:leader="none" w:pos="960" w:val="left"/>
        </w:tabs>
        <w:numPr>
          <w:ilvl w:val="0"/>
          <w:numId w:val="1"/>
        </w:numPr>
        <w:rPr>
          <w:rFonts w:ascii="Arial" w:cs="Arial" w:eastAsia="Arial" w:hAnsi="Arial"/>
          <w:sz w:val="17"/>
          <w:szCs w:val="17"/>
          <w:color w:val="0000EE"/>
        </w:rPr>
      </w:pPr>
      <w:hyperlink r:id="rId24">
        <w:r>
          <w:rPr>
            <w:rFonts w:ascii="Arial" w:cs="Arial" w:eastAsia="Arial" w:hAnsi="Arial"/>
            <w:sz w:val="17"/>
            <w:szCs w:val="17"/>
            <w:u w:val="single" w:color="auto"/>
            <w:color w:val="0000EE"/>
          </w:rPr>
          <w:t>Registration No. 333-194865</w:t>
        </w:r>
      </w:hyperlink>
      <w:r>
        <w:rPr>
          <w:rFonts w:ascii="Arial" w:cs="Arial" w:eastAsia="Arial" w:hAnsi="Arial"/>
          <w:sz w:val="17"/>
          <w:szCs w:val="17"/>
          <w:color w:val="000000"/>
        </w:rPr>
        <w:t>,</w:t>
      </w:r>
      <w:r>
        <w:rPr>
          <w:rFonts w:ascii="Arial" w:cs="Arial" w:eastAsia="Arial" w:hAnsi="Arial"/>
          <w:sz w:val="17"/>
          <w:szCs w:val="17"/>
          <w:color w:val="0000EE"/>
        </w:rPr>
        <w:t xml:space="preserve"> </w:t>
      </w:r>
      <w:r>
        <w:rPr>
          <w:rFonts w:ascii="Arial" w:cs="Arial" w:eastAsia="Arial" w:hAnsi="Arial"/>
          <w:sz w:val="17"/>
          <w:szCs w:val="17"/>
          <w:color w:val="000000"/>
        </w:rPr>
        <w:t>filed with the SEC on March 28, 2014, registering 7,514,642 Common Shares under the 2000 ESPP;</w:t>
      </w:r>
    </w:p>
    <w:p>
      <w:pPr>
        <w:spacing w:after="0" w:line="142" w:lineRule="exact"/>
        <w:rPr>
          <w:rFonts w:ascii="Arial" w:cs="Arial" w:eastAsia="Arial" w:hAnsi="Arial"/>
          <w:sz w:val="17"/>
          <w:szCs w:val="17"/>
          <w:color w:val="0000EE"/>
        </w:rPr>
      </w:pPr>
    </w:p>
    <w:p>
      <w:pPr>
        <w:ind w:left="960" w:hanging="424"/>
        <w:spacing w:after="0"/>
        <w:tabs>
          <w:tab w:leader="none" w:pos="960" w:val="left"/>
        </w:tabs>
        <w:numPr>
          <w:ilvl w:val="0"/>
          <w:numId w:val="1"/>
        </w:numPr>
        <w:rPr>
          <w:rFonts w:ascii="Arial" w:cs="Arial" w:eastAsia="Arial" w:hAnsi="Arial"/>
          <w:sz w:val="17"/>
          <w:szCs w:val="17"/>
          <w:color w:val="0000EE"/>
        </w:rPr>
      </w:pPr>
      <w:hyperlink r:id="rId25">
        <w:r>
          <w:rPr>
            <w:rFonts w:ascii="Arial" w:cs="Arial" w:eastAsia="Arial" w:hAnsi="Arial"/>
            <w:sz w:val="17"/>
            <w:szCs w:val="17"/>
            <w:u w:val="single" w:color="auto"/>
            <w:color w:val="0000EE"/>
          </w:rPr>
          <w:t>Registration No. 333-187641</w:t>
        </w:r>
      </w:hyperlink>
      <w:r>
        <w:rPr>
          <w:rFonts w:ascii="Arial" w:cs="Arial" w:eastAsia="Arial" w:hAnsi="Arial"/>
          <w:sz w:val="17"/>
          <w:szCs w:val="17"/>
          <w:color w:val="000000"/>
        </w:rPr>
        <w:t>,</w:t>
      </w:r>
      <w:r>
        <w:rPr>
          <w:rFonts w:ascii="Arial" w:cs="Arial" w:eastAsia="Arial" w:hAnsi="Arial"/>
          <w:sz w:val="17"/>
          <w:szCs w:val="17"/>
          <w:color w:val="0000EE"/>
        </w:rPr>
        <w:t xml:space="preserve"> </w:t>
      </w:r>
      <w:r>
        <w:rPr>
          <w:rFonts w:ascii="Arial" w:cs="Arial" w:eastAsia="Arial" w:hAnsi="Arial"/>
          <w:sz w:val="17"/>
          <w:szCs w:val="17"/>
          <w:color w:val="000000"/>
        </w:rPr>
        <w:t>filed with the SEC on March 29, 2013, registering 7,911,440 Common Shares under the 2000 ESPP;</w:t>
      </w:r>
    </w:p>
    <w:p>
      <w:pPr>
        <w:spacing w:after="0" w:line="142" w:lineRule="exact"/>
        <w:rPr>
          <w:rFonts w:ascii="Arial" w:cs="Arial" w:eastAsia="Arial" w:hAnsi="Arial"/>
          <w:sz w:val="17"/>
          <w:szCs w:val="17"/>
          <w:color w:val="0000EE"/>
        </w:rPr>
      </w:pPr>
    </w:p>
    <w:p>
      <w:pPr>
        <w:ind w:left="960" w:hanging="424"/>
        <w:spacing w:after="0"/>
        <w:tabs>
          <w:tab w:leader="none" w:pos="960" w:val="left"/>
        </w:tabs>
        <w:numPr>
          <w:ilvl w:val="0"/>
          <w:numId w:val="1"/>
        </w:numPr>
        <w:rPr>
          <w:rFonts w:ascii="Arial" w:cs="Arial" w:eastAsia="Arial" w:hAnsi="Arial"/>
          <w:sz w:val="17"/>
          <w:szCs w:val="17"/>
          <w:color w:val="0000EE"/>
        </w:rPr>
      </w:pPr>
      <w:hyperlink r:id="rId26">
        <w:r>
          <w:rPr>
            <w:rFonts w:ascii="Arial" w:cs="Arial" w:eastAsia="Arial" w:hAnsi="Arial"/>
            <w:sz w:val="17"/>
            <w:szCs w:val="17"/>
            <w:u w:val="single" w:color="auto"/>
            <w:color w:val="0000EE"/>
          </w:rPr>
          <w:t>Registration No. 333-180412</w:t>
        </w:r>
      </w:hyperlink>
      <w:r>
        <w:rPr>
          <w:rFonts w:ascii="Arial" w:cs="Arial" w:eastAsia="Arial" w:hAnsi="Arial"/>
          <w:sz w:val="17"/>
          <w:szCs w:val="17"/>
          <w:color w:val="000000"/>
        </w:rPr>
        <w:t>,</w:t>
      </w:r>
      <w:r>
        <w:rPr>
          <w:rFonts w:ascii="Arial" w:cs="Arial" w:eastAsia="Arial" w:hAnsi="Arial"/>
          <w:sz w:val="17"/>
          <w:szCs w:val="17"/>
          <w:color w:val="0000EE"/>
        </w:rPr>
        <w:t xml:space="preserve"> </w:t>
      </w:r>
      <w:r>
        <w:rPr>
          <w:rFonts w:ascii="Arial" w:cs="Arial" w:eastAsia="Arial" w:hAnsi="Arial"/>
          <w:sz w:val="17"/>
          <w:szCs w:val="17"/>
          <w:color w:val="000000"/>
        </w:rPr>
        <w:t>filed with the SEC on March 28, 2012, registering 8,000,000 Common Shares under the 2000 ESPP;</w:t>
      </w:r>
    </w:p>
    <w:p>
      <w:pPr>
        <w:spacing w:after="0" w:line="142" w:lineRule="exact"/>
        <w:rPr>
          <w:rFonts w:ascii="Arial" w:cs="Arial" w:eastAsia="Arial" w:hAnsi="Arial"/>
          <w:sz w:val="17"/>
          <w:szCs w:val="17"/>
          <w:color w:val="0000EE"/>
        </w:rPr>
      </w:pPr>
    </w:p>
    <w:p>
      <w:pPr>
        <w:ind w:left="960" w:right="300" w:hanging="424"/>
        <w:spacing w:after="0" w:line="263" w:lineRule="auto"/>
        <w:tabs>
          <w:tab w:leader="none" w:pos="960" w:val="left"/>
        </w:tabs>
        <w:numPr>
          <w:ilvl w:val="0"/>
          <w:numId w:val="1"/>
        </w:numPr>
        <w:rPr>
          <w:rFonts w:ascii="Arial" w:cs="Arial" w:eastAsia="Arial" w:hAnsi="Arial"/>
          <w:sz w:val="18"/>
          <w:szCs w:val="18"/>
          <w:color w:val="0000EE"/>
        </w:rPr>
      </w:pPr>
      <w:hyperlink r:id="rId27">
        <w:r>
          <w:rPr>
            <w:rFonts w:ascii="Arial" w:cs="Arial" w:eastAsia="Arial" w:hAnsi="Arial"/>
            <w:sz w:val="18"/>
            <w:szCs w:val="18"/>
            <w:u w:val="single" w:color="auto"/>
            <w:color w:val="0000EE"/>
          </w:rPr>
          <w:t>Registration No. 333-163644</w:t>
        </w:r>
      </w:hyperlink>
      <w:r>
        <w:rPr>
          <w:rFonts w:ascii="Arial" w:cs="Arial" w:eastAsia="Arial" w:hAnsi="Arial"/>
          <w:sz w:val="18"/>
          <w:szCs w:val="18"/>
          <w:color w:val="000000"/>
        </w:rPr>
        <w:t>,</w:t>
      </w:r>
      <w:r>
        <w:rPr>
          <w:rFonts w:ascii="Arial" w:cs="Arial" w:eastAsia="Arial" w:hAnsi="Arial"/>
          <w:sz w:val="18"/>
          <w:szCs w:val="18"/>
          <w:color w:val="0000EE"/>
        </w:rPr>
        <w:t xml:space="preserve"> </w:t>
      </w:r>
      <w:r>
        <w:rPr>
          <w:rFonts w:ascii="Arial" w:cs="Arial" w:eastAsia="Arial" w:hAnsi="Arial"/>
          <w:sz w:val="18"/>
          <w:szCs w:val="18"/>
          <w:color w:val="000000"/>
        </w:rPr>
        <w:t>filed with the SEC on December 10, 2009, registering 30,880,318 Common Shares under the Marvell</w:t>
      </w:r>
      <w:r>
        <w:rPr>
          <w:rFonts w:ascii="Arial" w:cs="Arial" w:eastAsia="Arial" w:hAnsi="Arial"/>
          <w:sz w:val="18"/>
          <w:szCs w:val="18"/>
          <w:color w:val="0000EE"/>
        </w:rPr>
        <w:t xml:space="preserve"> </w:t>
      </w:r>
      <w:r>
        <w:rPr>
          <w:rFonts w:ascii="Arial" w:cs="Arial" w:eastAsia="Arial" w:hAnsi="Arial"/>
          <w:sz w:val="18"/>
          <w:szCs w:val="18"/>
          <w:color w:val="000000"/>
        </w:rPr>
        <w:t>Technology Group Ltd. Amended and Restated 1995 Stock Option Plan, as amended (the “1995 Plan”) and 8,000,000 Common Shares under the 2000 ESPP;</w:t>
      </w:r>
    </w:p>
    <w:p>
      <w:pPr>
        <w:spacing w:after="0" w:line="89" w:lineRule="exact"/>
        <w:rPr>
          <w:rFonts w:ascii="Arial" w:cs="Arial" w:eastAsia="Arial" w:hAnsi="Arial"/>
          <w:sz w:val="18"/>
          <w:szCs w:val="18"/>
          <w:color w:val="0000EE"/>
        </w:rPr>
      </w:pPr>
    </w:p>
    <w:p>
      <w:pPr>
        <w:ind w:left="960" w:right="440" w:hanging="424"/>
        <w:spacing w:after="0" w:line="277" w:lineRule="auto"/>
        <w:tabs>
          <w:tab w:leader="none" w:pos="960" w:val="left"/>
        </w:tabs>
        <w:numPr>
          <w:ilvl w:val="0"/>
          <w:numId w:val="1"/>
        </w:numPr>
        <w:rPr>
          <w:rFonts w:ascii="Arial" w:cs="Arial" w:eastAsia="Arial" w:hAnsi="Arial"/>
          <w:sz w:val="18"/>
          <w:szCs w:val="18"/>
          <w:color w:val="0000EE"/>
        </w:rPr>
      </w:pPr>
      <w:hyperlink r:id="rId28">
        <w:r>
          <w:rPr>
            <w:rFonts w:ascii="Arial" w:cs="Arial" w:eastAsia="Arial" w:hAnsi="Arial"/>
            <w:sz w:val="18"/>
            <w:szCs w:val="18"/>
            <w:u w:val="single" w:color="auto"/>
            <w:color w:val="0000EE"/>
          </w:rPr>
          <w:t>Registration No. 333-151816</w:t>
        </w:r>
      </w:hyperlink>
      <w:r>
        <w:rPr>
          <w:rFonts w:ascii="Arial" w:cs="Arial" w:eastAsia="Arial" w:hAnsi="Arial"/>
          <w:sz w:val="18"/>
          <w:szCs w:val="18"/>
          <w:color w:val="000000"/>
        </w:rPr>
        <w:t>,</w:t>
      </w:r>
      <w:r>
        <w:rPr>
          <w:rFonts w:ascii="Arial" w:cs="Arial" w:eastAsia="Arial" w:hAnsi="Arial"/>
          <w:sz w:val="18"/>
          <w:szCs w:val="18"/>
          <w:color w:val="0000EE"/>
        </w:rPr>
        <w:t xml:space="preserve"> </w:t>
      </w:r>
      <w:r>
        <w:rPr>
          <w:rFonts w:ascii="Arial" w:cs="Arial" w:eastAsia="Arial" w:hAnsi="Arial"/>
          <w:sz w:val="18"/>
          <w:szCs w:val="18"/>
          <w:color w:val="000000"/>
        </w:rPr>
        <w:t>filed with the SEC on June 20, 2008, registering 30,004,771 Common Shares under the 1995 Plan and</w:t>
      </w:r>
      <w:r>
        <w:rPr>
          <w:rFonts w:ascii="Arial" w:cs="Arial" w:eastAsia="Arial" w:hAnsi="Arial"/>
          <w:sz w:val="18"/>
          <w:szCs w:val="18"/>
          <w:color w:val="0000EE"/>
        </w:rPr>
        <w:t xml:space="preserve"> </w:t>
      </w:r>
      <w:r>
        <w:rPr>
          <w:rFonts w:ascii="Arial" w:cs="Arial" w:eastAsia="Arial" w:hAnsi="Arial"/>
          <w:sz w:val="18"/>
          <w:szCs w:val="18"/>
          <w:color w:val="000000"/>
        </w:rPr>
        <w:t>8,000,000 Common Shares under the 2000 ESPP;</w:t>
      </w:r>
    </w:p>
    <w:p>
      <w:pPr>
        <w:sectPr>
          <w:pgSz w:w="11900" w:h="16838" w:orient="portrait"/>
          <w:cols w:equalWidth="0" w:num="1">
            <w:col w:w="11000"/>
          </w:cols>
          <w:pgMar w:left="440" w:top="270" w:right="459" w:bottom="1440" w:gutter="0" w:footer="0" w:header="0"/>
        </w:sectPr>
      </w:pPr>
    </w:p>
    <w:bookmarkStart w:id="3" w:name="page4"/>
    <w:bookmarkEnd w:id="3"/>
    <w:p>
      <w:pPr>
        <w:ind w:left="960" w:right="320" w:hanging="424"/>
        <w:spacing w:after="0" w:line="259" w:lineRule="auto"/>
        <w:tabs>
          <w:tab w:leader="none" w:pos="960" w:val="left"/>
        </w:tabs>
        <w:numPr>
          <w:ilvl w:val="0"/>
          <w:numId w:val="2"/>
        </w:numPr>
        <w:rPr>
          <w:rFonts w:ascii="Arial" w:cs="Arial" w:eastAsia="Arial" w:hAnsi="Arial"/>
          <w:sz w:val="18"/>
          <w:szCs w:val="18"/>
          <w:color w:val="0000EE"/>
        </w:rPr>
      </w:pPr>
      <w:r>
        <w:rPr>
          <w:rFonts w:ascii="Arial" w:cs="Arial" w:eastAsia="Arial" w:hAnsi="Arial"/>
          <w:sz w:val="18"/>
          <w:szCs w:val="18"/>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9">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r:id="rId30">
        <w:r>
          <w:rPr>
            <w:rFonts w:ascii="Arial" w:cs="Arial" w:eastAsia="Arial" w:hAnsi="Arial"/>
            <w:sz w:val="18"/>
            <w:szCs w:val="18"/>
            <w:u w:val="single" w:color="auto"/>
            <w:color w:val="0000EE"/>
          </w:rPr>
          <w:t>Registration No. 333-148621</w:t>
        </w:r>
      </w:hyperlink>
      <w:r>
        <w:rPr>
          <w:rFonts w:ascii="Arial" w:cs="Arial" w:eastAsia="Arial" w:hAnsi="Arial"/>
          <w:sz w:val="18"/>
          <w:szCs w:val="18"/>
          <w:color w:val="000000"/>
        </w:rPr>
        <w:t>,</w:t>
      </w:r>
      <w:r>
        <w:rPr>
          <w:rFonts w:ascii="Arial" w:cs="Arial" w:eastAsia="Arial" w:hAnsi="Arial"/>
          <w:sz w:val="18"/>
          <w:szCs w:val="18"/>
          <w:color w:val="0000EE"/>
        </w:rPr>
        <w:t xml:space="preserve"> </w:t>
      </w:r>
      <w:r>
        <w:rPr>
          <w:rFonts w:ascii="Arial" w:cs="Arial" w:eastAsia="Arial" w:hAnsi="Arial"/>
          <w:sz w:val="18"/>
          <w:szCs w:val="18"/>
          <w:color w:val="000000"/>
        </w:rPr>
        <w:t>filed with the SEC on January 11, 2008, registering 29,381,285 Common Shares under the 1995 Plan,</w:t>
      </w:r>
      <w:r>
        <w:rPr>
          <w:rFonts w:ascii="Arial" w:cs="Arial" w:eastAsia="Arial" w:hAnsi="Arial"/>
          <w:sz w:val="18"/>
          <w:szCs w:val="18"/>
          <w:color w:val="0000EE"/>
        </w:rPr>
        <w:t xml:space="preserve"> </w:t>
      </w:r>
      <w:r>
        <w:rPr>
          <w:rFonts w:ascii="Arial" w:cs="Arial" w:eastAsia="Arial" w:hAnsi="Arial"/>
          <w:sz w:val="18"/>
          <w:szCs w:val="18"/>
          <w:color w:val="000000"/>
        </w:rPr>
        <w:t>8,000,000 Common Shares under the 2000 ESPP, 516,000 Common Shares under the Marvell Technology Group Ltd. 1997 Directors’ Stock Option Plan and 750,000 Common Shares under the Marvell Technology Group Ltd. 2007 Director Stock Incentive Plan, as amended and restated;</w:t>
      </w:r>
    </w:p>
    <w:p>
      <w:pPr>
        <w:spacing w:after="0" w:line="92" w:lineRule="exact"/>
        <w:rPr>
          <w:rFonts w:ascii="Arial" w:cs="Arial" w:eastAsia="Arial" w:hAnsi="Arial"/>
          <w:sz w:val="18"/>
          <w:szCs w:val="18"/>
          <w:color w:val="0000EE"/>
        </w:rPr>
      </w:pPr>
    </w:p>
    <w:p>
      <w:pPr>
        <w:ind w:left="960" w:right="340" w:hanging="424"/>
        <w:spacing w:after="0" w:line="277" w:lineRule="auto"/>
        <w:tabs>
          <w:tab w:leader="none" w:pos="960" w:val="left"/>
        </w:tabs>
        <w:numPr>
          <w:ilvl w:val="0"/>
          <w:numId w:val="2"/>
        </w:numPr>
        <w:rPr>
          <w:rFonts w:ascii="Arial" w:cs="Arial" w:eastAsia="Arial" w:hAnsi="Arial"/>
          <w:sz w:val="18"/>
          <w:szCs w:val="18"/>
          <w:color w:val="0000EE"/>
        </w:rPr>
      </w:pPr>
      <w:hyperlink r:id="rId31">
        <w:r>
          <w:rPr>
            <w:rFonts w:ascii="Arial" w:cs="Arial" w:eastAsia="Arial" w:hAnsi="Arial"/>
            <w:sz w:val="18"/>
            <w:szCs w:val="18"/>
            <w:u w:val="single" w:color="auto"/>
            <w:color w:val="0000EE"/>
          </w:rPr>
          <w:t>Registration No. 333-133281</w:t>
        </w:r>
      </w:hyperlink>
      <w:r>
        <w:rPr>
          <w:rFonts w:ascii="Arial" w:cs="Arial" w:eastAsia="Arial" w:hAnsi="Arial"/>
          <w:sz w:val="18"/>
          <w:szCs w:val="18"/>
          <w:color w:val="000000"/>
        </w:rPr>
        <w:t>,</w:t>
      </w:r>
      <w:r>
        <w:rPr>
          <w:rFonts w:ascii="Arial" w:cs="Arial" w:eastAsia="Arial" w:hAnsi="Arial"/>
          <w:sz w:val="18"/>
          <w:szCs w:val="18"/>
          <w:color w:val="0000EE"/>
        </w:rPr>
        <w:t xml:space="preserve"> </w:t>
      </w:r>
      <w:r>
        <w:rPr>
          <w:rFonts w:ascii="Arial" w:cs="Arial" w:eastAsia="Arial" w:hAnsi="Arial"/>
          <w:sz w:val="18"/>
          <w:szCs w:val="18"/>
          <w:color w:val="000000"/>
        </w:rPr>
        <w:t>filed with the SEC on April 13, 2006, registering 14,569,409 Common Shares under the 1995 Plan and</w:t>
      </w:r>
      <w:r>
        <w:rPr>
          <w:rFonts w:ascii="Arial" w:cs="Arial" w:eastAsia="Arial" w:hAnsi="Arial"/>
          <w:sz w:val="18"/>
          <w:szCs w:val="18"/>
          <w:color w:val="0000EE"/>
        </w:rPr>
        <w:t xml:space="preserve"> </w:t>
      </w:r>
      <w:r>
        <w:rPr>
          <w:rFonts w:ascii="Arial" w:cs="Arial" w:eastAsia="Arial" w:hAnsi="Arial"/>
          <w:sz w:val="18"/>
          <w:szCs w:val="18"/>
          <w:color w:val="000000"/>
        </w:rPr>
        <w:t>4,000,000 Common Shares under the 2000 ESPP;</w:t>
      </w:r>
    </w:p>
    <w:p>
      <w:pPr>
        <w:spacing w:after="0" w:line="75" w:lineRule="exact"/>
        <w:rPr>
          <w:rFonts w:ascii="Arial" w:cs="Arial" w:eastAsia="Arial" w:hAnsi="Arial"/>
          <w:sz w:val="18"/>
          <w:szCs w:val="18"/>
          <w:color w:val="0000EE"/>
        </w:rPr>
      </w:pPr>
    </w:p>
    <w:p>
      <w:pPr>
        <w:ind w:left="960" w:right="340" w:hanging="424"/>
        <w:spacing w:after="0" w:line="277" w:lineRule="auto"/>
        <w:tabs>
          <w:tab w:leader="none" w:pos="960" w:val="left"/>
        </w:tabs>
        <w:numPr>
          <w:ilvl w:val="0"/>
          <w:numId w:val="2"/>
        </w:numPr>
        <w:rPr>
          <w:rFonts w:ascii="Arial" w:cs="Arial" w:eastAsia="Arial" w:hAnsi="Arial"/>
          <w:sz w:val="18"/>
          <w:szCs w:val="18"/>
          <w:color w:val="0000EE"/>
        </w:rPr>
      </w:pPr>
      <w:hyperlink r:id="rId32">
        <w:r>
          <w:rPr>
            <w:rFonts w:ascii="Arial" w:cs="Arial" w:eastAsia="Arial" w:hAnsi="Arial"/>
            <w:sz w:val="18"/>
            <w:szCs w:val="18"/>
            <w:u w:val="single" w:color="auto"/>
            <w:color w:val="0000EE"/>
          </w:rPr>
          <w:t>Registration No. 333-124072</w:t>
        </w:r>
      </w:hyperlink>
      <w:r>
        <w:rPr>
          <w:rFonts w:ascii="Arial" w:cs="Arial" w:eastAsia="Arial" w:hAnsi="Arial"/>
          <w:sz w:val="18"/>
          <w:szCs w:val="18"/>
          <w:color w:val="000000"/>
        </w:rPr>
        <w:t>,</w:t>
      </w:r>
      <w:r>
        <w:rPr>
          <w:rFonts w:ascii="Arial" w:cs="Arial" w:eastAsia="Arial" w:hAnsi="Arial"/>
          <w:sz w:val="18"/>
          <w:szCs w:val="18"/>
          <w:color w:val="0000EE"/>
        </w:rPr>
        <w:t xml:space="preserve"> </w:t>
      </w:r>
      <w:r>
        <w:rPr>
          <w:rFonts w:ascii="Arial" w:cs="Arial" w:eastAsia="Arial" w:hAnsi="Arial"/>
          <w:sz w:val="18"/>
          <w:szCs w:val="18"/>
          <w:color w:val="000000"/>
        </w:rPr>
        <w:t>filed with the SEC on April 14, 2005, registering 13,880,104 Common Shares under the 1995 Plan and</w:t>
      </w:r>
      <w:r>
        <w:rPr>
          <w:rFonts w:ascii="Arial" w:cs="Arial" w:eastAsia="Arial" w:hAnsi="Arial"/>
          <w:sz w:val="18"/>
          <w:szCs w:val="18"/>
          <w:color w:val="0000EE"/>
        </w:rPr>
        <w:t xml:space="preserve"> </w:t>
      </w:r>
      <w:r>
        <w:rPr>
          <w:rFonts w:ascii="Arial" w:cs="Arial" w:eastAsia="Arial" w:hAnsi="Arial"/>
          <w:sz w:val="18"/>
          <w:szCs w:val="18"/>
          <w:color w:val="000000"/>
        </w:rPr>
        <w:t>4,000,000 Common Shares under the 2000 ESPP;</w:t>
      </w:r>
    </w:p>
    <w:p>
      <w:pPr>
        <w:spacing w:after="0" w:line="75" w:lineRule="exact"/>
        <w:rPr>
          <w:rFonts w:ascii="Arial" w:cs="Arial" w:eastAsia="Arial" w:hAnsi="Arial"/>
          <w:sz w:val="18"/>
          <w:szCs w:val="18"/>
          <w:color w:val="0000EE"/>
        </w:rPr>
      </w:pPr>
    </w:p>
    <w:p>
      <w:pPr>
        <w:ind w:left="960" w:right="480" w:hanging="424"/>
        <w:spacing w:after="0" w:line="277" w:lineRule="auto"/>
        <w:tabs>
          <w:tab w:leader="none" w:pos="960" w:val="left"/>
        </w:tabs>
        <w:numPr>
          <w:ilvl w:val="0"/>
          <w:numId w:val="2"/>
        </w:numPr>
        <w:rPr>
          <w:rFonts w:ascii="Arial" w:cs="Arial" w:eastAsia="Arial" w:hAnsi="Arial"/>
          <w:sz w:val="18"/>
          <w:szCs w:val="18"/>
          <w:color w:val="0000EE"/>
        </w:rPr>
      </w:pPr>
      <w:hyperlink r:id="rId33">
        <w:r>
          <w:rPr>
            <w:rFonts w:ascii="Arial" w:cs="Arial" w:eastAsia="Arial" w:hAnsi="Arial"/>
            <w:sz w:val="18"/>
            <w:szCs w:val="18"/>
            <w:u w:val="single" w:color="auto"/>
            <w:color w:val="0000EE"/>
          </w:rPr>
          <w:t>Registration No. 333-114434</w:t>
        </w:r>
      </w:hyperlink>
      <w:r>
        <w:rPr>
          <w:rFonts w:ascii="Arial" w:cs="Arial" w:eastAsia="Arial" w:hAnsi="Arial"/>
          <w:sz w:val="18"/>
          <w:szCs w:val="18"/>
          <w:color w:val="000000"/>
        </w:rPr>
        <w:t>,</w:t>
      </w:r>
      <w:r>
        <w:rPr>
          <w:rFonts w:ascii="Arial" w:cs="Arial" w:eastAsia="Arial" w:hAnsi="Arial"/>
          <w:sz w:val="18"/>
          <w:szCs w:val="18"/>
          <w:color w:val="0000EE"/>
        </w:rPr>
        <w:t xml:space="preserve"> </w:t>
      </w:r>
      <w:r>
        <w:rPr>
          <w:rFonts w:ascii="Arial" w:cs="Arial" w:eastAsia="Arial" w:hAnsi="Arial"/>
          <w:sz w:val="18"/>
          <w:szCs w:val="18"/>
          <w:color w:val="000000"/>
        </w:rPr>
        <w:t>filed with the SEC on April 13, 2004, registering 6,587,296 Common Shares under the 1995 Plan and</w:t>
      </w:r>
      <w:r>
        <w:rPr>
          <w:rFonts w:ascii="Arial" w:cs="Arial" w:eastAsia="Arial" w:hAnsi="Arial"/>
          <w:sz w:val="18"/>
          <w:szCs w:val="18"/>
          <w:color w:val="0000EE"/>
        </w:rPr>
        <w:t xml:space="preserve"> </w:t>
      </w:r>
      <w:r>
        <w:rPr>
          <w:rFonts w:ascii="Arial" w:cs="Arial" w:eastAsia="Arial" w:hAnsi="Arial"/>
          <w:sz w:val="18"/>
          <w:szCs w:val="18"/>
          <w:color w:val="000000"/>
        </w:rPr>
        <w:t>1,967,903 Common Shares under the 2000 ESPP;</w:t>
      </w:r>
    </w:p>
    <w:p>
      <w:pPr>
        <w:spacing w:after="0" w:line="75" w:lineRule="exact"/>
        <w:rPr>
          <w:rFonts w:ascii="Arial" w:cs="Arial" w:eastAsia="Arial" w:hAnsi="Arial"/>
          <w:sz w:val="18"/>
          <w:szCs w:val="18"/>
          <w:color w:val="0000EE"/>
        </w:rPr>
      </w:pPr>
    </w:p>
    <w:p>
      <w:pPr>
        <w:ind w:left="960" w:hanging="424"/>
        <w:spacing w:after="0"/>
        <w:tabs>
          <w:tab w:leader="none" w:pos="960" w:val="left"/>
        </w:tabs>
        <w:numPr>
          <w:ilvl w:val="0"/>
          <w:numId w:val="2"/>
        </w:numPr>
        <w:rPr>
          <w:rFonts w:ascii="Arial" w:cs="Arial" w:eastAsia="Arial" w:hAnsi="Arial"/>
          <w:sz w:val="17"/>
          <w:szCs w:val="17"/>
          <w:color w:val="0000EE"/>
        </w:rPr>
      </w:pPr>
      <w:hyperlink r:id="rId34">
        <w:r>
          <w:rPr>
            <w:rFonts w:ascii="Arial" w:cs="Arial" w:eastAsia="Arial" w:hAnsi="Arial"/>
            <w:sz w:val="17"/>
            <w:szCs w:val="17"/>
            <w:u w:val="single" w:color="auto"/>
            <w:color w:val="0000EE"/>
          </w:rPr>
          <w:t>Registration No. 333-108334</w:t>
        </w:r>
      </w:hyperlink>
      <w:r>
        <w:rPr>
          <w:rFonts w:ascii="Arial" w:cs="Arial" w:eastAsia="Arial" w:hAnsi="Arial"/>
          <w:sz w:val="17"/>
          <w:szCs w:val="17"/>
          <w:color w:val="000000"/>
        </w:rPr>
        <w:t>,</w:t>
      </w:r>
      <w:r>
        <w:rPr>
          <w:rFonts w:ascii="Arial" w:cs="Arial" w:eastAsia="Arial" w:hAnsi="Arial"/>
          <w:sz w:val="17"/>
          <w:szCs w:val="17"/>
          <w:color w:val="0000EE"/>
        </w:rPr>
        <w:t xml:space="preserve"> </w:t>
      </w:r>
      <w:r>
        <w:rPr>
          <w:rFonts w:ascii="Arial" w:cs="Arial" w:eastAsia="Arial" w:hAnsi="Arial"/>
          <w:sz w:val="17"/>
          <w:szCs w:val="17"/>
          <w:color w:val="000000"/>
        </w:rPr>
        <w:t>filed with the SEC on August 28, 2003, registering 10,000,000 Common Shares under the 1995 Plan;</w:t>
      </w:r>
    </w:p>
    <w:p>
      <w:pPr>
        <w:spacing w:after="0" w:line="142" w:lineRule="exact"/>
        <w:rPr>
          <w:rFonts w:ascii="Arial" w:cs="Arial" w:eastAsia="Arial" w:hAnsi="Arial"/>
          <w:sz w:val="17"/>
          <w:szCs w:val="17"/>
          <w:color w:val="0000EE"/>
        </w:rPr>
      </w:pPr>
    </w:p>
    <w:p>
      <w:pPr>
        <w:ind w:left="960" w:right="580" w:hanging="424"/>
        <w:spacing w:after="0" w:line="277" w:lineRule="auto"/>
        <w:tabs>
          <w:tab w:leader="none" w:pos="960" w:val="left"/>
        </w:tabs>
        <w:numPr>
          <w:ilvl w:val="0"/>
          <w:numId w:val="2"/>
        </w:numPr>
        <w:rPr>
          <w:rFonts w:ascii="Arial" w:cs="Arial" w:eastAsia="Arial" w:hAnsi="Arial"/>
          <w:sz w:val="18"/>
          <w:szCs w:val="18"/>
          <w:color w:val="0000EE"/>
        </w:rPr>
      </w:pPr>
      <w:hyperlink r:id="rId35">
        <w:r>
          <w:rPr>
            <w:rFonts w:ascii="Arial" w:cs="Arial" w:eastAsia="Arial" w:hAnsi="Arial"/>
            <w:sz w:val="18"/>
            <w:szCs w:val="18"/>
            <w:u w:val="single" w:color="auto"/>
            <w:color w:val="0000EE"/>
          </w:rPr>
          <w:t>Registration No. 333-104925</w:t>
        </w:r>
      </w:hyperlink>
      <w:r>
        <w:rPr>
          <w:rFonts w:ascii="Arial" w:cs="Arial" w:eastAsia="Arial" w:hAnsi="Arial"/>
          <w:sz w:val="18"/>
          <w:szCs w:val="18"/>
          <w:color w:val="000000"/>
        </w:rPr>
        <w:t>,</w:t>
      </w:r>
      <w:r>
        <w:rPr>
          <w:rFonts w:ascii="Arial" w:cs="Arial" w:eastAsia="Arial" w:hAnsi="Arial"/>
          <w:sz w:val="18"/>
          <w:szCs w:val="18"/>
          <w:color w:val="0000EE"/>
        </w:rPr>
        <w:t xml:space="preserve"> </w:t>
      </w:r>
      <w:r>
        <w:rPr>
          <w:rFonts w:ascii="Arial" w:cs="Arial" w:eastAsia="Arial" w:hAnsi="Arial"/>
          <w:sz w:val="18"/>
          <w:szCs w:val="18"/>
          <w:color w:val="000000"/>
        </w:rPr>
        <w:t>filed with the SEC on May 2, 2003, registering 6,062,996 Common Shares under the 1995 Plan and</w:t>
      </w:r>
      <w:r>
        <w:rPr>
          <w:rFonts w:ascii="Arial" w:cs="Arial" w:eastAsia="Arial" w:hAnsi="Arial"/>
          <w:sz w:val="18"/>
          <w:szCs w:val="18"/>
          <w:color w:val="0000EE"/>
        </w:rPr>
        <w:t xml:space="preserve"> </w:t>
      </w:r>
      <w:r>
        <w:rPr>
          <w:rFonts w:ascii="Arial" w:cs="Arial" w:eastAsia="Arial" w:hAnsi="Arial"/>
          <w:sz w:val="18"/>
          <w:szCs w:val="18"/>
          <w:color w:val="000000"/>
        </w:rPr>
        <w:t>500,000 Common Shares under the 2000 ESPP;</w:t>
      </w:r>
    </w:p>
    <w:p>
      <w:pPr>
        <w:spacing w:after="0" w:line="75" w:lineRule="exact"/>
        <w:rPr>
          <w:rFonts w:ascii="Arial" w:cs="Arial" w:eastAsia="Arial" w:hAnsi="Arial"/>
          <w:sz w:val="18"/>
          <w:szCs w:val="18"/>
          <w:color w:val="0000EE"/>
        </w:rPr>
      </w:pPr>
    </w:p>
    <w:p>
      <w:pPr>
        <w:ind w:left="960" w:right="40" w:hanging="424"/>
        <w:spacing w:after="0" w:line="277" w:lineRule="auto"/>
        <w:tabs>
          <w:tab w:leader="none" w:pos="960" w:val="left"/>
        </w:tabs>
        <w:numPr>
          <w:ilvl w:val="0"/>
          <w:numId w:val="2"/>
        </w:numPr>
        <w:rPr>
          <w:rFonts w:ascii="Arial" w:cs="Arial" w:eastAsia="Arial" w:hAnsi="Arial"/>
          <w:sz w:val="18"/>
          <w:szCs w:val="18"/>
          <w:color w:val="0000EE"/>
        </w:rPr>
      </w:pPr>
      <w:hyperlink r:id="rId36">
        <w:r>
          <w:rPr>
            <w:rFonts w:ascii="Arial" w:cs="Arial" w:eastAsia="Arial" w:hAnsi="Arial"/>
            <w:sz w:val="18"/>
            <w:szCs w:val="18"/>
            <w:u w:val="single" w:color="auto"/>
            <w:color w:val="0000EE"/>
          </w:rPr>
          <w:t>Registration No. 333-87322</w:t>
        </w:r>
      </w:hyperlink>
      <w:r>
        <w:rPr>
          <w:rFonts w:ascii="Arial" w:cs="Arial" w:eastAsia="Arial" w:hAnsi="Arial"/>
          <w:sz w:val="18"/>
          <w:szCs w:val="18"/>
          <w:color w:val="000000"/>
        </w:rPr>
        <w:t>,</w:t>
      </w:r>
      <w:r>
        <w:rPr>
          <w:rFonts w:ascii="Arial" w:cs="Arial" w:eastAsia="Arial" w:hAnsi="Arial"/>
          <w:sz w:val="18"/>
          <w:szCs w:val="18"/>
          <w:color w:val="0000EE"/>
        </w:rPr>
        <w:t xml:space="preserve"> </w:t>
      </w:r>
      <w:r>
        <w:rPr>
          <w:rFonts w:ascii="Arial" w:cs="Arial" w:eastAsia="Arial" w:hAnsi="Arial"/>
          <w:sz w:val="18"/>
          <w:szCs w:val="18"/>
          <w:color w:val="000000"/>
        </w:rPr>
        <w:t>filed with the SEC on May 1, 2002, registering 5,928,845 Common Shares under the 1995 Plan and 500,000</w:t>
      </w:r>
      <w:r>
        <w:rPr>
          <w:rFonts w:ascii="Arial" w:cs="Arial" w:eastAsia="Arial" w:hAnsi="Arial"/>
          <w:sz w:val="18"/>
          <w:szCs w:val="18"/>
          <w:color w:val="0000EE"/>
        </w:rPr>
        <w:t xml:space="preserve"> </w:t>
      </w:r>
      <w:r>
        <w:rPr>
          <w:rFonts w:ascii="Arial" w:cs="Arial" w:eastAsia="Arial" w:hAnsi="Arial"/>
          <w:sz w:val="18"/>
          <w:szCs w:val="18"/>
          <w:color w:val="000000"/>
        </w:rPr>
        <w:t>Common Shares under the 2000 ESPP;</w:t>
      </w:r>
    </w:p>
    <w:p>
      <w:pPr>
        <w:spacing w:after="0" w:line="75" w:lineRule="exact"/>
        <w:rPr>
          <w:rFonts w:ascii="Arial" w:cs="Arial" w:eastAsia="Arial" w:hAnsi="Arial"/>
          <w:sz w:val="18"/>
          <w:szCs w:val="18"/>
          <w:color w:val="0000EE"/>
        </w:rPr>
      </w:pPr>
    </w:p>
    <w:p>
      <w:pPr>
        <w:ind w:left="960" w:hanging="424"/>
        <w:spacing w:after="0"/>
        <w:tabs>
          <w:tab w:leader="none" w:pos="960" w:val="left"/>
        </w:tabs>
        <w:numPr>
          <w:ilvl w:val="0"/>
          <w:numId w:val="2"/>
        </w:numPr>
        <w:rPr>
          <w:rFonts w:ascii="Arial" w:cs="Arial" w:eastAsia="Arial" w:hAnsi="Arial"/>
          <w:sz w:val="17"/>
          <w:szCs w:val="17"/>
          <w:color w:val="0000EE"/>
        </w:rPr>
      </w:pPr>
      <w:hyperlink r:id="rId37">
        <w:r>
          <w:rPr>
            <w:rFonts w:ascii="Arial" w:cs="Arial" w:eastAsia="Arial" w:hAnsi="Arial"/>
            <w:sz w:val="17"/>
            <w:szCs w:val="17"/>
            <w:u w:val="single" w:color="auto"/>
            <w:color w:val="0000EE"/>
          </w:rPr>
          <w:t>Registration No. 333-56322</w:t>
        </w:r>
      </w:hyperlink>
      <w:r>
        <w:rPr>
          <w:rFonts w:ascii="Arial" w:cs="Arial" w:eastAsia="Arial" w:hAnsi="Arial"/>
          <w:sz w:val="17"/>
          <w:szCs w:val="17"/>
          <w:color w:val="000000"/>
        </w:rPr>
        <w:t>,</w:t>
      </w:r>
      <w:r>
        <w:rPr>
          <w:rFonts w:ascii="Arial" w:cs="Arial" w:eastAsia="Arial" w:hAnsi="Arial"/>
          <w:sz w:val="17"/>
          <w:szCs w:val="17"/>
          <w:color w:val="0000EE"/>
        </w:rPr>
        <w:t xml:space="preserve"> </w:t>
      </w:r>
      <w:r>
        <w:rPr>
          <w:rFonts w:ascii="Arial" w:cs="Arial" w:eastAsia="Arial" w:hAnsi="Arial"/>
          <w:sz w:val="17"/>
          <w:szCs w:val="17"/>
          <w:color w:val="000000"/>
        </w:rPr>
        <w:t>filed with the SEC on February 28, 2001, registering 500,000 Common Shares under the 2000 ESPP;</w:t>
      </w:r>
    </w:p>
    <w:p>
      <w:pPr>
        <w:spacing w:after="0" w:line="142" w:lineRule="exact"/>
        <w:rPr>
          <w:rFonts w:ascii="Arial" w:cs="Arial" w:eastAsia="Arial" w:hAnsi="Arial"/>
          <w:sz w:val="17"/>
          <w:szCs w:val="17"/>
          <w:color w:val="0000EE"/>
        </w:rPr>
      </w:pPr>
    </w:p>
    <w:p>
      <w:pPr>
        <w:ind w:left="960" w:hanging="424"/>
        <w:spacing w:after="0"/>
        <w:tabs>
          <w:tab w:leader="none" w:pos="960" w:val="left"/>
        </w:tabs>
        <w:numPr>
          <w:ilvl w:val="0"/>
          <w:numId w:val="2"/>
        </w:numPr>
        <w:rPr>
          <w:rFonts w:ascii="Arial" w:cs="Arial" w:eastAsia="Arial" w:hAnsi="Arial"/>
          <w:sz w:val="17"/>
          <w:szCs w:val="17"/>
          <w:color w:val="0000EE"/>
        </w:rPr>
      </w:pPr>
      <w:hyperlink r:id="rId38">
        <w:r>
          <w:rPr>
            <w:rFonts w:ascii="Arial" w:cs="Arial" w:eastAsia="Arial" w:hAnsi="Arial"/>
            <w:sz w:val="17"/>
            <w:szCs w:val="17"/>
            <w:u w:val="single" w:color="auto"/>
            <w:color w:val="0000EE"/>
          </w:rPr>
          <w:t>Registration No. 333-55974</w:t>
        </w:r>
      </w:hyperlink>
      <w:r>
        <w:rPr>
          <w:rFonts w:ascii="Arial" w:cs="Arial" w:eastAsia="Arial" w:hAnsi="Arial"/>
          <w:sz w:val="17"/>
          <w:szCs w:val="17"/>
          <w:color w:val="000000"/>
        </w:rPr>
        <w:t>,</w:t>
      </w:r>
      <w:r>
        <w:rPr>
          <w:rFonts w:ascii="Arial" w:cs="Arial" w:eastAsia="Arial" w:hAnsi="Arial"/>
          <w:sz w:val="17"/>
          <w:szCs w:val="17"/>
          <w:color w:val="0000EE"/>
        </w:rPr>
        <w:t xml:space="preserve"> </w:t>
      </w:r>
      <w:r>
        <w:rPr>
          <w:rFonts w:ascii="Arial" w:cs="Arial" w:eastAsia="Arial" w:hAnsi="Arial"/>
          <w:sz w:val="17"/>
          <w:szCs w:val="17"/>
          <w:color w:val="000000"/>
        </w:rPr>
        <w:t>filed with the SEC on February 21, 2001, registering 8,768,553 Common Shares under the 1995 Plan;</w:t>
      </w:r>
    </w:p>
    <w:p>
      <w:pPr>
        <w:spacing w:after="0" w:line="142" w:lineRule="exact"/>
        <w:rPr>
          <w:rFonts w:ascii="Arial" w:cs="Arial" w:eastAsia="Arial" w:hAnsi="Arial"/>
          <w:sz w:val="17"/>
          <w:szCs w:val="17"/>
          <w:color w:val="0000EE"/>
        </w:rPr>
      </w:pPr>
    </w:p>
    <w:p>
      <w:pPr>
        <w:ind w:left="960" w:hanging="424"/>
        <w:spacing w:after="0"/>
        <w:tabs>
          <w:tab w:leader="none" w:pos="960" w:val="left"/>
        </w:tabs>
        <w:numPr>
          <w:ilvl w:val="0"/>
          <w:numId w:val="2"/>
        </w:numPr>
        <w:rPr>
          <w:rFonts w:ascii="Arial" w:cs="Arial" w:eastAsia="Arial" w:hAnsi="Arial"/>
          <w:sz w:val="17"/>
          <w:szCs w:val="17"/>
          <w:color w:val="0000EE"/>
        </w:rPr>
      </w:pPr>
      <w:hyperlink r:id="rId39">
        <w:r>
          <w:rPr>
            <w:rFonts w:ascii="Arial" w:cs="Arial" w:eastAsia="Arial" w:hAnsi="Arial"/>
            <w:sz w:val="17"/>
            <w:szCs w:val="17"/>
            <w:u w:val="single" w:color="auto"/>
            <w:color w:val="0000EE"/>
          </w:rPr>
          <w:t>Registration No. 333-40152</w:t>
        </w:r>
      </w:hyperlink>
      <w:r>
        <w:rPr>
          <w:rFonts w:ascii="Arial" w:cs="Arial" w:eastAsia="Arial" w:hAnsi="Arial"/>
          <w:sz w:val="17"/>
          <w:szCs w:val="17"/>
          <w:color w:val="000000"/>
        </w:rPr>
        <w:t>,</w:t>
      </w:r>
      <w:r>
        <w:rPr>
          <w:rFonts w:ascii="Arial" w:cs="Arial" w:eastAsia="Arial" w:hAnsi="Arial"/>
          <w:sz w:val="17"/>
          <w:szCs w:val="17"/>
          <w:color w:val="0000EE"/>
        </w:rPr>
        <w:t xml:space="preserve"> </w:t>
      </w:r>
      <w:r>
        <w:rPr>
          <w:rFonts w:ascii="Arial" w:cs="Arial" w:eastAsia="Arial" w:hAnsi="Arial"/>
          <w:sz w:val="17"/>
          <w:szCs w:val="17"/>
          <w:color w:val="000000"/>
        </w:rPr>
        <w:t>filed with the SEC on June 26, 2000, registering 29,500,000 Common Shares under the 1995 Plan; and</w:t>
      </w:r>
    </w:p>
    <w:p>
      <w:pPr>
        <w:spacing w:after="0" w:line="142" w:lineRule="exact"/>
        <w:rPr>
          <w:rFonts w:ascii="Arial" w:cs="Arial" w:eastAsia="Arial" w:hAnsi="Arial"/>
          <w:sz w:val="17"/>
          <w:szCs w:val="17"/>
          <w:color w:val="0000EE"/>
        </w:rPr>
      </w:pPr>
    </w:p>
    <w:p>
      <w:pPr>
        <w:ind w:left="960" w:hanging="424"/>
        <w:spacing w:after="0"/>
        <w:tabs>
          <w:tab w:leader="none" w:pos="960" w:val="left"/>
        </w:tabs>
        <w:numPr>
          <w:ilvl w:val="0"/>
          <w:numId w:val="2"/>
        </w:numPr>
        <w:rPr>
          <w:rFonts w:ascii="Arial" w:cs="Arial" w:eastAsia="Arial" w:hAnsi="Arial"/>
          <w:sz w:val="17"/>
          <w:szCs w:val="17"/>
          <w:color w:val="0000EE"/>
        </w:rPr>
      </w:pPr>
      <w:hyperlink r:id="rId40">
        <w:r>
          <w:rPr>
            <w:rFonts w:ascii="Arial" w:cs="Arial" w:eastAsia="Arial" w:hAnsi="Arial"/>
            <w:sz w:val="17"/>
            <w:szCs w:val="17"/>
            <w:u w:val="single" w:color="auto"/>
            <w:color w:val="0000EE"/>
          </w:rPr>
          <w:t>Registration No. 333-40154</w:t>
        </w:r>
      </w:hyperlink>
      <w:r>
        <w:rPr>
          <w:rFonts w:ascii="Arial" w:cs="Arial" w:eastAsia="Arial" w:hAnsi="Arial"/>
          <w:sz w:val="17"/>
          <w:szCs w:val="17"/>
          <w:color w:val="000000"/>
        </w:rPr>
        <w:t>,</w:t>
      </w:r>
      <w:r>
        <w:rPr>
          <w:rFonts w:ascii="Arial" w:cs="Arial" w:eastAsia="Arial" w:hAnsi="Arial"/>
          <w:sz w:val="17"/>
          <w:szCs w:val="17"/>
          <w:color w:val="0000EE"/>
        </w:rPr>
        <w:t xml:space="preserve"> </w:t>
      </w:r>
      <w:r>
        <w:rPr>
          <w:rFonts w:ascii="Arial" w:cs="Arial" w:eastAsia="Arial" w:hAnsi="Arial"/>
          <w:sz w:val="17"/>
          <w:szCs w:val="17"/>
          <w:color w:val="000000"/>
        </w:rPr>
        <w:t>filed with the SEC on June 26, 2000, registering 1,000,000 Common Shares under the 2000 ESPP.</w:t>
      </w:r>
    </w:p>
    <w:p>
      <w:pPr>
        <w:spacing w:after="0" w:line="237" w:lineRule="exact"/>
        <w:rPr>
          <w:rFonts w:ascii="Arial" w:cs="Arial" w:eastAsia="Arial" w:hAnsi="Arial"/>
          <w:sz w:val="17"/>
          <w:szCs w:val="17"/>
          <w:color w:val="auto"/>
        </w:rPr>
      </w:pPr>
    </w:p>
    <w:p>
      <w:pPr>
        <w:ind w:right="140"/>
        <w:spacing w:after="0" w:line="272" w:lineRule="auto"/>
        <w:rPr>
          <w:sz w:val="20"/>
          <w:szCs w:val="20"/>
          <w:color w:val="auto"/>
        </w:rPr>
      </w:pPr>
      <w:r>
        <w:rPr>
          <w:rFonts w:ascii="Arial" w:cs="Arial" w:eastAsia="Arial" w:hAnsi="Arial"/>
          <w:sz w:val="17"/>
          <w:szCs w:val="17"/>
          <w:color w:val="auto"/>
        </w:rPr>
        <w:t>On April 20, 2021, pursuant to the Agreement and Plan of Merger and Reorganization, dated October 29, 2020, by and among Marvell, Marvell Technology, Inc., a Delaware corporation and a wholly owned subsidiary of Marvell (“MTI”), Maui Acquisition Company Ltd, a Bermuda exempted company and a wholly owned subsidiary of MTI (“Bermuda Merger Sub”), Indigo Acquisition Corp., a Delaware corporation and a wholly owned subsidiary of MTI (“Delaware Merger Sub”), and Inphi Corporation, a Delaware corporation (“Inphi”), (i) Bermuda Merger Sub merged with and into Marvell (the “Bermuda Merger”), with Marvell continuing as a wholly owned subsidiary of MTI; and (ii) Delaware Merger Sub merged with and into Inphi (the “Delaware Merger” and, together with the Bermuda Merger, the “Mergers”), with Inphi continuing as a wholly owned subsidiary of MTI. Upon the consummation of the Mergers, each of Marvell and Inphi became wholly owned subsidiaries of MTI.</w:t>
      </w:r>
    </w:p>
    <w:p>
      <w:pPr>
        <w:spacing w:after="0" w:line="177" w:lineRule="exact"/>
        <w:rPr>
          <w:rFonts w:ascii="Arial" w:cs="Arial" w:eastAsia="Arial" w:hAnsi="Arial"/>
          <w:sz w:val="17"/>
          <w:szCs w:val="17"/>
          <w:color w:val="auto"/>
        </w:rPr>
      </w:pPr>
    </w:p>
    <w:p>
      <w:pPr>
        <w:spacing w:after="0" w:line="279" w:lineRule="auto"/>
        <w:rPr>
          <w:sz w:val="20"/>
          <w:szCs w:val="20"/>
          <w:color w:val="auto"/>
        </w:rPr>
      </w:pPr>
      <w:r>
        <w:rPr>
          <w:rFonts w:ascii="Arial" w:cs="Arial" w:eastAsia="Arial" w:hAnsi="Arial"/>
          <w:sz w:val="17"/>
          <w:szCs w:val="17"/>
          <w:color w:val="auto"/>
        </w:rPr>
        <w:t>As a result of the Mergers, Marvell has terminated all offerings of its securities pursuant to existing registration statements, including the Registration Statements. In accordance with an undertaking made by the Registrant in the Registration Statements to remove from registration, by means of a post-effective amendment, any of the securities which remain unsold at the termination of the offering, the Registrant hereby removes from registration all of the securities registered under the Registration Statements which remain unsold as of April 20, 2021.</w:t>
      </w:r>
    </w:p>
    <w:p>
      <w:pPr>
        <w:sectPr>
          <w:pgSz w:w="11900" w:h="16838" w:orient="portrait"/>
          <w:cols w:equalWidth="0" w:num="1">
            <w:col w:w="10960"/>
          </w:cols>
          <w:pgMar w:left="440" w:top="274" w:right="499" w:bottom="1440" w:gutter="0" w:footer="0" w:header="0"/>
        </w:sectPr>
      </w:pPr>
    </w:p>
    <w:bookmarkStart w:id="4" w:name="page5"/>
    <w:bookmarkEnd w:id="4"/>
    <w:p>
      <w:pPr>
        <w:jc w:val="center"/>
        <w:ind w:right="-99"/>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41">
                      <a:extLst>
                        <a:ext uri="{28A0092B-C50C-407E-A947-70E740481C1C}"/>
                      </a:extLst>
                    </a:blip>
                    <a:srcRect/>
                    <a:stretch>
                      <a:fillRect/>
                    </a:stretch>
                  </pic:blipFill>
                  <pic:spPr bwMode="auto">
                    <a:xfrm>
                      <a:off x="0" y="0"/>
                      <a:ext cx="7174865" cy="38735"/>
                    </a:xfrm>
                    <a:prstGeom prst="rect">
                      <a:avLst/>
                    </a:prstGeom>
                    <a:noFill/>
                  </pic:spPr>
                </pic:pic>
              </a:graphicData>
            </a:graphic>
          </wp:anchor>
        </w:drawing>
        <w:t>SIGNATURES</w:t>
      </w:r>
    </w:p>
    <w:p>
      <w:pPr>
        <w:spacing w:after="0" w:line="229" w:lineRule="exact"/>
        <w:rPr>
          <w:sz w:val="20"/>
          <w:szCs w:val="20"/>
          <w:color w:val="auto"/>
        </w:rPr>
      </w:pPr>
    </w:p>
    <w:p>
      <w:pPr>
        <w:spacing w:after="0" w:line="263" w:lineRule="auto"/>
        <w:rPr>
          <w:sz w:val="20"/>
          <w:szCs w:val="20"/>
          <w:color w:val="auto"/>
        </w:rPr>
      </w:pPr>
      <w:r>
        <w:rPr>
          <w:rFonts w:ascii="Arial" w:cs="Arial" w:eastAsia="Arial" w:hAnsi="Arial"/>
          <w:sz w:val="18"/>
          <w:szCs w:val="18"/>
          <w:color w:val="auto"/>
        </w:rPr>
        <w:t>Pursuant to the requirements of the Securities Act of 1933, the Registrant certifies that it has reasonable grounds to believe that it meets all of the requirements for filing on Form S-8, and has duly caused this Post-Effective Amendment No. 1 to be signed on its behalf by the undersigned, thereunto duly authorized, in the City of Austin, State of Texas, on April 20, 2021.</w:t>
      </w:r>
    </w:p>
    <w:p>
      <w:pPr>
        <w:spacing w:after="0" w:line="211" w:lineRule="exact"/>
        <w:rPr>
          <w:sz w:val="20"/>
          <w:szCs w:val="20"/>
          <w:color w:val="auto"/>
        </w:rPr>
      </w:pPr>
    </w:p>
    <w:p>
      <w:pPr>
        <w:ind w:left="6620"/>
        <w:spacing w:after="0"/>
        <w:rPr>
          <w:sz w:val="20"/>
          <w:szCs w:val="20"/>
          <w:color w:val="auto"/>
        </w:rPr>
      </w:pPr>
      <w:r>
        <w:rPr>
          <w:rFonts w:ascii="Arial" w:cs="Arial" w:eastAsia="Arial" w:hAnsi="Arial"/>
          <w:sz w:val="18"/>
          <w:szCs w:val="18"/>
          <w:color w:val="auto"/>
        </w:rPr>
        <w:t>MARVELL TECHNOLOGY GROUP LTD.</w:t>
      </w:r>
    </w:p>
    <w:p>
      <w:pPr>
        <w:spacing w:after="0" w:line="225" w:lineRule="exact"/>
        <w:rPr>
          <w:sz w:val="20"/>
          <w:szCs w:val="20"/>
          <w:color w:val="auto"/>
        </w:rPr>
      </w:pPr>
    </w:p>
    <w:p>
      <w:pPr>
        <w:ind w:left="6620"/>
        <w:spacing w:after="0"/>
        <w:rPr>
          <w:sz w:val="20"/>
          <w:szCs w:val="20"/>
          <w:color w:val="auto"/>
        </w:rPr>
      </w:pPr>
      <w:r>
        <w:rPr>
          <w:rFonts w:ascii="Arial" w:cs="Arial" w:eastAsia="Arial" w:hAnsi="Arial"/>
          <w:sz w:val="18"/>
          <w:szCs w:val="18"/>
          <w:color w:val="auto"/>
        </w:rPr>
        <w:t>By /s/ JEAN HU</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4369435</wp:posOffset>
            </wp:positionH>
            <wp:positionV relativeFrom="paragraph">
              <wp:posOffset>14605</wp:posOffset>
            </wp:positionV>
            <wp:extent cx="2623185" cy="8255"/>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42">
                      <a:extLst>
                        <a:ext uri="{28A0092B-C50C-407E-A947-70E740481C1C}"/>
                      </a:extLst>
                    </a:blip>
                    <a:srcRect/>
                    <a:stretch>
                      <a:fillRect/>
                    </a:stretch>
                  </pic:blipFill>
                  <pic:spPr bwMode="auto">
                    <a:xfrm>
                      <a:off x="0" y="0"/>
                      <a:ext cx="2623185" cy="8255"/>
                    </a:xfrm>
                    <a:prstGeom prst="rect">
                      <a:avLst/>
                    </a:prstGeom>
                    <a:noFill/>
                  </pic:spPr>
                </pic:pic>
              </a:graphicData>
            </a:graphic>
          </wp:anchor>
        </w:drawing>
      </w:r>
    </w:p>
    <w:p>
      <w:pPr>
        <w:spacing w:after="0" w:line="16" w:lineRule="exact"/>
        <w:rPr>
          <w:sz w:val="20"/>
          <w:szCs w:val="20"/>
          <w:color w:val="auto"/>
        </w:rPr>
      </w:pPr>
    </w:p>
    <w:p>
      <w:pPr>
        <w:ind w:left="6880"/>
        <w:spacing w:after="0"/>
        <w:rPr>
          <w:sz w:val="20"/>
          <w:szCs w:val="20"/>
          <w:color w:val="auto"/>
        </w:rPr>
      </w:pPr>
      <w:r>
        <w:rPr>
          <w:rFonts w:ascii="Arial" w:cs="Arial" w:eastAsia="Arial" w:hAnsi="Arial"/>
          <w:sz w:val="18"/>
          <w:szCs w:val="18"/>
          <w:color w:val="auto"/>
        </w:rPr>
        <w:t>Jean Hu</w:t>
      </w:r>
    </w:p>
    <w:p>
      <w:pPr>
        <w:spacing w:after="0" w:line="23" w:lineRule="exact"/>
        <w:rPr>
          <w:sz w:val="20"/>
          <w:szCs w:val="20"/>
          <w:color w:val="auto"/>
        </w:rPr>
      </w:pPr>
    </w:p>
    <w:p>
      <w:pPr>
        <w:ind w:left="6880"/>
        <w:spacing w:after="0"/>
        <w:rPr>
          <w:sz w:val="20"/>
          <w:szCs w:val="20"/>
          <w:color w:val="auto"/>
        </w:rPr>
      </w:pPr>
      <w:r>
        <w:rPr>
          <w:rFonts w:ascii="Arial" w:cs="Arial" w:eastAsia="Arial" w:hAnsi="Arial"/>
          <w:sz w:val="18"/>
          <w:szCs w:val="18"/>
          <w:color w:val="auto"/>
        </w:rPr>
        <w:t>Authorized Signatory</w:t>
      </w:r>
    </w:p>
    <w:p>
      <w:pPr>
        <w:spacing w:after="0" w:line="211" w:lineRule="exact"/>
        <w:rPr>
          <w:sz w:val="20"/>
          <w:szCs w:val="20"/>
          <w:color w:val="auto"/>
        </w:rPr>
      </w:pPr>
    </w:p>
    <w:p>
      <w:pPr>
        <w:spacing w:after="0"/>
        <w:rPr>
          <w:sz w:val="20"/>
          <w:szCs w:val="20"/>
          <w:color w:val="auto"/>
        </w:rPr>
      </w:pPr>
      <w:r>
        <w:rPr>
          <w:rFonts w:ascii="Arial" w:cs="Arial" w:eastAsia="Arial" w:hAnsi="Arial"/>
          <w:sz w:val="18"/>
          <w:szCs w:val="18"/>
          <w:color w:val="auto"/>
        </w:rPr>
        <w:t>Note: No other person is required to sign this Post-Effective Amendment in reliance upon Rule 478 under the Securities Act of 1933.</w:t>
      </w:r>
    </w:p>
    <w:sectPr>
      <w:pgSz w:w="11900" w:h="16838" w:orient="portrait"/>
      <w:cols w:equalWidth="0" w:num="1">
        <w:col w:w="10900"/>
      </w:cols>
      <w:pgMar w:left="440" w:top="270" w:right="55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 w:name="MS PGothic">
    <w:panose1 w:val="020B0600070205080204"/>
    <w:charset w:val="80"/>
    <w:family w:val="swiss"/>
    <w:pitch w:val="variable"/>
    <w:sig w:usb0="E00002FF" w:usb1="6AC7FDFB" w:usb2="08000012" w:usb3="00000000" w:csb0="4002009F" w:csb1="DFD70000"/>
  </w:font>
</w:fonts>
</file>

<file path=word/numbering.xml><?xml version="1.0" encoding="utf-8"?>
<w:numbering xmlns:w="http://schemas.openxmlformats.org/wordprocessingml/2006/main">
  <w:abstractNum w:abstractNumId="0">
    <w:nsid w:val="643C9869"/>
    <w:multiLevelType w:val="hybridMultilevel"/>
    <w:lvl w:ilvl="0">
      <w:lvlJc w:val="left"/>
      <w:lvlText w:val="•"/>
      <w:numFmt w:val="bullet"/>
      <w:start w:val="1"/>
    </w:lvl>
  </w:abstractNum>
  <w:abstractNum w:abstractNumId="1">
    <w:nsid w:val="66334873"/>
    <w:multiLevelType w:val="hybridMultilevel"/>
    <w:lvl w:ilvl="0">
      <w:lvlJc w:val="left"/>
      <w:lvlText w:val="•"/>
      <w:numFmt w:val="bullet"/>
      <w:start w:val="1"/>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29" Type="http://schemas.openxmlformats.org/officeDocument/2006/relationships/image" Target="media/image8.png"/><Relationship Id="rId41" Type="http://schemas.openxmlformats.org/officeDocument/2006/relationships/image" Target="media/image9.png"/><Relationship Id="rId42" Type="http://schemas.openxmlformats.org/officeDocument/2006/relationships/image" Target="media/image10.png"/><Relationship Id="rId15" Type="http://schemas.openxmlformats.org/officeDocument/2006/relationships/hyperlink" Target="http://www.sec.gov/Archives/edgar/data/1058057/000119312521082944/d152676ds8.htm" TargetMode="External"/><Relationship Id="rId16" Type="http://schemas.openxmlformats.org/officeDocument/2006/relationships/hyperlink" Target="http://www.sec.gov/Archives/edgar/data/1058057/000119312520081591/d901775ds8.htm" TargetMode="External"/><Relationship Id="rId17" Type="http://schemas.openxmlformats.org/officeDocument/2006/relationships/hyperlink" Target="http://www.sec.gov/Archives/edgar/data/1058057/000119312519249561/d770178ds8.htm" TargetMode="External"/><Relationship Id="rId18" Type="http://schemas.openxmlformats.org/officeDocument/2006/relationships/hyperlink" Target="http://www.sec.gov/Archives/edgar/data/1058057/000119312519092778/d724094ds8.htm" TargetMode="External"/><Relationship Id="rId19" Type="http://schemas.openxmlformats.org/officeDocument/2006/relationships/hyperlink" Target="http://www.sec.gov/Archives/edgar/data/1058057/000119312518213832/d897604ds8.htm" TargetMode="External"/><Relationship Id="rId20" Type="http://schemas.openxmlformats.org/officeDocument/2006/relationships/hyperlink" Target="http://www.sec.gov/Archives/edgar/data/1058057/000119312518102004/d549606ds8.htm" TargetMode="External"/><Relationship Id="rId21" Type="http://schemas.openxmlformats.org/officeDocument/2006/relationships/hyperlink" Target="http://www.sec.gov/Archives/edgar/data/1058057/000119312517101673/d357328ds8.htm" TargetMode="External"/><Relationship Id="rId22" Type="http://schemas.openxmlformats.org/officeDocument/2006/relationships/hyperlink" Target="http://www.sec.gov/Archives/edgar/data/1058057/000119312516678146/d234650ds8.htm" TargetMode="External"/><Relationship Id="rId23" Type="http://schemas.openxmlformats.org/officeDocument/2006/relationships/hyperlink" Target="http://www.sec.gov/Archives/edgar/data/1058057/000119312515213511/d938370ds8.htm" TargetMode="External"/><Relationship Id="rId24" Type="http://schemas.openxmlformats.org/officeDocument/2006/relationships/hyperlink" Target="http://www.sec.gov/Archives/edgar/data/1058057/000119312514121354/d702468ds8.htm" TargetMode="External"/><Relationship Id="rId25" Type="http://schemas.openxmlformats.org/officeDocument/2006/relationships/hyperlink" Target="http://www.sec.gov/Archives/edgar/data/1058057/000119312513134736/d511303ds8.htm" TargetMode="External"/><Relationship Id="rId26" Type="http://schemas.openxmlformats.org/officeDocument/2006/relationships/hyperlink" Target="http://www.sec.gov/Archives/edgar/data/1058057/000119312512137405/d323846ds8.htm" TargetMode="External"/><Relationship Id="rId27" Type="http://schemas.openxmlformats.org/officeDocument/2006/relationships/hyperlink" Target="http://www.sec.gov/Archives/edgar/data/1058057/000119312509250743/ds8.htm" TargetMode="External"/><Relationship Id="rId28" Type="http://schemas.openxmlformats.org/officeDocument/2006/relationships/hyperlink" Target="http://www.sec.gov/Archives/edgar/data/1058057/000110465908041192/a08-17002_1s8.htm" TargetMode="External"/><Relationship Id="rId30" Type="http://schemas.openxmlformats.org/officeDocument/2006/relationships/hyperlink" Target="http://www.sec.gov/Archives/edgar/data/1058057/000110465908002160/a07-32325_1s8.htm" TargetMode="External"/><Relationship Id="rId31" Type="http://schemas.openxmlformats.org/officeDocument/2006/relationships/hyperlink" Target="http://www.sec.gov/Archives/edgar/data/1058057/000110465906025020/a06-8783_1s8.htm" TargetMode="External"/><Relationship Id="rId32" Type="http://schemas.openxmlformats.org/officeDocument/2006/relationships/hyperlink" Target="http://www.sec.gov/Archives/edgar/data/1058057/000110465905016498/a05-6690_1s8.htm" TargetMode="External"/><Relationship Id="rId33" Type="http://schemas.openxmlformats.org/officeDocument/2006/relationships/hyperlink" Target="http://www.sec.gov/Archives/edgar/data/1058057/000095013404005155/f98017sv8.htm" TargetMode="External"/><Relationship Id="rId34" Type="http://schemas.openxmlformats.org/officeDocument/2006/relationships/hyperlink" Target="http://www.sec.gov/Archives/edgar/data/1058057/000089161803004597/f92764sv8.htm" TargetMode="External"/><Relationship Id="rId35" Type="http://schemas.openxmlformats.org/officeDocument/2006/relationships/hyperlink" Target="http://www.sec.gov/Archives/edgar/data/1058057/000089161803002250/f89736orsv8.htm" TargetMode="External"/><Relationship Id="rId36" Type="http://schemas.openxmlformats.org/officeDocument/2006/relationships/hyperlink" Target="http://www.sec.gov/Archives/edgar/data/1058057/000089161802002088/f81111ors-8.htm" TargetMode="External"/><Relationship Id="rId37" Type="http://schemas.openxmlformats.org/officeDocument/2006/relationships/hyperlink" Target="http://www.sec.gov/Archives/edgar/data/1058057/000089256901500080/a70007s-8.txt" TargetMode="External"/><Relationship Id="rId38" Type="http://schemas.openxmlformats.org/officeDocument/2006/relationships/hyperlink" Target="http://www.sec.gov/Archives/edgar/data/1058057/000109581101500054/a69844ors-8.txt" TargetMode="External"/><Relationship Id="rId39" Type="http://schemas.openxmlformats.org/officeDocument/2006/relationships/hyperlink" Target="http://www.sec.gov/Archives/edgar/data/1058057/000089161800003558/s-8.txt" TargetMode="External"/><Relationship Id="rId40" Type="http://schemas.openxmlformats.org/officeDocument/2006/relationships/hyperlink" Target="http://www.sec.gov/Archives/edgar/data/1058057/000089161800003559/s-8.txt" TargetMode="Externa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2021-04-20T15:20:17Z</dcterms:created>
  <dcterms:modified xsi:type="dcterms:W3CDTF">2021-04-20T15:20:17Z</dcterms:modified>
</cp:coreProperties>
</file>