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1740"/>
        <w:spacing w:after="0"/>
        <w:rPr>
          <w:sz w:val="20"/>
          <w:szCs w:val="20"/>
          <w:color w:val="auto"/>
        </w:rPr>
      </w:pPr>
      <w:r>
        <w:rPr>
          <w:rFonts w:ascii="Arial" w:cs="Arial" w:eastAsia="Arial" w:hAnsi="Arial"/>
          <w:sz w:val="18"/>
          <w:szCs w:val="18"/>
          <w:b w:val="1"/>
          <w:bCs w:val="1"/>
          <w:color w:val="auto"/>
        </w:rPr>
        <w:t>As filed with the Securities and Exchange Commission on April 20, 2021</w:t>
      </w:r>
    </w:p>
    <w:p>
      <w:pPr>
        <w:spacing w:after="0" w:line="158"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333-254356</w:t>
      </w:r>
    </w:p>
    <w:p>
      <w:pPr>
        <w:spacing w:after="0" w:line="27"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333-237333</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333-233851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333-230616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333-226085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333-224015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333-217004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333-213059</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333-204730</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333-194865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333-187641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333-180412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333-163644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333-151816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333-148621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333-133281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333-124072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333-114434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333-108334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333-104925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333-87322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333-56322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333-55974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-636905</wp:posOffset>
            </wp:positionH>
            <wp:positionV relativeFrom="paragraph">
              <wp:posOffset>66040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108585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19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SECURITIES AND EXCHANGE COMMISSION</w:t>
      </w:r>
    </w:p>
    <w:p>
      <w:pPr>
        <w:ind w:left="340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2122805</wp:posOffset>
            </wp:positionH>
            <wp:positionV relativeFrom="paragraph">
              <wp:posOffset>158750</wp:posOffset>
            </wp:positionV>
            <wp:extent cx="147447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351" w:lineRule="exact"/>
        <w:rPr>
          <w:sz w:val="24"/>
          <w:szCs w:val="24"/>
          <w:color w:val="auto"/>
        </w:rPr>
      </w:pPr>
    </w:p>
    <w:p>
      <w:pPr>
        <w:jc w:val="center"/>
        <w:ind w:left="320" w:right="1340"/>
        <w:spacing w:after="0" w:line="247" w:lineRule="auto"/>
        <w:rPr>
          <w:sz w:val="20"/>
          <w:szCs w:val="20"/>
          <w:color w:val="auto"/>
        </w:rPr>
      </w:pPr>
      <w:r>
        <w:rPr>
          <w:rFonts w:ascii="Arial" w:cs="Arial" w:eastAsia="Arial" w:hAnsi="Arial"/>
          <w:sz w:val="31"/>
          <w:szCs w:val="31"/>
          <w:b w:val="1"/>
          <w:bCs w:val="1"/>
          <w:color w:val="auto"/>
        </w:rPr>
        <w:t>POST-EFFECTIVE AMENDMENT NO. 1 TO: FORM S-8 REGISTRATION STATEMENT No. 333-254356 FORM S-8 REGISTRATION STATEMENT No. 333-237333 FORM S-8 REGISTRATION STATEMENT No. 333-233851 FORM S-8 REGISTRATION STATEMENT No. 333-230616 FORM S-8 REGISTRATION STATEMENT No. 333-226085 FORM S-8 REGISTRATION STATEMENT No. 333-224015 FORM S-8 REGISTRATION STATEMENT No. 333-217004 FORM S-8 REGISTRATION STATEMENT No. 333-213059 FORM S-8 REGISTRATION STATEMENT No. 333-204730 FORM S-8 REGISTRATION STATEMENT No. 333-194865 FORM S-8 REGISTRATION STATEMENT No. 333-187641 FORM S-8 REGISTRATION STATEMENT No. 333-180412 FORM S-8 REGISTRATION STATEMENT No. 333-163644 FORM S-8 REGISTRATION STATEMENT No. 333-151816 FORM S-8 REGISTRATION STATEMENT No. 333-148621 FORM S-8 REGISTRATION STATEMENT No. 333-133281 FORM S-8 REGISTRATION STATEMENT No. 333-124072 FORM S-8 REGISTRATION STATEMENT No. 333-114434 FORM S-8 REGISTRATION STATEMENT No. 333-108334 FORM S-8 REGISTRATION STATEMENT No. 333-104925 FORM S-8 REGISTRATION STATEMENT No. 333-87322 FORM S-8 REGISTRATION STATEMENT No. 333-56322 FORM S-8 REGISTRATION STATEMENT No. 333-55974</w:t>
      </w:r>
    </w:p>
    <w:p>
      <w:pPr>
        <w:sectPr>
          <w:pgSz w:w="11900" w:h="16838" w:orient="portrait"/>
          <w:cols w:equalWidth="0" w:num="1">
            <w:col w:w="10020"/>
          </w:cols>
          <w:pgMar w:left="1440" w:top="229" w:right="439" w:bottom="0" w:gutter="0" w:footer="0" w:header="0"/>
        </w:sectPr>
      </w:pPr>
    </w:p>
    <w:bookmarkStart w:id="1" w:name="page2"/>
    <w:bookmarkEnd w:id="1"/>
    <w:p>
      <w:pPr>
        <w:ind w:left="1400"/>
        <w:spacing w:after="0"/>
        <w:rPr>
          <w:sz w:val="20"/>
          <w:szCs w:val="20"/>
          <w:color w:val="auto"/>
        </w:rPr>
      </w:pPr>
      <w:r>
        <w:rPr>
          <w:rFonts w:ascii="Arial" w:cs="Arial" w:eastAsia="Arial" w:hAnsi="Arial"/>
          <w:sz w:val="31"/>
          <w:szCs w:val="31"/>
          <w:b w:val="1"/>
          <w:bCs w:val="1"/>
          <w:color w:val="auto"/>
        </w:rPr>
        <w:t>FORM S-8 REGISTRATION STATEMENT No. 333-40152</w:t>
      </w:r>
    </w:p>
    <w:p>
      <w:pPr>
        <w:spacing w:after="0" w:line="45" w:lineRule="exact"/>
        <w:rPr>
          <w:sz w:val="20"/>
          <w:szCs w:val="20"/>
          <w:color w:val="auto"/>
        </w:rPr>
      </w:pPr>
    </w:p>
    <w:p>
      <w:pPr>
        <w:ind w:left="1400"/>
        <w:spacing w:after="0"/>
        <w:rPr>
          <w:sz w:val="20"/>
          <w:szCs w:val="20"/>
          <w:color w:val="auto"/>
        </w:rPr>
      </w:pPr>
      <w:r>
        <w:rPr>
          <w:rFonts w:ascii="Arial" w:cs="Arial" w:eastAsia="Arial" w:hAnsi="Arial"/>
          <w:sz w:val="31"/>
          <w:szCs w:val="31"/>
          <w:b w:val="1"/>
          <w:bCs w:val="1"/>
          <w:color w:val="auto"/>
        </w:rPr>
        <w:t>FORM S-8 REGISTRATION STATEMENT No. 333-40154</w:t>
      </w:r>
    </w:p>
    <w:p>
      <w:pPr>
        <w:jc w:val="center"/>
        <w:ind w:right="20"/>
        <w:spacing w:after="0"/>
        <w:rPr>
          <w:sz w:val="20"/>
          <w:szCs w:val="20"/>
          <w:color w:val="auto"/>
        </w:rPr>
      </w:pPr>
      <w:r>
        <w:rPr>
          <w:rFonts w:ascii="Arial" w:cs="Arial" w:eastAsia="Arial" w:hAnsi="Arial"/>
          <w:sz w:val="22"/>
          <w:szCs w:val="22"/>
          <w:b w:val="1"/>
          <w:bCs w:val="1"/>
          <w:i w:val="1"/>
          <w:iCs w:val="1"/>
          <w:color w:val="auto"/>
        </w:rPr>
        <w:t>UNDER</w:t>
      </w:r>
    </w:p>
    <w:p>
      <w:pPr>
        <w:jc w:val="center"/>
        <w:ind w:right="20"/>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158750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49" w:lineRule="exact"/>
        <w:rPr>
          <w:sz w:val="20"/>
          <w:szCs w:val="20"/>
          <w:color w:val="auto"/>
        </w:rPr>
      </w:pPr>
    </w:p>
    <w:p>
      <w:pPr>
        <w:jc w:val="center"/>
        <w:ind w:right="40"/>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167640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98" w:right="439" w:bottom="1440" w:gutter="0" w:footer="0" w:header="0"/>
        </w:sectPr>
      </w:pPr>
    </w:p>
    <w:p>
      <w:pPr>
        <w:spacing w:after="0" w:line="200" w:lineRule="exact"/>
        <w:rPr>
          <w:sz w:val="20"/>
          <w:szCs w:val="20"/>
          <w:color w:val="auto"/>
        </w:rPr>
      </w:pPr>
    </w:p>
    <w:p>
      <w:pPr>
        <w:spacing w:after="0" w:line="248" w:lineRule="exact"/>
        <w:rPr>
          <w:sz w:val="20"/>
          <w:szCs w:val="20"/>
          <w:color w:val="auto"/>
        </w:rPr>
      </w:pPr>
    </w:p>
    <w:p>
      <w:pPr>
        <w:ind w:left="24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28"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0"/>
          <w:szCs w:val="20"/>
          <w:color w:val="auto"/>
        </w:rPr>
      </w:pPr>
    </w:p>
    <w:p>
      <w:pPr>
        <w:sectPr>
          <w:pgSz w:w="11900" w:h="16838" w:orient="portrait"/>
          <w:cols w:equalWidth="0" w:num="2">
            <w:col w:w="7180" w:space="720"/>
            <w:col w:w="3120"/>
          </w:cols>
          <w:pgMar w:left="440" w:top="98" w:right="439" w:bottom="1440" w:gutter="0" w:footer="0" w:header="0"/>
          <w:type w:val="continuous"/>
        </w:sectPr>
      </w:pPr>
    </w:p>
    <w:p>
      <w:pPr>
        <w:spacing w:after="0" w:line="12" w:lineRule="exact"/>
        <w:rPr>
          <w:sz w:val="20"/>
          <w:szCs w:val="20"/>
          <w:color w:val="auto"/>
        </w:rPr>
      </w:pPr>
    </w:p>
    <w:p>
      <w:pPr>
        <w:ind w:left="1880"/>
        <w:spacing w:after="0"/>
        <w:rPr>
          <w:sz w:val="20"/>
          <w:szCs w:val="20"/>
          <w:color w:val="auto"/>
        </w:rPr>
      </w:pPr>
      <w:r>
        <w:rPr>
          <w:rFonts w:ascii="Arial" w:cs="Arial" w:eastAsia="Arial" w:hAnsi="Arial"/>
          <w:sz w:val="13"/>
          <w:szCs w:val="13"/>
          <w:b w:val="1"/>
          <w:bCs w:val="1"/>
          <w:color w:val="auto"/>
        </w:rPr>
        <w:t>(State or other jurisdiction of</w:t>
      </w:r>
    </w:p>
    <w:p>
      <w:pPr>
        <w:ind w:left="1840"/>
        <w:spacing w:after="0"/>
        <w:rPr>
          <w:sz w:val="20"/>
          <w:szCs w:val="20"/>
          <w:color w:val="auto"/>
        </w:rPr>
      </w:pPr>
      <w:r>
        <w:rPr>
          <w:rFonts w:ascii="Arial" w:cs="Arial" w:eastAsia="Arial" w:hAnsi="Arial"/>
          <w:sz w:val="13"/>
          <w:szCs w:val="13"/>
          <w:b w:val="1"/>
          <w:bCs w:val="1"/>
          <w:color w:val="auto"/>
        </w:rPr>
        <w:t>incorporation or organization)</w:t>
      </w:r>
    </w:p>
    <w:p>
      <w:pPr>
        <w:spacing w:after="0" w:line="20" w:lineRule="exact"/>
        <w:rPr>
          <w:sz w:val="20"/>
          <w:szCs w:val="20"/>
          <w:color w:val="auto"/>
        </w:rPr>
      </w:pPr>
      <w:r>
        <w:rPr>
          <w:sz w:val="20"/>
          <w:szCs w:val="20"/>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149" w:lineRule="exact"/>
        <w:rPr>
          <w:sz w:val="20"/>
          <w:szCs w:val="20"/>
          <w:color w:val="auto"/>
        </w:rPr>
      </w:pPr>
    </w:p>
    <w:p>
      <w:pPr>
        <w:sectPr>
          <w:pgSz w:w="11900" w:h="16838" w:orient="portrait"/>
          <w:cols w:equalWidth="0" w:num="2">
            <w:col w:w="7060" w:space="720"/>
            <w:col w:w="3240"/>
          </w:cols>
          <w:pgMar w:left="440" w:top="98" w:right="439" w:bottom="1440" w:gutter="0" w:footer="0" w:header="0"/>
          <w:type w:val="continuous"/>
        </w:sectPr>
      </w:pPr>
    </w:p>
    <w:p>
      <w:pPr>
        <w:jc w:val="center"/>
        <w:ind w:right="20"/>
        <w:spacing w:after="0"/>
        <w:rPr>
          <w:sz w:val="20"/>
          <w:szCs w:val="20"/>
          <w:color w:val="auto"/>
        </w:rPr>
      </w:pPr>
      <w:r>
        <w:rPr>
          <w:rFonts w:ascii="Arial" w:cs="Arial" w:eastAsia="Arial" w:hAnsi="Arial"/>
          <w:sz w:val="18"/>
          <w:szCs w:val="18"/>
          <w:b w:val="1"/>
          <w:bCs w:val="1"/>
          <w:color w:val="auto"/>
        </w:rPr>
        <w:t>Victoria Place, 5</w:t>
      </w:r>
      <w:r>
        <w:rPr>
          <w:rFonts w:ascii="Arial" w:cs="Arial" w:eastAsia="Arial" w:hAnsi="Arial"/>
          <w:sz w:val="15"/>
          <w:szCs w:val="15"/>
          <w:b w:val="1"/>
          <w:bCs w:val="1"/>
          <w:color w:val="auto"/>
        </w:rPr>
        <w:t>th</w:t>
      </w:r>
      <w:r>
        <w:rPr>
          <w:rFonts w:ascii="Arial" w:cs="Arial" w:eastAsia="Arial" w:hAnsi="Arial"/>
          <w:sz w:val="18"/>
          <w:szCs w:val="18"/>
          <w:b w:val="1"/>
          <w:bCs w:val="1"/>
          <w:color w:val="auto"/>
        </w:rPr>
        <w:t xml:space="preserve"> Floor</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0"/>
          <w:szCs w:val="20"/>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ectPr>
          <w:pgSz w:w="11900" w:h="16838" w:orient="portrait"/>
          <w:cols w:equalWidth="0" w:num="1">
            <w:col w:w="11020"/>
          </w:cols>
          <w:pgMar w:left="440" w:top="98" w:right="439" w:bottom="1440" w:gutter="0" w:footer="0" w:header="0"/>
          <w:type w:val="continuous"/>
        </w:sectPr>
      </w:pPr>
    </w:p>
    <w:p>
      <w:pPr>
        <w:spacing w:after="0" w:line="134" w:lineRule="exact"/>
        <w:rPr>
          <w:sz w:val="20"/>
          <w:szCs w:val="20"/>
          <w:color w:val="auto"/>
        </w:rPr>
      </w:pPr>
    </w:p>
    <w:p>
      <w:pPr>
        <w:jc w:val="center"/>
        <w:spacing w:after="0" w:line="254" w:lineRule="auto"/>
        <w:rPr>
          <w:sz w:val="20"/>
          <w:szCs w:val="20"/>
          <w:color w:val="auto"/>
        </w:rPr>
      </w:pPr>
      <w:r>
        <w:rPr>
          <w:rFonts w:ascii="Arial" w:cs="Arial" w:eastAsia="Arial" w:hAnsi="Arial"/>
          <w:sz w:val="18"/>
          <w:szCs w:val="18"/>
          <w:b w:val="1"/>
          <w:bCs w:val="1"/>
          <w:color w:val="auto"/>
        </w:rPr>
        <w:t>2000 Employee Stock Purchase Plan, as amended and restated Aquantia Corp. 2004 Equity Incentive Plan Aquantia Corp. 2015 Equity Incentive Plan Aquantia Corp. 2017 Equity Incentive Plan Cavium, Inc. 2016 Equity Incentive Plan Cavium, Inc. 2007 Equity Incentive Plan QLogic Corporation 2005 Performance Incentive Plan Marvell Technology Group Ltd. Amended and Restated 1995 Stock Option Plan</w:t>
      </w:r>
    </w:p>
    <w:p>
      <w:pPr>
        <w:spacing w:after="0" w:line="200" w:lineRule="exact"/>
        <w:rPr>
          <w:sz w:val="20"/>
          <w:szCs w:val="20"/>
          <w:color w:val="auto"/>
        </w:rPr>
      </w:pP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(Full title of the plans)</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Mitchell Gaynor</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Executive Vice President, Chief Legal Officer and Secretary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2"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(Name and address of agent for service)</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(Telephone number, including area code, of agent for service)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159385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78" w:lineRule="exact"/>
        <w:rPr>
          <w:sz w:val="20"/>
          <w:szCs w:val="20"/>
          <w:color w:val="auto"/>
        </w:rPr>
      </w:pPr>
    </w:p>
    <w:p>
      <w:pPr>
        <w:ind w:right="100"/>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after="0" w:line="83" w:lineRule="exact"/>
        <w:rPr>
          <w:sz w:val="20"/>
          <w:szCs w:val="20"/>
          <w:color w:val="auto"/>
        </w:rPr>
      </w:pPr>
    </w:p>
    <w:tbl>
      <w:tblPr>
        <w:tblLayout w:type="fixed"/>
        <w:tblInd w:w="0" w:type="dxa"/>
        <w:tblCellMar>
          <w:top w:w="0" w:type="dxa"/>
          <w:left w:w="0" w:type="dxa"/>
          <w:bottom w:w="0" w:type="dxa"/>
          <w:right w:w="0" w:type="dxa"/>
        </w:tblCellMar>
      </w:tblPr>
      <w:tr>
        <w:trPr>
          <w:trHeight w:val="283"/>
        </w:trPr>
        <w:tc>
          <w:tcPr>
            <w:tcW w:w="1800" w:type="dxa"/>
            <w:vAlign w:val="bottom"/>
          </w:tcPr>
          <w:p>
            <w:pPr>
              <w:spacing w:after="0"/>
              <w:rPr>
                <w:sz w:val="20"/>
                <w:szCs w:val="20"/>
                <w:color w:val="auto"/>
              </w:rPr>
            </w:pPr>
            <w:r>
              <w:rPr>
                <w:rFonts w:ascii="Arial" w:cs="Arial" w:eastAsia="Arial" w:hAnsi="Arial"/>
                <w:sz w:val="18"/>
                <w:szCs w:val="18"/>
                <w:color w:val="auto"/>
                <w:w w:val="99"/>
              </w:rPr>
              <w:t>Large 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0"/>
                <w:szCs w:val="20"/>
                <w:color w:val="auto"/>
              </w:rPr>
            </w:pPr>
            <w:r>
              <w:rPr>
                <w:rFonts w:ascii="Arial" w:cs="Arial" w:eastAsia="Arial" w:hAnsi="Arial"/>
                <w:sz w:val="18"/>
                <w:szCs w:val="18"/>
                <w:color w:val="auto"/>
              </w:rPr>
              <w:t>Non-accelerated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w w:val="98"/>
              </w:rPr>
              <w:t>Smaller reporting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4"/>
                <w:szCs w:val="24"/>
                <w:color w:val="auto"/>
              </w:rPr>
            </w:pPr>
          </w:p>
        </w:tc>
        <w:tc>
          <w:tcPr>
            <w:tcW w:w="3520" w:type="dxa"/>
            <w:vAlign w:val="bottom"/>
          </w:tcPr>
          <w:p>
            <w:pPr>
              <w:spacing w:after="0"/>
              <w:rPr>
                <w:sz w:val="24"/>
                <w:szCs w:val="24"/>
                <w:color w:val="auto"/>
              </w:rPr>
            </w:pPr>
          </w:p>
        </w:tc>
        <w:tc>
          <w:tcPr>
            <w:tcW w:w="5300" w:type="dxa"/>
            <w:vAlign w:val="bottom"/>
          </w:tcPr>
          <w:p>
            <w:pPr>
              <w:ind w:left="3160"/>
              <w:spacing w:after="0"/>
              <w:rPr>
                <w:sz w:val="20"/>
                <w:szCs w:val="20"/>
                <w:color w:val="auto"/>
              </w:rPr>
            </w:pPr>
            <w:r>
              <w:rPr>
                <w:rFonts w:ascii="Arial" w:cs="Arial" w:eastAsia="Arial" w:hAnsi="Arial"/>
                <w:sz w:val="18"/>
                <w:szCs w:val="18"/>
                <w:color w:val="auto"/>
                <w:w w:val="99"/>
              </w:rPr>
              <w:t>Emerging growth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209"/>
        </w:trPr>
        <w:tc>
          <w:tcPr>
            <w:tcW w:w="1800" w:type="dxa"/>
            <w:vAlign w:val="bottom"/>
            <w:tcBorders>
              <w:bottom w:val="single" w:sz="8" w:color="auto"/>
            </w:tcBorders>
          </w:tcPr>
          <w:p>
            <w:pPr>
              <w:spacing w:after="0"/>
              <w:rPr>
                <w:sz w:val="18"/>
                <w:szCs w:val="18"/>
                <w:color w:val="auto"/>
              </w:rPr>
            </w:pPr>
          </w:p>
        </w:tc>
        <w:tc>
          <w:tcPr>
            <w:tcW w:w="3520" w:type="dxa"/>
            <w:vAlign w:val="bottom"/>
            <w:tcBorders>
              <w:bottom w:val="single" w:sz="8" w:color="auto"/>
            </w:tcBorders>
          </w:tcPr>
          <w:p>
            <w:pPr>
              <w:spacing w:after="0"/>
              <w:rPr>
                <w:sz w:val="18"/>
                <w:szCs w:val="18"/>
                <w:color w:val="auto"/>
              </w:rPr>
            </w:pPr>
          </w:p>
        </w:tc>
        <w:tc>
          <w:tcPr>
            <w:tcW w:w="5300" w:type="dxa"/>
            <w:vAlign w:val="bottom"/>
            <w:tcBorders>
              <w:bottom w:val="single" w:sz="8" w:color="auto"/>
            </w:tcBorders>
          </w:tcPr>
          <w:p>
            <w:pPr>
              <w:spacing w:after="0"/>
              <w:rPr>
                <w:sz w:val="18"/>
                <w:szCs w:val="18"/>
                <w:color w:val="auto"/>
              </w:rPr>
            </w:pPr>
          </w:p>
        </w:tc>
        <w:tc>
          <w:tcPr>
            <w:tcW w:w="400" w:type="dxa"/>
            <w:vAlign w:val="bottom"/>
            <w:tcBorders>
              <w:bottom w:val="single" w:sz="8" w:color="auto"/>
            </w:tcBorders>
          </w:tcPr>
          <w:p>
            <w:pPr>
              <w:spacing w:after="0"/>
              <w:rPr>
                <w:sz w:val="18"/>
                <w:szCs w:val="18"/>
                <w:color w:val="auto"/>
              </w:rPr>
            </w:pPr>
          </w:p>
        </w:tc>
      </w:tr>
      <w:tr>
        <w:trPr>
          <w:trHeight w:val="48"/>
        </w:trPr>
        <w:tc>
          <w:tcPr>
            <w:tcW w:w="1800" w:type="dxa"/>
            <w:vAlign w:val="bottom"/>
            <w:tcBorders>
              <w:bottom w:val="single" w:sz="8" w:color="auto"/>
            </w:tcBorders>
          </w:tcPr>
          <w:p>
            <w:pPr>
              <w:spacing w:after="0"/>
              <w:rPr>
                <w:sz w:val="4"/>
                <w:szCs w:val="4"/>
                <w:color w:val="auto"/>
              </w:rPr>
            </w:pPr>
          </w:p>
        </w:tc>
        <w:tc>
          <w:tcPr>
            <w:tcW w:w="3520" w:type="dxa"/>
            <w:vAlign w:val="bottom"/>
            <w:tcBorders>
              <w:bottom w:val="single" w:sz="8" w:color="auto"/>
            </w:tcBorders>
          </w:tcPr>
          <w:p>
            <w:pPr>
              <w:spacing w:after="0"/>
              <w:rPr>
                <w:sz w:val="4"/>
                <w:szCs w:val="4"/>
                <w:color w:val="auto"/>
              </w:rPr>
            </w:pPr>
          </w:p>
        </w:tc>
        <w:tc>
          <w:tcPr>
            <w:tcW w:w="5300" w:type="dxa"/>
            <w:vAlign w:val="bottom"/>
            <w:tcBorders>
              <w:bottom w:val="single" w:sz="8" w:color="auto"/>
            </w:tcBorders>
          </w:tcPr>
          <w:p>
            <w:pPr>
              <w:spacing w:after="0"/>
              <w:rPr>
                <w:sz w:val="4"/>
                <w:szCs w:val="4"/>
                <w:color w:val="auto"/>
              </w:rPr>
            </w:pPr>
          </w:p>
        </w:tc>
        <w:tc>
          <w:tcPr>
            <w:tcW w:w="400" w:type="dxa"/>
            <w:vAlign w:val="bottom"/>
            <w:tcBorders>
              <w:bottom w:val="single" w:sz="8" w:color="auto"/>
            </w:tcBorders>
          </w:tcPr>
          <w:p>
            <w:pPr>
              <w:spacing w:after="0"/>
              <w:rPr>
                <w:sz w:val="4"/>
                <w:szCs w:val="4"/>
                <w:color w:val="auto"/>
              </w:rPr>
            </w:pPr>
          </w:p>
        </w:tc>
      </w:tr>
    </w:tbl>
    <w:p>
      <w:pPr>
        <w:sectPr>
          <w:pgSz w:w="11900" w:h="16838" w:orient="portrait"/>
          <w:cols w:equalWidth="0" w:num="1">
            <w:col w:w="11020"/>
          </w:cols>
          <w:pgMar w:left="440" w:top="98" w:right="439" w:bottom="1440" w:gutter="0" w:footer="0" w:header="0"/>
          <w:type w:val="continuous"/>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DEREGISTRATION OF UNSOLD SECURITIES</w:t>
      </w:r>
    </w:p>
    <w:p>
      <w:pPr>
        <w:spacing w:after="0" w:line="229" w:lineRule="exact"/>
        <w:rPr>
          <w:sz w:val="20"/>
          <w:szCs w:val="20"/>
          <w:color w:val="auto"/>
        </w:rPr>
      </w:pPr>
    </w:p>
    <w:p>
      <w:pPr>
        <w:ind w:right="60"/>
        <w:spacing w:after="0" w:line="263" w:lineRule="auto"/>
        <w:rPr>
          <w:sz w:val="20"/>
          <w:szCs w:val="20"/>
          <w:color w:val="auto"/>
        </w:rPr>
      </w:pPr>
      <w:r>
        <w:rPr>
          <w:rFonts w:ascii="Arial" w:cs="Arial" w:eastAsia="Arial" w:hAnsi="Arial"/>
          <w:sz w:val="18"/>
          <w:szCs w:val="18"/>
          <w:color w:val="auto"/>
        </w:rPr>
        <w:t>This Post-Effective Amendment No. 1, filed by Marvell Technology Group Ltd., a Bermuda exempted company (“Marvell” or the “Registrant”), relates to the following Registration Statements on Form S-8 (collectively, the “Registration Statements”), previously filed with the U.S. Securities and Exchange Commission (the “SEC”) by Marvell:</w:t>
      </w:r>
    </w:p>
    <w:p>
      <w:pPr>
        <w:spacing w:after="0" w:line="89" w:lineRule="exact"/>
        <w:rPr>
          <w:sz w:val="20"/>
          <w:szCs w:val="20"/>
          <w:color w:val="auto"/>
        </w:rPr>
      </w:pPr>
    </w:p>
    <w:p>
      <w:pPr>
        <w:jc w:val="both"/>
        <w:ind w:left="960" w:right="140" w:hanging="424"/>
        <w:spacing w:after="0" w:line="263" w:lineRule="auto"/>
        <w:tabs>
          <w:tab w:leader="none" w:pos="960" w:val="left"/>
        </w:tabs>
        <w:numPr>
          <w:ilvl w:val="0"/>
          <w:numId w:val="1"/>
        </w:numPr>
        <w:rPr>
          <w:rFonts w:ascii="Arial" w:cs="Arial" w:eastAsia="Arial" w:hAnsi="Arial"/>
          <w:sz w:val="18"/>
          <w:szCs w:val="18"/>
          <w:color w:val="0000EE"/>
        </w:rPr>
      </w:pPr>
      <w:hyperlink r:id="rId15">
        <w:r>
          <w:rPr>
            <w:rFonts w:ascii="Arial" w:cs="Arial" w:eastAsia="Arial" w:hAnsi="Arial"/>
            <w:sz w:val="18"/>
            <w:szCs w:val="18"/>
            <w:u w:val="single" w:color="auto"/>
            <w:color w:val="0000EE"/>
          </w:rPr>
          <w:t>Registration No. 333-254356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March 16, 2021, registering 8,000,000 common shares of Marvell, par value $0.002</w:t>
      </w:r>
      <w:r>
        <w:rPr>
          <w:rFonts w:ascii="Arial" w:cs="Arial" w:eastAsia="Arial" w:hAnsi="Arial"/>
          <w:sz w:val="18"/>
          <w:szCs w:val="18"/>
          <w:color w:val="0000EE"/>
        </w:rPr>
        <w:t xml:space="preserve"> </w:t>
      </w:r>
      <w:r>
        <w:rPr>
          <w:rFonts w:ascii="Arial" w:cs="Arial" w:eastAsia="Arial" w:hAnsi="Arial"/>
          <w:sz w:val="18"/>
          <w:szCs w:val="18"/>
          <w:color w:val="000000"/>
        </w:rPr>
        <w:t>per share (“Common Shares”), under the Marvell Technology Group Ltd. 2000 Employee Stock Purchase Plan, as amended and restated (the “2000 ESPP”);</w:t>
      </w:r>
    </w:p>
    <w:p>
      <w:pPr>
        <w:spacing w:after="0" w:line="89" w:lineRule="exact"/>
        <w:rPr>
          <w:rFonts w:ascii="Arial" w:cs="Arial" w:eastAsia="Arial" w:hAnsi="Arial"/>
          <w:sz w:val="18"/>
          <w:szCs w:val="18"/>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6">
        <w:r>
          <w:rPr>
            <w:rFonts w:ascii="Arial" w:cs="Arial" w:eastAsia="Arial" w:hAnsi="Arial"/>
            <w:sz w:val="17"/>
            <w:szCs w:val="17"/>
            <w:u w:val="single" w:color="auto"/>
            <w:color w:val="0000EE"/>
          </w:rPr>
          <w:t>Registration No. 333-237333</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23, 2020, registering 8,000,000 Common Shares under the 2000 ESPP;</w:t>
      </w:r>
    </w:p>
    <w:p>
      <w:pPr>
        <w:spacing w:after="0" w:line="142" w:lineRule="exact"/>
        <w:rPr>
          <w:rFonts w:ascii="Arial" w:cs="Arial" w:eastAsia="Arial" w:hAnsi="Arial"/>
          <w:sz w:val="17"/>
          <w:szCs w:val="17"/>
          <w:color w:val="0000EE"/>
        </w:rPr>
      </w:pPr>
    </w:p>
    <w:p>
      <w:pPr>
        <w:ind w:left="960" w:hanging="424"/>
        <w:spacing w:after="0" w:line="308" w:lineRule="auto"/>
        <w:tabs>
          <w:tab w:leader="none" w:pos="960" w:val="left"/>
        </w:tabs>
        <w:numPr>
          <w:ilvl w:val="0"/>
          <w:numId w:val="1"/>
        </w:numPr>
        <w:rPr>
          <w:rFonts w:ascii="Arial" w:cs="Arial" w:eastAsia="Arial" w:hAnsi="Arial"/>
          <w:sz w:val="17"/>
          <w:szCs w:val="17"/>
          <w:color w:val="0000EE"/>
        </w:rPr>
      </w:pPr>
      <w:hyperlink r:id="rId17">
        <w:r>
          <w:rPr>
            <w:rFonts w:ascii="Arial" w:cs="Arial" w:eastAsia="Arial" w:hAnsi="Arial"/>
            <w:sz w:val="17"/>
            <w:szCs w:val="17"/>
            <w:u w:val="single" w:color="auto"/>
            <w:color w:val="0000EE"/>
          </w:rPr>
          <w:t>Registration No. 333-233851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September 19, 2019, registering 2,128,823 Common Shares under the Aquantia Corp.</w:t>
      </w:r>
      <w:r>
        <w:rPr>
          <w:rFonts w:ascii="Arial" w:cs="Arial" w:eastAsia="Arial" w:hAnsi="Arial"/>
          <w:sz w:val="17"/>
          <w:szCs w:val="17"/>
          <w:color w:val="0000EE"/>
        </w:rPr>
        <w:t xml:space="preserve"> </w:t>
      </w:r>
      <w:r>
        <w:rPr>
          <w:rFonts w:ascii="Arial" w:cs="Arial" w:eastAsia="Arial" w:hAnsi="Arial"/>
          <w:sz w:val="17"/>
          <w:szCs w:val="17"/>
          <w:color w:val="000000"/>
        </w:rPr>
        <w:t>2004 Equity Incentive Plan, the Aquantia Corp. 2015 Equity Incentive Plan and the Aquantia Corp. 2017 Equity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8">
        <w:r>
          <w:rPr>
            <w:rFonts w:ascii="Arial" w:cs="Arial" w:eastAsia="Arial" w:hAnsi="Arial"/>
            <w:sz w:val="17"/>
            <w:szCs w:val="17"/>
            <w:u w:val="single" w:color="auto"/>
            <w:color w:val="0000EE"/>
          </w:rPr>
          <w:t>Registration No. 333-230616</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2019, registering 8,000,000 Common Shares under the 2000 ESPP;</w:t>
      </w:r>
    </w:p>
    <w:p>
      <w:pPr>
        <w:spacing w:after="0" w:line="142" w:lineRule="exact"/>
        <w:rPr>
          <w:rFonts w:ascii="Arial" w:cs="Arial" w:eastAsia="Arial" w:hAnsi="Arial"/>
          <w:sz w:val="17"/>
          <w:szCs w:val="17"/>
          <w:color w:val="0000EE"/>
        </w:rPr>
      </w:pPr>
    </w:p>
    <w:p>
      <w:pPr>
        <w:ind w:left="960" w:right="240" w:hanging="424"/>
        <w:spacing w:after="0" w:line="308" w:lineRule="auto"/>
        <w:tabs>
          <w:tab w:leader="none" w:pos="960" w:val="left"/>
        </w:tabs>
        <w:numPr>
          <w:ilvl w:val="0"/>
          <w:numId w:val="1"/>
        </w:numPr>
        <w:rPr>
          <w:rFonts w:ascii="Arial" w:cs="Arial" w:eastAsia="Arial" w:hAnsi="Arial"/>
          <w:sz w:val="17"/>
          <w:szCs w:val="17"/>
          <w:color w:val="0000EE"/>
        </w:rPr>
      </w:pPr>
      <w:hyperlink r:id="rId19">
        <w:r>
          <w:rPr>
            <w:rFonts w:ascii="Arial" w:cs="Arial" w:eastAsia="Arial" w:hAnsi="Arial"/>
            <w:sz w:val="17"/>
            <w:szCs w:val="17"/>
            <w:u w:val="single" w:color="auto"/>
            <w:color w:val="0000EE"/>
          </w:rPr>
          <w:t>Registration No. 333-226085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July 6, 2018, registering 15,824,555 Common Shares under the Cavium, Inc. 2016</w:t>
      </w:r>
      <w:r>
        <w:rPr>
          <w:rFonts w:ascii="Arial" w:cs="Arial" w:eastAsia="Arial" w:hAnsi="Arial"/>
          <w:sz w:val="17"/>
          <w:szCs w:val="17"/>
          <w:color w:val="0000EE"/>
        </w:rPr>
        <w:t xml:space="preserve"> </w:t>
      </w:r>
      <w:r>
        <w:rPr>
          <w:rFonts w:ascii="Arial" w:cs="Arial" w:eastAsia="Arial" w:hAnsi="Arial"/>
          <w:sz w:val="17"/>
          <w:szCs w:val="17"/>
          <w:color w:val="000000"/>
        </w:rPr>
        <w:t>Equity Incentive Plan, Cavium, Inc. 2007 Equity Incentive Plan and QLogic Corporation 2005 Performance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0">
        <w:r>
          <w:rPr>
            <w:rFonts w:ascii="Arial" w:cs="Arial" w:eastAsia="Arial" w:hAnsi="Arial"/>
            <w:sz w:val="17"/>
            <w:szCs w:val="17"/>
            <w:u w:val="single" w:color="auto"/>
            <w:color w:val="0000EE"/>
          </w:rPr>
          <w:t>Registration No. 333-224015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2018, registering 7,425,413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1">
        <w:r>
          <w:rPr>
            <w:rFonts w:ascii="Arial" w:cs="Arial" w:eastAsia="Arial" w:hAnsi="Arial"/>
            <w:sz w:val="17"/>
            <w:szCs w:val="17"/>
            <w:u w:val="single" w:color="auto"/>
            <w:color w:val="0000EE"/>
          </w:rPr>
          <w:t>Registration No. 333-217004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2017, registering 7,616,626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2">
        <w:r>
          <w:rPr>
            <w:rFonts w:ascii="Arial" w:cs="Arial" w:eastAsia="Arial" w:hAnsi="Arial"/>
            <w:sz w:val="17"/>
            <w:szCs w:val="17"/>
            <w:u w:val="single" w:color="auto"/>
            <w:color w:val="0000EE"/>
          </w:rPr>
          <w:t>Registration No. 333-213059</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10, 2016, registering 7,612,279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3">
        <w:r>
          <w:rPr>
            <w:rFonts w:ascii="Arial" w:cs="Arial" w:eastAsia="Arial" w:hAnsi="Arial"/>
            <w:sz w:val="17"/>
            <w:szCs w:val="17"/>
            <w:u w:val="single" w:color="auto"/>
            <w:color w:val="0000EE"/>
          </w:rPr>
          <w:t>Registration No. 333-204730</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4, 2015, registering 7,721,312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4">
        <w:r>
          <w:rPr>
            <w:rFonts w:ascii="Arial" w:cs="Arial" w:eastAsia="Arial" w:hAnsi="Arial"/>
            <w:sz w:val="17"/>
            <w:szCs w:val="17"/>
            <w:u w:val="single" w:color="auto"/>
            <w:color w:val="0000EE"/>
          </w:rPr>
          <w:t>Registration No. 333-194865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2014, registering 7,514,642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5">
        <w:r>
          <w:rPr>
            <w:rFonts w:ascii="Arial" w:cs="Arial" w:eastAsia="Arial" w:hAnsi="Arial"/>
            <w:sz w:val="17"/>
            <w:szCs w:val="17"/>
            <w:u w:val="single" w:color="auto"/>
            <w:color w:val="0000EE"/>
          </w:rPr>
          <w:t>Registration No. 333-187641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2013, registering 7,911,440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6">
        <w:r>
          <w:rPr>
            <w:rFonts w:ascii="Arial" w:cs="Arial" w:eastAsia="Arial" w:hAnsi="Arial"/>
            <w:sz w:val="17"/>
            <w:szCs w:val="17"/>
            <w:u w:val="single" w:color="auto"/>
            <w:color w:val="0000EE"/>
          </w:rPr>
          <w:t>Registration No. 333-180412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2012, registering 8,000,000 Common Shares under the 2000 ESPP;</w:t>
      </w:r>
    </w:p>
    <w:p>
      <w:pPr>
        <w:spacing w:after="0" w:line="142" w:lineRule="exact"/>
        <w:rPr>
          <w:rFonts w:ascii="Arial" w:cs="Arial" w:eastAsia="Arial" w:hAnsi="Arial"/>
          <w:sz w:val="17"/>
          <w:szCs w:val="17"/>
          <w:color w:val="0000EE"/>
        </w:rPr>
      </w:pPr>
    </w:p>
    <w:p>
      <w:pPr>
        <w:ind w:left="960" w:right="300" w:hanging="424"/>
        <w:spacing w:after="0" w:line="263" w:lineRule="auto"/>
        <w:tabs>
          <w:tab w:leader="none" w:pos="960" w:val="left"/>
        </w:tabs>
        <w:numPr>
          <w:ilvl w:val="0"/>
          <w:numId w:val="1"/>
        </w:numPr>
        <w:rPr>
          <w:rFonts w:ascii="Arial" w:cs="Arial" w:eastAsia="Arial" w:hAnsi="Arial"/>
          <w:sz w:val="18"/>
          <w:szCs w:val="18"/>
          <w:color w:val="0000EE"/>
        </w:rPr>
      </w:pPr>
      <w:hyperlink r:id="rId27">
        <w:r>
          <w:rPr>
            <w:rFonts w:ascii="Arial" w:cs="Arial" w:eastAsia="Arial" w:hAnsi="Arial"/>
            <w:sz w:val="18"/>
            <w:szCs w:val="18"/>
            <w:u w:val="single" w:color="auto"/>
            <w:color w:val="0000EE"/>
          </w:rPr>
          <w:t>Registration No. 333-163644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December 10, 2009, registering 30,880,318 Common Shares under the Marvell</w:t>
      </w:r>
      <w:r>
        <w:rPr>
          <w:rFonts w:ascii="Arial" w:cs="Arial" w:eastAsia="Arial" w:hAnsi="Arial"/>
          <w:sz w:val="18"/>
          <w:szCs w:val="18"/>
          <w:color w:val="0000EE"/>
        </w:rPr>
        <w:t xml:space="preserve"> </w:t>
      </w:r>
      <w:r>
        <w:rPr>
          <w:rFonts w:ascii="Arial" w:cs="Arial" w:eastAsia="Arial" w:hAnsi="Arial"/>
          <w:sz w:val="18"/>
          <w:szCs w:val="18"/>
          <w:color w:val="000000"/>
        </w:rPr>
        <w:t>Technology Group Ltd. Amended and Restated 1995 Stock Option Plan, as amended (the “1995 Plan”) and 8,000,000 Common Shares under the 2000 ESPP;</w:t>
      </w:r>
    </w:p>
    <w:p>
      <w:pPr>
        <w:spacing w:after="0" w:line="89" w:lineRule="exact"/>
        <w:rPr>
          <w:rFonts w:ascii="Arial" w:cs="Arial" w:eastAsia="Arial" w:hAnsi="Arial"/>
          <w:sz w:val="18"/>
          <w:szCs w:val="18"/>
          <w:color w:val="0000EE"/>
        </w:rPr>
      </w:pPr>
    </w:p>
    <w:p>
      <w:pPr>
        <w:ind w:left="960" w:right="440" w:hanging="424"/>
        <w:spacing w:after="0" w:line="277" w:lineRule="auto"/>
        <w:tabs>
          <w:tab w:leader="none" w:pos="960" w:val="left"/>
        </w:tabs>
        <w:numPr>
          <w:ilvl w:val="0"/>
          <w:numId w:val="1"/>
        </w:numPr>
        <w:rPr>
          <w:rFonts w:ascii="Arial" w:cs="Arial" w:eastAsia="Arial" w:hAnsi="Arial"/>
          <w:sz w:val="18"/>
          <w:szCs w:val="18"/>
          <w:color w:val="0000EE"/>
        </w:rPr>
      </w:pPr>
      <w:hyperlink r:id="rId28">
        <w:r>
          <w:rPr>
            <w:rFonts w:ascii="Arial" w:cs="Arial" w:eastAsia="Arial" w:hAnsi="Arial"/>
            <w:sz w:val="18"/>
            <w:szCs w:val="18"/>
            <w:u w:val="single" w:color="auto"/>
            <w:color w:val="0000EE"/>
          </w:rPr>
          <w:t>Registration No. 333-151816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June 20, 2008, registering 30,004,771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w:t>
      </w:r>
    </w:p>
    <w:p>
      <w:pPr>
        <w:sectPr>
          <w:pgSz w:w="11900" w:h="16838" w:orient="portrait"/>
          <w:cols w:equalWidth="0" w:num="1">
            <w:col w:w="11000"/>
          </w:cols>
          <w:pgMar w:left="440" w:top="270" w:right="459" w:bottom="1440" w:gutter="0" w:footer="0" w:header="0"/>
        </w:sectPr>
      </w:pPr>
    </w:p>
    <w:bookmarkStart w:id="3" w:name="page4"/>
    <w:bookmarkEnd w:id="3"/>
    <w:p>
      <w:pPr>
        <w:ind w:left="960" w:right="320" w:hanging="424"/>
        <w:spacing w:after="0" w:line="259" w:lineRule="auto"/>
        <w:tabs>
          <w:tab w:leader="none" w:pos="960" w:val="left"/>
        </w:tabs>
        <w:numPr>
          <w:ilvl w:val="0"/>
          <w:numId w:val="2"/>
        </w:numPr>
        <w:rPr>
          <w:rFonts w:ascii="Arial" w:cs="Arial" w:eastAsia="Arial" w:hAnsi="Arial"/>
          <w:sz w:val="18"/>
          <w:szCs w:val="18"/>
          <w:color w:val="0000EE"/>
        </w:rPr>
      </w:pPr>
      <w:r>
        <w:rPr>
          <w:rFonts w:ascii="Arial" w:cs="Arial" w:eastAsia="Arial" w:hAnsi="Arial"/>
          <w:sz w:val="18"/>
          <w:szCs w:val="18"/>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r:id="rId30">
        <w:r>
          <w:rPr>
            <w:rFonts w:ascii="Arial" w:cs="Arial" w:eastAsia="Arial" w:hAnsi="Arial"/>
            <w:sz w:val="18"/>
            <w:szCs w:val="18"/>
            <w:u w:val="single" w:color="auto"/>
            <w:color w:val="0000EE"/>
          </w:rPr>
          <w:t>Registration No. 333-148621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January 11, 2008, registering 29,381,285 Common Shares under the 1995 Plan,</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 516,000 Common Shares under the Marvell Technology Group Ltd. 1997 Directors’ Stock Option Plan and 750,000 Common Shares under the Marvell Technology Group Ltd. 2007 Director Stock Incentive Plan, as amended and restated;</w:t>
      </w:r>
    </w:p>
    <w:p>
      <w:pPr>
        <w:spacing w:after="0" w:line="92"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1">
        <w:r>
          <w:rPr>
            <w:rFonts w:ascii="Arial" w:cs="Arial" w:eastAsia="Arial" w:hAnsi="Arial"/>
            <w:sz w:val="18"/>
            <w:szCs w:val="18"/>
            <w:u w:val="single" w:color="auto"/>
            <w:color w:val="0000EE"/>
          </w:rPr>
          <w:t>Registration No. 333-133281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2006, registering 14,569,409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2">
        <w:r>
          <w:rPr>
            <w:rFonts w:ascii="Arial" w:cs="Arial" w:eastAsia="Arial" w:hAnsi="Arial"/>
            <w:sz w:val="18"/>
            <w:szCs w:val="18"/>
            <w:u w:val="single" w:color="auto"/>
            <w:color w:val="0000EE"/>
          </w:rPr>
          <w:t>Registration No. 333-124072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14, 2005, registering 13,880,104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480" w:hanging="424"/>
        <w:spacing w:after="0" w:line="277" w:lineRule="auto"/>
        <w:tabs>
          <w:tab w:leader="none" w:pos="960" w:val="left"/>
        </w:tabs>
        <w:numPr>
          <w:ilvl w:val="0"/>
          <w:numId w:val="2"/>
        </w:numPr>
        <w:rPr>
          <w:rFonts w:ascii="Arial" w:cs="Arial" w:eastAsia="Arial" w:hAnsi="Arial"/>
          <w:sz w:val="18"/>
          <w:szCs w:val="18"/>
          <w:color w:val="0000EE"/>
        </w:rPr>
      </w:pPr>
      <w:hyperlink r:id="rId33">
        <w:r>
          <w:rPr>
            <w:rFonts w:ascii="Arial" w:cs="Arial" w:eastAsia="Arial" w:hAnsi="Arial"/>
            <w:sz w:val="18"/>
            <w:szCs w:val="18"/>
            <w:u w:val="single" w:color="auto"/>
            <w:color w:val="0000EE"/>
          </w:rPr>
          <w:t>Registration No. 333-114434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2004, registering 6,587,296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1,967,903 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4">
        <w:r>
          <w:rPr>
            <w:rFonts w:ascii="Arial" w:cs="Arial" w:eastAsia="Arial" w:hAnsi="Arial"/>
            <w:sz w:val="17"/>
            <w:szCs w:val="17"/>
            <w:u w:val="single" w:color="auto"/>
            <w:color w:val="0000EE"/>
          </w:rPr>
          <w:t>Registration No. 333-108334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28, 2003, registering 10,000,000 Common Shares under the 1995 Plan;</w:t>
      </w:r>
    </w:p>
    <w:p>
      <w:pPr>
        <w:spacing w:after="0" w:line="142" w:lineRule="exact"/>
        <w:rPr>
          <w:rFonts w:ascii="Arial" w:cs="Arial" w:eastAsia="Arial" w:hAnsi="Arial"/>
          <w:sz w:val="17"/>
          <w:szCs w:val="17"/>
          <w:color w:val="0000EE"/>
        </w:rPr>
      </w:pPr>
    </w:p>
    <w:p>
      <w:pPr>
        <w:ind w:left="960" w:right="580" w:hanging="424"/>
        <w:spacing w:after="0" w:line="277" w:lineRule="auto"/>
        <w:tabs>
          <w:tab w:leader="none" w:pos="960" w:val="left"/>
        </w:tabs>
        <w:numPr>
          <w:ilvl w:val="0"/>
          <w:numId w:val="2"/>
        </w:numPr>
        <w:rPr>
          <w:rFonts w:ascii="Arial" w:cs="Arial" w:eastAsia="Arial" w:hAnsi="Arial"/>
          <w:sz w:val="18"/>
          <w:szCs w:val="18"/>
          <w:color w:val="0000EE"/>
        </w:rPr>
      </w:pPr>
      <w:hyperlink r:id="rId35">
        <w:r>
          <w:rPr>
            <w:rFonts w:ascii="Arial" w:cs="Arial" w:eastAsia="Arial" w:hAnsi="Arial"/>
            <w:sz w:val="18"/>
            <w:szCs w:val="18"/>
            <w:u w:val="single" w:color="auto"/>
            <w:color w:val="0000EE"/>
          </w:rPr>
          <w:t>Registration No. 333-104925</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2, 2003, registering 6,062,996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500,000 Common Shares under the 2000 ESPP;</w:t>
      </w:r>
    </w:p>
    <w:p>
      <w:pPr>
        <w:spacing w:after="0" w:line="75" w:lineRule="exact"/>
        <w:rPr>
          <w:rFonts w:ascii="Arial" w:cs="Arial" w:eastAsia="Arial" w:hAnsi="Arial"/>
          <w:sz w:val="18"/>
          <w:szCs w:val="18"/>
          <w:color w:val="0000EE"/>
        </w:rPr>
      </w:pPr>
    </w:p>
    <w:p>
      <w:pPr>
        <w:ind w:left="960" w:right="40" w:hanging="424"/>
        <w:spacing w:after="0" w:line="277" w:lineRule="auto"/>
        <w:tabs>
          <w:tab w:leader="none" w:pos="960" w:val="left"/>
        </w:tabs>
        <w:numPr>
          <w:ilvl w:val="0"/>
          <w:numId w:val="2"/>
        </w:numPr>
        <w:rPr>
          <w:rFonts w:ascii="Arial" w:cs="Arial" w:eastAsia="Arial" w:hAnsi="Arial"/>
          <w:sz w:val="18"/>
          <w:szCs w:val="18"/>
          <w:color w:val="0000EE"/>
        </w:rPr>
      </w:pPr>
      <w:hyperlink r:id="rId36">
        <w:r>
          <w:rPr>
            <w:rFonts w:ascii="Arial" w:cs="Arial" w:eastAsia="Arial" w:hAnsi="Arial"/>
            <w:sz w:val="18"/>
            <w:szCs w:val="18"/>
            <w:u w:val="single" w:color="auto"/>
            <w:color w:val="0000EE"/>
          </w:rPr>
          <w:t>Registration No. 333-87322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1, 2002, registering 5,928,845 Common Shares under the 1995 Plan and 500,000</w:t>
      </w:r>
      <w:r>
        <w:rPr>
          <w:rFonts w:ascii="Arial" w:cs="Arial" w:eastAsia="Arial" w:hAnsi="Arial"/>
          <w:sz w:val="18"/>
          <w:szCs w:val="18"/>
          <w:color w:val="0000EE"/>
        </w:rPr>
        <w:t xml:space="preserve"> </w:t>
      </w:r>
      <w:r>
        <w:rPr>
          <w:rFonts w:ascii="Arial" w:cs="Arial" w:eastAsia="Arial" w:hAnsi="Arial"/>
          <w:sz w:val="18"/>
          <w:szCs w:val="18"/>
          <w:color w:val="000000"/>
        </w:rPr>
        <w:t>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7">
        <w:r>
          <w:rPr>
            <w:rFonts w:ascii="Arial" w:cs="Arial" w:eastAsia="Arial" w:hAnsi="Arial"/>
            <w:sz w:val="17"/>
            <w:szCs w:val="17"/>
            <w:u w:val="single" w:color="auto"/>
            <w:color w:val="0000EE"/>
          </w:rPr>
          <w:t>Registration No. 333-56322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28, 2001, registering 500,000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8">
        <w:r>
          <w:rPr>
            <w:rFonts w:ascii="Arial" w:cs="Arial" w:eastAsia="Arial" w:hAnsi="Arial"/>
            <w:sz w:val="17"/>
            <w:szCs w:val="17"/>
            <w:u w:val="single" w:color="auto"/>
            <w:color w:val="0000EE"/>
          </w:rPr>
          <w:t>Registration No. 333-55974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21, 2001, registering 8,768,553 Common Shares under the 1995 Plan;</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9">
        <w:r>
          <w:rPr>
            <w:rFonts w:ascii="Arial" w:cs="Arial" w:eastAsia="Arial" w:hAnsi="Arial"/>
            <w:sz w:val="17"/>
            <w:szCs w:val="17"/>
            <w:u w:val="single" w:color="auto"/>
            <w:color w:val="0000EE"/>
          </w:rPr>
          <w:t>Registration No. 333-40152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29,500,000 Common Shares under the 1995 Plan; and</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40">
        <w:r>
          <w:rPr>
            <w:rFonts w:ascii="Arial" w:cs="Arial" w:eastAsia="Arial" w:hAnsi="Arial"/>
            <w:sz w:val="17"/>
            <w:szCs w:val="17"/>
            <w:u w:val="single" w:color="auto"/>
            <w:color w:val="0000EE"/>
          </w:rPr>
          <w:t>Registration No. 333-40154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1,000,000 Common Shares under the 2000 ESPP.</w:t>
      </w:r>
    </w:p>
    <w:p>
      <w:pPr>
        <w:spacing w:after="0" w:line="237" w:lineRule="exact"/>
        <w:rPr>
          <w:rFonts w:ascii="Arial" w:cs="Arial" w:eastAsia="Arial" w:hAnsi="Arial"/>
          <w:sz w:val="17"/>
          <w:szCs w:val="17"/>
          <w:color w:val="auto"/>
        </w:rPr>
      </w:pPr>
    </w:p>
    <w:p>
      <w:pPr>
        <w:ind w:right="140"/>
        <w:spacing w:after="0" w:line="272" w:lineRule="auto"/>
        <w:rPr>
          <w:sz w:val="20"/>
          <w:szCs w:val="20"/>
          <w:color w:val="auto"/>
        </w:rPr>
      </w:pPr>
      <w:r>
        <w:rPr>
          <w:rFonts w:ascii="Arial" w:cs="Arial" w:eastAsia="Arial" w:hAnsi="Arial"/>
          <w:sz w:val="17"/>
          <w:szCs w:val="17"/>
          <w:color w:val="auto"/>
        </w:rPr>
        <w:t>On April 20, 2021, pursuant to the Agreement and Plan of Merger and Reorganization, dated October 29, 2020, by and among Marvell, Marvell Technology, Inc., a Delaware corporation and a wholly owned subsidiary of Marvell (“MTI”), Maui Acquisition Company Ltd, a Bermuda exempted company and a wholly owned subsidiary of MTI (“Bermuda Merger Sub”), Indigo Acquisition Corp., a Delaware corporation and a wholly owned subsidiary of MTI (“Delaware Merger Sub”), and Inphi Corporation, a Delaware corporation (“Inphi”), (i) Bermuda Merger Sub merged with and into Marvell (the “Bermuda Merger”), with Marvell continuing as a wholly owned subsidiary of MTI; and (ii) Delaware Merger Sub merged with and into Inphi (the “Delaware Merger” and, together with the Bermuda Merger, the “Mergers”), with Inphi continuing as a wholly owned subsidiary of MTI. Upon the consummation of the Mergers, each of Marvell and Inphi became wholly owned subsidiaries of MTI.</w:t>
      </w:r>
    </w:p>
    <w:p>
      <w:pPr>
        <w:spacing w:after="0" w:line="177" w:lineRule="exact"/>
        <w:rPr>
          <w:rFonts w:ascii="Arial" w:cs="Arial" w:eastAsia="Arial" w:hAnsi="Arial"/>
          <w:sz w:val="17"/>
          <w:szCs w:val="17"/>
          <w:color w:val="auto"/>
        </w:rPr>
      </w:pPr>
    </w:p>
    <w:p>
      <w:pPr>
        <w:spacing w:after="0" w:line="279" w:lineRule="auto"/>
        <w:rPr>
          <w:sz w:val="20"/>
          <w:szCs w:val="20"/>
          <w:color w:val="auto"/>
        </w:rPr>
      </w:pPr>
      <w:r>
        <w:rPr>
          <w:rFonts w:ascii="Arial" w:cs="Arial" w:eastAsia="Arial" w:hAnsi="Arial"/>
          <w:sz w:val="17"/>
          <w:szCs w:val="17"/>
          <w:color w:val="auto"/>
        </w:rPr>
        <w:t>As a result of the Mergers, Marvell has terminated all offerings of its securities pursuant to existing registration statements, including the Registration Statements. In accordance with an undertaking made by the Registrant in the Registration Statements to remove from registration, by means of a post-effective amendment, any of the securities which remain unsold at the termination of the offering, the Registrant hereby removes from registration all of the securities registered under the Registration Statements which remain unsold as of April 20, 2021.</w:t>
      </w:r>
    </w:p>
    <w:p>
      <w:pPr>
        <w:sectPr>
          <w:pgSz w:w="11900" w:h="16838" w:orient="portrait"/>
          <w:cols w:equalWidth="0" w:num="1">
            <w:col w:w="10960"/>
          </w:cols>
          <w:pgMar w:left="440" w:top="274" w:right="499" w:bottom="1440" w:gutter="0" w:footer="0" w:header="0"/>
        </w:sectPr>
      </w:pPr>
    </w:p>
    <w:bookmarkStart w:id="4" w:name="page5"/>
    <w:bookmarkEnd w:id="4"/>
    <w:p>
      <w:pPr>
        <w:jc w:val="center"/>
        <w:ind w:right="-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SIGNATURES</w:t>
      </w:r>
    </w:p>
    <w:p>
      <w:pPr>
        <w:spacing w:after="0" w:line="229" w:lineRule="exact"/>
        <w:rPr>
          <w:sz w:val="20"/>
          <w:szCs w:val="20"/>
          <w:color w:val="auto"/>
        </w:rPr>
      </w:pPr>
    </w:p>
    <w:p>
      <w:pPr>
        <w:spacing w:after="0" w:line="263"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Post-Effective Amendment No. 1 to be signed on its behalf by the undersigned, thereunto duly authorized, in the City of Austin, State of Texas, on April 20, 2021.</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4369435</wp:posOffset>
            </wp:positionH>
            <wp:positionV relativeFrom="paragraph">
              <wp:posOffset>14605</wp:posOffset>
            </wp:positionV>
            <wp:extent cx="2623185"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2">
                      <a:extLst>
                        <a:ext uri="{28A0092B-C50C-407E-A947-70E740481C1C}"/>
                      </a:extLst>
                    </a:blip>
                    <a:srcRect/>
                    <a:stretch>
                      <a:fillRect/>
                    </a:stretch>
                  </pic:blipFill>
                  <pic:spPr bwMode="auto">
                    <a:xfrm>
                      <a:off x="0" y="0"/>
                      <a:ext cx="2623185" cy="8255"/>
                    </a:xfrm>
                    <a:prstGeom prst="rect">
                      <a:avLst/>
                    </a:prstGeom>
                    <a:noFill/>
                  </pic:spPr>
                </pic:pic>
              </a:graphicData>
            </a:graphic>
          </wp:anchor>
        </w:drawing>
      </w:r>
    </w:p>
    <w:p>
      <w:pPr>
        <w:spacing w:after="0" w:line="16"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Authorized Signatory</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Note: No other person is required to sign this Post-Effective Amendment in reliance upon Rule 478 under the Securities Act of 1933.</w:t>
      </w:r>
    </w:p>
    <w:sectPr>
      <w:pgSz w:w="11900" w:h="16838" w:orient="portrait"/>
      <w:cols w:equalWidth="0" w:num="1">
        <w:col w:w="10900"/>
      </w:cols>
      <w:pgMar w:left="440" w:top="270" w:right="5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29" Type="http://schemas.openxmlformats.org/officeDocument/2006/relationships/image" Target="media/image8.png"/><Relationship Id="rId41" Type="http://schemas.openxmlformats.org/officeDocument/2006/relationships/image" Target="media/image9.png"/><Relationship Id="rId42" Type="http://schemas.openxmlformats.org/officeDocument/2006/relationships/image" Target="media/image10.png"/><Relationship Id="rId15" Type="http://schemas.openxmlformats.org/officeDocument/2006/relationships/hyperlink" Target="http://www.sec.gov/Archives/edgar/data/1058057/000119312521082944/d152676ds8.htm" TargetMode="External"/><Relationship Id="rId16" Type="http://schemas.openxmlformats.org/officeDocument/2006/relationships/hyperlink" Target="http://www.sec.gov/Archives/edgar/data/1058057/000119312520081591/d901775ds8.htm" TargetMode="External"/><Relationship Id="rId17" Type="http://schemas.openxmlformats.org/officeDocument/2006/relationships/hyperlink" Target="http://www.sec.gov/Archives/edgar/data/1058057/000119312519249561/d770178ds8.htm" TargetMode="External"/><Relationship Id="rId18" Type="http://schemas.openxmlformats.org/officeDocument/2006/relationships/hyperlink" Target="http://www.sec.gov/Archives/edgar/data/1058057/000119312519092778/d724094ds8.htm" TargetMode="External"/><Relationship Id="rId19" Type="http://schemas.openxmlformats.org/officeDocument/2006/relationships/hyperlink" Target="http://www.sec.gov/Archives/edgar/data/1058057/000119312518213832/d897604ds8.htm" TargetMode="External"/><Relationship Id="rId20" Type="http://schemas.openxmlformats.org/officeDocument/2006/relationships/hyperlink" Target="http://www.sec.gov/Archives/edgar/data/1058057/000119312518102004/d549606ds8.htm" TargetMode="External"/><Relationship Id="rId21" Type="http://schemas.openxmlformats.org/officeDocument/2006/relationships/hyperlink" Target="http://www.sec.gov/Archives/edgar/data/1058057/000119312517101673/d357328ds8.htm" TargetMode="External"/><Relationship Id="rId22" Type="http://schemas.openxmlformats.org/officeDocument/2006/relationships/hyperlink" Target="http://www.sec.gov/Archives/edgar/data/1058057/000119312516678146/d234650ds8.htm" TargetMode="External"/><Relationship Id="rId23" Type="http://schemas.openxmlformats.org/officeDocument/2006/relationships/hyperlink" Target="http://www.sec.gov/Archives/edgar/data/1058057/000119312515213511/d938370ds8.htm" TargetMode="External"/><Relationship Id="rId24" Type="http://schemas.openxmlformats.org/officeDocument/2006/relationships/hyperlink" Target="http://www.sec.gov/Archives/edgar/data/1058057/000119312514121354/d702468ds8.htm" TargetMode="External"/><Relationship Id="rId25" Type="http://schemas.openxmlformats.org/officeDocument/2006/relationships/hyperlink" Target="http://www.sec.gov/Archives/edgar/data/1058057/000119312513134736/d511303ds8.htm" TargetMode="External"/><Relationship Id="rId26" Type="http://schemas.openxmlformats.org/officeDocument/2006/relationships/hyperlink" Target="http://www.sec.gov/Archives/edgar/data/1058057/000119312512137405/d323846ds8.htm" TargetMode="External"/><Relationship Id="rId27" Type="http://schemas.openxmlformats.org/officeDocument/2006/relationships/hyperlink" Target="http://www.sec.gov/Archives/edgar/data/1058057/000119312509250743/ds8.htm" TargetMode="External"/><Relationship Id="rId28" Type="http://schemas.openxmlformats.org/officeDocument/2006/relationships/hyperlink" Target="http://www.sec.gov/Archives/edgar/data/1058057/000110465908041192/a08-17002_1s8.htm" TargetMode="External"/><Relationship Id="rId30" Type="http://schemas.openxmlformats.org/officeDocument/2006/relationships/hyperlink" Target="http://www.sec.gov/Archives/edgar/data/1058057/000110465908002160/a07-32325_1s8.htm" TargetMode="External"/><Relationship Id="rId31" Type="http://schemas.openxmlformats.org/officeDocument/2006/relationships/hyperlink" Target="http://www.sec.gov/Archives/edgar/data/1058057/000110465906025020/a06-8783_1s8.htm" TargetMode="External"/><Relationship Id="rId32" Type="http://schemas.openxmlformats.org/officeDocument/2006/relationships/hyperlink" Target="http://www.sec.gov/Archives/edgar/data/1058057/000110465905016498/a05-6690_1s8.htm" TargetMode="External"/><Relationship Id="rId33" Type="http://schemas.openxmlformats.org/officeDocument/2006/relationships/hyperlink" Target="http://www.sec.gov/Archives/edgar/data/1058057/000095013404005155/f98017sv8.htm" TargetMode="External"/><Relationship Id="rId34" Type="http://schemas.openxmlformats.org/officeDocument/2006/relationships/hyperlink" Target="http://www.sec.gov/Archives/edgar/data/1058057/000089161803004597/f92764sv8.htm" TargetMode="External"/><Relationship Id="rId35" Type="http://schemas.openxmlformats.org/officeDocument/2006/relationships/hyperlink" Target="http://www.sec.gov/Archives/edgar/data/1058057/000089161803002250/f89736orsv8.htm" TargetMode="External"/><Relationship Id="rId36" Type="http://schemas.openxmlformats.org/officeDocument/2006/relationships/hyperlink" Target="http://www.sec.gov/Archives/edgar/data/1058057/000089161802002088/f81111ors-8.htm" TargetMode="External"/><Relationship Id="rId37" Type="http://schemas.openxmlformats.org/officeDocument/2006/relationships/hyperlink" Target="http://www.sec.gov/Archives/edgar/data/1058057/000089256901500080/a70007s-8.txt" TargetMode="External"/><Relationship Id="rId38" Type="http://schemas.openxmlformats.org/officeDocument/2006/relationships/hyperlink" Target="http://www.sec.gov/Archives/edgar/data/1058057/000109581101500054/a69844ors-8.txt" TargetMode="External"/><Relationship Id="rId39" Type="http://schemas.openxmlformats.org/officeDocument/2006/relationships/hyperlink" Target="http://www.sec.gov/Archives/edgar/data/1058057/000089161800003558/s-8.txt" TargetMode="External"/><Relationship Id="rId40" Type="http://schemas.openxmlformats.org/officeDocument/2006/relationships/hyperlink" Target="http://www.sec.gov/Archives/edgar/data/1058057/000089161800003559/s-8.txt"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2021-04-20T15:31:13Z</dcterms:created>
  <dcterms:modified xsi:type="dcterms:W3CDTF">2021-04-20T15:31:13Z</dcterms:modified>
</cp:coreProperties>
</file>