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(Date of earliest event reported): April 20,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20"/>
        <w:spacing w:after="0"/>
        <w:rPr>
          <w:sz w:val="20"/>
          <w:szCs w:val="20"/>
          <w:color w:val="auto"/>
        </w:rPr>
      </w:pPr>
      <w:r>
        <w:rPr>
          <w:rFonts w:ascii="Arial" w:cs="Arial" w:eastAsia="Arial" w:hAnsi="Arial"/>
          <w:sz w:val="18"/>
          <w:szCs w:val="18"/>
          <w:b w:val="1"/>
          <w:bCs w:val="1"/>
          <w:color w:val="auto"/>
        </w:rPr>
        <w:t>N/A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0" w:lineRule="exact"/>
        <w:rPr>
          <w:sz w:val="24"/>
          <w:szCs w:val="24"/>
          <w:color w:val="auto"/>
        </w:rPr>
      </w:pPr>
    </w:p>
    <w:p>
      <w:pPr>
        <w:sectPr>
          <w:pgSz w:w="11900" w:h="16838" w:orient="portrait"/>
          <w:cols w:equalWidth="0" w:num="3">
            <w:col w:w="4744" w:space="720"/>
            <w:col w:w="264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92" w:lineRule="exact"/>
        <w:rPr>
          <w:sz w:val="24"/>
          <w:szCs w:val="24"/>
          <w:color w:val="auto"/>
        </w:rPr>
      </w:pPr>
    </w:p>
    <w:p>
      <w:pPr>
        <w:jc w:val="center"/>
        <w:ind w:right="16"/>
        <w:spacing w:after="0"/>
        <w:rPr>
          <w:sz w:val="20"/>
          <w:szCs w:val="20"/>
          <w:color w:val="auto"/>
        </w:rPr>
      </w:pPr>
      <w:r>
        <w:rPr>
          <w:rFonts w:ascii="Arial" w:cs="Arial" w:eastAsia="Arial" w:hAnsi="Arial"/>
          <w:sz w:val="16"/>
          <w:szCs w:val="16"/>
          <w:b w:val="1"/>
          <w:bCs w:val="1"/>
          <w:color w:val="auto"/>
        </w:rPr>
        <w:t>Registrant’s telephone number, including area code: (302) 295-4840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263525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884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Explanatory Note</w:t>
      </w:r>
    </w:p>
    <w:p>
      <w:pPr>
        <w:spacing w:after="0" w:line="121"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On April 20, 2021 (the “Merger Effective Date”), Marvell Technology Group Ltd. (“Marvell”) completed the previously announced acquisition of Inphi Corporation (“Inphi”) pursuant to the Agreement and Plan of Merger and Reorganization (the “Merger Agreement”), dated October 29, 2020, by and among Marvell, Marvell Technology, Inc. (“MTI”), Maui Acquisition Company Ltd, a Bermuda exempted company and a wholly owned subsidiary of MTI (“Bermuda Merger Sub”), Indigo Acquisition Corp., a Delaware corporation and a wholly owned subsidiary of MTI (“Delaware Merger Sub”), and Inphi. Effective as of 4:01 p.m. Eastern Time on the Merger Effective Date (the “Bermuda Merger Effective Time”), Bermuda Merger Sub merged with and into Marvell (the “Bermuda Merger”), with Marvell continuing as a wholly owned subsidiary of MTI. Effective as of 4:02 p.m. Eastern Time on the Merger Effective Date (the “Delaware Merger Effective Time”), Delaware Merger Sub merged with and into Inphi (the “Delaware Merger” and, together with the Bermuda Merger, the “Mergers”), with Inphi continuing as a wholly owned subsidiary of MTI. As a result of the Mergers, Marvell and Inphi became wholly owned subsidiaries of MTI.</w:t>
      </w:r>
    </w:p>
    <w:p>
      <w:pPr>
        <w:spacing w:after="0" w:line="181" w:lineRule="exact"/>
        <w:rPr>
          <w:sz w:val="20"/>
          <w:szCs w:val="20"/>
          <w:color w:val="auto"/>
        </w:rPr>
      </w:pPr>
    </w:p>
    <w:p>
      <w:pPr>
        <w:ind w:right="120" w:firstLine="440"/>
        <w:spacing w:after="0" w:line="257" w:lineRule="auto"/>
        <w:rPr>
          <w:sz w:val="20"/>
          <w:szCs w:val="20"/>
          <w:color w:val="auto"/>
        </w:rPr>
      </w:pPr>
      <w:r>
        <w:rPr>
          <w:rFonts w:ascii="Arial" w:cs="Arial" w:eastAsia="Arial" w:hAnsi="Arial"/>
          <w:sz w:val="18"/>
          <w:szCs w:val="18"/>
          <w:color w:val="auto"/>
        </w:rPr>
        <w:t>This Current Report on Form 8-K (this “Current Report”) establishes MTI as the successor issuer to Marvell and Inphi pursuant to Rule 12g-3(c) under the Securities Exchange Act of 1934, as amended (the “Exchange Act”). Pursuant to Rule 12g-3(d) under the Exchange Act, shares of common stock, par value $0.002 per share, of MTI (“MTI Shares”) are deemed to be registered under Section 12(b) of the Exchange Act, and MTI is subject to the informational requirements of the Exchange Act, and the rules and regulations promulgated thereunder. MTI hereby reports this succession in accordance with Rule 12g-3(f) under the Exchange Act.</w:t>
      </w:r>
    </w:p>
    <w:p>
      <w:pPr>
        <w:spacing w:after="0" w:line="332"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1.01</w:t>
      </w:r>
      <w:r>
        <w:rPr>
          <w:sz w:val="20"/>
          <w:szCs w:val="20"/>
          <w:color w:val="auto"/>
        </w:rPr>
        <w:tab/>
      </w:r>
      <w:r>
        <w:rPr>
          <w:rFonts w:ascii="Arial" w:cs="Arial" w:eastAsia="Arial" w:hAnsi="Arial"/>
          <w:sz w:val="16"/>
          <w:szCs w:val="16"/>
          <w:b w:val="1"/>
          <w:bCs w:val="1"/>
          <w:color w:val="auto"/>
        </w:rPr>
        <w:t>Entry into Material Definitive Agreement</w:t>
      </w:r>
    </w:p>
    <w:p>
      <w:pPr>
        <w:spacing w:after="0" w:line="121"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Following the Merger Effective Date, MTI intends to enter into indemnification agreements (the “Indemnification Agreements”) with its directors and executive officers. Subject to certain specified exceptions, these Indemnification Agreements provide for indemnification against all liability and loss suffered and expenses (including attorneys’ fees), judgments, fines and amounts paid in settlement by any of these individuals in any action, suit or proceeding, to the fullest extent permitted by applicable law. The foregoing description of the Indemnification Agreements does not purport to be complete and is qualified in its entirety by reference to the form of Indemnification Agreement filed as Exhibit 10.1 to this Current Report and incorporated by reference into this Item 1.01.</w:t>
      </w:r>
    </w:p>
    <w:p>
      <w:pPr>
        <w:spacing w:after="0" w:line="337"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2.01</w:t>
      </w:r>
      <w:r>
        <w:rPr>
          <w:sz w:val="20"/>
          <w:szCs w:val="20"/>
          <w:color w:val="auto"/>
        </w:rPr>
        <w:tab/>
      </w:r>
      <w:r>
        <w:rPr>
          <w:rFonts w:ascii="Arial" w:cs="Arial" w:eastAsia="Arial" w:hAnsi="Arial"/>
          <w:sz w:val="15"/>
          <w:szCs w:val="15"/>
          <w:b w:val="1"/>
          <w:bCs w:val="1"/>
          <w:color w:val="auto"/>
        </w:rPr>
        <w:t>Completion of Acquisition or Disposition of Assets</w:t>
      </w:r>
    </w:p>
    <w:p>
      <w:pPr>
        <w:spacing w:after="0" w:line="121" w:lineRule="exact"/>
        <w:rPr>
          <w:sz w:val="20"/>
          <w:szCs w:val="20"/>
          <w:color w:val="auto"/>
        </w:rPr>
      </w:pPr>
    </w:p>
    <w:p>
      <w:pPr>
        <w:ind w:right="40" w:firstLine="440"/>
        <w:spacing w:after="0" w:line="284" w:lineRule="auto"/>
        <w:rPr>
          <w:sz w:val="20"/>
          <w:szCs w:val="20"/>
          <w:color w:val="auto"/>
        </w:rPr>
      </w:pPr>
      <w:r>
        <w:rPr>
          <w:rFonts w:ascii="Arial" w:cs="Arial" w:eastAsia="Arial" w:hAnsi="Arial"/>
          <w:sz w:val="16"/>
          <w:szCs w:val="16"/>
          <w:color w:val="auto"/>
        </w:rPr>
        <w:t>At the Bermuda Merger Effective Time, each common share, par value $0.002 per share, of Marvell (each, a “Marvell Share”) issued and outstanding immediately prior to the Bermuda Merger Effective Time (other than Marvell Shares held by Marvell, MTI, Bermuda Merger Sub or Inphi or any other subsidiary of Marvell or Inphi) was converted into the right to receive one MTI Share. At the Delaware Merger Effective Time, each share of common stock, $0.001 par value per share, of Inphi (each, an “Inphi Share”) issued and outstanding immediately prior to the Delaware Merger Effective Time (other than (i) Inphi Shares held by Inphi, Marvell, MTI, Delaware Merger Sub or any other subsidiary of Marvell or Inphi and (ii) Inphi Shares with respect to which appraisal rights are properly exercised and not withdrawn under Delaware law) was converted into the right to receive</w:t>
      </w:r>
    </w:p>
    <w:p>
      <w:pPr>
        <w:spacing w:after="0" w:line="4" w:lineRule="exact"/>
        <w:rPr>
          <w:sz w:val="20"/>
          <w:szCs w:val="20"/>
          <w:color w:val="auto"/>
        </w:rPr>
      </w:pPr>
    </w:p>
    <w:p>
      <w:pPr>
        <w:ind w:right="360"/>
        <w:spacing w:after="0" w:line="260" w:lineRule="auto"/>
        <w:rPr>
          <w:sz w:val="20"/>
          <w:szCs w:val="20"/>
          <w:color w:val="auto"/>
        </w:rPr>
      </w:pPr>
      <w:r>
        <w:rPr>
          <w:rFonts w:ascii="Arial" w:cs="Arial" w:eastAsia="Arial" w:hAnsi="Arial"/>
          <w:sz w:val="18"/>
          <w:szCs w:val="18"/>
          <w:color w:val="auto"/>
        </w:rPr>
        <w:t>2.323 MTI Shares and $66.00 in cash, without interest. Each Inphi stockholder will receive cash for any fractional MTI Share that such stockholder would otherwise have received in the Delaware Merger.</w:t>
      </w:r>
    </w:p>
    <w:p>
      <w:pPr>
        <w:spacing w:after="0" w:line="185" w:lineRule="exact"/>
        <w:rPr>
          <w:sz w:val="20"/>
          <w:szCs w:val="20"/>
          <w:color w:val="auto"/>
        </w:rPr>
      </w:pPr>
    </w:p>
    <w:p>
      <w:pPr>
        <w:ind w:right="360" w:firstLine="440"/>
        <w:spacing w:after="0" w:line="259" w:lineRule="auto"/>
        <w:rPr>
          <w:sz w:val="20"/>
          <w:szCs w:val="20"/>
          <w:color w:val="auto"/>
        </w:rPr>
      </w:pPr>
      <w:r>
        <w:rPr>
          <w:rFonts w:ascii="Arial" w:cs="Arial" w:eastAsia="Arial" w:hAnsi="Arial"/>
          <w:sz w:val="18"/>
          <w:szCs w:val="18"/>
          <w:color w:val="auto"/>
        </w:rPr>
        <w:t>Marvell and MTI funded the cash portion of the consideration for the Mergers with borrowings under the Term Credit Agreement (as defined below) and proceeds of the previously announced offering and issuance of (i) $500 million aggregate principal amount of 1.650% Senior Notes due 2026, (ii) $750 million aggregate principal amount of 2.450% Senior Notes due 2028 and (iii) $750 million aggregate principal amount of 2.950% Senior Notes due 2031.</w:t>
      </w:r>
    </w:p>
    <w:p>
      <w:pPr>
        <w:spacing w:after="0" w:line="187"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As provided in the Merger Agreement, at the Bermuda Merger Effective Time all options, restricted stock units, performance awards and other equity awards relating to Marvell Shares outstanding immediately prior to the Bermuda Merger Effective Time were converted into an equivalent option to purchase, or award to be paid in, MTI Shares and remain subject to the same terms, conditions and restrictions as were applicable under the original option or award.</w:t>
      </w:r>
    </w:p>
    <w:p>
      <w:pPr>
        <w:sectPr>
          <w:pgSz w:w="11900" w:h="16838" w:orient="portrait"/>
          <w:cols w:equalWidth="0" w:num="1">
            <w:col w:w="10980"/>
          </w:cols>
          <w:pgMar w:left="440" w:top="297" w:right="479" w:bottom="1440" w:gutter="0" w:footer="0" w:header="0"/>
        </w:sectPr>
      </w:pPr>
    </w:p>
    <w:bookmarkStart w:id="2" w:name="page3"/>
    <w:bookmarkEnd w:id="2"/>
    <w:p>
      <w:pPr>
        <w:ind w:left="44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As provided in the Merger Agreement, at the Delaware Merger Effective Time:</w:t>
      </w:r>
    </w:p>
    <w:p>
      <w:pPr>
        <w:spacing w:after="0" w:line="131" w:lineRule="exact"/>
        <w:rPr>
          <w:sz w:val="20"/>
          <w:szCs w:val="20"/>
          <w:color w:val="auto"/>
        </w:rPr>
      </w:pPr>
    </w:p>
    <w:p>
      <w:pPr>
        <w:ind w:left="964" w:right="20" w:hanging="532"/>
        <w:spacing w:after="0" w:line="272" w:lineRule="auto"/>
        <w:tabs>
          <w:tab w:leader="none" w:pos="964" w:val="left"/>
        </w:tabs>
        <w:numPr>
          <w:ilvl w:val="0"/>
          <w:numId w:val="2"/>
        </w:numPr>
        <w:rPr>
          <w:rFonts w:ascii="Arial" w:cs="Arial" w:eastAsia="Arial" w:hAnsi="Arial"/>
          <w:sz w:val="17"/>
          <w:szCs w:val="17"/>
          <w:color w:val="auto"/>
        </w:rPr>
      </w:pPr>
      <w:r>
        <w:rPr>
          <w:rFonts w:ascii="Arial" w:cs="Arial" w:eastAsia="Arial" w:hAnsi="Arial"/>
          <w:sz w:val="17"/>
          <w:szCs w:val="17"/>
          <w:color w:val="auto"/>
        </w:rPr>
        <w:t>each outstanding option to purchase Inphi Shares (each, an “Inphi Option”), other than an Out-of-the-money Option (as defined below), held by a person who is either continuing in employment with MTI, Inphi or any subsidiary or affiliate of Inphi after the Delaware Merger Effective Time (each, a “Continuing Employee”) or continuing in service with MTI, Marvell, Inphi or any subsidiary or affiliate of Inphi after the Delaware Merger Effective Time (each, a “Continuing Service Provider”), whether vested or unvested, was assumed by MTI and converted into an option to purchase, on substantially the same terms and conditions as were applicable under such Inphi Option, that number of MTI Shares equal to the product of 3.6955 and the number of Inphi Shares subject to such Inphi Option, at an exercise price per MTI Share calculated in accordance with the terms of the Merger Agreement;</w:t>
      </w:r>
    </w:p>
    <w:p>
      <w:pPr>
        <w:spacing w:after="0" w:line="82" w:lineRule="exact"/>
        <w:rPr>
          <w:rFonts w:ascii="Arial" w:cs="Arial" w:eastAsia="Arial" w:hAnsi="Arial"/>
          <w:sz w:val="17"/>
          <w:szCs w:val="17"/>
          <w:color w:val="auto"/>
        </w:rPr>
      </w:pPr>
    </w:p>
    <w:p>
      <w:pPr>
        <w:ind w:left="964" w:hanging="532"/>
        <w:spacing w:after="0" w:line="263" w:lineRule="auto"/>
        <w:tabs>
          <w:tab w:leader="none" w:pos="964" w:val="left"/>
        </w:tabs>
        <w:numPr>
          <w:ilvl w:val="0"/>
          <w:numId w:val="2"/>
        </w:numPr>
        <w:rPr>
          <w:rFonts w:ascii="Arial" w:cs="Arial" w:eastAsia="Arial" w:hAnsi="Arial"/>
          <w:sz w:val="18"/>
          <w:szCs w:val="18"/>
          <w:color w:val="auto"/>
        </w:rPr>
      </w:pPr>
      <w:r>
        <w:rPr>
          <w:rFonts w:ascii="Arial" w:cs="Arial" w:eastAsia="Arial" w:hAnsi="Arial"/>
          <w:sz w:val="18"/>
          <w:szCs w:val="18"/>
          <w:color w:val="auto"/>
        </w:rPr>
        <w:t>each outstanding and vested Inphi Option, other than an Out-of-the-money Option held by a person who is not a Continuing Employee or a Continuing Service Provider was cancelled in exchange for the right of the holder to receive an amount in cash equal to $177.71 less the exercise price applicable to such Inphi Option;</w:t>
      </w:r>
    </w:p>
    <w:p>
      <w:pPr>
        <w:spacing w:after="0" w:line="89" w:lineRule="exact"/>
        <w:rPr>
          <w:rFonts w:ascii="Arial" w:cs="Arial" w:eastAsia="Arial" w:hAnsi="Arial"/>
          <w:sz w:val="18"/>
          <w:szCs w:val="18"/>
          <w:color w:val="auto"/>
        </w:rPr>
      </w:pPr>
    </w:p>
    <w:p>
      <w:pPr>
        <w:ind w:left="964" w:right="100" w:hanging="532"/>
        <w:spacing w:after="0" w:line="279" w:lineRule="auto"/>
        <w:tabs>
          <w:tab w:leader="none" w:pos="964" w:val="left"/>
        </w:tabs>
        <w:numPr>
          <w:ilvl w:val="0"/>
          <w:numId w:val="2"/>
        </w:numPr>
        <w:rPr>
          <w:rFonts w:ascii="Arial" w:cs="Arial" w:eastAsia="Arial" w:hAnsi="Arial"/>
          <w:sz w:val="17"/>
          <w:szCs w:val="17"/>
          <w:color w:val="auto"/>
        </w:rPr>
      </w:pPr>
      <w:r>
        <w:rPr>
          <w:rFonts w:ascii="Arial" w:cs="Arial" w:eastAsia="Arial" w:hAnsi="Arial"/>
          <w:sz w:val="17"/>
          <w:szCs w:val="17"/>
          <w:color w:val="auto"/>
        </w:rPr>
        <w:t>each outstanding restricted stock unit of Inphi (each, an “Inphi RSU”) held by a Continuing Employee or a Continuing Service Provider that was unvested as of immediately prior to the Delaware Merger Effective Time was converted into that number of MTI restricted stock units equal to the product of 3.6955 and the number of Inphi Shares subject to such Inphi RSU, which MTI restricted stock units will be subject to substantially the same terms and conditions as were applicable under such Inphi RSU;</w:t>
      </w:r>
    </w:p>
    <w:p>
      <w:pPr>
        <w:spacing w:after="0" w:line="76" w:lineRule="exact"/>
        <w:rPr>
          <w:rFonts w:ascii="Arial" w:cs="Arial" w:eastAsia="Arial" w:hAnsi="Arial"/>
          <w:sz w:val="17"/>
          <w:szCs w:val="17"/>
          <w:color w:val="auto"/>
        </w:rPr>
      </w:pPr>
    </w:p>
    <w:p>
      <w:pPr>
        <w:ind w:left="964" w:right="40" w:hanging="532"/>
        <w:spacing w:after="0" w:line="263" w:lineRule="auto"/>
        <w:tabs>
          <w:tab w:leader="none" w:pos="964" w:val="left"/>
        </w:tabs>
        <w:numPr>
          <w:ilvl w:val="0"/>
          <w:numId w:val="2"/>
        </w:numPr>
        <w:rPr>
          <w:rFonts w:ascii="Arial" w:cs="Arial" w:eastAsia="Arial" w:hAnsi="Arial"/>
          <w:sz w:val="18"/>
          <w:szCs w:val="18"/>
          <w:color w:val="auto"/>
        </w:rPr>
      </w:pPr>
      <w:r>
        <w:rPr>
          <w:rFonts w:ascii="Arial" w:cs="Arial" w:eastAsia="Arial" w:hAnsi="Arial"/>
          <w:sz w:val="18"/>
          <w:szCs w:val="18"/>
          <w:color w:val="auto"/>
        </w:rPr>
        <w:t>each outstanding Inphi RSU that was vested immediately prior to the Bermuda Merger Effective Time, including any Inphi RSUs that become vested by their terms immediately prior to or as of the Delaware Merger Effective Time, was cancelled in exchange for the merger consideration for each Inphi Share subject to such Inphi RSU;</w:t>
      </w:r>
    </w:p>
    <w:p>
      <w:pPr>
        <w:spacing w:after="0" w:line="89" w:lineRule="exact"/>
        <w:rPr>
          <w:rFonts w:ascii="Arial" w:cs="Arial" w:eastAsia="Arial" w:hAnsi="Arial"/>
          <w:sz w:val="18"/>
          <w:szCs w:val="18"/>
          <w:color w:val="auto"/>
        </w:rPr>
      </w:pPr>
    </w:p>
    <w:p>
      <w:pPr>
        <w:ind w:left="964" w:right="100" w:hanging="532"/>
        <w:spacing w:after="0" w:line="259" w:lineRule="auto"/>
        <w:tabs>
          <w:tab w:leader="none" w:pos="964" w:val="left"/>
        </w:tabs>
        <w:numPr>
          <w:ilvl w:val="0"/>
          <w:numId w:val="2"/>
        </w:numPr>
        <w:rPr>
          <w:rFonts w:ascii="Arial" w:cs="Arial" w:eastAsia="Arial" w:hAnsi="Arial"/>
          <w:sz w:val="18"/>
          <w:szCs w:val="18"/>
          <w:color w:val="auto"/>
        </w:rPr>
      </w:pPr>
      <w:r>
        <w:rPr>
          <w:rFonts w:ascii="Arial" w:cs="Arial" w:eastAsia="Arial" w:hAnsi="Arial"/>
          <w:sz w:val="18"/>
          <w:szCs w:val="18"/>
          <w:color w:val="auto"/>
        </w:rPr>
        <w:t>each outstanding performance-based restricted stock unit of Inphi that is eligible to vest based on the per share market value of the Inphi Shares exceeding one or more relative performance target levels (each, an “Inphi MSU”) was cancelled in exchange for the merger consideration for each Inphi Share underlying the Inphi MSU that became vested pursuant to the terms of the Inphi MSU, based on actual performance measured as of April 20, 2021; and</w:t>
      </w:r>
    </w:p>
    <w:p>
      <w:pPr>
        <w:spacing w:after="0" w:line="92" w:lineRule="exact"/>
        <w:rPr>
          <w:rFonts w:ascii="Arial" w:cs="Arial" w:eastAsia="Arial" w:hAnsi="Arial"/>
          <w:sz w:val="18"/>
          <w:szCs w:val="18"/>
          <w:color w:val="auto"/>
        </w:rPr>
      </w:pPr>
    </w:p>
    <w:p>
      <w:pPr>
        <w:ind w:left="964" w:right="180" w:hanging="532"/>
        <w:spacing w:after="0" w:line="293" w:lineRule="auto"/>
        <w:tabs>
          <w:tab w:leader="none" w:pos="964" w:val="left"/>
        </w:tabs>
        <w:numPr>
          <w:ilvl w:val="0"/>
          <w:numId w:val="2"/>
        </w:numPr>
        <w:rPr>
          <w:rFonts w:ascii="Arial" w:cs="Arial" w:eastAsia="Arial" w:hAnsi="Arial"/>
          <w:sz w:val="16"/>
          <w:szCs w:val="16"/>
          <w:color w:val="auto"/>
        </w:rPr>
      </w:pPr>
      <w:r>
        <w:rPr>
          <w:rFonts w:ascii="Arial" w:cs="Arial" w:eastAsia="Arial" w:hAnsi="Arial"/>
          <w:sz w:val="16"/>
          <w:szCs w:val="16"/>
          <w:color w:val="auto"/>
        </w:rPr>
        <w:t>each outstanding performance-based restricted stock unit of Inphi other than an Inphi MSU (each, an “Inphi PSU”) held by a Continuing Employee or a Continuing Service Provider that was unvested immediately prior to the Delaware Merger Effective Time was converted into that number of MTI restricted stock units equal to the product of 3.6955 and the target number of Inphi Shares subject to such Inphi PSU, which MTI restricted stock units will vest subject only to continued employment or service of the holder through the applicable vesting dates under the Inphi PSUs (except in the case of one Continuing Employee, whose award will remain subject to performance conditions) but will otherwise be subject to substantially the same terms and conditions as were applicable under such Inphi PSUs.</w:t>
      </w:r>
    </w:p>
    <w:p>
      <w:pPr>
        <w:spacing w:after="0" w:line="164" w:lineRule="exact"/>
        <w:rPr>
          <w:sz w:val="20"/>
          <w:szCs w:val="20"/>
          <w:color w:val="auto"/>
        </w:rPr>
      </w:pPr>
    </w:p>
    <w:p>
      <w:pPr>
        <w:ind w:left="4" w:right="180" w:firstLine="440"/>
        <w:spacing w:after="0" w:line="287" w:lineRule="auto"/>
        <w:rPr>
          <w:sz w:val="20"/>
          <w:szCs w:val="20"/>
          <w:color w:val="auto"/>
        </w:rPr>
      </w:pPr>
      <w:r>
        <w:rPr>
          <w:rFonts w:ascii="Arial" w:cs="Arial" w:eastAsia="Arial" w:hAnsi="Arial"/>
          <w:sz w:val="16"/>
          <w:szCs w:val="16"/>
          <w:color w:val="auto"/>
        </w:rPr>
        <w:t>Further, pursuant to the Merger Agreement, (i) effective immediately prior to the Delaware Merger Effective Time, each Inphi Option and Inphi RSU held by any non-employee member of Inphi’s board of directors that was then outstanding and unvested became vested in full; (ii) any Inphi Option that had a per share exercise price equal to or greater than $177.71 (an “Out-of-the-money Option”) was canceled for no consideration and</w:t>
      </w:r>
    </w:p>
    <w:p>
      <w:pPr>
        <w:spacing w:after="0" w:line="2" w:lineRule="exact"/>
        <w:rPr>
          <w:sz w:val="20"/>
          <w:szCs w:val="20"/>
          <w:color w:val="auto"/>
        </w:rPr>
      </w:pPr>
    </w:p>
    <w:p>
      <w:pPr>
        <w:ind w:left="4" w:right="80" w:hanging="4"/>
        <w:spacing w:after="0" w:line="260" w:lineRule="auto"/>
        <w:tabs>
          <w:tab w:leader="none" w:pos="319" w:val="left"/>
        </w:tabs>
        <w:numPr>
          <w:ilvl w:val="0"/>
          <w:numId w:val="3"/>
        </w:numPr>
        <w:rPr>
          <w:rFonts w:ascii="Arial" w:cs="Arial" w:eastAsia="Arial" w:hAnsi="Arial"/>
          <w:sz w:val="18"/>
          <w:szCs w:val="18"/>
          <w:color w:val="auto"/>
        </w:rPr>
      </w:pPr>
      <w:r>
        <w:rPr>
          <w:rFonts w:ascii="Arial" w:cs="Arial" w:eastAsia="Arial" w:hAnsi="Arial"/>
          <w:sz w:val="18"/>
          <w:szCs w:val="18"/>
          <w:color w:val="auto"/>
        </w:rPr>
        <w:t>each Inphi Option, Inphi RSU and Inphi PSU that was held by a person who was not a Continuing Employee or a Continuing Service Provider that was outstanding and unvested immediately prior to the Delaware Merger Effective Time was canceled for no consideration.</w:t>
      </w:r>
    </w:p>
    <w:p>
      <w:pPr>
        <w:sectPr>
          <w:pgSz w:w="11900" w:h="16838" w:orient="portrait"/>
          <w:cols w:equalWidth="0" w:num="1">
            <w:col w:w="10984"/>
          </w:cols>
          <w:pgMar w:left="436" w:top="301" w:right="479" w:bottom="1440" w:gutter="0" w:footer="0" w:header="0"/>
        </w:sectPr>
      </w:pPr>
    </w:p>
    <w:bookmarkStart w:id="3" w:name="page4"/>
    <w:bookmarkEnd w:id="3"/>
    <w:p>
      <w:pPr>
        <w:ind w:firstLine="4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The issuance of MTI Shares to Marvell shareholders and Inphi stockholders in connection with the Mergers, as described above, was registered under the Securities Act of 1933, as amended, pursuant to a registration statement on Form S-4 (File No. 333-251606) (the “Registration Statement”), filed by MTI with the SEC and declared effective on March 11, 2021. The joint proxy statement/prospectus of Marvell, MTI and Inphi included in the Registration Statement contains additional information about the Mergers and the related transactions. The description of MTI common stock set forth in the joint proxy statement/prospectus is incorporated herein by reference.</w:t>
      </w:r>
    </w:p>
    <w:p>
      <w:pPr>
        <w:spacing w:after="0" w:line="188" w:lineRule="exact"/>
        <w:rPr>
          <w:sz w:val="20"/>
          <w:szCs w:val="20"/>
          <w:color w:val="auto"/>
        </w:rPr>
      </w:pPr>
    </w:p>
    <w:p>
      <w:pPr>
        <w:ind w:right="60" w:firstLine="440"/>
        <w:spacing w:after="0" w:line="269" w:lineRule="auto"/>
        <w:rPr>
          <w:sz w:val="20"/>
          <w:szCs w:val="20"/>
          <w:color w:val="auto"/>
        </w:rPr>
      </w:pPr>
      <w:r>
        <w:rPr>
          <w:rFonts w:ascii="Arial" w:cs="Arial" w:eastAsia="Arial" w:hAnsi="Arial"/>
          <w:sz w:val="17"/>
          <w:szCs w:val="17"/>
          <w:color w:val="auto"/>
        </w:rPr>
        <w:t>The description of the Merger Agreement contained herein does not purport to be complete and is qualified in its entirety by reference to the Merger Agreement, a copy of which is filed as Exhibit 2.1 hereto and is incorporated herein by reference. This summary is not intended to modify or supplement any factual disclosures about Marvell, MTI or Inphi, and should not be relied upon as disclosure about Marvell, MTI or Inphi without consideration of the periodic and current reports and statements that Marvell, MTI or Inphi file with the SEC. The terms of the Merger Agreement govern the contractual rights and relationships, and allocate risks, among the parties in relation to the transactions contemplated by the Merger Agreement. In particular, the representations and warranties made by the parties to each other in the Merger Agreement reflect negotiations between, and are solely for the benefit of, the parties thereto and may be limited or modified by a variety of factors, including: subsequent events, information included in public filings, disclosures made during negotiations, correspondence between the parties and disclosure schedules to the Merger Agreement. Accordingly, the representations and warranties may not describe the actual state of affairs at the date they were made or at any other time and you should not rely on them as statements of fact.</w:t>
      </w:r>
    </w:p>
    <w:p>
      <w:pPr>
        <w:spacing w:after="0" w:line="185" w:lineRule="exact"/>
        <w:rPr>
          <w:sz w:val="20"/>
          <w:szCs w:val="20"/>
          <w:color w:val="auto"/>
        </w:rPr>
      </w:pPr>
    </w:p>
    <w:p>
      <w:pPr>
        <w:ind w:right="60" w:firstLine="440"/>
        <w:spacing w:after="0" w:line="293" w:lineRule="auto"/>
        <w:rPr>
          <w:sz w:val="20"/>
          <w:szCs w:val="20"/>
          <w:color w:val="auto"/>
        </w:rPr>
      </w:pPr>
      <w:r>
        <w:rPr>
          <w:rFonts w:ascii="Arial" w:cs="Arial" w:eastAsia="Arial" w:hAnsi="Arial"/>
          <w:sz w:val="16"/>
          <w:szCs w:val="16"/>
          <w:color w:val="auto"/>
        </w:rPr>
        <w:t>Prior to the Bermuda Merger Effective Time, Marvell Shares and Inphi Shares were registered pursuant to Section 12(b) of the Securities Exchange Act of 1934, as amended (the “Exchange Act”), and listed on the Nasdaq Global Select Market (“Nasdaq”). As a result of the Mergers and as of the Delaware Merger Effective Time, Inphi Shares will cease to be traded and will no longer be listed on Nasdaq and MTI Shares will be substituted for Marvell Shares on Nasdaq. As of the open of trading on April 21, 2021, MTI Shares will trade on Nasdaq under the ticker symbol “MRVL.” Each of Marvell and Inphi expects to file a Form 15 with the SEC to terminate the registration under the Exchange Act of the Marvell Shares and the Inphi Shares, respectively, and suspend their respective reporting obligations under Sections 12(g) and 15(d) of the Exchange Act.</w:t>
      </w:r>
    </w:p>
    <w:p>
      <w:pPr>
        <w:spacing w:after="0" w:line="16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the Explanatory Note of this Current Report is incorporated by reference into this Item 2.01.</w:t>
      </w:r>
    </w:p>
    <w:p>
      <w:pPr>
        <w:spacing w:after="0" w:line="370"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ind w:right="100" w:firstLine="440"/>
        <w:spacing w:after="0" w:line="263" w:lineRule="auto"/>
        <w:rPr>
          <w:rFonts w:ascii="Arial" w:cs="Arial" w:eastAsia="Arial" w:hAnsi="Arial"/>
          <w:sz w:val="18"/>
          <w:szCs w:val="18"/>
          <w:color w:val="auto"/>
        </w:rPr>
      </w:pPr>
      <w:r>
        <w:rPr>
          <w:rFonts w:ascii="Arial" w:cs="Arial" w:eastAsia="Arial" w:hAnsi="Arial"/>
          <w:sz w:val="18"/>
          <w:szCs w:val="18"/>
          <w:color w:val="auto"/>
        </w:rPr>
        <w:t>As previously disclosed on Marvell’s Current Report on Form 8-K, filed with the Securities and Exchange Commission (the “SEC”) on December 8, 2020 (the “</w:t>
      </w:r>
      <w:hyperlink r:id="rId20">
        <w:r>
          <w:rPr>
            <w:rFonts w:ascii="Arial" w:cs="Arial" w:eastAsia="Arial" w:hAnsi="Arial"/>
            <w:sz w:val="18"/>
            <w:szCs w:val="18"/>
            <w:u w:val="single" w:color="auto"/>
            <w:color w:val="0000EE"/>
          </w:rPr>
          <w:t>Credit Facility 8-K</w:t>
        </w:r>
      </w:hyperlink>
      <w:r>
        <w:rPr>
          <w:rFonts w:ascii="Arial" w:cs="Arial" w:eastAsia="Arial" w:hAnsi="Arial"/>
          <w:sz w:val="18"/>
          <w:szCs w:val="18"/>
          <w:color w:val="auto"/>
        </w:rPr>
        <w:t>”), MTI and Marvell entered into a Credit Agreement (the “Term Credit Agreement”) with JPMorgan Chase Bank, N.A., as administrative agent, and the lenders party thereto as set forth in the Term Credit Agreement.</w:t>
      </w:r>
    </w:p>
    <w:p>
      <w:pPr>
        <w:spacing w:after="0" w:line="184" w:lineRule="exact"/>
        <w:rPr>
          <w:sz w:val="20"/>
          <w:szCs w:val="20"/>
          <w:color w:val="auto"/>
        </w:rPr>
      </w:pPr>
    </w:p>
    <w:p>
      <w:pPr>
        <w:ind w:right="20" w:firstLine="440"/>
        <w:spacing w:after="0" w:line="263" w:lineRule="auto"/>
        <w:rPr>
          <w:rFonts w:ascii="Arial" w:cs="Arial" w:eastAsia="Arial" w:hAnsi="Arial"/>
          <w:sz w:val="18"/>
          <w:szCs w:val="18"/>
          <w:color w:val="auto"/>
        </w:rPr>
      </w:pPr>
      <w:r>
        <w:rPr>
          <w:rFonts w:ascii="Arial" w:cs="Arial" w:eastAsia="Arial" w:hAnsi="Arial"/>
          <w:sz w:val="18"/>
          <w:szCs w:val="18"/>
          <w:color w:val="auto"/>
        </w:rPr>
        <w:t xml:space="preserve">In connection with the consummation of the Mergers, on April 20, 2021, MTI borrowed $1.75 billion under the Term Credit Agreement. The disclosure set forth in the </w:t>
      </w:r>
      <w:hyperlink r:id="rId20">
        <w:r>
          <w:rPr>
            <w:rFonts w:ascii="Arial" w:cs="Arial" w:eastAsia="Arial" w:hAnsi="Arial"/>
            <w:sz w:val="18"/>
            <w:szCs w:val="18"/>
            <w:u w:val="single" w:color="auto"/>
            <w:color w:val="0000EE"/>
          </w:rPr>
          <w:t>Credit Facility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under “Item 1.01. Entry into a Material Definitive Agreement - Term Credit Agreement” is incorporated by reference herein.</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the Explanatory Note of this Current Report is incorporated by reference into this Item 2.03.</w:t>
      </w:r>
    </w:p>
    <w:p>
      <w:pPr>
        <w:sectPr>
          <w:pgSz w:w="11900" w:h="16838" w:orient="portrait"/>
          <w:cols w:equalWidth="0" w:num="1">
            <w:col w:w="11020"/>
          </w:cols>
          <w:pgMar w:left="440" w:top="301" w:right="439" w:bottom="1440" w:gutter="0" w:footer="0" w:header="0"/>
        </w:sectPr>
      </w:pPr>
    </w:p>
    <w:bookmarkStart w:id="4" w:name="page5"/>
    <w:bookmarkEnd w:id="4"/>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3.03</w:t>
      </w:r>
      <w:r>
        <w:rPr>
          <w:sz w:val="20"/>
          <w:szCs w:val="20"/>
          <w:color w:val="auto"/>
        </w:rPr>
        <w:tab/>
      </w:r>
      <w:r>
        <w:rPr>
          <w:rFonts w:ascii="Arial" w:cs="Arial" w:eastAsia="Arial" w:hAnsi="Arial"/>
          <w:sz w:val="16"/>
          <w:szCs w:val="16"/>
          <w:b w:val="1"/>
          <w:bCs w:val="1"/>
          <w:color w:val="auto"/>
        </w:rPr>
        <w:t>Material Modification to Rights of Security Holders</w:t>
      </w:r>
    </w:p>
    <w:p>
      <w:pPr>
        <w:spacing w:after="0" w:line="121" w:lineRule="exact"/>
        <w:rPr>
          <w:sz w:val="20"/>
          <w:szCs w:val="20"/>
          <w:color w:val="auto"/>
        </w:rPr>
      </w:pPr>
    </w:p>
    <w:p>
      <w:pPr>
        <w:ind w:right="280" w:firstLine="440"/>
        <w:spacing w:after="0" w:line="277" w:lineRule="auto"/>
        <w:rPr>
          <w:sz w:val="20"/>
          <w:szCs w:val="20"/>
          <w:color w:val="auto"/>
        </w:rPr>
      </w:pPr>
      <w:r>
        <w:rPr>
          <w:rFonts w:ascii="Arial" w:cs="Arial" w:eastAsia="Arial" w:hAnsi="Arial"/>
          <w:sz w:val="18"/>
          <w:szCs w:val="18"/>
          <w:color w:val="auto"/>
        </w:rPr>
        <w:t>The information set forth in the Explanatory Note and in Items 2.01, 5.01 and 5.03 of this Current Report is incorporated by reference into this Item 3.03.</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5.01</w:t>
      </w:r>
      <w:r>
        <w:rPr>
          <w:sz w:val="20"/>
          <w:szCs w:val="20"/>
          <w:color w:val="auto"/>
        </w:rPr>
        <w:tab/>
      </w:r>
      <w:r>
        <w:rPr>
          <w:rFonts w:ascii="Arial" w:cs="Arial" w:eastAsia="Arial" w:hAnsi="Arial"/>
          <w:sz w:val="16"/>
          <w:szCs w:val="16"/>
          <w:b w:val="1"/>
          <w:bCs w:val="1"/>
          <w:color w:val="auto"/>
        </w:rPr>
        <w:t>Changes in Control of Registrant</w:t>
      </w:r>
    </w:p>
    <w:p>
      <w:pPr>
        <w:spacing w:after="0" w:line="121"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Prior to the Bermuda Merger Effective Time, MTI was a wholly owned subsidiary of Marvell. Pursuant to the Merger Agreement, immediately following the Bermuda Merger Effective Time, all MTI Shares owned by Marvell prior to the Bermuda Merger Effective Time were surrendered to MTI for no consideration. Following the completion of the Mergers, the MTI Shares became held by the former holders of Marvell Shares and Inphi Shares.</w:t>
      </w:r>
    </w:p>
    <w:p>
      <w:pPr>
        <w:spacing w:after="0" w:line="149" w:lineRule="exact"/>
        <w:rPr>
          <w:sz w:val="20"/>
          <w:szCs w:val="20"/>
          <w:color w:val="auto"/>
        </w:rPr>
      </w:pPr>
    </w:p>
    <w:p>
      <w:pPr>
        <w:ind w:right="660" w:firstLine="440"/>
        <w:spacing w:after="0" w:line="277" w:lineRule="auto"/>
        <w:rPr>
          <w:sz w:val="20"/>
          <w:szCs w:val="20"/>
          <w:color w:val="auto"/>
        </w:rPr>
      </w:pPr>
      <w:r>
        <w:rPr>
          <w:rFonts w:ascii="Arial" w:cs="Arial" w:eastAsia="Arial" w:hAnsi="Arial"/>
          <w:sz w:val="18"/>
          <w:szCs w:val="18"/>
          <w:color w:val="auto"/>
        </w:rPr>
        <w:t>The information set forth in the Introductory Note and in Items 2.01 and 5.02 of this Current Report is incorporated by reference into this Item 5.01.</w:t>
      </w:r>
    </w:p>
    <w:p>
      <w:pPr>
        <w:spacing w:after="0" w:line="315" w:lineRule="exact"/>
        <w:rPr>
          <w:sz w:val="20"/>
          <w:szCs w:val="20"/>
          <w:color w:val="auto"/>
        </w:rPr>
      </w:pPr>
    </w:p>
    <w:p>
      <w:pPr>
        <w:ind w:left="1200" w:right="980" w:hanging="1200"/>
        <w:spacing w:after="0" w:line="282" w:lineRule="auto"/>
        <w:tabs>
          <w:tab w:leader="none" w:pos="1180" w:val="left"/>
        </w:tabs>
        <w:rPr>
          <w:sz w:val="20"/>
          <w:szCs w:val="20"/>
          <w:color w:val="auto"/>
        </w:rPr>
      </w:pPr>
      <w:r>
        <w:rPr>
          <w:rFonts w:ascii="Arial" w:cs="Arial" w:eastAsia="Arial" w:hAnsi="Arial"/>
          <w:sz w:val="18"/>
          <w:szCs w:val="18"/>
          <w:b w:val="1"/>
          <w:bCs w:val="1"/>
          <w:color w:val="auto"/>
        </w:rPr>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Board of Directors</w:t>
      </w:r>
    </w:p>
    <w:p>
      <w:pPr>
        <w:spacing w:after="0" w:line="117"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Effective immediately following the Bermuda Merger Effective Time, MTI’s board of directors (the “Board”) approved an increase in the size of the Board from one to ten directors. In connection with the Bermuda Merger, Mitchell L. Gaynor, the sole director of MTI as of immediately prior to the Bermuda Merger Effective Time, resigned from the Board. In addition, in accordance with the terms of the Merger Agreement and effective immediately following the Bermuda Merger Effective Time:</w:t>
      </w:r>
    </w:p>
    <w:p>
      <w:pPr>
        <w:spacing w:after="0" w:line="92" w:lineRule="exact"/>
        <w:rPr>
          <w:sz w:val="20"/>
          <w:szCs w:val="20"/>
          <w:color w:val="auto"/>
        </w:rPr>
      </w:pPr>
    </w:p>
    <w:p>
      <w:pPr>
        <w:ind w:left="420" w:right="360" w:hanging="316"/>
        <w:spacing w:after="0" w:line="277" w:lineRule="auto"/>
        <w:tabs>
          <w:tab w:leader="none" w:pos="420" w:val="left"/>
        </w:tabs>
        <w:numPr>
          <w:ilvl w:val="0"/>
          <w:numId w:val="4"/>
        </w:numPr>
        <w:rPr>
          <w:rFonts w:ascii="Arial" w:cs="Arial" w:eastAsia="Arial" w:hAnsi="Arial"/>
          <w:sz w:val="18"/>
          <w:szCs w:val="18"/>
          <w:color w:val="auto"/>
        </w:rPr>
      </w:pPr>
      <w:r>
        <w:rPr>
          <w:rFonts w:ascii="Arial" w:cs="Arial" w:eastAsia="Arial" w:hAnsi="Arial"/>
          <w:sz w:val="18"/>
          <w:szCs w:val="18"/>
          <w:color w:val="auto"/>
        </w:rPr>
        <w:t>each of the following former members of the Marvell board of directors was appointed to the Board: Matthew J. Murphy, Tudor Brown, Brad Buss, Edward Frank, Richard S. Hill, Marachel Knight, Bethany Mayer, Michael Strachan and Robert E. Switz; and</w:t>
      </w:r>
    </w:p>
    <w:p>
      <w:pPr>
        <w:spacing w:after="0" w:line="75" w:lineRule="exact"/>
        <w:rPr>
          <w:rFonts w:ascii="Arial" w:cs="Arial" w:eastAsia="Arial" w:hAnsi="Arial"/>
          <w:sz w:val="18"/>
          <w:szCs w:val="18"/>
          <w:color w:val="auto"/>
        </w:rPr>
      </w:pPr>
    </w:p>
    <w:p>
      <w:pPr>
        <w:jc w:val="both"/>
        <w:ind w:left="440" w:right="2600" w:hanging="336"/>
        <w:spacing w:after="0" w:line="623" w:lineRule="auto"/>
        <w:tabs>
          <w:tab w:leader="none" w:pos="432" w:val="left"/>
        </w:tabs>
        <w:numPr>
          <w:ilvl w:val="0"/>
          <w:numId w:val="4"/>
        </w:numPr>
        <w:rPr>
          <w:rFonts w:ascii="Arial" w:cs="Arial" w:eastAsia="Arial" w:hAnsi="Arial"/>
          <w:sz w:val="16"/>
          <w:szCs w:val="16"/>
          <w:color w:val="auto"/>
        </w:rPr>
      </w:pPr>
      <w:r>
        <w:rPr>
          <w:rFonts w:ascii="Arial" w:cs="Arial" w:eastAsia="Arial" w:hAnsi="Arial"/>
          <w:sz w:val="16"/>
          <w:szCs w:val="16"/>
          <w:color w:val="auto"/>
        </w:rPr>
        <w:t>Dr. Ford Tamer, Inphi’s Chief Executive Officer and a member of the Inphi Board was appointed to the Board. Mr. Hill was appointed as Chair of the Board effective as of the effectiveness of his appointment to the Board.</w:t>
      </w:r>
    </w:p>
    <w:p>
      <w:pPr>
        <w:spacing w:after="0" w:line="1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Committee Appointments</w:t>
      </w:r>
    </w:p>
    <w:p>
      <w:pPr>
        <w:spacing w:after="0" w:line="117"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Effective immediately following the Bermuda Merger Effective Time, the Board appointed the following individuals to the Audit Committee, the Nominating and Governance Committee and the Executive Compensation Committee, comprising the same directors as those who comprised such committees of the board of directors of Marvell immediately prior to the Bermuda Merger Effective Time:</w:t>
      </w:r>
    </w:p>
    <w:p>
      <w:pPr>
        <w:spacing w:after="0" w:line="89" w:lineRule="exact"/>
        <w:rPr>
          <w:sz w:val="20"/>
          <w:szCs w:val="20"/>
          <w:color w:val="auto"/>
        </w:rPr>
      </w:pPr>
    </w:p>
    <w:p>
      <w:pPr>
        <w:ind w:left="420" w:hanging="316"/>
        <w:spacing w:after="0"/>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Audit Committee: Michael Strachan (Chair), Brad Buss and Marachel Knight.</w:t>
      </w:r>
    </w:p>
    <w:p>
      <w:pPr>
        <w:spacing w:after="0" w:line="130" w:lineRule="exact"/>
        <w:rPr>
          <w:rFonts w:ascii="Arial" w:cs="Arial" w:eastAsia="Arial" w:hAnsi="Arial"/>
          <w:sz w:val="18"/>
          <w:szCs w:val="18"/>
          <w:color w:val="auto"/>
        </w:rPr>
      </w:pPr>
    </w:p>
    <w:p>
      <w:pPr>
        <w:ind w:left="420" w:hanging="316"/>
        <w:spacing w:after="0"/>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Nominating and Governance Committee: Brad Buss (Chair), Dr. Edward Frank, Robert E. Switz and Bethany Mayer.</w:t>
      </w:r>
    </w:p>
    <w:p>
      <w:pPr>
        <w:spacing w:after="0" w:line="130" w:lineRule="exact"/>
        <w:rPr>
          <w:rFonts w:ascii="Arial" w:cs="Arial" w:eastAsia="Arial" w:hAnsi="Arial"/>
          <w:sz w:val="18"/>
          <w:szCs w:val="18"/>
          <w:color w:val="auto"/>
        </w:rPr>
      </w:pPr>
    </w:p>
    <w:p>
      <w:pPr>
        <w:ind w:left="420" w:hanging="316"/>
        <w:spacing w:after="0"/>
        <w:tabs>
          <w:tab w:leader="none" w:pos="42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Executive Compensation Committee: Robert E. Switz (Chair), Tudor Brown, Dr. Edward Frank and Bethany Mayer.</w:t>
      </w:r>
    </w:p>
    <w:p>
      <w:pPr>
        <w:sectPr>
          <w:pgSz w:w="11900" w:h="16838" w:orient="portrait"/>
          <w:cols w:equalWidth="0" w:num="1">
            <w:col w:w="10980"/>
          </w:cols>
          <w:pgMar w:left="440" w:top="297" w:right="47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extLst>
                    </a:blip>
                    <a:srcRect/>
                    <a:stretch>
                      <a:fillRect/>
                    </a:stretch>
                  </pic:blipFill>
                  <pic:spPr bwMode="auto">
                    <a:xfrm>
                      <a:off x="0" y="0"/>
                      <a:ext cx="7174865" cy="55880"/>
                    </a:xfrm>
                    <a:prstGeom prst="rect">
                      <a:avLst/>
                    </a:prstGeom>
                    <a:noFill/>
                  </pic:spPr>
                </pic:pic>
              </a:graphicData>
            </a:graphic>
          </wp:anchor>
        </w:drawing>
        <w:t>Executive Officers</w:t>
      </w:r>
    </w:p>
    <w:p>
      <w:pPr>
        <w:spacing w:after="0" w:line="117" w:lineRule="exact"/>
        <w:rPr>
          <w:sz w:val="20"/>
          <w:szCs w:val="20"/>
          <w:color w:val="auto"/>
        </w:rPr>
      </w:pPr>
    </w:p>
    <w:p>
      <w:pPr>
        <w:jc w:val="both"/>
        <w:ind w:right="40" w:firstLine="440"/>
        <w:spacing w:after="0" w:line="263" w:lineRule="auto"/>
        <w:rPr>
          <w:sz w:val="20"/>
          <w:szCs w:val="20"/>
          <w:color w:val="auto"/>
        </w:rPr>
      </w:pPr>
      <w:r>
        <w:rPr>
          <w:rFonts w:ascii="Arial" w:cs="Arial" w:eastAsia="Arial" w:hAnsi="Arial"/>
          <w:sz w:val="18"/>
          <w:szCs w:val="18"/>
          <w:color w:val="auto"/>
        </w:rPr>
        <w:t>In connection with the Mergers, each executive officer of MTI as of immediately prior to the Bermuda Merger Effective Time resigned from their respective positions and the Board appointed new executive officers of MTI effective immediately following the Bermuda Merger Effective Time. The names of these executive officers and their respective positions are indicated below:</w:t>
      </w:r>
    </w:p>
    <w:p>
      <w:pPr>
        <w:spacing w:after="0" w:line="202" w:lineRule="exact"/>
        <w:rPr>
          <w:sz w:val="20"/>
          <w:szCs w:val="20"/>
          <w:color w:val="auto"/>
        </w:rPr>
      </w:pPr>
    </w:p>
    <w:tbl>
      <w:tblPr>
        <w:tblLayout w:type="fixed"/>
        <w:tblInd w:w="1100" w:type="dxa"/>
        <w:tblCellMar>
          <w:top w:w="0" w:type="dxa"/>
          <w:left w:w="0" w:type="dxa"/>
          <w:bottom w:w="0" w:type="dxa"/>
          <w:right w:w="0" w:type="dxa"/>
        </w:tblCellMar>
      </w:tblPr>
      <w:tr>
        <w:trPr>
          <w:trHeight w:val="171"/>
        </w:trPr>
        <w:tc>
          <w:tcPr>
            <w:tcW w:w="19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Name</w:t>
            </w:r>
          </w:p>
        </w:tc>
        <w:tc>
          <w:tcPr>
            <w:tcW w:w="80" w:type="dxa"/>
            <w:vAlign w:val="bottom"/>
          </w:tcPr>
          <w:p>
            <w:pPr>
              <w:spacing w:after="0"/>
              <w:rPr>
                <w:sz w:val="14"/>
                <w:szCs w:val="14"/>
                <w:color w:val="auto"/>
              </w:rPr>
            </w:pPr>
          </w:p>
        </w:tc>
        <w:tc>
          <w:tcPr>
            <w:tcW w:w="67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Title</w:t>
            </w:r>
          </w:p>
        </w:tc>
      </w:tr>
      <w:tr>
        <w:trPr>
          <w:trHeight w:val="195"/>
        </w:trPr>
        <w:tc>
          <w:tcPr>
            <w:tcW w:w="1940" w:type="dxa"/>
            <w:vAlign w:val="bottom"/>
          </w:tcPr>
          <w:p>
            <w:pPr>
              <w:spacing w:after="0" w:line="195" w:lineRule="exact"/>
              <w:rPr>
                <w:sz w:val="20"/>
                <w:szCs w:val="20"/>
                <w:color w:val="auto"/>
              </w:rPr>
            </w:pPr>
            <w:r>
              <w:rPr>
                <w:rFonts w:ascii="Arial" w:cs="Arial" w:eastAsia="Arial" w:hAnsi="Arial"/>
                <w:sz w:val="18"/>
                <w:szCs w:val="18"/>
                <w:color w:val="auto"/>
              </w:rPr>
              <w:t>Matthew J. Murphy</w:t>
            </w:r>
          </w:p>
        </w:tc>
        <w:tc>
          <w:tcPr>
            <w:tcW w:w="80" w:type="dxa"/>
            <w:vAlign w:val="bottom"/>
          </w:tcPr>
          <w:p>
            <w:pPr>
              <w:spacing w:after="0"/>
              <w:rPr>
                <w:sz w:val="16"/>
                <w:szCs w:val="16"/>
                <w:color w:val="auto"/>
              </w:rPr>
            </w:pPr>
          </w:p>
        </w:tc>
        <w:tc>
          <w:tcPr>
            <w:tcW w:w="6780" w:type="dxa"/>
            <w:vAlign w:val="bottom"/>
          </w:tcPr>
          <w:p>
            <w:pPr>
              <w:spacing w:after="0" w:line="195" w:lineRule="exact"/>
              <w:rPr>
                <w:sz w:val="20"/>
                <w:szCs w:val="20"/>
                <w:color w:val="auto"/>
              </w:rPr>
            </w:pPr>
            <w:r>
              <w:rPr>
                <w:rFonts w:ascii="Arial" w:cs="Arial" w:eastAsia="Arial" w:hAnsi="Arial"/>
                <w:sz w:val="18"/>
                <w:szCs w:val="18"/>
                <w:color w:val="auto"/>
              </w:rPr>
              <w:t>President and Chief Executive Officer</w:t>
            </w:r>
          </w:p>
        </w:tc>
      </w:tr>
      <w:tr>
        <w:trPr>
          <w:trHeight w:val="216"/>
        </w:trPr>
        <w:tc>
          <w:tcPr>
            <w:tcW w:w="1940" w:type="dxa"/>
            <w:vAlign w:val="bottom"/>
          </w:tcPr>
          <w:p>
            <w:pPr>
              <w:spacing w:after="0"/>
              <w:rPr>
                <w:sz w:val="20"/>
                <w:szCs w:val="20"/>
                <w:color w:val="auto"/>
              </w:rPr>
            </w:pPr>
            <w:r>
              <w:rPr>
                <w:rFonts w:ascii="Arial" w:cs="Arial" w:eastAsia="Arial" w:hAnsi="Arial"/>
                <w:sz w:val="18"/>
                <w:szCs w:val="18"/>
                <w:color w:val="auto"/>
              </w:rPr>
              <w:t>Jean Hu</w:t>
            </w:r>
          </w:p>
        </w:tc>
        <w:tc>
          <w:tcPr>
            <w:tcW w:w="8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Chief Financial Officer</w:t>
            </w:r>
          </w:p>
        </w:tc>
      </w:tr>
      <w:tr>
        <w:trPr>
          <w:trHeight w:val="216"/>
        </w:trPr>
        <w:tc>
          <w:tcPr>
            <w:tcW w:w="1940" w:type="dxa"/>
            <w:vAlign w:val="bottom"/>
          </w:tcPr>
          <w:p>
            <w:pPr>
              <w:spacing w:after="0"/>
              <w:rPr>
                <w:sz w:val="20"/>
                <w:szCs w:val="20"/>
                <w:color w:val="auto"/>
              </w:rPr>
            </w:pPr>
            <w:r>
              <w:rPr>
                <w:rFonts w:ascii="Arial" w:cs="Arial" w:eastAsia="Arial" w:hAnsi="Arial"/>
                <w:sz w:val="18"/>
                <w:szCs w:val="18"/>
                <w:color w:val="auto"/>
              </w:rPr>
              <w:t>Chris Koopmans</w:t>
            </w:r>
          </w:p>
        </w:tc>
        <w:tc>
          <w:tcPr>
            <w:tcW w:w="8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Chief Operations Officer</w:t>
            </w:r>
          </w:p>
        </w:tc>
      </w:tr>
      <w:tr>
        <w:trPr>
          <w:trHeight w:val="216"/>
        </w:trPr>
        <w:tc>
          <w:tcPr>
            <w:tcW w:w="1940" w:type="dxa"/>
            <w:vAlign w:val="bottom"/>
          </w:tcPr>
          <w:p>
            <w:pPr>
              <w:spacing w:after="0"/>
              <w:rPr>
                <w:sz w:val="20"/>
                <w:szCs w:val="20"/>
                <w:color w:val="auto"/>
              </w:rPr>
            </w:pPr>
            <w:r>
              <w:rPr>
                <w:rFonts w:ascii="Arial" w:cs="Arial" w:eastAsia="Arial" w:hAnsi="Arial"/>
                <w:sz w:val="18"/>
                <w:szCs w:val="18"/>
                <w:color w:val="auto"/>
              </w:rPr>
              <w:t>Mitchell L. Gaynor</w:t>
            </w:r>
          </w:p>
        </w:tc>
        <w:tc>
          <w:tcPr>
            <w:tcW w:w="8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Executive Vice President, Chief Administration and Legal Officer, and Secretary</w:t>
            </w:r>
          </w:p>
        </w:tc>
      </w:tr>
      <w:tr>
        <w:trPr>
          <w:trHeight w:val="216"/>
        </w:trPr>
        <w:tc>
          <w:tcPr>
            <w:tcW w:w="1940" w:type="dxa"/>
            <w:vAlign w:val="bottom"/>
          </w:tcPr>
          <w:p>
            <w:pPr>
              <w:spacing w:after="0"/>
              <w:rPr>
                <w:sz w:val="20"/>
                <w:szCs w:val="20"/>
                <w:color w:val="auto"/>
              </w:rPr>
            </w:pPr>
            <w:r>
              <w:rPr>
                <w:rFonts w:ascii="Arial" w:cs="Arial" w:eastAsia="Arial" w:hAnsi="Arial"/>
                <w:sz w:val="18"/>
                <w:szCs w:val="18"/>
                <w:color w:val="auto"/>
              </w:rPr>
              <w:t>Raghib Hussain</w:t>
            </w:r>
          </w:p>
        </w:tc>
        <w:tc>
          <w:tcPr>
            <w:tcW w:w="8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President, Products and Technologies</w:t>
            </w:r>
          </w:p>
        </w:tc>
      </w:tr>
      <w:tr>
        <w:trPr>
          <w:trHeight w:val="216"/>
        </w:trPr>
        <w:tc>
          <w:tcPr>
            <w:tcW w:w="1940" w:type="dxa"/>
            <w:vAlign w:val="bottom"/>
          </w:tcPr>
          <w:p>
            <w:pPr>
              <w:spacing w:after="0"/>
              <w:rPr>
                <w:sz w:val="20"/>
                <w:szCs w:val="20"/>
                <w:color w:val="auto"/>
              </w:rPr>
            </w:pPr>
            <w:r>
              <w:rPr>
                <w:rFonts w:ascii="Arial" w:cs="Arial" w:eastAsia="Arial" w:hAnsi="Arial"/>
                <w:sz w:val="18"/>
                <w:szCs w:val="18"/>
                <w:color w:val="auto"/>
              </w:rPr>
              <w:t>Daniel W. Christman</w:t>
            </w:r>
          </w:p>
        </w:tc>
        <w:tc>
          <w:tcPr>
            <w:tcW w:w="8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Executive Vice President, Storage Business Group</w:t>
            </w:r>
          </w:p>
        </w:tc>
      </w:tr>
      <w:tr>
        <w:trPr>
          <w:trHeight w:val="216"/>
        </w:trPr>
        <w:tc>
          <w:tcPr>
            <w:tcW w:w="1940" w:type="dxa"/>
            <w:vAlign w:val="bottom"/>
          </w:tcPr>
          <w:p>
            <w:pPr>
              <w:spacing w:after="0"/>
              <w:rPr>
                <w:sz w:val="20"/>
                <w:szCs w:val="20"/>
                <w:color w:val="auto"/>
              </w:rPr>
            </w:pPr>
            <w:r>
              <w:rPr>
                <w:rFonts w:ascii="Arial" w:cs="Arial" w:eastAsia="Arial" w:hAnsi="Arial"/>
                <w:sz w:val="18"/>
                <w:szCs w:val="18"/>
                <w:color w:val="auto"/>
              </w:rPr>
              <w:t>Dean E. Jarnac</w:t>
            </w:r>
          </w:p>
        </w:tc>
        <w:tc>
          <w:tcPr>
            <w:tcW w:w="8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Executive Vice President, Worldwide Sales</w:t>
            </w:r>
          </w:p>
        </w:tc>
      </w:tr>
      <w:tr>
        <w:trPr>
          <w:trHeight w:val="216"/>
        </w:trPr>
        <w:tc>
          <w:tcPr>
            <w:tcW w:w="1940" w:type="dxa"/>
            <w:vAlign w:val="bottom"/>
          </w:tcPr>
          <w:p>
            <w:pPr>
              <w:spacing w:after="0"/>
              <w:rPr>
                <w:sz w:val="20"/>
                <w:szCs w:val="20"/>
                <w:color w:val="auto"/>
              </w:rPr>
            </w:pPr>
            <w:r>
              <w:rPr>
                <w:rFonts w:ascii="Arial" w:cs="Arial" w:eastAsia="Arial" w:hAnsi="Arial"/>
                <w:sz w:val="18"/>
                <w:szCs w:val="18"/>
                <w:color w:val="auto"/>
              </w:rPr>
              <w:t>Nariman Yousefi</w:t>
            </w:r>
          </w:p>
        </w:tc>
        <w:tc>
          <w:tcPr>
            <w:tcW w:w="80" w:type="dxa"/>
            <w:vAlign w:val="bottom"/>
          </w:tcPr>
          <w:p>
            <w:pPr>
              <w:spacing w:after="0"/>
              <w:rPr>
                <w:sz w:val="18"/>
                <w:szCs w:val="18"/>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Executive Vice President</w:t>
            </w:r>
          </w:p>
        </w:tc>
      </w:tr>
      <w:tr>
        <w:trPr>
          <w:trHeight w:val="230"/>
        </w:trPr>
        <w:tc>
          <w:tcPr>
            <w:tcW w:w="1940" w:type="dxa"/>
            <w:vAlign w:val="bottom"/>
          </w:tcPr>
          <w:p>
            <w:pPr>
              <w:spacing w:after="0"/>
              <w:rPr>
                <w:sz w:val="20"/>
                <w:szCs w:val="20"/>
                <w:color w:val="auto"/>
              </w:rPr>
            </w:pPr>
            <w:r>
              <w:rPr>
                <w:rFonts w:ascii="Arial" w:cs="Arial" w:eastAsia="Arial" w:hAnsi="Arial"/>
                <w:sz w:val="18"/>
                <w:szCs w:val="18"/>
                <w:color w:val="auto"/>
              </w:rPr>
              <w:t>Dr. Loi Nguyen</w:t>
            </w:r>
          </w:p>
        </w:tc>
        <w:tc>
          <w:tcPr>
            <w:tcW w:w="80" w:type="dxa"/>
            <w:vAlign w:val="bottom"/>
          </w:tcPr>
          <w:p>
            <w:pPr>
              <w:spacing w:after="0"/>
              <w:rPr>
                <w:sz w:val="20"/>
                <w:szCs w:val="20"/>
                <w:color w:val="auto"/>
              </w:rPr>
            </w:pPr>
          </w:p>
        </w:tc>
        <w:tc>
          <w:tcPr>
            <w:tcW w:w="6780" w:type="dxa"/>
            <w:vAlign w:val="bottom"/>
          </w:tcPr>
          <w:p>
            <w:pPr>
              <w:spacing w:after="0"/>
              <w:rPr>
                <w:sz w:val="20"/>
                <w:szCs w:val="20"/>
                <w:color w:val="auto"/>
              </w:rPr>
            </w:pPr>
            <w:r>
              <w:rPr>
                <w:rFonts w:ascii="Arial" w:cs="Arial" w:eastAsia="Arial" w:hAnsi="Arial"/>
                <w:sz w:val="18"/>
                <w:szCs w:val="18"/>
                <w:color w:val="auto"/>
              </w:rPr>
              <w:t>Executive Vice President</w:t>
            </w: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Biographical information for each of the above named officers is set forth below.</w:t>
      </w:r>
    </w:p>
    <w:p>
      <w:pPr>
        <w:spacing w:after="0" w:line="225" w:lineRule="exact"/>
        <w:rPr>
          <w:sz w:val="20"/>
          <w:szCs w:val="20"/>
          <w:color w:val="auto"/>
        </w:rPr>
      </w:pPr>
    </w:p>
    <w:p>
      <w:pPr>
        <w:ind w:firstLine="440"/>
        <w:spacing w:after="0" w:line="288" w:lineRule="auto"/>
        <w:rPr>
          <w:sz w:val="20"/>
          <w:szCs w:val="20"/>
          <w:color w:val="auto"/>
        </w:rPr>
      </w:pPr>
      <w:r>
        <w:rPr>
          <w:rFonts w:ascii="Arial" w:cs="Arial" w:eastAsia="Arial" w:hAnsi="Arial"/>
          <w:sz w:val="16"/>
          <w:szCs w:val="16"/>
          <w:b w:val="1"/>
          <w:bCs w:val="1"/>
          <w:i w:val="1"/>
          <w:iCs w:val="1"/>
          <w:color w:val="auto"/>
        </w:rPr>
        <w:t xml:space="preserve">Matthew J. Murphy. Age 48. </w:t>
      </w:r>
      <w:r>
        <w:rPr>
          <w:rFonts w:ascii="Arial" w:cs="Arial" w:eastAsia="Arial" w:hAnsi="Arial"/>
          <w:sz w:val="16"/>
          <w:szCs w:val="16"/>
          <w:color w:val="auto"/>
        </w:rPr>
        <w:t>Mr. Murphy has served as Marvell’s President and Chief Executive Officer since joining in July 2016 and also</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served as a member of the board of directors of Marvell. Prior to joining Marvell, Matt worked for Maxim Integrated Products, Inc. (“Maxim”), a designer, manufacturer and seller of analog and mixed signal integrated circuits, for 22 years, where he advanced through a series of business leadership roles over two decades. Most recently, from 2015 to 2016 he was Executive Vice President, Business Units, Sales and Marketing. In this capacity he had company-wide profit and loss responsibility, leading all product development, sales and field applications, marketing and central engineering. From 2011 to 2015, he was Senior Vice President of the Communications and Automotive Solutions Group, leading the team that developed differentiated solutions for those markets. From 2006 to 2011, he was Vice President, Worldwide Sales &amp; Marketing during a time when Maxim’s sales expanded significantly. Prior to 2006, he served in a variety of business unit management and customer operations roles. In prior roles, Matt led Maxim’s communications, data center, and automotive business groups, all of which experienced significant growth under his leadership. Matt serves on the board of directors of eBay Inc. Matt earned a Bachelor of Arts from Franklin &amp; Marshall College and is a graduate of the Stanford Executive Program.</w:t>
      </w:r>
    </w:p>
    <w:p>
      <w:pPr>
        <w:spacing w:after="0" w:line="168"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b w:val="1"/>
          <w:bCs w:val="1"/>
          <w:i w:val="1"/>
          <w:iCs w:val="1"/>
          <w:color w:val="auto"/>
        </w:rPr>
        <w:t xml:space="preserve">Jean X. Hu. Age 57. </w:t>
      </w:r>
      <w:r>
        <w:rPr>
          <w:rFonts w:ascii="Arial" w:cs="Arial" w:eastAsia="Arial" w:hAnsi="Arial"/>
          <w:sz w:val="18"/>
          <w:szCs w:val="18"/>
          <w:color w:val="auto"/>
        </w:rPr>
        <w:t>Ms. Hu has served as Marvell’s Chief Financial Officer since August 2016. She joined Marvell from QLogic Corporation,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manufacturer of networking server and storage networking connectivity and application acceleration products, where she was SVP and CFO from 2011 to 2016. She also served as Acting CEO at QLogic from May 2013 to February 2014 and from August 2015 to August 2016. From 2004 to 2011, she held several senior positions at Conexant Systems, Inc., including CFO, Treasurer and SVP of Business Development. Presently, Ms. Hu is a member of the Board of Directors of Fortinet Inc. Jean earned a Ph.D. in Economics from Claremont Graduate University and a Bachelor of Science in Chemical Engineering from Beijing University of Chemical Engineering.</w:t>
      </w:r>
    </w:p>
    <w:p>
      <w:pPr>
        <w:spacing w:after="0" w:line="192" w:lineRule="exact"/>
        <w:rPr>
          <w:sz w:val="20"/>
          <w:szCs w:val="20"/>
          <w:color w:val="auto"/>
        </w:rPr>
      </w:pPr>
    </w:p>
    <w:p>
      <w:pPr>
        <w:ind w:right="40" w:firstLine="440"/>
        <w:spacing w:after="0" w:line="253" w:lineRule="auto"/>
        <w:rPr>
          <w:sz w:val="20"/>
          <w:szCs w:val="20"/>
          <w:color w:val="auto"/>
        </w:rPr>
      </w:pPr>
      <w:r>
        <w:rPr>
          <w:rFonts w:ascii="Arial" w:cs="Arial" w:eastAsia="Arial" w:hAnsi="Arial"/>
          <w:sz w:val="18"/>
          <w:szCs w:val="18"/>
          <w:b w:val="1"/>
          <w:bCs w:val="1"/>
          <w:i w:val="1"/>
          <w:iCs w:val="1"/>
          <w:color w:val="auto"/>
        </w:rPr>
        <w:t xml:space="preserve">Chris Koopmans. Age 44. </w:t>
      </w:r>
      <w:r>
        <w:rPr>
          <w:rFonts w:ascii="Arial" w:cs="Arial" w:eastAsia="Arial" w:hAnsi="Arial"/>
          <w:sz w:val="18"/>
          <w:szCs w:val="18"/>
          <w:color w:val="auto"/>
        </w:rPr>
        <w:t>Mr. Koopmans has served as Marvell’s Chief Operations Officer since March 2021. Prior to becoming Chief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Operations Officer, Mr. Koopmans served as Executive Vice President of Business Operations from 2018 to 2019 and Executive Vice President of Marketing and Business Operations from 2019 to 2021, where he led corporate transformation strategies and programs, in addition to global corporate marketing. From 2016 to 2019, Mr. Koopmans led Marvell’s Networking and Connectivity Business Group, and from June 2016 to December 2016 Mr. Koopmans led Global Sales and Marketing. Prior to joining Marvell in 2016, Mr. Koopmans served as Vice President and General Manager of Service Provider Platforms at Citrix Systems, where he drove the company’s strategy for the communications service-provider market. Mr. Koopmans joined Citrix with the acquisition of ByteMobile in 2012, a company he had co-founded and served as Chief Operations Officer. Chris earned a Bachelor of Science in Computer Engineering from the University of Illinois and was subsequently awarded a National Science Foundation Graduate Research Fellowship.</w:t>
      </w:r>
    </w:p>
    <w:p>
      <w:pPr>
        <w:sectPr>
          <w:pgSz w:w="11900" w:h="16838" w:orient="portrait"/>
          <w:cols w:equalWidth="0" w:num="1">
            <w:col w:w="10980"/>
          </w:cols>
          <w:pgMar w:left="440" w:top="301" w:right="479" w:bottom="1440" w:gutter="0" w:footer="0" w:header="0"/>
        </w:sectPr>
      </w:pPr>
    </w:p>
    <w:bookmarkStart w:id="6" w:name="page7"/>
    <w:bookmarkEnd w:id="6"/>
    <w:p>
      <w:pPr>
        <w:ind w:right="120" w:firstLine="440"/>
        <w:spacing w:after="0" w:line="270" w:lineRule="auto"/>
        <w:rPr>
          <w:sz w:val="20"/>
          <w:szCs w:val="20"/>
          <w:color w:val="auto"/>
        </w:rPr>
      </w:pPr>
      <w:r>
        <w:rPr>
          <w:rFonts w:ascii="Arial" w:cs="Arial" w:eastAsia="Arial" w:hAnsi="Arial"/>
          <w:sz w:val="17"/>
          <w:szCs w:val="17"/>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extLst>
                    </a:blip>
                    <a:srcRect/>
                    <a:stretch>
                      <a:fillRect/>
                    </a:stretch>
                  </pic:blipFill>
                  <pic:spPr bwMode="auto">
                    <a:xfrm>
                      <a:off x="0" y="0"/>
                      <a:ext cx="7174865" cy="55245"/>
                    </a:xfrm>
                    <a:prstGeom prst="rect">
                      <a:avLst/>
                    </a:prstGeom>
                    <a:noFill/>
                  </pic:spPr>
                </pic:pic>
              </a:graphicData>
            </a:graphic>
          </wp:anchor>
        </w:drawing>
        <w:t xml:space="preserve">Mitchell L. Gaynor. Age 61. </w:t>
      </w:r>
      <w:r>
        <w:rPr>
          <w:rFonts w:ascii="Arial" w:cs="Arial" w:eastAsia="Arial" w:hAnsi="Arial"/>
          <w:sz w:val="17"/>
          <w:szCs w:val="17"/>
          <w:color w:val="auto"/>
        </w:rPr>
        <w:t>Mr. Gaynor has served as Executive Vice President, Chief Administration and Legal Officer and Secretary of</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Marvell since April 2017, having previously served as Marvell’s Executive Vice President, Chief Legal Officer and Secretary since May 2016. Prior to joining Marvell, from 2011 to 2015 he served as Executive Vice President, General Counsel and Secretary at Juniper Networks, Inc. (“Juniper”), a developer and marketer of networking products. In addition, while at Juniper he held a variety of executive roles including Senior Vice President, General Counsel and Secretary from February 2008 to February 2011 and Vice President, General Counsel, and Secretary from February 2004 to February 2008. Prior to Juniper, he served as Vice President and General Counsel at Portal Software, Inc. from 1999 to 2004 and in senior legal roles at Sybase, Inc. from 1993 to 1999, including General Counsel from 1997 to 1999. Mitch began his legal career at Brobeck, Phleger and Harrison, LLP in 1984. He holds a Juris Doctor degree from the University of California, Hastings College of the Law, and a Bachelor of Arts in History from the University of California, Berkeley.</w:t>
      </w:r>
    </w:p>
    <w:p>
      <w:pPr>
        <w:spacing w:after="0" w:line="181" w:lineRule="exact"/>
        <w:rPr>
          <w:sz w:val="20"/>
          <w:szCs w:val="20"/>
          <w:color w:val="auto"/>
        </w:rPr>
      </w:pPr>
    </w:p>
    <w:p>
      <w:pPr>
        <w:ind w:right="60" w:firstLine="440"/>
        <w:spacing w:after="0" w:line="273" w:lineRule="auto"/>
        <w:rPr>
          <w:sz w:val="20"/>
          <w:szCs w:val="20"/>
          <w:color w:val="auto"/>
        </w:rPr>
      </w:pPr>
      <w:r>
        <w:rPr>
          <w:rFonts w:ascii="Arial" w:cs="Arial" w:eastAsia="Arial" w:hAnsi="Arial"/>
          <w:sz w:val="17"/>
          <w:szCs w:val="17"/>
          <w:b w:val="1"/>
          <w:bCs w:val="1"/>
          <w:i w:val="1"/>
          <w:iCs w:val="1"/>
          <w:color w:val="auto"/>
        </w:rPr>
        <w:t xml:space="preserve">Raghib Hussain. Age 49. </w:t>
      </w:r>
      <w:r>
        <w:rPr>
          <w:rFonts w:ascii="Arial" w:cs="Arial" w:eastAsia="Arial" w:hAnsi="Arial"/>
          <w:sz w:val="17"/>
          <w:szCs w:val="17"/>
          <w:color w:val="auto"/>
        </w:rPr>
        <w:t>Mr. Hussain served as Marvell’s Executive Vice President for the Networking and Processors Group and Chief Strategy</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Officer from July 2018 to April 2021, and was promoted to President, Products and Technologies in April 2021. Prior to joining Marvell in 2018, Raghib served as the Chief Operating Officer of Cavium, Inc. (“Cavium”), a company he co-founded in 2000. Prior to launching Cavium, he held engineering roles at both Cisco Systems, Inc. and Cadence, Inc., and helped found VPNet Technologies, Inc., an enterprise security company. Raghib earned a Bachelor of Science in Computer Systems Engineering from NED University in Karachi, Pakistan, and a Master of Science in Computer Engineering from San Jose State University. He holds 30 patents in the fields of networking and security.</w:t>
      </w:r>
    </w:p>
    <w:p>
      <w:pPr>
        <w:spacing w:after="0" w:line="178"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b w:val="1"/>
          <w:bCs w:val="1"/>
          <w:i w:val="1"/>
          <w:iCs w:val="1"/>
          <w:color w:val="auto"/>
        </w:rPr>
        <w:t xml:space="preserve">Daniel W. Christman. Age 49. </w:t>
      </w:r>
      <w:r>
        <w:rPr>
          <w:rFonts w:ascii="Arial" w:cs="Arial" w:eastAsia="Arial" w:hAnsi="Arial"/>
          <w:sz w:val="16"/>
          <w:szCs w:val="16"/>
          <w:color w:val="auto"/>
        </w:rPr>
        <w:t>Mr. Christman has served as Executive Vice President of Marvell’s Storage Business Group since January 2017.</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Dan joined Marvell in 2016 as Executive Vice President of Strategic Planning. From March 2015 through August 2016, Dan served as Chief Marketing Officer at ESS Technology, a manufacturer of computer multimedia products, where he was responsible for product roadmaps and strategy, as well as marketing and global customer relationships. Prior to that time, Dan spent 17 years at Maxim, which designs, manufactures and sells analog and mixed signal integrated circuits, in various executive and general management roles, most recently he served as Maxim’s Vice President and General Manager of the Human Interface Business Unit from 2011 through 2015. Dan earned a Bachelor of Science in Electrical Engineering from Rensselaer Polytechnic Institute and a Bachelor of Science in Physics from State University of New York Oneonta and is a graduate of the Stanford Executive Program.</w:t>
      </w:r>
    </w:p>
    <w:p>
      <w:pPr>
        <w:spacing w:after="0" w:line="166" w:lineRule="exact"/>
        <w:rPr>
          <w:sz w:val="20"/>
          <w:szCs w:val="20"/>
          <w:color w:val="auto"/>
        </w:rPr>
      </w:pPr>
    </w:p>
    <w:p>
      <w:pPr>
        <w:ind w:right="40" w:firstLine="440"/>
        <w:spacing w:after="0" w:line="272" w:lineRule="auto"/>
        <w:rPr>
          <w:sz w:val="20"/>
          <w:szCs w:val="20"/>
          <w:color w:val="auto"/>
        </w:rPr>
      </w:pPr>
      <w:r>
        <w:rPr>
          <w:rFonts w:ascii="Arial" w:cs="Arial" w:eastAsia="Arial" w:hAnsi="Arial"/>
          <w:sz w:val="17"/>
          <w:szCs w:val="17"/>
          <w:b w:val="1"/>
          <w:bCs w:val="1"/>
          <w:i w:val="1"/>
          <w:iCs w:val="1"/>
          <w:color w:val="auto"/>
        </w:rPr>
        <w:t xml:space="preserve">Dean E. Jarnac. Age 48. </w:t>
      </w:r>
      <w:r>
        <w:rPr>
          <w:rFonts w:ascii="Arial" w:cs="Arial" w:eastAsia="Arial" w:hAnsi="Arial"/>
          <w:sz w:val="17"/>
          <w:szCs w:val="17"/>
          <w:color w:val="auto"/>
        </w:rPr>
        <w:t>Mr. Jarnac has served as Marvell’s Executive Vice President of Worldwide Sales since March 2021 and prior to that he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served as Marvell’s Senior Vice President of Worldwide Sales from August 2019 to March 2021. He previously served as Marvell’s Vice President of North America Sales and Global Distribution from April 2017 to August 2019. Prior to joining Marvell, he served as the Vice President, America Sales at Samsung Electro-Mechanics, a multinational electronic component company, from August 2016 until April 2017 and as Director, Strategic Sales at Broadcom from January 2015 until July 2016. Prior to 2015 he held positions of increasing sales responsibility at Freescale Semiconductor, Inc., Altera Corporation and Advanced Micro Devices, Inc. He graduated from Purdue University with a degree in Computer and Electrical Engineering and holds a Master of Business Administration from Boston University.</w:t>
      </w:r>
    </w:p>
    <w:p>
      <w:pPr>
        <w:spacing w:after="0" w:line="177" w:lineRule="exact"/>
        <w:rPr>
          <w:sz w:val="20"/>
          <w:szCs w:val="20"/>
          <w:color w:val="auto"/>
        </w:rPr>
      </w:pPr>
    </w:p>
    <w:p>
      <w:pPr>
        <w:ind w:right="40" w:firstLine="440"/>
        <w:spacing w:after="0" w:line="271" w:lineRule="auto"/>
        <w:rPr>
          <w:sz w:val="20"/>
          <w:szCs w:val="20"/>
          <w:color w:val="auto"/>
        </w:rPr>
      </w:pPr>
      <w:r>
        <w:rPr>
          <w:rFonts w:ascii="Arial" w:cs="Arial" w:eastAsia="Arial" w:hAnsi="Arial"/>
          <w:sz w:val="17"/>
          <w:szCs w:val="17"/>
          <w:b w:val="1"/>
          <w:bCs w:val="1"/>
          <w:i w:val="1"/>
          <w:iCs w:val="1"/>
          <w:color w:val="auto"/>
        </w:rPr>
        <w:t xml:space="preserve">Nariman Yousefi. Age 58. </w:t>
      </w:r>
      <w:r>
        <w:rPr>
          <w:rFonts w:ascii="Arial" w:cs="Arial" w:eastAsia="Arial" w:hAnsi="Arial"/>
          <w:sz w:val="17"/>
          <w:szCs w:val="17"/>
          <w:color w:val="auto"/>
        </w:rPr>
        <w:t>Prior to the Bermuda Merger Effective Time, Mr. Yousefi served as Senior Vice President of Inphi’s Coherent DSP</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Business Group since December 2016. Prior to joining Inphi, Nariman served as the Chief Executive Officer and President of Clariphy Communications. Prior to joining ClariPhy, Nariman was a founding member and senior executive at Broadcom Corporation’s Networking Group, where he oversaw product development from inception to market leadership. While at Broadcom, he held multiple executive roles including Senior Vice President and General Manager of the Enterprise Networking Group and Senior Vice President of Infrastructure Technologies. Prior to joining Broadcom, Nariman held engineering management positions with Standard Microsystems and Western Digital Corporation. Nariman studied electrical engineering at the University of California, Davis and received a Bachelor of Science in Electrical Engineering from the University of Pacific and a Master of Science in Electrical Engineering from the University of Southern California.</w:t>
      </w:r>
    </w:p>
    <w:p>
      <w:pPr>
        <w:sectPr>
          <w:pgSz w:w="11900" w:h="16838" w:orient="portrait"/>
          <w:cols w:equalWidth="0" w:num="1">
            <w:col w:w="11020"/>
          </w:cols>
          <w:pgMar w:left="440" w:top="301" w:right="439" w:bottom="1440" w:gutter="0" w:footer="0" w:header="0"/>
        </w:sectPr>
      </w:pPr>
    </w:p>
    <w:bookmarkStart w:id="7" w:name="page8"/>
    <w:bookmarkEnd w:id="7"/>
    <w:p>
      <w:pPr>
        <w:ind w:right="60" w:firstLine="440"/>
        <w:spacing w:after="0" w:line="269" w:lineRule="auto"/>
        <w:rPr>
          <w:sz w:val="20"/>
          <w:szCs w:val="20"/>
          <w:color w:val="auto"/>
        </w:rPr>
      </w:pPr>
      <w:r>
        <w:rPr>
          <w:rFonts w:ascii="Arial" w:cs="Arial" w:eastAsia="Arial" w:hAnsi="Arial"/>
          <w:sz w:val="17"/>
          <w:szCs w:val="17"/>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extLst>
                    </a:blip>
                    <a:srcRect/>
                    <a:stretch>
                      <a:fillRect/>
                    </a:stretch>
                  </pic:blipFill>
                  <pic:spPr bwMode="auto">
                    <a:xfrm>
                      <a:off x="0" y="0"/>
                      <a:ext cx="7174865" cy="55245"/>
                    </a:xfrm>
                    <a:prstGeom prst="rect">
                      <a:avLst/>
                    </a:prstGeom>
                    <a:noFill/>
                  </pic:spPr>
                </pic:pic>
              </a:graphicData>
            </a:graphic>
          </wp:anchor>
        </w:drawing>
        <w:t xml:space="preserve">Dr. Loi Nguyen. Age 61. </w:t>
      </w:r>
      <w:r>
        <w:rPr>
          <w:rFonts w:ascii="Arial" w:cs="Arial" w:eastAsia="Arial" w:hAnsi="Arial"/>
          <w:sz w:val="17"/>
          <w:szCs w:val="17"/>
          <w:color w:val="auto"/>
        </w:rPr>
        <w:t>As one of Inphi’s founders, Dr. Loi Nguyen has more than 20 years of experience in the development of high-speed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devices and integrated circuits based on advanced gallium arsenide (“GaAs”) and indium phosphide technologies. He is well recognized in the high-speed III-V research community worldwide for his work in this field. From 1984 to 1988, Dr. Nguyen worked at the Honeywell Physical Sciences Center in Bloomington, Minnesota, while writing his graduate thesis on the development of GaAs devices. His thesis contributed to the commercialization of advanced GaAs technology for applications such as direct broadcast satellite, millimeter wave radios, automotive radar, and defense. In 1992, he established a world-record cutoff frequency for high-speed transistors, for which he received the prestigious IEEE Paul Rappaport Award for Best Paper published in an Electron Devices Society journal. Dr. Nguyen holds seven U.S. patents and is an author of more than 50 scientific publications. He has served on technical committees of the IEEE International Electron Devices Meetings, the IEEE Device Research Conference and the IEEE International Solid State Devices Meetings. Dr. Nguyen holds Bachelor of Science and Ph.D. degrees in electrical engineering from Cornell University and a Master of Business Administration from the Anderson School of Management at UCLA.</w:t>
      </w:r>
    </w:p>
    <w:p>
      <w:pPr>
        <w:spacing w:after="0" w:line="185"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There are no family relationships among MTI’s executive officers or directors. There are no arrangements or understandings between MTI’s executive officers and any other person pursuant to which they were selected as executive officers.</w:t>
      </w:r>
    </w:p>
    <w:p>
      <w:pPr>
        <w:spacing w:after="0" w:line="170" w:lineRule="exact"/>
        <w:rPr>
          <w:sz w:val="20"/>
          <w:szCs w:val="20"/>
          <w:color w:val="auto"/>
        </w:rPr>
      </w:pPr>
    </w:p>
    <w:p>
      <w:pPr>
        <w:ind w:right="220" w:firstLine="440"/>
        <w:spacing w:after="0" w:line="263" w:lineRule="auto"/>
        <w:rPr>
          <w:sz w:val="20"/>
          <w:szCs w:val="20"/>
          <w:color w:val="auto"/>
        </w:rPr>
      </w:pPr>
      <w:r>
        <w:rPr>
          <w:rFonts w:ascii="Arial" w:cs="Arial" w:eastAsia="Arial" w:hAnsi="Arial"/>
          <w:sz w:val="18"/>
          <w:szCs w:val="18"/>
          <w:color w:val="auto"/>
        </w:rPr>
        <w:t>Other than compensation arrangements between the above executive officers and MTI arising solely from such executive officers’ employment with MTI, there are no transactions or currently proposed transactions between such executive officers and MTI involving amounts in excess of $120,000 and in which such executive officers had or will have a direct or indirect material interest.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Compensatory Plans</w:t>
      </w:r>
    </w:p>
    <w:p>
      <w:pPr>
        <w:spacing w:after="0" w:line="117"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At the Bermuda Merger Effective Time, MTI assumed certain Marvell equity plans, including the Marvell Amended and Restated 1995 Stock Option Plan (the “Marvell Option Plan”), Marvell’s 2000 Employee Stock Purchase Plan, as Amended and Restated (the “Marvell ESPP”), the Aquantia Corp. 2004 Equity Incentive Plan, the Aquantia Corp. 2015 Equity Incentive Plan, the Aquantia Corp. 2017 Equity Incentive Plan, the Cavium, Inc. 2016 Equity Incentive Plan, the Cavium, Inc. 2007 Equity Incentive Plan and the QLogic Corporation 2005 Performance Incentive Plan. MTI also assumed the share reserve available for future issuances under the Marvell Option Plan (and renamed the plan the “Marvell Technology, Inc. Amended and Restated 1995 Stock Option Plan”) and the Marvell ESPP (and renamed the plan the “Marvell Technology, Inc. 2000 Employee Stock Purchase Plan, as Amended and Restated”) and MTI expects to grant future awards under such plans.</w:t>
      </w:r>
    </w:p>
    <w:p>
      <w:pPr>
        <w:spacing w:after="0" w:line="177" w:lineRule="exact"/>
        <w:rPr>
          <w:sz w:val="20"/>
          <w:szCs w:val="20"/>
          <w:color w:val="auto"/>
        </w:rPr>
      </w:pPr>
    </w:p>
    <w:p>
      <w:pPr>
        <w:ind w:right="220" w:firstLine="440"/>
        <w:spacing w:after="0" w:line="277" w:lineRule="auto"/>
        <w:rPr>
          <w:sz w:val="20"/>
          <w:szCs w:val="20"/>
          <w:color w:val="auto"/>
        </w:rPr>
      </w:pPr>
      <w:r>
        <w:rPr>
          <w:rFonts w:ascii="Arial" w:cs="Arial" w:eastAsia="Arial" w:hAnsi="Arial"/>
          <w:sz w:val="18"/>
          <w:szCs w:val="18"/>
          <w:color w:val="auto"/>
        </w:rPr>
        <w:t>At the Delaware Merger Effective Time, MTI assumed certain outstanding awards under certain Inphi equity plans. However, it is not expected that MTI will grant future awards under any Inphi equity plans following the Delaware Merger Effective Time.</w:t>
      </w:r>
    </w:p>
    <w:p>
      <w:pPr>
        <w:spacing w:after="0" w:line="170"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Additional information required by Items 5.02(c), (d) and (e) is included in (i) the joint proxy statement/prospectus; (ii) Marvell’s definitive annual proxy statement filed with the SEC on May 28, 2020; and (iii) the information contained in Part III of Inphi’s Form 10-K/A filed with the SEC on March 2, 2021, and incorporated by reference herein.</w:t>
      </w:r>
    </w:p>
    <w:p>
      <w:pPr>
        <w:sectPr>
          <w:pgSz w:w="11900" w:h="16838" w:orient="portrait"/>
          <w:cols w:equalWidth="0" w:num="1">
            <w:col w:w="10980"/>
          </w:cols>
          <w:pgMar w:left="440" w:top="301" w:right="479" w:bottom="1440" w:gutter="0" w:footer="0" w:header="0"/>
        </w:sectPr>
      </w:pPr>
    </w:p>
    <w:bookmarkStart w:id="8" w:name="page9"/>
    <w:bookmarkEnd w:id="8"/>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extLst>
                    </a:blip>
                    <a:srcRect/>
                    <a:stretch>
                      <a:fillRect/>
                    </a:stretch>
                  </pic:blipFill>
                  <pic:spPr bwMode="auto">
                    <a:xfrm>
                      <a:off x="0" y="0"/>
                      <a:ext cx="7174865" cy="55245"/>
                    </a:xfrm>
                    <a:prstGeom prst="rect">
                      <a:avLst/>
                    </a:prstGeom>
                    <a:noFill/>
                  </pic:spPr>
                </pic:pic>
              </a:graphicData>
            </a:graphic>
          </wp:anchor>
        </w:drawing>
        <w:t>Item 5.03</w:t>
      </w:r>
      <w:r>
        <w:rPr>
          <w:sz w:val="20"/>
          <w:szCs w:val="20"/>
          <w:color w:val="auto"/>
        </w:rPr>
        <w:tab/>
      </w:r>
      <w:r>
        <w:rPr>
          <w:rFonts w:ascii="Arial" w:cs="Arial" w:eastAsia="Arial" w:hAnsi="Arial"/>
          <w:sz w:val="16"/>
          <w:szCs w:val="16"/>
          <w:b w:val="1"/>
          <w:bCs w:val="1"/>
          <w:color w:val="auto"/>
        </w:rPr>
        <w:t>Amendments to Articles of Incorporation or Bylaws; Change in Fiscal Year</w:t>
      </w:r>
    </w:p>
    <w:p>
      <w:pPr>
        <w:spacing w:after="0" w:line="121"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On April 19, 2021, in connection with the completion of the Mergers and in accordance with the Merger Agreement, MTI amended and restated its certificate of incorporation and its bylaws to reflect the changes contemplated by the Merger Agreement and described in the joint proxy statement/prospectus.</w:t>
      </w:r>
    </w:p>
    <w:p>
      <w:pPr>
        <w:spacing w:after="0" w:line="184" w:lineRule="exact"/>
        <w:rPr>
          <w:sz w:val="20"/>
          <w:szCs w:val="20"/>
          <w:color w:val="auto"/>
        </w:rPr>
      </w:pPr>
    </w:p>
    <w:p>
      <w:pPr>
        <w:jc w:val="both"/>
        <w:ind w:right="120" w:firstLine="440"/>
        <w:spacing w:after="0" w:line="311" w:lineRule="auto"/>
        <w:rPr>
          <w:sz w:val="20"/>
          <w:szCs w:val="20"/>
          <w:color w:val="auto"/>
        </w:rPr>
      </w:pPr>
      <w:r>
        <w:rPr>
          <w:rFonts w:ascii="Arial" w:cs="Arial" w:eastAsia="Arial" w:hAnsi="Arial"/>
          <w:sz w:val="16"/>
          <w:szCs w:val="16"/>
          <w:color w:val="auto"/>
        </w:rPr>
        <w:t>The foregoing description of the amended and restated certificate of incorporation of MTI and the amended and restated bylaws of MTI does not purport to be complete and is qualified in its entirety by reference to the amended and restated certificate of incorporation of MTI and the amended and restated bylaws of MTI filed as Exhibit 3.1 and Exhibit 3.2, respectively, to this Current Report and incorporated by reference into this Item 5.03.</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information set forth in the Explanatory Note of this Current Report is incorporated by reference into this Item 5.03.</w:t>
      </w:r>
    </w:p>
    <w:p>
      <w:pPr>
        <w:spacing w:after="0" w:line="370"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jc w:val="both"/>
        <w:ind w:right="100" w:firstLine="440"/>
        <w:spacing w:after="0" w:line="277" w:lineRule="auto"/>
        <w:rPr>
          <w:sz w:val="20"/>
          <w:szCs w:val="20"/>
          <w:color w:val="auto"/>
        </w:rPr>
      </w:pPr>
      <w:r>
        <w:rPr>
          <w:rFonts w:ascii="Arial" w:cs="Arial" w:eastAsia="Arial" w:hAnsi="Arial"/>
          <w:sz w:val="18"/>
          <w:szCs w:val="18"/>
          <w:color w:val="auto"/>
        </w:rPr>
        <w:t>On April 20, 2021, MTI issued a press release in connection with the completion of the Mergers. A copy of the press release is attached hereto as Exhibit 99.1 and is incorporated by reference into this Item 8.01.</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1" w:lineRule="exact"/>
        <w:rPr>
          <w:sz w:val="20"/>
          <w:szCs w:val="20"/>
          <w:color w:val="auto"/>
        </w:rPr>
      </w:pPr>
    </w:p>
    <w:p>
      <w:pPr>
        <w:ind w:left="760" w:hanging="548"/>
        <w:spacing w:after="0"/>
        <w:tabs>
          <w:tab w:leader="none" w:pos="76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Financial Statements of Business Acquired</w:t>
      </w:r>
    </w:p>
    <w:p>
      <w:pPr>
        <w:spacing w:after="0" w:line="229" w:lineRule="exact"/>
        <w:rPr>
          <w:sz w:val="20"/>
          <w:szCs w:val="20"/>
          <w:color w:val="auto"/>
        </w:rPr>
      </w:pPr>
    </w:p>
    <w:p>
      <w:pPr>
        <w:ind w:right="500" w:firstLine="440"/>
        <w:spacing w:after="0" w:line="277" w:lineRule="auto"/>
        <w:rPr>
          <w:sz w:val="20"/>
          <w:szCs w:val="20"/>
          <w:color w:val="auto"/>
        </w:rPr>
      </w:pPr>
      <w:r>
        <w:rPr>
          <w:rFonts w:ascii="Arial" w:cs="Arial" w:eastAsia="Arial" w:hAnsi="Arial"/>
          <w:sz w:val="18"/>
          <w:szCs w:val="18"/>
          <w:color w:val="auto"/>
        </w:rPr>
        <w:t>The information required by this item was previously reported in the joint proxy statement/prospectus and, accordingly, pursuant to General Instruction B.3 of Form 8-K is not required to be reported herein.</w:t>
      </w:r>
    </w:p>
    <w:p>
      <w:pPr>
        <w:spacing w:after="0" w:line="315" w:lineRule="exact"/>
        <w:rPr>
          <w:sz w:val="20"/>
          <w:szCs w:val="20"/>
          <w:color w:val="auto"/>
        </w:rPr>
      </w:pPr>
    </w:p>
    <w:p>
      <w:pPr>
        <w:ind w:left="760" w:hanging="548"/>
        <w:spacing w:after="0"/>
        <w:tabs>
          <w:tab w:leader="none" w:pos="76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Pro Forma Financial Information</w:t>
      </w:r>
    </w:p>
    <w:p>
      <w:pPr>
        <w:spacing w:after="0" w:line="121" w:lineRule="exact"/>
        <w:rPr>
          <w:sz w:val="20"/>
          <w:szCs w:val="20"/>
          <w:color w:val="auto"/>
        </w:rPr>
      </w:pPr>
    </w:p>
    <w:p>
      <w:pPr>
        <w:ind w:right="500" w:firstLine="440"/>
        <w:spacing w:after="0" w:line="277" w:lineRule="auto"/>
        <w:rPr>
          <w:sz w:val="20"/>
          <w:szCs w:val="20"/>
          <w:color w:val="auto"/>
        </w:rPr>
      </w:pPr>
      <w:r>
        <w:rPr>
          <w:rFonts w:ascii="Arial" w:cs="Arial" w:eastAsia="Arial" w:hAnsi="Arial"/>
          <w:sz w:val="18"/>
          <w:szCs w:val="18"/>
          <w:color w:val="auto"/>
        </w:rPr>
        <w:t>The information required by this item was previously reported in the joint proxy statement/prospectus and, accordingly, pursuant to General Instruction B.3 of Form 8-K is not required to be reported herein.</w:t>
      </w:r>
    </w:p>
    <w:p>
      <w:pPr>
        <w:spacing w:after="0" w:line="315" w:lineRule="exact"/>
        <w:rPr>
          <w:sz w:val="20"/>
          <w:szCs w:val="20"/>
          <w:color w:val="auto"/>
        </w:rPr>
      </w:pPr>
    </w:p>
    <w:p>
      <w:pPr>
        <w:ind w:left="760" w:hanging="548"/>
        <w:spacing w:after="0"/>
        <w:tabs>
          <w:tab w:leader="none" w:pos="760"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135" w:lineRule="exact"/>
        <w:rPr>
          <w:sz w:val="20"/>
          <w:szCs w:val="20"/>
          <w:color w:val="auto"/>
        </w:rPr>
      </w:pPr>
    </w:p>
    <w:p>
      <w:pPr>
        <w:ind w:left="1040" w:hanging="701"/>
        <w:spacing w:after="0" w:line="263" w:lineRule="auto"/>
        <w:tabs>
          <w:tab w:leader="none" w:pos="1020" w:val="left"/>
        </w:tabs>
        <w:rPr>
          <w:rFonts w:ascii="Arial" w:cs="Arial" w:eastAsia="Arial" w:hAnsi="Arial"/>
          <w:sz w:val="18"/>
          <w:szCs w:val="18"/>
          <w:u w:val="single" w:color="auto"/>
          <w:color w:val="0000EE"/>
        </w:rPr>
      </w:pPr>
      <w:r>
        <w:rPr>
          <w:rFonts w:ascii="Arial" w:cs="Arial" w:eastAsia="Arial" w:hAnsi="Arial"/>
          <w:sz w:val="18"/>
          <w:szCs w:val="18"/>
          <w:color w:val="auto"/>
        </w:rPr>
        <w:t>2.1*</w:t>
      </w:r>
      <w:r>
        <w:rPr>
          <w:sz w:val="20"/>
          <w:szCs w:val="20"/>
          <w:color w:val="auto"/>
        </w:rPr>
        <w:tab/>
      </w:r>
      <w:hyperlink r:id="rId26">
        <w:r>
          <w:rPr>
            <w:rFonts w:ascii="Arial" w:cs="Arial" w:eastAsia="Arial" w:hAnsi="Arial"/>
            <w:sz w:val="18"/>
            <w:szCs w:val="18"/>
            <w:u w:val="single" w:color="auto"/>
            <w:color w:val="0000EE"/>
          </w:rPr>
          <w:t>Agreement and Plan of Merger and Reorganization, dated as of October 29, 2020, by and among Marvell Technology Group Ltd., Inphi</w:t>
        </w:r>
      </w:hyperlink>
      <w:r>
        <w:rPr>
          <w:rFonts w:ascii="Arial" w:cs="Arial" w:eastAsia="Arial" w:hAnsi="Arial"/>
          <w:sz w:val="18"/>
          <w:szCs w:val="18"/>
          <w:u w:val="single" w:color="auto"/>
          <w:color w:val="0000EE"/>
        </w:rPr>
        <w:t xml:space="preserve"> </w:t>
      </w:r>
      <w:hyperlink r:id="rId26">
        <w:r>
          <w:rPr>
            <w:rFonts w:ascii="Arial" w:cs="Arial" w:eastAsia="Arial" w:hAnsi="Arial"/>
            <w:sz w:val="18"/>
            <w:szCs w:val="18"/>
            <w:u w:val="single" w:color="auto"/>
            <w:color w:val="0000EE"/>
          </w:rPr>
          <w:t>Corporation, Maui HoldCo, Inc., Maui Acquisition Company Ltd and Indigo Acquisition Corp. incorporated by reference to Exhibit 2.1 to</w:t>
        </w:r>
      </w:hyperlink>
      <w:r>
        <w:rPr>
          <w:rFonts w:ascii="Arial" w:cs="Arial" w:eastAsia="Arial" w:hAnsi="Arial"/>
          <w:sz w:val="18"/>
          <w:szCs w:val="18"/>
          <w:u w:val="single" w:color="auto"/>
          <w:color w:val="0000EE"/>
        </w:rPr>
        <w:t xml:space="preserve"> </w:t>
      </w:r>
      <w:hyperlink r:id="rId26">
        <w:r>
          <w:rPr>
            <w:rFonts w:ascii="Arial" w:cs="Arial" w:eastAsia="Arial" w:hAnsi="Arial"/>
            <w:sz w:val="18"/>
            <w:szCs w:val="18"/>
            <w:u w:val="single" w:color="auto"/>
            <w:color w:val="0000EE"/>
          </w:rPr>
          <w:t>Marvell Technology Group’s Form 8-K filed on October 30, 2020</w:t>
        </w:r>
      </w:hyperlink>
    </w:p>
    <w:p>
      <w:pPr>
        <w:spacing w:after="0" w:line="76" w:lineRule="exact"/>
        <w:rPr>
          <w:rFonts w:ascii="Arial" w:cs="Arial" w:eastAsia="Arial" w:hAnsi="Arial"/>
          <w:sz w:val="18"/>
          <w:szCs w:val="18"/>
          <w:u w:val="single" w:color="auto"/>
          <w:color w:val="0000EE"/>
        </w:rPr>
      </w:pPr>
    </w:p>
    <w:p>
      <w:pPr>
        <w:ind w:left="340"/>
        <w:spacing w:after="0"/>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3.1</w:t>
      </w:r>
      <w:r>
        <w:rPr>
          <w:sz w:val="20"/>
          <w:szCs w:val="20"/>
          <w:color w:val="auto"/>
        </w:rPr>
        <w:tab/>
      </w:r>
      <w:hyperlink w:anchor="page11">
        <w:r>
          <w:rPr>
            <w:rFonts w:ascii="Arial" w:cs="Arial" w:eastAsia="Arial" w:hAnsi="Arial"/>
            <w:sz w:val="16"/>
            <w:szCs w:val="16"/>
            <w:u w:val="single" w:color="auto"/>
            <w:color w:val="0000EE"/>
          </w:rPr>
          <w:t>Amended and Restated Certificate of Incorporation of Marvell Technology, Inc.</w:t>
        </w:r>
      </w:hyperlink>
    </w:p>
    <w:p>
      <w:pPr>
        <w:spacing w:after="0" w:line="117" w:lineRule="exact"/>
        <w:rPr>
          <w:rFonts w:ascii="Arial" w:cs="Arial" w:eastAsia="Arial" w:hAnsi="Arial"/>
          <w:sz w:val="18"/>
          <w:szCs w:val="18"/>
          <w:u w:val="single" w:color="auto"/>
          <w:color w:val="0000EE"/>
        </w:rPr>
      </w:pPr>
    </w:p>
    <w:p>
      <w:pPr>
        <w:ind w:left="340"/>
        <w:spacing w:after="0"/>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3.2</w:t>
      </w:r>
      <w:r>
        <w:rPr>
          <w:sz w:val="20"/>
          <w:szCs w:val="20"/>
          <w:color w:val="auto"/>
        </w:rPr>
        <w:tab/>
      </w:r>
      <w:hyperlink w:anchor="page18">
        <w:r>
          <w:rPr>
            <w:rFonts w:ascii="Arial" w:cs="Arial" w:eastAsia="Arial" w:hAnsi="Arial"/>
            <w:sz w:val="16"/>
            <w:szCs w:val="16"/>
            <w:u w:val="single" w:color="auto"/>
            <w:color w:val="0000EE"/>
          </w:rPr>
          <w:t>Amended and Restated Bylaws of Marvell Technology, Inc.</w:t>
        </w:r>
      </w:hyperlink>
    </w:p>
    <w:p>
      <w:pPr>
        <w:spacing w:after="0" w:line="117" w:lineRule="exact"/>
        <w:rPr>
          <w:rFonts w:ascii="Arial" w:cs="Arial" w:eastAsia="Arial" w:hAnsi="Arial"/>
          <w:sz w:val="18"/>
          <w:szCs w:val="18"/>
          <w:u w:val="single" w:color="auto"/>
          <w:color w:val="0000EE"/>
        </w:rPr>
      </w:pPr>
    </w:p>
    <w:p>
      <w:pPr>
        <w:ind w:left="340"/>
        <w:spacing w:after="0"/>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10.1</w:t>
      </w:r>
      <w:r>
        <w:rPr>
          <w:sz w:val="20"/>
          <w:szCs w:val="20"/>
          <w:color w:val="auto"/>
        </w:rPr>
        <w:tab/>
      </w:r>
      <w:hyperlink w:anchor="page55">
        <w:r>
          <w:rPr>
            <w:rFonts w:ascii="Arial" w:cs="Arial" w:eastAsia="Arial" w:hAnsi="Arial"/>
            <w:sz w:val="16"/>
            <w:szCs w:val="16"/>
            <w:u w:val="single" w:color="auto"/>
            <w:color w:val="0000EE"/>
          </w:rPr>
          <w:t>Form of Indemnification Agreement</w:t>
        </w:r>
      </w:hyperlink>
    </w:p>
    <w:p>
      <w:pPr>
        <w:spacing w:after="0" w:line="117" w:lineRule="exact"/>
        <w:rPr>
          <w:rFonts w:ascii="Arial" w:cs="Arial" w:eastAsia="Arial" w:hAnsi="Arial"/>
          <w:sz w:val="18"/>
          <w:szCs w:val="18"/>
          <w:u w:val="single" w:color="auto"/>
          <w:color w:val="0000EE"/>
        </w:rPr>
      </w:pPr>
    </w:p>
    <w:p>
      <w:pPr>
        <w:ind w:left="1040" w:right="320" w:hanging="701"/>
        <w:spacing w:after="0" w:line="263" w:lineRule="auto"/>
        <w:tabs>
          <w:tab w:leader="none" w:pos="1020" w:val="left"/>
        </w:tabs>
        <w:rPr>
          <w:rFonts w:ascii="Arial" w:cs="Arial" w:eastAsia="Arial" w:hAnsi="Arial"/>
          <w:sz w:val="18"/>
          <w:szCs w:val="18"/>
          <w:u w:val="single" w:color="auto"/>
          <w:color w:val="0000EE"/>
        </w:rPr>
      </w:pPr>
      <w:r>
        <w:rPr>
          <w:rFonts w:ascii="Arial" w:cs="Arial" w:eastAsia="Arial" w:hAnsi="Arial"/>
          <w:sz w:val="18"/>
          <w:szCs w:val="18"/>
          <w:color w:val="auto"/>
        </w:rPr>
        <w:t>10.2*</w:t>
      </w:r>
      <w:r>
        <w:rPr>
          <w:sz w:val="20"/>
          <w:szCs w:val="20"/>
          <w:color w:val="auto"/>
        </w:rPr>
        <w:tab/>
      </w:r>
      <w:hyperlink r:id="rId27">
        <w:r>
          <w:rPr>
            <w:rFonts w:ascii="Arial" w:cs="Arial" w:eastAsia="Arial" w:hAnsi="Arial"/>
            <w:sz w:val="18"/>
            <w:szCs w:val="18"/>
            <w:u w:val="single" w:color="auto"/>
            <w:color w:val="0000EE"/>
          </w:rPr>
          <w:t>Credit Agreement, dated as of December 7, 2020, among Marvell Technology Group Ltd., Maui HoldCo, Inc., the Guarantors party</w:t>
        </w:r>
      </w:hyperlink>
      <w:r>
        <w:rPr>
          <w:rFonts w:ascii="Arial" w:cs="Arial" w:eastAsia="Arial" w:hAnsi="Arial"/>
          <w:sz w:val="18"/>
          <w:szCs w:val="18"/>
          <w:u w:val="single" w:color="auto"/>
          <w:color w:val="0000EE"/>
        </w:rPr>
        <w:t xml:space="preserve"> </w:t>
      </w:r>
      <w:hyperlink r:id="rId27">
        <w:r>
          <w:rPr>
            <w:rFonts w:ascii="Arial" w:cs="Arial" w:eastAsia="Arial" w:hAnsi="Arial"/>
            <w:sz w:val="18"/>
            <w:szCs w:val="18"/>
            <w:u w:val="single" w:color="auto"/>
            <w:color w:val="0000EE"/>
          </w:rPr>
          <w:t>thereto, the Lenders party thereto and JPMorgan Chase Bank, N.A., as the Administrative Agent, incorporated by reference to Exhibit</w:t>
        </w:r>
      </w:hyperlink>
      <w:r>
        <w:rPr>
          <w:rFonts w:ascii="Arial" w:cs="Arial" w:eastAsia="Arial" w:hAnsi="Arial"/>
          <w:sz w:val="18"/>
          <w:szCs w:val="18"/>
          <w:u w:val="single" w:color="auto"/>
          <w:color w:val="0000EE"/>
        </w:rPr>
        <w:t xml:space="preserve"> </w:t>
      </w:r>
      <w:hyperlink r:id="rId27">
        <w:r>
          <w:rPr>
            <w:rFonts w:ascii="Arial" w:cs="Arial" w:eastAsia="Arial" w:hAnsi="Arial"/>
            <w:sz w:val="18"/>
            <w:szCs w:val="18"/>
            <w:u w:val="single" w:color="auto"/>
            <w:color w:val="0000EE"/>
          </w:rPr>
          <w:t>10.1 to Marvell Technology Group Ltd.’s Form 8-K filed on December 8, 2020</w:t>
        </w:r>
      </w:hyperlink>
    </w:p>
    <w:p>
      <w:pPr>
        <w:spacing w:after="0" w:line="76" w:lineRule="exact"/>
        <w:rPr>
          <w:rFonts w:ascii="Arial" w:cs="Arial" w:eastAsia="Arial" w:hAnsi="Arial"/>
          <w:sz w:val="18"/>
          <w:szCs w:val="18"/>
          <w:u w:val="single" w:color="auto"/>
          <w:color w:val="0000EE"/>
        </w:rPr>
      </w:pPr>
    </w:p>
    <w:p>
      <w:pPr>
        <w:ind w:left="1040" w:right="100" w:hanging="701"/>
        <w:spacing w:after="0" w:line="263" w:lineRule="auto"/>
        <w:tabs>
          <w:tab w:leader="none" w:pos="1020" w:val="left"/>
        </w:tabs>
        <w:rPr>
          <w:rFonts w:ascii="Arial" w:cs="Arial" w:eastAsia="Arial" w:hAnsi="Arial"/>
          <w:sz w:val="18"/>
          <w:szCs w:val="18"/>
          <w:u w:val="single" w:color="auto"/>
          <w:color w:val="0000EE"/>
        </w:rPr>
      </w:pPr>
      <w:r>
        <w:rPr>
          <w:rFonts w:ascii="Arial" w:cs="Arial" w:eastAsia="Arial" w:hAnsi="Arial"/>
          <w:sz w:val="18"/>
          <w:szCs w:val="18"/>
          <w:color w:val="auto"/>
        </w:rPr>
        <w:t>10.3*</w:t>
      </w:r>
      <w:r>
        <w:rPr>
          <w:sz w:val="20"/>
          <w:szCs w:val="20"/>
          <w:color w:val="auto"/>
        </w:rPr>
        <w:tab/>
      </w:r>
      <w:hyperlink r:id="rId28">
        <w:r>
          <w:rPr>
            <w:rFonts w:ascii="Arial" w:cs="Arial" w:eastAsia="Arial" w:hAnsi="Arial"/>
            <w:sz w:val="18"/>
            <w:szCs w:val="18"/>
            <w:u w:val="single" w:color="auto"/>
            <w:color w:val="0000EE"/>
          </w:rPr>
          <w:t>Revolving Credit Agreement, dated as of December 7, 2020, among Marvell Technology Group Ltd., Maui HoldCo, Inc., the Guarantors</w:t>
        </w:r>
      </w:hyperlink>
      <w:r>
        <w:rPr>
          <w:rFonts w:ascii="Arial" w:cs="Arial" w:eastAsia="Arial" w:hAnsi="Arial"/>
          <w:sz w:val="18"/>
          <w:szCs w:val="18"/>
          <w:u w:val="single" w:color="auto"/>
          <w:color w:val="0000EE"/>
        </w:rPr>
        <w:t xml:space="preserve"> </w:t>
      </w:r>
      <w:hyperlink r:id="rId28">
        <w:r>
          <w:rPr>
            <w:rFonts w:ascii="Arial" w:cs="Arial" w:eastAsia="Arial" w:hAnsi="Arial"/>
            <w:sz w:val="18"/>
            <w:szCs w:val="18"/>
            <w:u w:val="single" w:color="auto"/>
            <w:color w:val="0000EE"/>
          </w:rPr>
          <w:t>party thereto, the Lenders party thereto and Bank of America, N.A., as the Administrative Agent, incorporated by reference to Exhibit</w:t>
        </w:r>
      </w:hyperlink>
      <w:r>
        <w:rPr>
          <w:rFonts w:ascii="Arial" w:cs="Arial" w:eastAsia="Arial" w:hAnsi="Arial"/>
          <w:sz w:val="18"/>
          <w:szCs w:val="18"/>
          <w:u w:val="single" w:color="auto"/>
          <w:color w:val="0000EE"/>
        </w:rPr>
        <w:t xml:space="preserve"> </w:t>
      </w:r>
      <w:hyperlink r:id="rId28">
        <w:r>
          <w:rPr>
            <w:rFonts w:ascii="Arial" w:cs="Arial" w:eastAsia="Arial" w:hAnsi="Arial"/>
            <w:sz w:val="18"/>
            <w:szCs w:val="18"/>
            <w:u w:val="single" w:color="auto"/>
            <w:color w:val="0000EE"/>
          </w:rPr>
          <w:t>10.2 to Marvell Technology Group Ltd.’s Form 8-K filed on December 8, 2020</w:t>
        </w:r>
      </w:hyperlink>
    </w:p>
    <w:p>
      <w:pPr>
        <w:spacing w:after="0" w:line="76" w:lineRule="exact"/>
        <w:rPr>
          <w:rFonts w:ascii="Arial" w:cs="Arial" w:eastAsia="Arial" w:hAnsi="Arial"/>
          <w:sz w:val="18"/>
          <w:szCs w:val="18"/>
          <w:u w:val="single" w:color="auto"/>
          <w:color w:val="0000EE"/>
        </w:rPr>
      </w:pPr>
    </w:p>
    <w:p>
      <w:pPr>
        <w:ind w:left="1040" w:hanging="701"/>
        <w:spacing w:after="0" w:line="311" w:lineRule="auto"/>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10.4*</w:t>
      </w:r>
      <w:r>
        <w:rPr>
          <w:sz w:val="20"/>
          <w:szCs w:val="20"/>
          <w:color w:val="auto"/>
        </w:rPr>
        <w:tab/>
      </w:r>
      <w:hyperlink r:id="rId29">
        <w:r>
          <w:rPr>
            <w:rFonts w:ascii="Arial" w:cs="Arial" w:eastAsia="Arial" w:hAnsi="Arial"/>
            <w:sz w:val="16"/>
            <w:szCs w:val="16"/>
            <w:u w:val="single" w:color="auto"/>
            <w:color w:val="0000EE"/>
          </w:rPr>
          <w:t>Amendment No. 1 to Credit Agreement, dated as of December 7, 2020, among Marvell Technology Group Ltd., the Lenders party thereto,</w:t>
        </w:r>
      </w:hyperlink>
      <w:r>
        <w:rPr>
          <w:rFonts w:ascii="Arial" w:cs="Arial" w:eastAsia="Arial" w:hAnsi="Arial"/>
          <w:sz w:val="16"/>
          <w:szCs w:val="16"/>
          <w:u w:val="single" w:color="auto"/>
          <w:color w:val="0000EE"/>
        </w:rPr>
        <w:t xml:space="preserve"> </w:t>
      </w:r>
      <w:hyperlink r:id="rId29">
        <w:r>
          <w:rPr>
            <w:rFonts w:ascii="Arial" w:cs="Arial" w:eastAsia="Arial" w:hAnsi="Arial"/>
            <w:sz w:val="16"/>
            <w:szCs w:val="16"/>
            <w:u w:val="single" w:color="auto"/>
            <w:color w:val="0000EE"/>
          </w:rPr>
          <w:t>Bank of America, N.A., as the Revolving Facility Agent, and Goldman Sachs Bank USA, as the General Administrative Agent and the</w:t>
        </w:r>
      </w:hyperlink>
      <w:r>
        <w:rPr>
          <w:rFonts w:ascii="Arial" w:cs="Arial" w:eastAsia="Arial" w:hAnsi="Arial"/>
          <w:sz w:val="16"/>
          <w:szCs w:val="16"/>
          <w:u w:val="single" w:color="auto"/>
          <w:color w:val="0000EE"/>
        </w:rPr>
        <w:t xml:space="preserve"> </w:t>
      </w:r>
      <w:hyperlink r:id="rId29">
        <w:r>
          <w:rPr>
            <w:rFonts w:ascii="Arial" w:cs="Arial" w:eastAsia="Arial" w:hAnsi="Arial"/>
            <w:sz w:val="16"/>
            <w:szCs w:val="16"/>
            <w:u w:val="single" w:color="auto"/>
            <w:color w:val="0000EE"/>
          </w:rPr>
          <w:t>Term Facility Agent, incorporated by reference to Exhibit 10.3 to Marvell Technology Group Ltd.’s Form 8-K filed on December 8, 2020</w:t>
        </w:r>
      </w:hyperlink>
    </w:p>
    <w:p>
      <w:pPr>
        <w:spacing w:after="0" w:line="41" w:lineRule="exact"/>
        <w:rPr>
          <w:rFonts w:ascii="Arial" w:cs="Arial" w:eastAsia="Arial" w:hAnsi="Arial"/>
          <w:sz w:val="16"/>
          <w:szCs w:val="16"/>
          <w:u w:val="single" w:color="auto"/>
          <w:color w:val="0000EE"/>
        </w:rPr>
      </w:pPr>
    </w:p>
    <w:p>
      <w:pPr>
        <w:ind w:left="340"/>
        <w:spacing w:after="0"/>
        <w:tabs>
          <w:tab w:leader="none" w:pos="102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66">
        <w:r>
          <w:rPr>
            <w:rFonts w:ascii="Arial" w:cs="Arial" w:eastAsia="Arial" w:hAnsi="Arial"/>
            <w:sz w:val="15"/>
            <w:szCs w:val="15"/>
            <w:u w:val="single" w:color="auto"/>
            <w:color w:val="0000EE"/>
          </w:rPr>
          <w:t>Press Release, dated April 20, 2021</w:t>
        </w:r>
      </w:hyperlink>
    </w:p>
    <w:p>
      <w:pPr>
        <w:spacing w:after="0" w:line="117" w:lineRule="exact"/>
        <w:rPr>
          <w:rFonts w:ascii="Arial" w:cs="Arial" w:eastAsia="Arial" w:hAnsi="Arial"/>
          <w:sz w:val="16"/>
          <w:szCs w:val="16"/>
          <w:u w:val="single" w:color="auto"/>
          <w:color w:val="0000EE"/>
        </w:rPr>
      </w:pPr>
    </w:p>
    <w:p>
      <w:pPr>
        <w:ind w:left="1040" w:hanging="707"/>
        <w:spacing w:after="0"/>
        <w:tabs>
          <w:tab w:leader="none" w:pos="1040" w:val="left"/>
        </w:tabs>
        <w:numPr>
          <w:ilvl w:val="1"/>
          <w:numId w:val="9"/>
        </w:numPr>
        <w:rPr>
          <w:rFonts w:ascii="Arial" w:cs="Arial" w:eastAsia="Arial" w:hAnsi="Arial"/>
          <w:sz w:val="18"/>
          <w:szCs w:val="18"/>
          <w:color w:val="auto"/>
        </w:rPr>
      </w:pPr>
      <w:r>
        <w:rPr>
          <w:rFonts w:ascii="Arial" w:cs="Arial" w:eastAsia="Arial" w:hAnsi="Arial"/>
          <w:sz w:val="18"/>
          <w:szCs w:val="18"/>
          <w:color w:val="auto"/>
        </w:rPr>
        <w:t>Cover Page Interactive Data File (the cover page XBRL tags are embedded within the Inline XBRL document)</w:t>
      </w:r>
    </w:p>
    <w:p>
      <w:pPr>
        <w:spacing w:after="0" w:line="252" w:lineRule="exact"/>
        <w:rPr>
          <w:rFonts w:ascii="Arial" w:cs="Arial" w:eastAsia="Arial" w:hAnsi="Arial"/>
          <w:sz w:val="18"/>
          <w:szCs w:val="18"/>
          <w:color w:val="auto"/>
        </w:rPr>
      </w:pPr>
    </w:p>
    <w:p>
      <w:pPr>
        <w:ind w:left="220" w:right="80" w:hanging="216"/>
        <w:spacing w:after="0" w:line="277" w:lineRule="auto"/>
        <w:rPr>
          <w:rFonts w:ascii="Arial" w:cs="Arial" w:eastAsia="Arial" w:hAnsi="Arial"/>
          <w:sz w:val="18"/>
          <w:szCs w:val="18"/>
          <w:color w:val="auto"/>
        </w:rPr>
      </w:pPr>
      <w:r>
        <w:rPr>
          <w:rFonts w:ascii="Arial" w:cs="Arial" w:eastAsia="Arial" w:hAnsi="Arial"/>
          <w:sz w:val="18"/>
          <w:szCs w:val="18"/>
          <w:color w:val="auto"/>
        </w:rPr>
        <w:t>* Pursuant to Item 601(a)(5) of Regulation S-K, certain schedules and similar attachments have been omitted. The registrant hereby agrees to furnish a copy of any omitted schedule or similar attachment to the SEC upon request</w:t>
      </w:r>
    </w:p>
    <w:p>
      <w:pPr>
        <w:sectPr>
          <w:pgSz w:w="11900" w:h="16838" w:orient="portrait"/>
          <w:cols w:equalWidth="0" w:num="1">
            <w:col w:w="11000"/>
          </w:cols>
          <w:pgMar w:left="440" w:top="297" w:right="459" w:bottom="1440" w:gutter="0" w:footer="0" w:header="0"/>
        </w:sectPr>
      </w:pPr>
    </w:p>
    <w:bookmarkStart w:id="9" w:name="page10"/>
    <w:bookmarkEnd w:id="9"/>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April 20,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2"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8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40"/>
          </w:cols>
          <w:pgMar w:left="440" w:top="297" w:right="519"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t>Exhibit 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 Delaware corporation)</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corporation organized and existing under the laws of the State of Delaware (the “</w:t>
      </w:r>
      <w:r>
        <w:rPr>
          <w:rFonts w:ascii="Arial" w:cs="Arial" w:eastAsia="Arial" w:hAnsi="Arial"/>
          <w:sz w:val="18"/>
          <w:szCs w:val="18"/>
          <w:u w:val="single" w:color="auto"/>
          <w:color w:val="auto"/>
        </w:rPr>
        <w:t>Corporation</w:t>
      </w:r>
      <w:r>
        <w:rPr>
          <w:rFonts w:ascii="Arial" w:cs="Arial" w:eastAsia="Arial" w:hAnsi="Arial"/>
          <w:sz w:val="18"/>
          <w:szCs w:val="18"/>
          <w:color w:val="auto"/>
        </w:rPr>
        <w:t>”), does hereby certify as follows:</w:t>
      </w:r>
    </w:p>
    <w:p>
      <w:pPr>
        <w:spacing w:after="0" w:line="62" w:lineRule="exact"/>
        <w:rPr>
          <w:sz w:val="20"/>
          <w:szCs w:val="20"/>
          <w:color w:val="auto"/>
        </w:rPr>
      </w:pPr>
    </w:p>
    <w:p>
      <w:pPr>
        <w:ind w:right="60" w:firstLine="436"/>
        <w:spacing w:after="0" w:line="277" w:lineRule="auto"/>
        <w:tabs>
          <w:tab w:leader="none" w:pos="6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name of the Corporation is Marvell Technology, Inc. The Corporation’s original Certificate of Incorporation was filed with the Secretary of State of the State of Delaware on October 23, 2020.</w:t>
      </w:r>
    </w:p>
    <w:p>
      <w:pPr>
        <w:spacing w:after="0" w:line="62" w:lineRule="exact"/>
        <w:rPr>
          <w:rFonts w:ascii="Arial" w:cs="Arial" w:eastAsia="Arial" w:hAnsi="Arial"/>
          <w:sz w:val="18"/>
          <w:szCs w:val="18"/>
          <w:color w:val="auto"/>
        </w:rPr>
      </w:pPr>
    </w:p>
    <w:p>
      <w:pPr>
        <w:ind w:right="60" w:firstLine="436"/>
        <w:spacing w:after="0" w:line="342" w:lineRule="auto"/>
        <w:tabs>
          <w:tab w:leader="none" w:pos="62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This Amended and Restated Certificate of Incorporation was duly adopted in accordance with Sections 242 and 245 of the General Corporation Law of the State of Delaware, and restates, integrates and further amends the provisions of the Corporation’s Certificate of Incorporation.</w:t>
      </w:r>
    </w:p>
    <w:p>
      <w:pPr>
        <w:spacing w:after="0" w:line="15" w:lineRule="exact"/>
        <w:rPr>
          <w:rFonts w:ascii="Arial" w:cs="Arial" w:eastAsia="Arial" w:hAnsi="Arial"/>
          <w:sz w:val="16"/>
          <w:szCs w:val="16"/>
          <w:color w:val="auto"/>
        </w:rPr>
      </w:pPr>
    </w:p>
    <w:p>
      <w:pPr>
        <w:ind w:left="620" w:hanging="184"/>
        <w:spacing w:after="0"/>
        <w:tabs>
          <w:tab w:leader="none" w:pos="6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text of the Certificate of Incorporation of the Corporation is amended and restated to read as follows: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NAME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name of the Corporation is Marvell Technology, Inc.</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AGENT</w:t>
      </w:r>
    </w:p>
    <w:p>
      <w:pPr>
        <w:spacing w:after="0" w:line="211" w:lineRule="exact"/>
        <w:rPr>
          <w:sz w:val="20"/>
          <w:szCs w:val="20"/>
          <w:color w:val="auto"/>
        </w:rPr>
      </w:pPr>
    </w:p>
    <w:p>
      <w:pPr>
        <w:ind w:right="320" w:firstLine="440"/>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251 Little Falls Drive, in the City of Wilmington, County of New Castle, Delaware, 19808. The name of its registered agent at such address is Corporation Service Company.</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PURPOSE</w:t>
      </w:r>
    </w:p>
    <w:p>
      <w:pPr>
        <w:spacing w:after="0" w:line="211"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The purpose of the Corporation is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ectPr>
          <w:pgSz w:w="11900" w:h="16838" w:orient="portrait"/>
          <w:cols w:equalWidth="0" w:num="1">
            <w:col w:w="11020"/>
          </w:cols>
          <w:pgMar w:left="440" w:top="121" w:right="4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w:t>
      </w:r>
    </w:p>
    <w:p>
      <w:pPr>
        <w:spacing w:after="0" w:line="211" w:lineRule="exact"/>
        <w:rPr>
          <w:sz w:val="20"/>
          <w:szCs w:val="20"/>
          <w:color w:val="auto"/>
        </w:rPr>
      </w:pPr>
    </w:p>
    <w:p>
      <w:pPr>
        <w:ind w:right="500" w:firstLine="440"/>
        <w:spacing w:after="0" w:line="263" w:lineRule="auto"/>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Authorized Stock</w:t>
      </w:r>
      <w:r>
        <w:rPr>
          <w:rFonts w:ascii="Arial" w:cs="Arial" w:eastAsia="Arial" w:hAnsi="Arial"/>
          <w:sz w:val="18"/>
          <w:szCs w:val="18"/>
          <w:color w:val="auto"/>
        </w:rPr>
        <w:t>. The total number of shares which the Corporation shall have authority to issue is 1,258,000,000, of which 1,250,000,000 shall be designated Common Stock, par value $0.002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 and 8,000,000 shall be designated Preferred Stock, par value $0.002 per share (the “</w:t>
      </w:r>
      <w:r>
        <w:rPr>
          <w:rFonts w:ascii="Arial" w:cs="Arial" w:eastAsia="Arial" w:hAnsi="Arial"/>
          <w:sz w:val="18"/>
          <w:szCs w:val="18"/>
          <w:u w:val="single" w:color="auto"/>
          <w:color w:val="auto"/>
        </w:rPr>
        <w:t>Preferred Stock</w:t>
      </w:r>
      <w:r>
        <w:rPr>
          <w:rFonts w:ascii="Arial" w:cs="Arial" w:eastAsia="Arial" w:hAnsi="Arial"/>
          <w:sz w:val="18"/>
          <w:szCs w:val="18"/>
          <w:color w:val="auto"/>
        </w:rPr>
        <w: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4.2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117" w:lineRule="exact"/>
        <w:rPr>
          <w:sz w:val="20"/>
          <w:szCs w:val="20"/>
          <w:color w:val="auto"/>
        </w:rPr>
      </w:pPr>
    </w:p>
    <w:p>
      <w:pPr>
        <w:ind w:firstLine="987"/>
        <w:spacing w:after="0" w:line="273" w:lineRule="auto"/>
        <w:tabs>
          <w:tab w:leader="none" w:pos="1236" w:val="left"/>
        </w:tabs>
        <w:numPr>
          <w:ilvl w:val="0"/>
          <w:numId w:val="11"/>
        </w:numPr>
        <w:rPr>
          <w:rFonts w:ascii="Arial" w:cs="Arial" w:eastAsia="Arial" w:hAnsi="Arial"/>
          <w:sz w:val="17"/>
          <w:szCs w:val="17"/>
          <w:color w:val="auto"/>
        </w:rPr>
      </w:pPr>
      <w:r>
        <w:rPr>
          <w:rFonts w:ascii="Arial" w:cs="Arial" w:eastAsia="Arial" w:hAnsi="Arial"/>
          <w:sz w:val="17"/>
          <w:szCs w:val="17"/>
          <w:color w:val="auto"/>
        </w:rPr>
        <w:t xml:space="preserve">Each holder of Common Stock, as such, shall be entitled to one vote for each share of Common Stock held of record by such holder on all matters on which stockholders generally are entitled to vote;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except as otherwise required by law, holders of Common Stock, as such, shall not be entitled to vote on any amendment to this Certificate of Incorporation, including any certificate of designations relating to any series of Preferred Stock (each hereinafter referred to as a “</w:t>
      </w:r>
      <w:r>
        <w:rPr>
          <w:rFonts w:ascii="Arial" w:cs="Arial" w:eastAsia="Arial" w:hAnsi="Arial"/>
          <w:sz w:val="17"/>
          <w:szCs w:val="17"/>
          <w:u w:val="single" w:color="auto"/>
          <w:color w:val="auto"/>
        </w:rPr>
        <w:t>Preferred Stock Designation</w:t>
      </w:r>
      <w:r>
        <w:rPr>
          <w:rFonts w:ascii="Arial" w:cs="Arial" w:eastAsia="Arial" w:hAnsi="Arial"/>
          <w:sz w:val="17"/>
          <w:szCs w:val="17"/>
          <w:color w:val="auto"/>
        </w:rPr>
        <w:t>”), that relates solely to the terms of one or more outstanding series of Preferred Stock if the holders of such affected series are entitled, either separately or together with the holders of one or more other such series, to vote thereon pursuant to this Certificate of Incorporation (including any Preferred Stock Designation).</w:t>
      </w:r>
    </w:p>
    <w:p>
      <w:pPr>
        <w:spacing w:after="0" w:line="69" w:lineRule="exact"/>
        <w:rPr>
          <w:rFonts w:ascii="Arial" w:cs="Arial" w:eastAsia="Arial" w:hAnsi="Arial"/>
          <w:sz w:val="17"/>
          <w:szCs w:val="17"/>
          <w:color w:val="auto"/>
        </w:rPr>
      </w:pPr>
    </w:p>
    <w:p>
      <w:pPr>
        <w:ind w:right="320" w:firstLine="987"/>
        <w:spacing w:after="0" w:line="277" w:lineRule="auto"/>
        <w:tabs>
          <w:tab w:leader="none" w:pos="1246"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Dividends</w:t>
      </w:r>
      <w:r>
        <w:rPr>
          <w:rFonts w:ascii="Arial" w:cs="Arial" w:eastAsia="Arial" w:hAnsi="Arial"/>
          <w:sz w:val="18"/>
          <w:szCs w:val="18"/>
          <w:color w:val="auto"/>
        </w:rPr>
        <w:t>. Subject to the rights of the holders of any outstanding series of Preferred Stock, the holders of shares of Common Stock shall be entitled to receive dividends to the extent permitted by law when, as and if declared by the Board of Directors.</w:t>
      </w:r>
    </w:p>
    <w:p>
      <w:pPr>
        <w:spacing w:after="0" w:line="62" w:lineRule="exact"/>
        <w:rPr>
          <w:rFonts w:ascii="Arial" w:cs="Arial" w:eastAsia="Arial" w:hAnsi="Arial"/>
          <w:sz w:val="18"/>
          <w:szCs w:val="18"/>
          <w:color w:val="auto"/>
        </w:rPr>
      </w:pPr>
    </w:p>
    <w:p>
      <w:pPr>
        <w:ind w:right="60" w:firstLine="987"/>
        <w:spacing w:after="0" w:line="263" w:lineRule="auto"/>
        <w:tabs>
          <w:tab w:leader="none" w:pos="1236"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Liquidation</w:t>
      </w:r>
      <w:r>
        <w:rPr>
          <w:rFonts w:ascii="Arial" w:cs="Arial" w:eastAsia="Arial" w:hAnsi="Arial"/>
          <w:sz w:val="18"/>
          <w:szCs w:val="18"/>
          <w:color w:val="auto"/>
        </w:rPr>
        <w:t>. Upon the dissolution, liquidation or winding up of the Corporation, subject to the rights of the holders of any outstanding series of Preferred Stock, the holders of shares of Common Stock shall be entitled to receive the assets of the Corporation available for distribution to its stockholders ratably in proportion to the number of shares held by them.</w:t>
      </w:r>
    </w:p>
    <w:p>
      <w:pPr>
        <w:spacing w:after="0" w:line="184" w:lineRule="exact"/>
        <w:rPr>
          <w:sz w:val="20"/>
          <w:szCs w:val="20"/>
          <w:color w:val="auto"/>
        </w:rPr>
      </w:pPr>
    </w:p>
    <w:p>
      <w:pPr>
        <w:ind w:right="20" w:firstLine="440"/>
        <w:spacing w:after="0" w:line="275" w:lineRule="auto"/>
        <w:rPr>
          <w:sz w:val="20"/>
          <w:szCs w:val="20"/>
          <w:color w:val="auto"/>
        </w:rPr>
      </w:pPr>
      <w:r>
        <w:rPr>
          <w:rFonts w:ascii="Arial" w:cs="Arial" w:eastAsia="Arial" w:hAnsi="Arial"/>
          <w:sz w:val="17"/>
          <w:szCs w:val="17"/>
          <w:color w:val="auto"/>
        </w:rPr>
        <w:t xml:space="preserve">Section 4.3 </w:t>
      </w:r>
      <w:r>
        <w:rPr>
          <w:rFonts w:ascii="Arial" w:cs="Arial" w:eastAsia="Arial" w:hAnsi="Arial"/>
          <w:sz w:val="17"/>
          <w:szCs w:val="17"/>
          <w:u w:val="single" w:color="auto"/>
          <w:color w:val="auto"/>
        </w:rPr>
        <w:t>Preferred Stock</w:t>
      </w:r>
      <w:r>
        <w:rPr>
          <w:rFonts w:ascii="Arial" w:cs="Arial" w:eastAsia="Arial" w:hAnsi="Arial"/>
          <w:sz w:val="17"/>
          <w:szCs w:val="17"/>
          <w:color w:val="auto"/>
        </w:rPr>
        <w:t>. The Preferred Stock may be issued from time to time in one or more series. Subject to limitations prescribed by law and the provisions of this Article IV (including any Preferred Stock Designation), the Board of Directors is hereby authorized to provide by resolution and by causing the filing of a Preferred Stock Designation for the issuance of the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w:t>
      </w:r>
    </w:p>
    <w:p>
      <w:pPr>
        <w:spacing w:after="0" w:line="176"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 xml:space="preserve">Section 4.4 </w:t>
      </w:r>
      <w:r>
        <w:rPr>
          <w:rFonts w:ascii="Arial" w:cs="Arial" w:eastAsia="Arial" w:hAnsi="Arial"/>
          <w:sz w:val="18"/>
          <w:szCs w:val="18"/>
          <w:u w:val="single" w:color="auto"/>
          <w:color w:val="auto"/>
        </w:rPr>
        <w:t>No Class Vote on Changes in Authorized Number of Shares of Stock</w:t>
      </w:r>
      <w:r>
        <w:rPr>
          <w:rFonts w:ascii="Arial" w:cs="Arial" w:eastAsia="Arial" w:hAnsi="Arial"/>
          <w:sz w:val="18"/>
          <w:szCs w:val="18"/>
          <w:color w:val="auto"/>
        </w:rPr>
        <w:t>. Subject to the rights of the holders of any outstanding series of Preferred Stock, the number of authorized shares of Common Stock or Preferred Stock may be increased or decreased (but not below the number of shares thereof then outstanding) by the affirmative vote of at least a majority of the voting power of the stock outstanding and entitled to vote thereon irrespective of the provisions of Section 242(b)(2) of the DGCL.</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BOARD OF DIRECTORS</w:t>
      </w:r>
    </w:p>
    <w:p>
      <w:pPr>
        <w:spacing w:after="0" w:line="211" w:lineRule="exact"/>
        <w:rPr>
          <w:sz w:val="20"/>
          <w:szCs w:val="20"/>
          <w:color w:val="auto"/>
        </w:rPr>
      </w:pPr>
    </w:p>
    <w:p>
      <w:pPr>
        <w:jc w:val="both"/>
        <w:ind w:right="320" w:firstLine="440"/>
        <w:spacing w:after="0" w:line="263" w:lineRule="auto"/>
        <w:rPr>
          <w:sz w:val="20"/>
          <w:szCs w:val="20"/>
          <w:color w:val="auto"/>
        </w:rPr>
      </w:pPr>
      <w:r>
        <w:rPr>
          <w:rFonts w:ascii="Arial" w:cs="Arial" w:eastAsia="Arial" w:hAnsi="Arial"/>
          <w:sz w:val="18"/>
          <w:szCs w:val="18"/>
          <w:color w:val="auto"/>
        </w:rPr>
        <w:t xml:space="preserve">Section 5.1 </w:t>
      </w:r>
      <w:r>
        <w:rPr>
          <w:rFonts w:ascii="Arial" w:cs="Arial" w:eastAsia="Arial" w:hAnsi="Arial"/>
          <w:sz w:val="18"/>
          <w:szCs w:val="18"/>
          <w:u w:val="single" w:color="auto"/>
          <w:color w:val="auto"/>
        </w:rPr>
        <w:t>Number</w:t>
      </w:r>
      <w:r>
        <w:rPr>
          <w:rFonts w:ascii="Arial" w:cs="Arial" w:eastAsia="Arial" w:hAnsi="Arial"/>
          <w:sz w:val="18"/>
          <w:szCs w:val="18"/>
          <w:color w:val="auto"/>
        </w:rPr>
        <w:t>. Except as otherwise provided for or fixed pursuant to the provisions of Article IV hereof (including any Preferred Stock Designation), the Board of Directors shall consist of not fewer than two (2) nor more than fifteen (15) directors, such number of directors as shall be determined from time to time pursuant to or in the manner set forth in the Bylaws of the Corporation.</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5.2 </w:t>
      </w:r>
      <w:r>
        <w:rPr>
          <w:rFonts w:ascii="Arial" w:cs="Arial" w:eastAsia="Arial" w:hAnsi="Arial"/>
          <w:sz w:val="18"/>
          <w:szCs w:val="18"/>
          <w:u w:val="single" w:color="auto"/>
          <w:color w:val="auto"/>
        </w:rPr>
        <w:t>Vacancies and Newly Created Directorships; Removal</w:t>
      </w:r>
      <w:r>
        <w:rPr>
          <w:rFonts w:ascii="Arial" w:cs="Arial" w:eastAsia="Arial" w:hAnsi="Arial"/>
          <w:sz w:val="18"/>
          <w:szCs w:val="18"/>
          <w:color w:val="auto"/>
        </w:rPr>
        <w:t>.</w:t>
      </w:r>
    </w:p>
    <w:p>
      <w:pPr>
        <w:spacing w:after="0" w:line="117" w:lineRule="exact"/>
        <w:rPr>
          <w:sz w:val="20"/>
          <w:szCs w:val="20"/>
          <w:color w:val="auto"/>
        </w:rPr>
      </w:pPr>
    </w:p>
    <w:p>
      <w:pPr>
        <w:ind w:right="20" w:firstLine="987"/>
        <w:spacing w:after="0" w:line="255" w:lineRule="auto"/>
        <w:tabs>
          <w:tab w:leader="none" w:pos="1236" w:val="left"/>
        </w:tabs>
        <w:numPr>
          <w:ilvl w:val="0"/>
          <w:numId w:val="12"/>
        </w:numPr>
        <w:rPr>
          <w:rFonts w:ascii="Arial" w:cs="Arial" w:eastAsia="Arial" w:hAnsi="Arial"/>
          <w:sz w:val="18"/>
          <w:szCs w:val="18"/>
          <w:color w:val="auto"/>
        </w:rPr>
      </w:pPr>
      <w:r>
        <w:rPr>
          <w:rFonts w:ascii="Arial" w:cs="Arial" w:eastAsia="Arial" w:hAnsi="Arial"/>
          <w:sz w:val="18"/>
          <w:szCs w:val="18"/>
          <w:color w:val="auto"/>
        </w:rPr>
        <w:t>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of the Board of Directors, or by the sole remaining director.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84" w:lineRule="exact"/>
        <w:rPr>
          <w:rFonts w:ascii="Arial" w:cs="Arial" w:eastAsia="Arial" w:hAnsi="Arial"/>
          <w:sz w:val="18"/>
          <w:szCs w:val="18"/>
          <w:color w:val="auto"/>
        </w:rPr>
      </w:pPr>
    </w:p>
    <w:p>
      <w:pPr>
        <w:ind w:firstLine="987"/>
        <w:spacing w:after="0" w:line="257" w:lineRule="auto"/>
        <w:tabs>
          <w:tab w:leader="none" w:pos="1246"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whenever the holders of any class or series are entitled to elect one or more directors by this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79" w:lineRule="exact"/>
        <w:rPr>
          <w:rFonts w:ascii="Arial" w:cs="Arial" w:eastAsia="Arial" w:hAnsi="Arial"/>
          <w:sz w:val="18"/>
          <w:szCs w:val="18"/>
          <w:color w:val="auto"/>
        </w:rPr>
      </w:pPr>
    </w:p>
    <w:p>
      <w:pPr>
        <w:ind w:firstLine="987"/>
        <w:spacing w:after="0" w:line="287" w:lineRule="auto"/>
        <w:tabs>
          <w:tab w:leader="none" w:pos="1236" w:val="left"/>
        </w:tabs>
        <w:numPr>
          <w:ilvl w:val="0"/>
          <w:numId w:val="12"/>
        </w:numPr>
        <w:rPr>
          <w:rFonts w:ascii="Arial" w:cs="Arial" w:eastAsia="Arial" w:hAnsi="Arial"/>
          <w:sz w:val="16"/>
          <w:szCs w:val="16"/>
          <w:color w:val="auto"/>
        </w:rPr>
      </w:pPr>
      <w:r>
        <w:rPr>
          <w:rFonts w:ascii="Arial" w:cs="Arial" w:eastAsia="Arial" w:hAnsi="Arial"/>
          <w:sz w:val="16"/>
          <w:szCs w:val="16"/>
          <w:color w:val="auto"/>
        </w:rPr>
        <w:t>During any period when the holders of any series of Preferred Stock have the right to elect additional directors as provided for or fixed pursuant to the provisions of Article IV hereof (including any Preferred Stock Designation), and upon commencement and for the duration of the period during which such right continues: (i) the then otherwise total authorized number of directors of the Corporation shall automatically be increased by such number of directors that the holders of any series of Preferred Stock have a right to elect, and the holders of such Preferred Stock shall be entitled to elect the additional directors so provided for or fixed pursuant to said provisions; and (ii) each Preferred Stock Director shall serve until such Preferred Stock Director’s successor shall have been duly elected and qualified, or until such director’s right to hold such office terminates pursuant to said provisions, whichever occurs earlier, subject to their earlier death, disqualification, resignation or removal. Except as otherwise provided for or fixed pursuant to the provisions of Article IV hereof (including any Preferred Stock Designation), whenever the holders of any series of Preferred Stock having such right to elect additional directors are divested of such right pursuant to said provisions, the terms of office of all such Preferred Stock Directors elected by the holders of such Preferred Stock, or elected to fill any vacancies resulting from the death, resignation, disqualification or removal of such additional directors, shall forthwith terminate (in which case each such Preferred Stock Director shall cease to be qualified as a director and shall cease to be a director) and the total authorized number of directors of the Corporation shall be automatically reduced accordingly.</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0" w:right="459" w:bottom="1440" w:gutter="0" w:footer="0" w:header="0"/>
        </w:sectPr>
      </w:pPr>
    </w:p>
    <w:bookmarkStart w:id="13" w:name="page14"/>
    <w:bookmarkEnd w:id="13"/>
    <w:p>
      <w:pPr>
        <w:ind w:left="4" w:right="80"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5.3 </w:t>
      </w:r>
      <w:r>
        <w:rPr>
          <w:rFonts w:ascii="Arial" w:cs="Arial" w:eastAsia="Arial" w:hAnsi="Arial"/>
          <w:sz w:val="17"/>
          <w:szCs w:val="17"/>
          <w:u w:val="single" w:color="auto"/>
          <w:color w:val="auto"/>
        </w:rPr>
        <w:t>Powers</w:t>
      </w:r>
      <w:r>
        <w:rPr>
          <w:rFonts w:ascii="Arial" w:cs="Arial" w:eastAsia="Arial" w:hAnsi="Arial"/>
          <w:sz w:val="17"/>
          <w:szCs w:val="17"/>
          <w:color w:val="auto"/>
        </w:rPr>
        <w:t>. Except as otherwise required by the DGCL or as provided in this Certificate of Incorporation (including any Preferred Stock Designation), the business and affairs of the Corporation shall be managed by or under the direction of the Board of Directors.</w:t>
      </w:r>
    </w:p>
    <w:p>
      <w:pPr>
        <w:spacing w:after="0" w:line="146" w:lineRule="exact"/>
        <w:rPr>
          <w:sz w:val="20"/>
          <w:szCs w:val="20"/>
          <w:color w:val="auto"/>
        </w:rPr>
      </w:pPr>
    </w:p>
    <w:p>
      <w:pPr>
        <w:ind w:left="444"/>
        <w:spacing w:after="0"/>
        <w:rPr>
          <w:sz w:val="20"/>
          <w:szCs w:val="20"/>
          <w:color w:val="auto"/>
        </w:rPr>
      </w:pPr>
      <w:r>
        <w:rPr>
          <w:rFonts w:ascii="Arial" w:cs="Arial" w:eastAsia="Arial" w:hAnsi="Arial"/>
          <w:sz w:val="18"/>
          <w:szCs w:val="18"/>
          <w:color w:val="auto"/>
        </w:rPr>
        <w:t xml:space="preserve">Section 5.4 </w:t>
      </w:r>
      <w:r>
        <w:rPr>
          <w:rFonts w:ascii="Arial" w:cs="Arial" w:eastAsia="Arial" w:hAnsi="Arial"/>
          <w:sz w:val="18"/>
          <w:szCs w:val="18"/>
          <w:u w:val="single" w:color="auto"/>
          <w:color w:val="auto"/>
        </w:rPr>
        <w:t>Election; Annual Meeting of Stockholders</w:t>
      </w:r>
      <w:r>
        <w:rPr>
          <w:rFonts w:ascii="Arial" w:cs="Arial" w:eastAsia="Arial" w:hAnsi="Arial"/>
          <w:sz w:val="18"/>
          <w:szCs w:val="18"/>
          <w:color w:val="auto"/>
        </w:rPr>
        <w:t>.</w:t>
      </w:r>
    </w:p>
    <w:p>
      <w:pPr>
        <w:spacing w:after="0" w:line="117" w:lineRule="exact"/>
        <w:rPr>
          <w:sz w:val="20"/>
          <w:szCs w:val="20"/>
          <w:color w:val="auto"/>
        </w:rPr>
      </w:pPr>
    </w:p>
    <w:p>
      <w:pPr>
        <w:ind w:left="984"/>
        <w:spacing w:after="0"/>
        <w:rPr>
          <w:sz w:val="20"/>
          <w:szCs w:val="20"/>
          <w:color w:val="auto"/>
        </w:rPr>
      </w:pPr>
      <w:r>
        <w:rPr>
          <w:rFonts w:ascii="Arial" w:cs="Arial" w:eastAsia="Arial" w:hAnsi="Arial"/>
          <w:sz w:val="16"/>
          <w:szCs w:val="16"/>
          <w:color w:val="auto"/>
        </w:rPr>
        <w:t xml:space="preserve">(a) </w:t>
      </w:r>
      <w:r>
        <w:rPr>
          <w:rFonts w:ascii="Arial" w:cs="Arial" w:eastAsia="Arial" w:hAnsi="Arial"/>
          <w:sz w:val="16"/>
          <w:szCs w:val="16"/>
          <w:u w:val="single" w:color="auto"/>
          <w:color w:val="auto"/>
        </w:rPr>
        <w:t>Ballot Not Required</w:t>
      </w:r>
      <w:r>
        <w:rPr>
          <w:rFonts w:ascii="Arial" w:cs="Arial" w:eastAsia="Arial" w:hAnsi="Arial"/>
          <w:sz w:val="16"/>
          <w:szCs w:val="16"/>
          <w:color w:val="auto"/>
        </w:rPr>
        <w:t>. The directors of the Corporation need not be elected by written ballot unless the Bylaws of the Corporation so</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8"/>
          <w:szCs w:val="18"/>
          <w:color w:val="auto"/>
        </w:rPr>
        <w:t>provide.</w:t>
      </w:r>
    </w:p>
    <w:p>
      <w:pPr>
        <w:spacing w:after="0" w:line="103" w:lineRule="exact"/>
        <w:rPr>
          <w:sz w:val="20"/>
          <w:szCs w:val="20"/>
          <w:color w:val="auto"/>
        </w:rPr>
      </w:pPr>
    </w:p>
    <w:p>
      <w:pPr>
        <w:ind w:left="4" w:right="600" w:firstLine="987"/>
        <w:spacing w:after="0" w:line="263" w:lineRule="auto"/>
        <w:tabs>
          <w:tab w:leader="none" w:pos="125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Notice</w:t>
      </w:r>
      <w:r>
        <w:rPr>
          <w:rFonts w:ascii="Arial" w:cs="Arial" w:eastAsia="Arial" w:hAnsi="Arial"/>
          <w:sz w:val="18"/>
          <w:szCs w:val="18"/>
          <w:color w:val="auto"/>
        </w:rPr>
        <w:t>. Advance notice of nominations for the election of directors, and of business other than nominations, to be proposed by stockholders for consideration at a meeting of stockholders of the Corporation shall be given in the manner and to the extent provided in or contemplated by the Bylaws of the Corporation.</w:t>
      </w:r>
    </w:p>
    <w:p>
      <w:pPr>
        <w:spacing w:after="0" w:line="75" w:lineRule="exact"/>
        <w:rPr>
          <w:rFonts w:ascii="Arial" w:cs="Arial" w:eastAsia="Arial" w:hAnsi="Arial"/>
          <w:sz w:val="18"/>
          <w:szCs w:val="18"/>
          <w:color w:val="auto"/>
        </w:rPr>
      </w:pPr>
    </w:p>
    <w:p>
      <w:pPr>
        <w:jc w:val="both"/>
        <w:ind w:left="4" w:right="320" w:firstLine="987"/>
        <w:spacing w:after="0" w:line="263" w:lineRule="auto"/>
        <w:tabs>
          <w:tab w:leader="none" w:pos="124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Annual Meeting</w:t>
      </w:r>
      <w:r>
        <w:rPr>
          <w:rFonts w:ascii="Arial" w:cs="Arial" w:eastAsia="Arial" w:hAnsi="Arial"/>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w:t>
      </w:r>
    </w:p>
    <w:p>
      <w:pPr>
        <w:spacing w:after="0" w:line="396"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STOCKHOLDER ACTION</w:t>
      </w:r>
    </w:p>
    <w:p>
      <w:pPr>
        <w:spacing w:after="0" w:line="211" w:lineRule="exact"/>
        <w:rPr>
          <w:sz w:val="20"/>
          <w:szCs w:val="20"/>
          <w:color w:val="auto"/>
        </w:rPr>
      </w:pPr>
    </w:p>
    <w:p>
      <w:pPr>
        <w:ind w:left="4" w:right="60" w:firstLine="440"/>
        <w:spacing w:after="0" w:line="275" w:lineRule="auto"/>
        <w:rPr>
          <w:sz w:val="20"/>
          <w:szCs w:val="20"/>
          <w:color w:val="auto"/>
        </w:rPr>
      </w:pPr>
      <w:r>
        <w:rPr>
          <w:rFonts w:ascii="Arial" w:cs="Arial" w:eastAsia="Arial" w:hAnsi="Arial"/>
          <w:sz w:val="17"/>
          <w:szCs w:val="17"/>
          <w:color w:val="auto"/>
        </w:rPr>
        <w:t>Except with respect to actions required or permitted to be taken solely by holders of Preferred Stock pursuant to the provisions of Article IV hereof (including any Preferred Stock Designation) and subject to the Bylaws of the Corporation, any action required or permitted to be taken at any annual or special meeting of the stockholders of the Corporation may be taken without a meeting, without prior notice and without a vote by consent in accordance with Section 228 of the DGCL of all the stockholders that at the date of the resolution would be entitled to attend the meeting and vote on the resolution; provided that this provision shall not apply to any action to remove any director of the Corporation.</w:t>
      </w:r>
    </w:p>
    <w:p>
      <w:pPr>
        <w:spacing w:after="0" w:line="388"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63"/>
        <w:spacing w:after="0"/>
        <w:rPr>
          <w:sz w:val="20"/>
          <w:szCs w:val="20"/>
          <w:color w:val="auto"/>
        </w:rPr>
      </w:pPr>
      <w:r>
        <w:rPr>
          <w:rFonts w:ascii="Arial" w:cs="Arial" w:eastAsia="Arial" w:hAnsi="Arial"/>
          <w:sz w:val="18"/>
          <w:szCs w:val="18"/>
          <w:b w:val="1"/>
          <w:bCs w:val="1"/>
          <w:color w:val="auto"/>
        </w:rPr>
        <w:t>SPECIAL MEETINGS OF STOCKHOLDERS</w:t>
      </w:r>
    </w:p>
    <w:p>
      <w:pPr>
        <w:spacing w:after="0" w:line="211" w:lineRule="exact"/>
        <w:rPr>
          <w:sz w:val="20"/>
          <w:szCs w:val="20"/>
          <w:color w:val="auto"/>
        </w:rPr>
      </w:pPr>
    </w:p>
    <w:p>
      <w:pPr>
        <w:ind w:left="4" w:right="80" w:firstLine="440"/>
        <w:spacing w:after="0" w:line="291" w:lineRule="auto"/>
        <w:rPr>
          <w:sz w:val="20"/>
          <w:szCs w:val="20"/>
          <w:color w:val="auto"/>
        </w:rPr>
      </w:pPr>
      <w:r>
        <w:rPr>
          <w:rFonts w:ascii="Arial" w:cs="Arial" w:eastAsia="Arial" w:hAnsi="Arial"/>
          <w:sz w:val="16"/>
          <w:szCs w:val="16"/>
          <w:color w:val="auto"/>
        </w:rPr>
        <w:t>Except as otherwise required by law, and except as otherwise provided for or fixed pursuant to the provisions of Article IV hereof (including any Preferred Stock Designation), a special meeting of the stockholders of the Corporation: (a) may be called at any time by the Board of Directors and</w:t>
      </w:r>
    </w:p>
    <w:p>
      <w:pPr>
        <w:ind w:left="4" w:hanging="4"/>
        <w:spacing w:after="0" w:line="281" w:lineRule="auto"/>
        <w:tabs>
          <w:tab w:leader="none" w:pos="259" w:val="left"/>
        </w:tabs>
        <w:numPr>
          <w:ilvl w:val="0"/>
          <w:numId w:val="14"/>
        </w:numPr>
        <w:rPr>
          <w:rFonts w:ascii="Arial" w:cs="Arial" w:eastAsia="Arial" w:hAnsi="Arial"/>
          <w:sz w:val="16"/>
          <w:szCs w:val="16"/>
          <w:color w:val="auto"/>
        </w:rPr>
      </w:pPr>
      <w:r>
        <w:rPr>
          <w:rFonts w:ascii="Arial" w:cs="Arial" w:eastAsia="Arial" w:hAnsi="Arial"/>
          <w:sz w:val="16"/>
          <w:szCs w:val="16"/>
          <w:color w:val="auto"/>
        </w:rPr>
        <w:t>shall be called by the Chair of the Board of Directors or the Secretary of the Corporation upon the written request or requests of one or more persons that own (as defined in the Bylaws of the Corporation, as amended from time to time) shares representing at least 10% of the voting power of the stock outstanding and entitled to vote on the matter or matters to be brought before the proposed special meeting at the time a request is delivered; and</w:t>
      </w:r>
    </w:p>
    <w:p>
      <w:pPr>
        <w:spacing w:after="0" w:line="1" w:lineRule="exact"/>
        <w:rPr>
          <w:rFonts w:ascii="Arial" w:cs="Arial" w:eastAsia="Arial" w:hAnsi="Arial"/>
          <w:sz w:val="16"/>
          <w:szCs w:val="16"/>
          <w:color w:val="auto"/>
        </w:rPr>
      </w:pPr>
    </w:p>
    <w:p>
      <w:pPr>
        <w:jc w:val="both"/>
        <w:ind w:left="4" w:right="120" w:hanging="4"/>
        <w:spacing w:after="0" w:line="255" w:lineRule="auto"/>
        <w:tabs>
          <w:tab w:leader="none" w:pos="269"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comply with such procedures for calling a special meeting of stockholders as may be set forth in the Bylaws of the Corporation and amended from time to time. The foregoing provisions of this Article VII shall be subject to the provisions of the Bylaws of the Corporation (as amended from time to time) that</w:t>
      </w:r>
    </w:p>
    <w:p>
      <w:pPr>
        <w:spacing w:after="0" w:line="122" w:lineRule="exact"/>
        <w:rPr>
          <w:sz w:val="20"/>
          <w:szCs w:val="20"/>
          <w:color w:val="auto"/>
        </w:rPr>
      </w:pPr>
    </w:p>
    <w:p>
      <w:pPr>
        <w:jc w:val="center"/>
        <w:ind w:right="-6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44"/>
          </w:cols>
          <w:pgMar w:left="436" w:top="274" w:right="519" w:bottom="1440" w:gutter="0" w:footer="0" w:header="0"/>
        </w:sectPr>
      </w:pPr>
    </w:p>
    <w:bookmarkStart w:id="14" w:name="page15"/>
    <w:bookmarkEnd w:id="14"/>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limit the ability to make a request for a special meeting and that specify the circumstances pursuant to which a request for a special meeting will be deemed to be revoked. Except as otherwise required by law, and except as otherwise provided for or fixed pursuant to the provisions of Article IV hereof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EXISTENCE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Corporation shall have perpetual existence.</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AMENDMENT</w:t>
      </w:r>
    </w:p>
    <w:p>
      <w:pPr>
        <w:spacing w:after="0" w:line="211" w:lineRule="exact"/>
        <w:rPr>
          <w:sz w:val="20"/>
          <w:szCs w:val="20"/>
          <w:color w:val="auto"/>
        </w:rPr>
      </w:pPr>
    </w:p>
    <w:p>
      <w:pPr>
        <w:ind w:right="140" w:firstLine="440"/>
        <w:spacing w:after="0" w:line="255" w:lineRule="auto"/>
        <w:rPr>
          <w:sz w:val="20"/>
          <w:szCs w:val="20"/>
          <w:color w:val="auto"/>
        </w:rPr>
      </w:pPr>
      <w:r>
        <w:rPr>
          <w:rFonts w:ascii="Arial" w:cs="Arial" w:eastAsia="Arial" w:hAnsi="Arial"/>
          <w:sz w:val="18"/>
          <w:szCs w:val="18"/>
          <w:color w:val="auto"/>
        </w:rPr>
        <w:t xml:space="preserve">Section 9.1 </w:t>
      </w:r>
      <w:r>
        <w:rPr>
          <w:rFonts w:ascii="Arial" w:cs="Arial" w:eastAsia="Arial" w:hAnsi="Arial"/>
          <w:sz w:val="18"/>
          <w:szCs w:val="18"/>
          <w:u w:val="single" w:color="auto"/>
          <w:color w:val="auto"/>
        </w:rPr>
        <w:t>Amendment of Certificate of Incorporation</w:t>
      </w:r>
      <w:r>
        <w:rPr>
          <w:rFonts w:ascii="Arial" w:cs="Arial" w:eastAsia="Arial" w:hAnsi="Arial"/>
          <w:sz w:val="18"/>
          <w:szCs w:val="18"/>
          <w:color w:val="auto"/>
        </w:rPr>
        <w:t>. The Corporation reserves the right at any time, and from time to time, to amend, alter, change or repeal any provision contained in this Certificate of Incorporation (including any Preferred Stock Designation), and other provisions authorized by the laws of the State of Delaware at the time in force may be added or inserted, in the manner now or hereafter prescribed by the laws of the State of Delaware, and all powers, preferences and rights of any nature conferred upon stockholders, directors or any other persons by and pursuant to this Certificate of Incorporation (including any Preferred Stock Designation) in its present form or as hereafter amended are granted subject to this reservation.</w:t>
      </w:r>
    </w:p>
    <w:p>
      <w:pPr>
        <w:spacing w:after="0" w:line="192" w:lineRule="exact"/>
        <w:rPr>
          <w:sz w:val="20"/>
          <w:szCs w:val="20"/>
          <w:color w:val="auto"/>
        </w:rPr>
      </w:pPr>
    </w:p>
    <w:p>
      <w:pPr>
        <w:ind w:right="40" w:firstLine="440"/>
        <w:spacing w:after="0" w:line="273" w:lineRule="auto"/>
        <w:rPr>
          <w:sz w:val="20"/>
          <w:szCs w:val="20"/>
          <w:color w:val="auto"/>
        </w:rPr>
      </w:pPr>
      <w:r>
        <w:rPr>
          <w:rFonts w:ascii="Arial" w:cs="Arial" w:eastAsia="Arial" w:hAnsi="Arial"/>
          <w:sz w:val="17"/>
          <w:szCs w:val="17"/>
          <w:color w:val="auto"/>
        </w:rPr>
        <w:t xml:space="preserve">Section 9.2 </w:t>
      </w:r>
      <w:r>
        <w:rPr>
          <w:rFonts w:ascii="Arial" w:cs="Arial" w:eastAsia="Arial" w:hAnsi="Arial"/>
          <w:sz w:val="17"/>
          <w:szCs w:val="17"/>
          <w:u w:val="single" w:color="auto"/>
          <w:color w:val="auto"/>
        </w:rPr>
        <w:t>Amendment of Bylaws</w:t>
      </w:r>
      <w:r>
        <w:rPr>
          <w:rFonts w:ascii="Arial" w:cs="Arial" w:eastAsia="Arial" w:hAnsi="Arial"/>
          <w:sz w:val="17"/>
          <w:szCs w:val="17"/>
          <w:color w:val="auto"/>
        </w:rPr>
        <w:t>. In furtherance and not in limitation of the powers conferred by the laws of the State of Delaware, but subject to the terms of any series of Preferred Stock then outstanding, the Board of Directors is expressly authorized to adopt, amend or repeal the Bylaws of the Corporation. Except as otherwise provided in this Certificate of Incorporation (including the terms of any Preferred Stock Designation that require an additional vote) or the Bylaws of the Corporation,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Bylaws of the Corporation.</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LIABILITY OF DIRECTORS</w:t>
      </w:r>
    </w:p>
    <w:p>
      <w:pPr>
        <w:spacing w:after="0" w:line="211" w:lineRule="exact"/>
        <w:rPr>
          <w:sz w:val="20"/>
          <w:szCs w:val="20"/>
          <w:color w:val="auto"/>
        </w:rPr>
      </w:pPr>
    </w:p>
    <w:p>
      <w:pPr>
        <w:ind w:right="80" w:firstLine="440"/>
        <w:spacing w:after="0" w:line="342" w:lineRule="auto"/>
        <w:rPr>
          <w:sz w:val="20"/>
          <w:szCs w:val="20"/>
          <w:color w:val="auto"/>
        </w:rPr>
      </w:pPr>
      <w:r>
        <w:rPr>
          <w:rFonts w:ascii="Arial" w:cs="Arial" w:eastAsia="Arial" w:hAnsi="Arial"/>
          <w:sz w:val="16"/>
          <w:szCs w:val="16"/>
          <w:color w:val="auto"/>
        </w:rPr>
        <w:t xml:space="preserve">Section 10.1 </w:t>
      </w:r>
      <w:r>
        <w:rPr>
          <w:rFonts w:ascii="Arial" w:cs="Arial" w:eastAsia="Arial" w:hAnsi="Arial"/>
          <w:sz w:val="16"/>
          <w:szCs w:val="16"/>
          <w:u w:val="single" w:color="auto"/>
          <w:color w:val="auto"/>
        </w:rPr>
        <w:t>No Personal Liability</w:t>
      </w:r>
      <w:r>
        <w:rPr>
          <w:rFonts w:ascii="Arial" w:cs="Arial" w:eastAsia="Arial" w:hAnsi="Arial"/>
          <w:sz w:val="16"/>
          <w:szCs w:val="16"/>
          <w:color w:val="auto"/>
        </w:rPr>
        <w:t>. To the fullest extent permitted by the DGCL as the same exists or as may hereafter be amended, no director of the Corporation shall be personally liable to the Corporation or its stockholders for monetary damages for breach of fiduciary duty as a director.</w:t>
      </w:r>
    </w:p>
    <w:p>
      <w:pPr>
        <w:spacing w:after="0" w:line="124"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Amendment or Repeal</w:t>
      </w:r>
      <w:r>
        <w:rPr>
          <w:rFonts w:ascii="Arial" w:cs="Arial" w:eastAsia="Arial" w:hAnsi="Arial"/>
          <w:sz w:val="18"/>
          <w:szCs w:val="18"/>
          <w:color w:val="auto"/>
        </w:rPr>
        <w:t>. Any amendment, repeal or elimination of this Article X, or the adoption of any provision of the Certificate of Incorporation inconsistent with this Article X, shall not affect its application with respect to an act or omission by a director occurring before such amendment, adoption, repeal or elimination.</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0"/>
          </w:cols>
          <w:pgMar w:left="440" w:top="274" w:right="43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XI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FORUM FOR ADJUDICATION OF DISPUTES</w:t>
      </w:r>
    </w:p>
    <w:p>
      <w:pPr>
        <w:spacing w:after="0" w:line="211"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 xml:space="preserve">Section 11.1 </w:t>
      </w:r>
      <w:r>
        <w:rPr>
          <w:rFonts w:ascii="Arial" w:cs="Arial" w:eastAsia="Arial" w:hAnsi="Arial"/>
          <w:sz w:val="17"/>
          <w:szCs w:val="17"/>
          <w:u w:val="single" w:color="auto"/>
          <w:color w:val="auto"/>
        </w:rPr>
        <w:t>Forum</w:t>
      </w:r>
      <w:r>
        <w:rPr>
          <w:rFonts w:ascii="Arial" w:cs="Arial" w:eastAsia="Arial" w:hAnsi="Arial"/>
          <w:sz w:val="17"/>
          <w:szCs w:val="17"/>
          <w:color w:val="auto"/>
        </w:rPr>
        <w:t>. Unless the Corporation, in writing, selects or consents to the selection of an alternative forum: (a) the sole and exclusive forum for any complaint asserting any internal corporate claims (as defined below),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of 1933, to the fullest extent permitted by law, shall be the federal district courts of the United States of America. For purposes of this Article XI, internal corporate claims means claims, including claims in the right of the Corporation that are based upon a violation of a duty by a current or former director, officer, employee or stockholder in such capacity, or as to which the DGCL confers jurisdiction upon the Court of Chancery. Any person or entity purchasing or otherwise acquiring or holding any interest in shares of stock of the Corporation shall be deemed to have notice of and consented to the provisions of this Article XII.</w:t>
      </w:r>
    </w:p>
    <w:p>
      <w:pPr>
        <w:spacing w:after="0" w:line="181"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 xml:space="preserve">Section 11.2 </w:t>
      </w:r>
      <w:r>
        <w:rPr>
          <w:rFonts w:ascii="Arial" w:cs="Arial" w:eastAsia="Arial" w:hAnsi="Arial"/>
          <w:sz w:val="17"/>
          <w:szCs w:val="17"/>
          <w:u w:val="single" w:color="auto"/>
          <w:color w:val="auto"/>
        </w:rPr>
        <w:t>Enforceability</w:t>
      </w:r>
      <w:r>
        <w:rPr>
          <w:rFonts w:ascii="Arial" w:cs="Arial" w:eastAsia="Arial" w:hAnsi="Arial"/>
          <w:sz w:val="17"/>
          <w:szCs w:val="17"/>
          <w:color w:val="auto"/>
        </w:rPr>
        <w:t>. If any provision of this Article XI shall be held to be invalid, illegal or unenforceable as applied to any person or entity or circumstance for any reason whatsoever, then, to the fullest extent permitted by law, the validity, legality and enforceability of such provision in any other circumstance and of the remaining provisions of this Article XI (including, without limitation, each portion of any sentence of this Article XI containing any such provision held to be invalid, illegal or unenforceable that is not itself held to be invalid, illegal or unenforceable) and the application of such provision to other persons or entities or circumstances shall not in any way be affected or impaired thereby.</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remainder of this page has been intentionally left blank.]</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0" w:right="459" w:bottom="1440" w:gutter="0" w:footer="0" w:header="0"/>
        </w:sectPr>
      </w:pPr>
    </w:p>
    <w:bookmarkStart w:id="16" w:name="page17"/>
    <w:bookmarkEnd w:id="16"/>
    <w:p>
      <w:pPr>
        <w:ind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undersigned duly authorized officer of the Corporation hereby acknowledges that the foregoing Amended and Restated Certificate of Incorporation is his act and deed and that the facts stated herein are true.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April 19, 2021</w:t>
      </w:r>
    </w:p>
    <w:p>
      <w:pPr>
        <w:spacing w:after="0" w:line="252" w:lineRule="exact"/>
        <w:rPr>
          <w:sz w:val="20"/>
          <w:szCs w:val="20"/>
          <w:color w:val="auto"/>
        </w:rPr>
      </w:pPr>
    </w:p>
    <w:p>
      <w:pPr>
        <w:ind w:left="6620"/>
        <w:spacing w:after="0"/>
        <w:tabs>
          <w:tab w:leader="none" w:pos="71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4566285</wp:posOffset>
            </wp:positionH>
            <wp:positionV relativeFrom="paragraph">
              <wp:posOffset>14605</wp:posOffset>
            </wp:positionV>
            <wp:extent cx="2425700"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 Mitchell Gaynor</w:t>
      </w:r>
    </w:p>
    <w:p>
      <w:pPr>
        <w:spacing w:after="0" w:line="23" w:lineRule="exact"/>
        <w:rPr>
          <w:sz w:val="20"/>
          <w:szCs w:val="20"/>
          <w:color w:val="auto"/>
        </w:rPr>
      </w:pPr>
    </w:p>
    <w:p>
      <w:pPr>
        <w:ind w:left="6620"/>
        <w:spacing w:after="0"/>
        <w:tabs>
          <w:tab w:leader="none" w:pos="7180" w:val="left"/>
        </w:tabs>
        <w:rPr>
          <w:sz w:val="20"/>
          <w:szCs w:val="20"/>
          <w:color w:val="auto"/>
        </w:rPr>
      </w:pPr>
      <w:r>
        <w:rPr>
          <w:rFonts w:ascii="Arial" w:cs="Arial" w:eastAsia="Arial" w:hAnsi="Arial"/>
          <w:sz w:val="18"/>
          <w:szCs w:val="18"/>
          <w:color w:val="auto"/>
        </w:rPr>
        <w:t>Title:</w:t>
        <w:tab/>
        <w:t>Secretary</w:t>
      </w:r>
    </w:p>
    <w:p>
      <w:pPr>
        <w:sectPr>
          <w:pgSz w:w="11900" w:h="16838" w:orient="portrait"/>
          <w:cols w:equalWidth="0" w:num="1">
            <w:col w:w="10620"/>
          </w:cols>
          <w:pgMar w:left="440" w:top="274" w:right="839" w:bottom="1440" w:gutter="0" w:footer="0" w:header="0"/>
        </w:sectPr>
      </w:pPr>
    </w:p>
    <w:bookmarkStart w:id="17" w:name="page18"/>
    <w:bookmarkEnd w:id="17"/>
    <w:p>
      <w:pPr>
        <w:jc w:val="right"/>
        <w:spacing w:after="0"/>
        <w:rPr>
          <w:sz w:val="20"/>
          <w:szCs w:val="20"/>
          <w:color w:val="auto"/>
        </w:rPr>
      </w:pPr>
      <w:r>
        <w:rPr>
          <w:rFonts w:ascii="Arial" w:cs="Arial" w:eastAsia="Arial" w:hAnsi="Arial"/>
          <w:sz w:val="18"/>
          <w:szCs w:val="18"/>
          <w:b w:val="1"/>
          <w:bCs w:val="1"/>
          <w:color w:val="auto"/>
        </w:rPr>
        <w:t>Exhibit 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BYLAWS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 Delaware corporation)</w:t>
      </w: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CORPORATE OFFICES</w:t>
      </w:r>
    </w:p>
    <w:p>
      <w:pPr>
        <w:spacing w:after="0" w:line="211" w:lineRule="exact"/>
        <w:rPr>
          <w:sz w:val="20"/>
          <w:szCs w:val="20"/>
          <w:color w:val="auto"/>
        </w:rPr>
      </w:pPr>
    </w:p>
    <w:p>
      <w:pPr>
        <w:ind w:left="980"/>
        <w:spacing w:after="0"/>
        <w:rPr>
          <w:sz w:val="20"/>
          <w:szCs w:val="20"/>
          <w:color w:val="auto"/>
        </w:rPr>
      </w:pPr>
      <w:r>
        <w:rPr>
          <w:rFonts w:ascii="Arial" w:cs="Arial" w:eastAsia="Arial" w:hAnsi="Arial"/>
          <w:sz w:val="16"/>
          <w:szCs w:val="16"/>
          <w:color w:val="auto"/>
        </w:rPr>
        <w:t xml:space="preserve">Section 1.1 </w:t>
      </w:r>
      <w:r>
        <w:rPr>
          <w:rFonts w:ascii="Arial" w:cs="Arial" w:eastAsia="Arial" w:hAnsi="Arial"/>
          <w:sz w:val="16"/>
          <w:szCs w:val="16"/>
          <w:u w:val="single" w:color="auto"/>
          <w:color w:val="auto"/>
        </w:rPr>
        <w:t>Registered Office</w:t>
      </w:r>
      <w:r>
        <w:rPr>
          <w:rFonts w:ascii="Arial" w:cs="Arial" w:eastAsia="Arial" w:hAnsi="Arial"/>
          <w:sz w:val="16"/>
          <w:szCs w:val="16"/>
          <w:color w:val="auto"/>
        </w:rPr>
        <w:t>. The registered office of the Corporation shall be fixed in the Certificate of Incorporation of the Corporation.</w:t>
      </w:r>
    </w:p>
    <w:p>
      <w:pPr>
        <w:spacing w:after="0" w:line="248" w:lineRule="exact"/>
        <w:rPr>
          <w:sz w:val="20"/>
          <w:szCs w:val="20"/>
          <w:color w:val="auto"/>
        </w:rPr>
      </w:pPr>
    </w:p>
    <w:p>
      <w:pPr>
        <w:ind w:right="140" w:firstLine="991"/>
        <w:spacing w:after="0" w:line="263" w:lineRule="auto"/>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u w:val="single" w:color="auto"/>
          <w:color w:val="auto"/>
        </w:rPr>
        <w:t>Other Offices</w:t>
      </w:r>
      <w:r>
        <w:rPr>
          <w:rFonts w:ascii="Arial" w:cs="Arial" w:eastAsia="Arial" w:hAnsi="Arial"/>
          <w:sz w:val="18"/>
          <w:szCs w:val="18"/>
          <w:color w:val="auto"/>
        </w:rPr>
        <w:t>. The Corporation may also have an office or offices, and keep the books and records of the Corporation, except as otherwise required by law, at such other place or places, either within or without the State of Delaware, as the Corporation may from time to time determine or the business of the Corporation may require.</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MEETINGS OF STOCKHOLDERS</w:t>
      </w:r>
    </w:p>
    <w:p>
      <w:pPr>
        <w:spacing w:after="0" w:line="211" w:lineRule="exact"/>
        <w:rPr>
          <w:sz w:val="20"/>
          <w:szCs w:val="20"/>
          <w:color w:val="auto"/>
        </w:rPr>
      </w:pPr>
    </w:p>
    <w:p>
      <w:pPr>
        <w:ind w:right="60" w:firstLine="991"/>
        <w:spacing w:after="0" w:line="259"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u w:val="single" w:color="auto"/>
          <w:color w:val="auto"/>
        </w:rPr>
        <w:t>Annual Meeting</w:t>
      </w:r>
      <w:r>
        <w:rPr>
          <w:rFonts w:ascii="Arial" w:cs="Arial" w:eastAsia="Arial" w:hAnsi="Arial"/>
          <w:sz w:val="18"/>
          <w:szCs w:val="18"/>
          <w:color w:val="auto"/>
        </w:rPr>
        <w:t>. The annual meeting of stockholders, for the election of directors to succeed those whose terms expire and for the transaction of such other business as may properly come before the meeting, shall be held at such place, if any, either within or without the State of Delaware, on such date, and at such time as the Board of Directors shall fix. The Board of Directors may postpone, reschedule or cancel any annual meeting of stockholders previously scheduled by the Board of Directors.</w:t>
      </w:r>
    </w:p>
    <w:p>
      <w:pPr>
        <w:spacing w:after="0" w:line="187"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u w:val="single" w:color="auto"/>
          <w:color w:val="auto"/>
        </w:rPr>
        <w:t>Special Meeting</w:t>
      </w:r>
      <w:r>
        <w:rPr>
          <w:rFonts w:ascii="Arial" w:cs="Arial" w:eastAsia="Arial" w:hAnsi="Arial"/>
          <w:sz w:val="18"/>
          <w:szCs w:val="18"/>
          <w:color w:val="auto"/>
        </w:rPr>
        <w:t>.</w:t>
      </w:r>
    </w:p>
    <w:p>
      <w:pPr>
        <w:spacing w:after="0" w:line="117" w:lineRule="exact"/>
        <w:rPr>
          <w:sz w:val="20"/>
          <w:szCs w:val="20"/>
          <w:color w:val="auto"/>
        </w:rPr>
      </w:pPr>
    </w:p>
    <w:p>
      <w:pPr>
        <w:ind w:right="80" w:firstLine="987"/>
        <w:spacing w:after="0" w:line="287" w:lineRule="auto"/>
        <w:tabs>
          <w:tab w:leader="none" w:pos="1236" w:val="left"/>
        </w:tabs>
        <w:numPr>
          <w:ilvl w:val="0"/>
          <w:numId w:val="16"/>
        </w:numPr>
        <w:rPr>
          <w:rFonts w:ascii="Arial" w:cs="Arial" w:eastAsia="Arial" w:hAnsi="Arial"/>
          <w:sz w:val="16"/>
          <w:szCs w:val="16"/>
          <w:color w:val="auto"/>
        </w:rPr>
      </w:pPr>
      <w:r>
        <w:rPr>
          <w:rFonts w:ascii="Arial" w:cs="Arial" w:eastAsia="Arial" w:hAnsi="Arial"/>
          <w:sz w:val="16"/>
          <w:szCs w:val="16"/>
          <w:color w:val="auto"/>
        </w:rPr>
        <w:t>Except as otherwise required by law, and except as otherwise provided for or fixed pursuant to the Certificate of Incorporation, including any certificate of designations relating to any series of Preferred Stock (each hereinafter referred to as a “</w:t>
      </w:r>
      <w:r>
        <w:rPr>
          <w:rFonts w:ascii="Arial" w:cs="Arial" w:eastAsia="Arial" w:hAnsi="Arial"/>
          <w:sz w:val="16"/>
          <w:szCs w:val="16"/>
          <w:u w:val="single" w:color="auto"/>
          <w:color w:val="auto"/>
        </w:rPr>
        <w:t>Preferred Stock Designation</w:t>
      </w:r>
      <w:r>
        <w:rPr>
          <w:rFonts w:ascii="Arial" w:cs="Arial" w:eastAsia="Arial" w:hAnsi="Arial"/>
          <w:sz w:val="16"/>
          <w:szCs w:val="16"/>
          <w:color w:val="auto"/>
        </w:rPr>
        <w:t>”), a special meeting of the stockholders of the Corporation: (i) may be called at any time by the Board of Directors; and (ii) shall be called by the Board Chair or the Secretary of the Corporation upon the written request or requests of one or more persons that: (A) own (as defined below) shares representing at least 10% of the voting power of the stock entitled to vote on the matter or matters to be brought before the proposed special meeting (hereinafter, the “</w:t>
      </w:r>
      <w:r>
        <w:rPr>
          <w:rFonts w:ascii="Arial" w:cs="Arial" w:eastAsia="Arial" w:hAnsi="Arial"/>
          <w:sz w:val="16"/>
          <w:szCs w:val="16"/>
          <w:u w:val="single" w:color="auto"/>
          <w:color w:val="auto"/>
        </w:rPr>
        <w:t>requisite percent</w:t>
      </w:r>
      <w:r>
        <w:rPr>
          <w:rFonts w:ascii="Arial" w:cs="Arial" w:eastAsia="Arial" w:hAnsi="Arial"/>
          <w:sz w:val="16"/>
          <w:szCs w:val="16"/>
          <w:color w:val="auto"/>
        </w:rPr>
        <w:t>”) at the time a request is delivered; and (B) comply with the notice procedures set forth in this Section 2.2 with respect to any matter that is a proper subject for the meeting pursuant to Section 2.2(f) (a meeting called in accordance with clause (ii) above, a “</w:t>
      </w:r>
      <w:r>
        <w:rPr>
          <w:rFonts w:ascii="Arial" w:cs="Arial" w:eastAsia="Arial" w:hAnsi="Arial"/>
          <w:sz w:val="16"/>
          <w:szCs w:val="16"/>
          <w:u w:val="single" w:color="auto"/>
          <w:color w:val="auto"/>
        </w:rPr>
        <w:t>stockholder-requested special meeting</w:t>
      </w:r>
      <w:r>
        <w:rPr>
          <w:rFonts w:ascii="Arial" w:cs="Arial" w:eastAsia="Arial" w:hAnsi="Arial"/>
          <w:sz w:val="16"/>
          <w:szCs w:val="16"/>
          <w:color w:val="auto"/>
        </w:rPr>
        <w:t>”). Except as otherwise required by law, and except as otherwise provided for or fixed pursuant to the Certificate of Incorporation (including any Preferred Stock Designation), special meetings of the stockholders of the Corporation may not be called by any other person or persons. Only such business shall be conducted at a special meeting of stockholders as shall have been brought before the meeting pursuant to the Corporation’s notice of meeting. For purposes of satisfying the requisite percent under this Section 2.2:</w:t>
      </w:r>
    </w:p>
    <w:p>
      <w:pPr>
        <w:sectPr>
          <w:pgSz w:w="11900" w:h="16838" w:orient="portrait"/>
          <w:cols w:equalWidth="0" w:num="1">
            <w:col w:w="11020"/>
          </w:cols>
          <w:pgMar w:left="440" w:top="121" w:right="439" w:bottom="1440" w:gutter="0" w:footer="0" w:header="0"/>
        </w:sectPr>
      </w:pPr>
    </w:p>
    <w:bookmarkStart w:id="18" w:name="page19"/>
    <w:bookmarkEnd w:id="18"/>
    <w:p>
      <w:pPr>
        <w:ind w:left="1644" w:hanging="212"/>
        <w:spacing w:after="0"/>
        <w:tabs>
          <w:tab w:leader="none" w:pos="1644" w:val="left"/>
        </w:tabs>
        <w:numPr>
          <w:ilvl w:val="2"/>
          <w:numId w:val="1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 person is deemed to “own” only those outstanding shares of stock of the Corporation as to which such person possesses both:</w:t>
      </w:r>
    </w:p>
    <w:p>
      <w:pPr>
        <w:spacing w:after="0" w:line="46" w:lineRule="exact"/>
        <w:rPr>
          <w:rFonts w:ascii="Arial" w:cs="Arial" w:eastAsia="Arial" w:hAnsi="Arial"/>
          <w:sz w:val="16"/>
          <w:szCs w:val="16"/>
          <w:color w:val="auto"/>
        </w:rPr>
      </w:pPr>
    </w:p>
    <w:p>
      <w:pPr>
        <w:ind w:left="4" w:right="220" w:hanging="4"/>
        <w:spacing w:after="0" w:line="281" w:lineRule="auto"/>
        <w:tabs>
          <w:tab w:leader="none" w:pos="299"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full voting and investment rights pertaining to the shares; and (B) the full economic interest in (including the opportunity for profit and risk of loss on) the shares, except that the number of shares calculated in accordance with the foregoing clauses (A) and (B) shall not include any shares:</w:t>
      </w:r>
    </w:p>
    <w:p>
      <w:pPr>
        <w:spacing w:after="0" w:line="1" w:lineRule="exact"/>
        <w:rPr>
          <w:rFonts w:ascii="Arial" w:cs="Arial" w:eastAsia="Arial" w:hAnsi="Arial"/>
          <w:sz w:val="16"/>
          <w:szCs w:val="16"/>
          <w:color w:val="auto"/>
        </w:rPr>
      </w:pPr>
    </w:p>
    <w:p>
      <w:pPr>
        <w:ind w:left="4"/>
        <w:spacing w:after="0" w:line="281" w:lineRule="auto"/>
        <w:rPr>
          <w:rFonts w:ascii="Arial" w:cs="Arial" w:eastAsia="Arial" w:hAnsi="Arial"/>
          <w:sz w:val="16"/>
          <w:szCs w:val="16"/>
          <w:color w:val="auto"/>
        </w:rPr>
      </w:pPr>
      <w:r>
        <w:rPr>
          <w:rFonts w:ascii="Arial" w:cs="Arial" w:eastAsia="Arial" w:hAnsi="Arial"/>
          <w:sz w:val="16"/>
          <w:szCs w:val="16"/>
          <w:color w:val="auto"/>
        </w:rPr>
        <w:t>(1) sold by such person in any transaction that has not been settled or closed; (2) borrowed by the person for any purposes or purchased by the person pursuant to an agreement to resell; or (3) subject to any option, warrant, forward contract, swap, contract of sale, or other derivative or similar agreement entered into by the person, whether the instrument or agreement is to be settled with shares or with cash based on the notional amount or value of outstanding shares of stock of the Corporation, if the instrument or agreement has, or is intended to have, or if exercised would have, the purpose or effect of: (x) reducing in any manner, to any extent or at any time in the future, the person’s full right to vote or direct the voting of the shares; and/or</w:t>
      </w:r>
    </w:p>
    <w:p>
      <w:pPr>
        <w:spacing w:after="0" w:line="2" w:lineRule="exact"/>
        <w:rPr>
          <w:rFonts w:ascii="Arial" w:cs="Arial" w:eastAsia="Arial" w:hAnsi="Arial"/>
          <w:sz w:val="16"/>
          <w:szCs w:val="16"/>
          <w:color w:val="auto"/>
        </w:rPr>
      </w:pPr>
    </w:p>
    <w:p>
      <w:pPr>
        <w:ind w:left="4" w:right="200"/>
        <w:spacing w:after="0" w:line="260" w:lineRule="auto"/>
        <w:rPr>
          <w:rFonts w:ascii="Arial" w:cs="Arial" w:eastAsia="Arial" w:hAnsi="Arial"/>
          <w:sz w:val="16"/>
          <w:szCs w:val="16"/>
          <w:color w:val="auto"/>
        </w:rPr>
      </w:pPr>
      <w:r>
        <w:rPr>
          <w:rFonts w:ascii="Arial" w:cs="Arial" w:eastAsia="Arial" w:hAnsi="Arial"/>
          <w:sz w:val="18"/>
          <w:szCs w:val="18"/>
          <w:color w:val="auto"/>
        </w:rPr>
        <w:t>(y) hedging, offsetting or altering to any degree any gain or loss arising from the full economic ownership of the shares by the person. For purposes of the foregoing clauses (1)-(3), the term “person” includes its affiliates; and</w:t>
      </w:r>
    </w:p>
    <w:p>
      <w:pPr>
        <w:spacing w:after="0" w:line="77" w:lineRule="exact"/>
        <w:rPr>
          <w:rFonts w:ascii="Arial" w:cs="Arial" w:eastAsia="Arial" w:hAnsi="Arial"/>
          <w:sz w:val="16"/>
          <w:szCs w:val="16"/>
          <w:color w:val="auto"/>
        </w:rPr>
      </w:pPr>
    </w:p>
    <w:p>
      <w:pPr>
        <w:jc w:val="both"/>
        <w:ind w:left="4" w:right="320" w:firstLine="1428"/>
        <w:spacing w:after="0" w:line="259" w:lineRule="auto"/>
        <w:tabs>
          <w:tab w:leader="none" w:pos="1701" w:val="left"/>
        </w:tabs>
        <w:numPr>
          <w:ilvl w:val="2"/>
          <w:numId w:val="18"/>
        </w:numPr>
        <w:rPr>
          <w:rFonts w:ascii="Arial" w:cs="Arial" w:eastAsia="Arial" w:hAnsi="Arial"/>
          <w:sz w:val="18"/>
          <w:szCs w:val="18"/>
          <w:color w:val="auto"/>
        </w:rPr>
      </w:pPr>
      <w:r>
        <w:rPr>
          <w:rFonts w:ascii="Arial" w:cs="Arial" w:eastAsia="Arial" w:hAnsi="Arial"/>
          <w:sz w:val="18"/>
          <w:szCs w:val="18"/>
          <w:color w:val="auto"/>
        </w:rPr>
        <w:t>A person “owns” shares held in the name of a nominee or other intermediary so long as such person retains both: (A) the full voting and investment rights pertaining to the shares; and (B) the full economic interest in the shares. The person’s ownership of shares is deemed to continue during any period in which the person has delegated any voting power by means of a proxy, power of attorney, or other instrument or arrangement that is revocable at any time by the person.</w:t>
      </w:r>
    </w:p>
    <w:p>
      <w:pPr>
        <w:spacing w:after="0" w:line="78" w:lineRule="exact"/>
        <w:rPr>
          <w:rFonts w:ascii="Arial" w:cs="Arial" w:eastAsia="Arial" w:hAnsi="Arial"/>
          <w:sz w:val="18"/>
          <w:szCs w:val="18"/>
          <w:color w:val="auto"/>
        </w:rPr>
      </w:pPr>
    </w:p>
    <w:p>
      <w:pPr>
        <w:ind w:left="4" w:firstLine="987"/>
        <w:spacing w:after="0" w:line="269" w:lineRule="auto"/>
        <w:tabs>
          <w:tab w:leader="none" w:pos="1250" w:val="left"/>
        </w:tabs>
        <w:numPr>
          <w:ilvl w:val="1"/>
          <w:numId w:val="18"/>
        </w:numPr>
        <w:rPr>
          <w:rFonts w:ascii="Arial" w:cs="Arial" w:eastAsia="Arial" w:hAnsi="Arial"/>
          <w:sz w:val="17"/>
          <w:szCs w:val="17"/>
          <w:color w:val="auto"/>
        </w:rPr>
      </w:pPr>
      <w:r>
        <w:rPr>
          <w:rFonts w:ascii="Arial" w:cs="Arial" w:eastAsia="Arial" w:hAnsi="Arial"/>
          <w:sz w:val="17"/>
          <w:szCs w:val="17"/>
          <w:color w:val="auto"/>
        </w:rPr>
        <w:t>Any person seeking to request a special meeting shall first request that the Board of Directors fix a record date to determine the persons entitled to request a special meeting (the “</w:t>
      </w:r>
      <w:r>
        <w:rPr>
          <w:rFonts w:ascii="Arial" w:cs="Arial" w:eastAsia="Arial" w:hAnsi="Arial"/>
          <w:sz w:val="17"/>
          <w:szCs w:val="17"/>
          <w:u w:val="single" w:color="auto"/>
          <w:color w:val="auto"/>
        </w:rPr>
        <w:t>ownership record date</w:t>
      </w:r>
      <w:r>
        <w:rPr>
          <w:rFonts w:ascii="Arial" w:cs="Arial" w:eastAsia="Arial" w:hAnsi="Arial"/>
          <w:sz w:val="17"/>
          <w:szCs w:val="17"/>
          <w:color w:val="auto"/>
        </w:rPr>
        <w:t>”) by delivering notice in writing to the Secretary of the Corporation at the principal executive offices of the Corporation (the “record date request notice”). A person’s record date request notice shall contain information about the class or series and number of shares of stock of the Corporation which are owned of record and beneficially by the person and state the business proposed to be acted on at the meeting. Upon receiving a record date request notice, the Board of Directors may set an ownership record date. Notwithstanding any other provision of these Bylaws, the ownership record date shall not precede the date upon which the resolution fixing the ownership record date is adopted by the Board of Directors, and shall not be more than 10 days after the close of business on the date upon which the resolution fixing the ownership record date is adopted by the Board of Directors. If the Board of Directors, within 10 days after the date upon which a valid record date request notice is received by the Secretary of the Corporation, does not adopt a resolution fixing the ownership record date, the ownership record date shall be the close of business on the 10th day after the date upon which a valid record date request notice is received by the Secretary (or, if such 10th day is not a business day, the first business day thereafter).</w:t>
      </w:r>
    </w:p>
    <w:p>
      <w:pPr>
        <w:spacing w:after="0" w:line="73" w:lineRule="exact"/>
        <w:rPr>
          <w:rFonts w:ascii="Arial" w:cs="Arial" w:eastAsia="Arial" w:hAnsi="Arial"/>
          <w:sz w:val="17"/>
          <w:szCs w:val="17"/>
          <w:color w:val="auto"/>
        </w:rPr>
      </w:pPr>
    </w:p>
    <w:p>
      <w:pPr>
        <w:ind w:left="4" w:right="20" w:firstLine="987"/>
        <w:spacing w:after="0" w:line="257" w:lineRule="auto"/>
        <w:tabs>
          <w:tab w:leader="none" w:pos="1240" w:val="left"/>
        </w:tabs>
        <w:numPr>
          <w:ilvl w:val="1"/>
          <w:numId w:val="18"/>
        </w:numPr>
        <w:rPr>
          <w:rFonts w:ascii="Arial" w:cs="Arial" w:eastAsia="Arial" w:hAnsi="Arial"/>
          <w:sz w:val="18"/>
          <w:szCs w:val="18"/>
          <w:color w:val="auto"/>
        </w:rPr>
      </w:pPr>
      <w:r>
        <w:rPr>
          <w:rFonts w:ascii="Arial" w:cs="Arial" w:eastAsia="Arial" w:hAnsi="Arial"/>
          <w:sz w:val="18"/>
          <w:szCs w:val="18"/>
          <w:color w:val="auto"/>
        </w:rPr>
        <w:t>In order for a stockholder-requested special meeting to be called by the Secretary of the Corporation, one or more written requests for a special meeting signed by persons (or their duly authorized agents) who own or who are acting on behalf of persons who own, as of the ownership record date, at least the requisite percent (the “special meeting request”), shall be delivered to the Secretary. A special meeting request shall: (i) state the business (including the identity of nominees for election as a director, if any) proposed to be acted on at the meeting, which shall be limited to the business set forth in the record date request notice received by the Secretary;</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4"/>
          </w:cols>
          <w:pgMar w:left="436" w:top="274" w:right="459" w:bottom="1440" w:gutter="0" w:footer="0" w:header="0"/>
        </w:sectPr>
      </w:pPr>
    </w:p>
    <w:bookmarkStart w:id="19" w:name="page20"/>
    <w:bookmarkEnd w:id="19"/>
    <w:p>
      <w:pPr>
        <w:ind w:left="4" w:hanging="4"/>
        <w:spacing w:after="0" w:line="285" w:lineRule="auto"/>
        <w:tabs>
          <w:tab w:leader="none" w:pos="269" w:val="left"/>
        </w:tabs>
        <w:numPr>
          <w:ilvl w:val="0"/>
          <w:numId w:val="1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bear the date of signature of each such person (or duly authorized agent) submitting the special meeting request; (iii) set forth the name and address of each person submitting the special meeting request (as they appear on the Corporation’s books, if applicable); (iv) contain the information required by Section 2.10 below with respect to any director nominations or other business proposed to be presented at the special meeting, and as to each person requesting the meeting and each other person (including any beneficial owner) on whose behalf the person is acting, other than persons who have provided such request solely in response to any form of public solicitation for such requests, and the additional information required by Section 2.9(a) below; (v) include documentary evidence that the requesting persons own the requisite percent as of the ownership record date; provided, however, that if the requesting persons are not the beneficial owners of the shares representing the requisite percent, then to be valid, the special meeting request must also include documentary evidence of the number of shares owned (as defined in Section 2.2(b) above) by the beneficial owners on whose behalf the special meeting request is made as of the ownership record date; and (vi) be delivered to the Secretary of the Corporation at the principal executive offices of the Corporation, by hand or by certified or registered mail, return receipt requested, within 60 days after the ownership record date. The special meeting request shall be updated and supplemented within five business days after the record date for determining the stockholders entitled to vote at the stockholder requested-special meeting (or by the opening of business on the date of the meeting, whichever is earlier, if the record date for determining the stockholders entitled to vote at the meeting is different from the record date for determining the stockholders entitled to notice of the meeting), and in either case such information when provided to the Corporation shall be current as of the record date for determining the stockholders entitled to vote at the meeting. In addition, the requesting person and each other person (including any beneficial owner) on whose behalf the person is acting, shall provide such other information as the Corporation may reasonably request within 10 business days of such a request.</w:t>
      </w:r>
    </w:p>
    <w:p>
      <w:pPr>
        <w:spacing w:after="0" w:line="68" w:lineRule="exact"/>
        <w:rPr>
          <w:rFonts w:ascii="Arial" w:cs="Arial" w:eastAsia="Arial" w:hAnsi="Arial"/>
          <w:sz w:val="16"/>
          <w:szCs w:val="16"/>
          <w:color w:val="auto"/>
        </w:rPr>
      </w:pPr>
    </w:p>
    <w:p>
      <w:pPr>
        <w:ind w:left="4" w:right="20" w:firstLine="987"/>
        <w:spacing w:after="0" w:line="296" w:lineRule="auto"/>
        <w:tabs>
          <w:tab w:leader="none" w:pos="1250" w:val="left"/>
        </w:tabs>
        <w:numPr>
          <w:ilvl w:val="1"/>
          <w:numId w:val="19"/>
        </w:numPr>
        <w:rPr>
          <w:rFonts w:ascii="Arial" w:cs="Arial" w:eastAsia="Arial" w:hAnsi="Arial"/>
          <w:sz w:val="16"/>
          <w:szCs w:val="16"/>
          <w:color w:val="auto"/>
        </w:rPr>
      </w:pPr>
      <w:r>
        <w:rPr>
          <w:rFonts w:ascii="Arial" w:cs="Arial" w:eastAsia="Arial" w:hAnsi="Arial"/>
          <w:sz w:val="16"/>
          <w:szCs w:val="16"/>
          <w:color w:val="auto"/>
        </w:rPr>
        <w:t>After receiving a special meeting request, the Board of Directors shall determine in good faith whether the persons requesting the special meeting have satisfied the requirements for calling a special meeting of stockholders, and the Corporation shall notify the requesting person of the Board’s determination about whether the special meeting request is valid. The date, time and place of the special meeting shall be fixed by the Board of Directors, and the date of the special meeting shall not be more than 90 days after the date on which the Board of Directors fixes the date of the special meeting. The record date for the special meeting shall be fixed by the Board of Directors as set forth in Section 7.6(a) below.</w:t>
      </w:r>
    </w:p>
    <w:p>
      <w:pPr>
        <w:spacing w:after="0" w:line="53" w:lineRule="exact"/>
        <w:rPr>
          <w:rFonts w:ascii="Arial" w:cs="Arial" w:eastAsia="Arial" w:hAnsi="Arial"/>
          <w:sz w:val="16"/>
          <w:szCs w:val="16"/>
          <w:color w:val="auto"/>
        </w:rPr>
      </w:pPr>
    </w:p>
    <w:p>
      <w:pPr>
        <w:ind w:left="4" w:right="80" w:firstLine="987"/>
        <w:spacing w:after="0" w:line="272" w:lineRule="auto"/>
        <w:tabs>
          <w:tab w:leader="none" w:pos="1240" w:val="left"/>
        </w:tabs>
        <w:numPr>
          <w:ilvl w:val="1"/>
          <w:numId w:val="19"/>
        </w:numPr>
        <w:rPr>
          <w:rFonts w:ascii="Arial" w:cs="Arial" w:eastAsia="Arial" w:hAnsi="Arial"/>
          <w:sz w:val="17"/>
          <w:szCs w:val="17"/>
          <w:color w:val="auto"/>
        </w:rPr>
      </w:pPr>
      <w:r>
        <w:rPr>
          <w:rFonts w:ascii="Arial" w:cs="Arial" w:eastAsia="Arial" w:hAnsi="Arial"/>
          <w:sz w:val="17"/>
          <w:szCs w:val="17"/>
          <w:color w:val="auto"/>
        </w:rPr>
        <w:t>A special meeting request shall not be valid, and the Corporation shall not call a special meeting if: (i) the special meeting request relates to an item of business that is not a proper subject for stockholder action under, or that involves a violation of, applicable law; (ii) an item of business that is the same or substantially similar (as determined in good faith by the Board of Directors) was presented at a meeting of stockholders occurring within 90 days preceding the earliest date of signature on the special meeting request; (iii) the special meeting request is delivered during the period commencing 90 days prior to the first anniversary of the preceding year’s annual meeting and ending on the date of the next annual meeting of stockholders; or (iv) the special meeting request does not comply with the requirements of this Section 2.2. For purposes of this Section 2.2(f), the 2020 annual meeting of stockholders shall be deemed to have been held on July 23, 2020.</w:t>
      </w:r>
    </w:p>
    <w:p>
      <w:pPr>
        <w:spacing w:after="0" w:line="11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4"/>
          </w:cols>
          <w:pgMar w:left="436" w:top="274" w:right="459" w:bottom="1440" w:gutter="0" w:footer="0" w:header="0"/>
        </w:sectPr>
      </w:pPr>
    </w:p>
    <w:bookmarkStart w:id="20" w:name="page21"/>
    <w:bookmarkEnd w:id="20"/>
    <w:p>
      <w:pPr>
        <w:ind w:right="100" w:firstLine="987"/>
        <w:spacing w:after="0" w:line="290" w:lineRule="auto"/>
        <w:tabs>
          <w:tab w:leader="none" w:pos="1216" w:val="left"/>
        </w:tabs>
        <w:numPr>
          <w:ilvl w:val="0"/>
          <w:numId w:val="2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person who submitted a special meeting request may revoke its written request by written revocation delivered to the Secretary of the Corporation at the principal executive offices of the Corporation at any time prior to the stockholder-requested special meeting. A special meeting request shall be deemed revoked (and any meeting scheduled in response may be cancelled) if the persons submitting the special meeting request, and any beneficial owners on whose behalf they are acting (as applicable), do not continue to own (as defined in Section 2.2(b) above) at least the requisite percent at all times between the date the record date request notice is received by the Corporation and the date of the applicable stockholder-requested special meeting, and the requesting person shall promptly notify the Secretary of the Corporation of any decrease in ownership of shares of stock of the Corporation that results in such a revocation. If, as a result of any revocations, there are no longer valid unrevoked written requests from the requisite percent, the Board of Directors shall have the discretion to determine whether or not to proceed with the special meeting.</w:t>
      </w:r>
    </w:p>
    <w:p>
      <w:pPr>
        <w:spacing w:after="0" w:line="57" w:lineRule="exact"/>
        <w:rPr>
          <w:rFonts w:ascii="Arial" w:cs="Arial" w:eastAsia="Arial" w:hAnsi="Arial"/>
          <w:sz w:val="16"/>
          <w:szCs w:val="16"/>
          <w:color w:val="auto"/>
        </w:rPr>
      </w:pPr>
    </w:p>
    <w:p>
      <w:pPr>
        <w:ind w:firstLine="987"/>
        <w:spacing w:after="0" w:line="254" w:lineRule="auto"/>
        <w:tabs>
          <w:tab w:leader="none" w:pos="1246" w:val="left"/>
        </w:tabs>
        <w:numPr>
          <w:ilvl w:val="0"/>
          <w:numId w:val="20"/>
        </w:numPr>
        <w:rPr>
          <w:rFonts w:ascii="Arial" w:cs="Arial" w:eastAsia="Arial" w:hAnsi="Arial"/>
          <w:sz w:val="18"/>
          <w:szCs w:val="18"/>
          <w:color w:val="auto"/>
        </w:rPr>
      </w:pPr>
      <w:r>
        <w:rPr>
          <w:rFonts w:ascii="Arial" w:cs="Arial" w:eastAsia="Arial" w:hAnsi="Arial"/>
          <w:sz w:val="18"/>
          <w:szCs w:val="18"/>
          <w:color w:val="auto"/>
        </w:rPr>
        <w:t>Business transacted at a stockholder-requested special meeting shall be limited to: (i) the business stated in the valid special meeting request received from the requisite percent; and (ii) any additional business that the Board of Directors determines to include in the Corporation’s notice of meeting. If none of the persons who submitted the special meeting request (or their qualified representatives, as defined in Section 2.10(c)(i)) appears at the special meeting to present the matter or matters to be brought before the special meeting that were specified in the special meeting request, the Corporation need not present the matter or matters for a vote at the meeting, notwithstanding that proxies in respect of such vote may have been received by the Corporation. The Board of Directors may postpone, reschedule or cancel any special meeting of stockholders previously scheduled pursuant to this Section 2.2.</w:t>
      </w:r>
    </w:p>
    <w:p>
      <w:pPr>
        <w:spacing w:after="0" w:line="19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2.3 </w:t>
      </w:r>
      <w:r>
        <w:rPr>
          <w:rFonts w:ascii="Arial" w:cs="Arial" w:eastAsia="Arial" w:hAnsi="Arial"/>
          <w:sz w:val="18"/>
          <w:szCs w:val="18"/>
          <w:u w:val="single" w:color="auto"/>
          <w:color w:val="auto"/>
        </w:rPr>
        <w:t>Notice of Stockholders’ Meetings</w:t>
      </w:r>
      <w:r>
        <w:rPr>
          <w:rFonts w:ascii="Arial" w:cs="Arial" w:eastAsia="Arial" w:hAnsi="Arial"/>
          <w:sz w:val="18"/>
          <w:szCs w:val="18"/>
          <w:color w:val="auto"/>
        </w:rPr>
        <w:t>.</w:t>
      </w:r>
    </w:p>
    <w:p>
      <w:pPr>
        <w:spacing w:after="0" w:line="117" w:lineRule="exact"/>
        <w:rPr>
          <w:sz w:val="20"/>
          <w:szCs w:val="20"/>
          <w:color w:val="auto"/>
        </w:rPr>
      </w:pPr>
    </w:p>
    <w:p>
      <w:pPr>
        <w:ind w:firstLine="987"/>
        <w:spacing w:after="0" w:line="253" w:lineRule="auto"/>
        <w:tabs>
          <w:tab w:leader="none" w:pos="1236" w:val="left"/>
        </w:tabs>
        <w:numPr>
          <w:ilvl w:val="0"/>
          <w:numId w:val="21"/>
        </w:numPr>
        <w:rPr>
          <w:rFonts w:ascii="Arial" w:cs="Arial" w:eastAsia="Arial" w:hAnsi="Arial"/>
          <w:sz w:val="18"/>
          <w:szCs w:val="18"/>
          <w:color w:val="auto"/>
        </w:rPr>
      </w:pPr>
      <w:r>
        <w:rPr>
          <w:rFonts w:ascii="Arial" w:cs="Arial" w:eastAsia="Arial" w:hAnsi="Arial"/>
          <w:sz w:val="18"/>
          <w:szCs w:val="18"/>
          <w:color w:val="auto"/>
        </w:rPr>
        <w:t>Whenever stockholders are required or permitted to take any action at a meeting, notice of the place, if any, date, and time of the meeting of stockholders, the record date for determining the stockholders entitled to vote at the meeting (if such date is different from the record date for determining the stockholders entitled to notice of the meeting), the means of remote communications, if any, by which stockholders and proxyholders may be deemed to be present in person and vote at such meeting and, if the meeting is to be held solely by means of remote communications, the means for accessing the list of stockholders contemplated by Section 2.5 of these Bylaws, shall be given. The notice shall be given not less than 10 nor more than 60 days before the date on which the meeting is to be held, to each stockholder entitled to vote at such meeting as of the record date for determining the stockholders entitled to notice of the meeting, except as otherwise provided by law, the Certificate of Incorporation (including any Preferred Stock Designation) or these Bylaws. In the case of a special meeting, the purpose or purposes for which the meeting is called also shall be set forth in the notice.</w:t>
      </w:r>
    </w:p>
    <w:p>
      <w:pPr>
        <w:spacing w:after="0" w:line="88" w:lineRule="exact"/>
        <w:rPr>
          <w:rFonts w:ascii="Arial" w:cs="Arial" w:eastAsia="Arial" w:hAnsi="Arial"/>
          <w:sz w:val="18"/>
          <w:szCs w:val="18"/>
          <w:color w:val="auto"/>
        </w:rPr>
      </w:pPr>
    </w:p>
    <w:p>
      <w:pPr>
        <w:jc w:val="both"/>
        <w:ind w:right="260" w:firstLine="987"/>
        <w:spacing w:after="0" w:line="263" w:lineRule="auto"/>
        <w:tabs>
          <w:tab w:leader="none" w:pos="1246" w:val="left"/>
        </w:tabs>
        <w:numPr>
          <w:ilvl w:val="0"/>
          <w:numId w:val="21"/>
        </w:numPr>
        <w:rPr>
          <w:rFonts w:ascii="Arial" w:cs="Arial" w:eastAsia="Arial" w:hAnsi="Arial"/>
          <w:sz w:val="18"/>
          <w:szCs w:val="18"/>
          <w:color w:val="auto"/>
        </w:rPr>
      </w:pPr>
      <w:r>
        <w:rPr>
          <w:rFonts w:ascii="Arial" w:cs="Arial" w:eastAsia="Arial" w:hAnsi="Arial"/>
          <w:sz w:val="18"/>
          <w:szCs w:val="18"/>
          <w:color w:val="auto"/>
        </w:rPr>
        <w:t>Except as otherwise required by law, notice may be given in writing directed to a stockholder’s mailing address as it appears on the records of the Corporation and shall be given: (i) if mailed, when notice is deposited in the U.S. mail, postage prepaid; and (ii) if delivered by courier service, the earlier of when the notice is received or left at such stockholder’s address.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21" w:name="page22"/>
    <w:bookmarkEnd w:id="21"/>
    <w:p>
      <w:pPr>
        <w:ind w:right="40" w:firstLine="987"/>
        <w:spacing w:after="0" w:line="293" w:lineRule="auto"/>
        <w:tabs>
          <w:tab w:leader="none" w:pos="1236" w:val="left"/>
        </w:tabs>
        <w:numPr>
          <w:ilvl w:val="0"/>
          <w:numId w:val="2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So long as the Corporation is subject to the Securities and Exchange Commission’s proxy rules set forth in Regulation 14A under the Securities Exchange Act of 1934 (the “</w:t>
      </w:r>
      <w:r>
        <w:rPr>
          <w:rFonts w:ascii="Arial" w:cs="Arial" w:eastAsia="Arial" w:hAnsi="Arial"/>
          <w:sz w:val="16"/>
          <w:szCs w:val="16"/>
          <w:u w:val="single" w:color="auto"/>
          <w:color w:val="auto"/>
        </w:rPr>
        <w:t>Exchange Act</w:t>
      </w:r>
      <w:r>
        <w:rPr>
          <w:rFonts w:ascii="Arial" w:cs="Arial" w:eastAsia="Arial" w:hAnsi="Arial"/>
          <w:sz w:val="16"/>
          <w:szCs w:val="16"/>
          <w:color w:val="auto"/>
        </w:rPr>
        <w:t>”), notice shall be given in the manner required by such rules. To the extent permitted by such rules, notice may be given by electronic transmission directed to the stockholder’s electronic mail address, and if so given, shall be given when directed to such stockholder’s electronic mail address unless the stockholder has notified the Corporation in writing or by electronic transmission of an objection to receiving notice by electronic mail or such notice is prohibited by Section 232(e) of the General Corporation Law of the State of Delaware (the “</w:t>
      </w:r>
      <w:r>
        <w:rPr>
          <w:rFonts w:ascii="Arial" w:cs="Arial" w:eastAsia="Arial" w:hAnsi="Arial"/>
          <w:sz w:val="16"/>
          <w:szCs w:val="16"/>
          <w:u w:val="single" w:color="auto"/>
          <w:color w:val="auto"/>
        </w:rPr>
        <w:t>DGCL</w:t>
      </w:r>
      <w:r>
        <w:rPr>
          <w:rFonts w:ascii="Arial" w:cs="Arial" w:eastAsia="Arial" w:hAnsi="Arial"/>
          <w:sz w:val="16"/>
          <w:szCs w:val="16"/>
          <w:color w:val="auto"/>
        </w:rPr>
        <w:t>”). If notice is given by electronic mail, such notice shall comply with the applicable provisions of Sections 232(a) and 232(d) of the DGCL.</w:t>
      </w:r>
    </w:p>
    <w:p>
      <w:pPr>
        <w:spacing w:after="0" w:line="56" w:lineRule="exact"/>
        <w:rPr>
          <w:rFonts w:ascii="Arial" w:cs="Arial" w:eastAsia="Arial" w:hAnsi="Arial"/>
          <w:sz w:val="16"/>
          <w:szCs w:val="16"/>
          <w:color w:val="auto"/>
        </w:rPr>
      </w:pPr>
    </w:p>
    <w:p>
      <w:pPr>
        <w:ind w:left="1240" w:hanging="253"/>
        <w:spacing w:after="0"/>
        <w:tabs>
          <w:tab w:leader="none" w:pos="1240" w:val="left"/>
        </w:tabs>
        <w:numPr>
          <w:ilvl w:val="0"/>
          <w:numId w:val="22"/>
        </w:numPr>
        <w:rPr>
          <w:rFonts w:ascii="Arial" w:cs="Arial" w:eastAsia="Arial" w:hAnsi="Arial"/>
          <w:sz w:val="17"/>
          <w:szCs w:val="17"/>
          <w:color w:val="auto"/>
        </w:rPr>
      </w:pPr>
      <w:r>
        <w:rPr>
          <w:rFonts w:ascii="Arial" w:cs="Arial" w:eastAsia="Arial" w:hAnsi="Arial"/>
          <w:sz w:val="17"/>
          <w:szCs w:val="17"/>
          <w:color w:val="auto"/>
        </w:rPr>
        <w:t>Notice may be given by other forms of electronic transmission with the consent of a stockholder in the manner permitted by</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Section 232(b) of the DGCL and shall be deemed given as provided therein.</w:t>
      </w:r>
    </w:p>
    <w:p>
      <w:pPr>
        <w:spacing w:after="0" w:line="103" w:lineRule="exact"/>
        <w:rPr>
          <w:sz w:val="20"/>
          <w:szCs w:val="20"/>
          <w:color w:val="auto"/>
        </w:rPr>
      </w:pPr>
    </w:p>
    <w:p>
      <w:pPr>
        <w:ind w:right="40" w:firstLine="987"/>
        <w:spacing w:after="0" w:line="259" w:lineRule="auto"/>
        <w:tabs>
          <w:tab w:leader="none" w:pos="1236" w:val="left"/>
        </w:tabs>
        <w:numPr>
          <w:ilvl w:val="0"/>
          <w:numId w:val="23"/>
        </w:numPr>
        <w:rPr>
          <w:rFonts w:ascii="Arial" w:cs="Arial" w:eastAsia="Arial" w:hAnsi="Arial"/>
          <w:sz w:val="18"/>
          <w:szCs w:val="18"/>
          <w:color w:val="auto"/>
        </w:rPr>
      </w:pPr>
      <w:r>
        <w:rPr>
          <w:rFonts w:ascii="Arial" w:cs="Arial" w:eastAsia="Arial" w:hAnsi="Arial"/>
          <w:sz w:val="18"/>
          <w:szCs w:val="18"/>
          <w:color w:val="auto"/>
        </w:rPr>
        <w:t xml:space="preserve">An affidavit that notice has been given, executed by the Secretary of the Corporation, Assistant Secretary or any transfer agent or other agent of the Corporation, shall be </w:t>
      </w:r>
      <w:r>
        <w:rPr>
          <w:rFonts w:ascii="Arial" w:cs="Arial" w:eastAsia="Arial" w:hAnsi="Arial"/>
          <w:sz w:val="18"/>
          <w:szCs w:val="18"/>
          <w:i w:val="1"/>
          <w:iCs w:val="1"/>
          <w:color w:val="auto"/>
        </w:rPr>
        <w:t>prima facie</w:t>
      </w:r>
      <w:r>
        <w:rPr>
          <w:rFonts w:ascii="Arial" w:cs="Arial" w:eastAsia="Arial" w:hAnsi="Arial"/>
          <w:sz w:val="18"/>
          <w:szCs w:val="18"/>
          <w:color w:val="auto"/>
        </w:rPr>
        <w:t xml:space="preserve"> evidence of the facts stated in the notice in the absence of fraud. Notice shall be deemed to have been given to all stockholders who share an address if notice is given in accordance with the “householding” rules set forth in Rule 14a-3(e) under the Exchange Act and Section 233 of the DGCL.</w:t>
      </w:r>
    </w:p>
    <w:p>
      <w:pPr>
        <w:spacing w:after="0" w:line="78" w:lineRule="exact"/>
        <w:rPr>
          <w:rFonts w:ascii="Arial" w:cs="Arial" w:eastAsia="Arial" w:hAnsi="Arial"/>
          <w:sz w:val="18"/>
          <w:szCs w:val="18"/>
          <w:color w:val="auto"/>
        </w:rPr>
      </w:pPr>
    </w:p>
    <w:p>
      <w:pPr>
        <w:ind w:firstLine="987"/>
        <w:spacing w:after="0" w:line="272" w:lineRule="auto"/>
        <w:tabs>
          <w:tab w:leader="none" w:pos="1216" w:val="left"/>
        </w:tabs>
        <w:numPr>
          <w:ilvl w:val="0"/>
          <w:numId w:val="23"/>
        </w:numPr>
        <w:rPr>
          <w:rFonts w:ascii="Arial" w:cs="Arial" w:eastAsia="Arial" w:hAnsi="Arial"/>
          <w:sz w:val="17"/>
          <w:szCs w:val="17"/>
          <w:color w:val="auto"/>
        </w:rPr>
      </w:pPr>
      <w:r>
        <w:rPr>
          <w:rFonts w:ascii="Arial" w:cs="Arial" w:eastAsia="Arial" w:hAnsi="Arial"/>
          <w:sz w:val="17"/>
          <w:szCs w:val="17"/>
          <w:color w:val="auto"/>
        </w:rPr>
        <w:t xml:space="preserve">When a meeting is adjourned to another time or place, notice need not be given of the adjourned meeting if the place, if any, date and time thereof, and the means of remote communications, if any, by which stockholders and proxyholders may be deemed to be present in person and vote at such adjourned meeting are announced at the meeting at which the adjournment is taken;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if the adjournment is for more than 30 days, a notice of the adjourned meeting shall be given to each stockholder of record entitled to vote at the meeting. If after the adjournment a new record date for stockholders entitled to vote is fixed for the adjourned meeting, the Board of Directors shall fix a new record date for notice of such adjourned meeting in accordance with Section 7.6(a), and shall give notice of the adjourned meeting to each stockholder of record entitled to vote at such adjourned meeting as of the record date fixed for notice of such adjourned meeting.</w:t>
      </w:r>
    </w:p>
    <w:p>
      <w:pPr>
        <w:spacing w:after="0" w:line="177"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2.4 </w:t>
      </w:r>
      <w:r>
        <w:rPr>
          <w:rFonts w:ascii="Arial" w:cs="Arial" w:eastAsia="Arial" w:hAnsi="Arial"/>
          <w:sz w:val="18"/>
          <w:szCs w:val="18"/>
          <w:u w:val="single" w:color="auto"/>
          <w:color w:val="auto"/>
        </w:rPr>
        <w:t>Organization</w:t>
      </w:r>
      <w:r>
        <w:rPr>
          <w:rFonts w:ascii="Arial" w:cs="Arial" w:eastAsia="Arial" w:hAnsi="Arial"/>
          <w:sz w:val="18"/>
          <w:szCs w:val="18"/>
          <w:color w:val="auto"/>
        </w:rPr>
        <w:t>.</w:t>
      </w:r>
    </w:p>
    <w:p>
      <w:pPr>
        <w:spacing w:after="0" w:line="117" w:lineRule="exact"/>
        <w:rPr>
          <w:sz w:val="20"/>
          <w:szCs w:val="20"/>
          <w:color w:val="auto"/>
        </w:rPr>
      </w:pPr>
    </w:p>
    <w:p>
      <w:pPr>
        <w:jc w:val="both"/>
        <w:ind w:right="60" w:firstLine="987"/>
        <w:spacing w:after="0" w:line="279" w:lineRule="auto"/>
        <w:tabs>
          <w:tab w:leader="none" w:pos="1236" w:val="left"/>
        </w:tabs>
        <w:numPr>
          <w:ilvl w:val="0"/>
          <w:numId w:val="24"/>
        </w:numPr>
        <w:rPr>
          <w:rFonts w:ascii="Arial" w:cs="Arial" w:eastAsia="Arial" w:hAnsi="Arial"/>
          <w:sz w:val="17"/>
          <w:szCs w:val="17"/>
          <w:color w:val="auto"/>
        </w:rPr>
      </w:pPr>
      <w:r>
        <w:rPr>
          <w:rFonts w:ascii="Arial" w:cs="Arial" w:eastAsia="Arial" w:hAnsi="Arial"/>
          <w:sz w:val="17"/>
          <w:szCs w:val="17"/>
          <w:color w:val="auto"/>
        </w:rPr>
        <w:t>Unless otherwise determined by the Board of Directors, meetings of stockholders shall be presided over by the Board Chair, or in their absence, by the Chief Executive Officer or, in their absence, by another person designated by the Board of Directors. The Secretary of the Corporation, or in their absence, an Assistant Secretary, or in the absence of the Secretary and all Assistant Secretaries, a person whom the chair of the meeting shall appoint, shall act as secretary of the meeting and keep a record of the proceedings thereof.</w:t>
      </w:r>
    </w:p>
    <w:p>
      <w:pPr>
        <w:spacing w:after="0" w:line="10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80"/>
          </w:cols>
          <w:pgMar w:left="440" w:top="274" w:right="479" w:bottom="1440" w:gutter="0" w:footer="0" w:header="0"/>
        </w:sectPr>
      </w:pPr>
    </w:p>
    <w:bookmarkStart w:id="22" w:name="page23"/>
    <w:bookmarkEnd w:id="22"/>
    <w:p>
      <w:pPr>
        <w:ind w:left="4" w:right="20" w:firstLine="987"/>
        <w:spacing w:after="0" w:line="283" w:lineRule="auto"/>
        <w:tabs>
          <w:tab w:leader="none" w:pos="1250" w:val="left"/>
        </w:tabs>
        <w:numPr>
          <w:ilvl w:val="1"/>
          <w:numId w:val="2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date and time of the opening and the closing of the polls for each matter upon which the stockholders shall vote at a meeting of stockholders shall be announced at the meeting. The Board of Directors may adopt such rules and regulations for the conduct of any meeting of stockholders as it shall deem appropriate. Except to the extent inconsistent with such rules and regulations as adopted by the Board of Directors, the chair of the meeting shall have the authority to adopt and enforce such rules and regulations for the conduct of any meeting of stockholders and the safety of those in attendance as, in the judgment of the chair, are necessary, appropriate or convenient for the conduct of the meeting. Rules and regulations for the conduct of meetings of stockholders, whether adopted by the Board of Directors or by the chair of the meeting, may include, without limitation, establishing: (i) an agenda or order of business for the meeting; (ii) rules and procedures for maintaining order at the meeting and the safety of those present; (iii) limitations on attendance at or participation in the meeting to stockholders entitled to vote at the meeting, their duly authorized and constituted proxies and such other persons as the chair of the meeting shall permit; (iv) restrictions on entry to the meeting after the time fixed for the commencement thereof; (v) limitations on the time allotted for consideration of each agenda item and for questions and comments by participants;</w:t>
      </w:r>
    </w:p>
    <w:p>
      <w:pPr>
        <w:spacing w:after="0" w:line="4" w:lineRule="exact"/>
        <w:rPr>
          <w:rFonts w:ascii="Arial" w:cs="Arial" w:eastAsia="Arial" w:hAnsi="Arial"/>
          <w:sz w:val="16"/>
          <w:szCs w:val="16"/>
          <w:color w:val="auto"/>
        </w:rPr>
      </w:pPr>
    </w:p>
    <w:p>
      <w:pPr>
        <w:ind w:left="4" w:right="20" w:hanging="4"/>
        <w:spacing w:after="0" w:line="251" w:lineRule="auto"/>
        <w:tabs>
          <w:tab w:leader="none" w:pos="309" w:val="left"/>
        </w:tabs>
        <w:numPr>
          <w:ilvl w:val="0"/>
          <w:numId w:val="26"/>
        </w:numPr>
        <w:rPr>
          <w:rFonts w:ascii="Arial" w:cs="Arial" w:eastAsia="Arial" w:hAnsi="Arial"/>
          <w:sz w:val="18"/>
          <w:szCs w:val="18"/>
          <w:color w:val="auto"/>
        </w:rPr>
      </w:pPr>
      <w:r>
        <w:rPr>
          <w:rFonts w:ascii="Arial" w:cs="Arial" w:eastAsia="Arial" w:hAnsi="Arial"/>
          <w:sz w:val="18"/>
          <w:szCs w:val="18"/>
          <w:color w:val="auto"/>
        </w:rPr>
        <w:t>regulations for the opening and closing of the polls for balloting and matters which are to be voted on by ballot (if any); and (vii) procedures (if any) requiring attendees to provide the Corporation advance notice of their intent to attend the meeting. Subject to any rules and regulations adopted by the Board of Directors, the chair of the meeting may convene and, for any or no reason, from time to time, adjourn and/or recess any meeting of stockholders pursuant to Section 2.7. The chair of the meeting, in addition to making any other determinations that may be appropriate to the conduct of the meeting, shall have the power to declare that a nomination or other business was not properly brought before the meeting if the facts warrant (including if a determination is made, pursuant to Section 2.10(c)(i) of these Bylaws, that a nomination or other business was not made or proposed, as the case may be, in accordance with Section 2.10 of these Bylaws), and if such chair should so declare, such nomination shall be disregarded or such other business shall not be transacted.</w:t>
      </w:r>
    </w:p>
    <w:p>
      <w:pPr>
        <w:spacing w:after="0" w:line="198" w:lineRule="exact"/>
        <w:rPr>
          <w:sz w:val="20"/>
          <w:szCs w:val="20"/>
          <w:color w:val="auto"/>
        </w:rPr>
      </w:pPr>
    </w:p>
    <w:p>
      <w:pPr>
        <w:ind w:left="4" w:firstLine="991"/>
        <w:spacing w:after="0" w:line="286" w:lineRule="auto"/>
        <w:rPr>
          <w:sz w:val="20"/>
          <w:szCs w:val="20"/>
          <w:color w:val="auto"/>
        </w:rPr>
      </w:pPr>
      <w:r>
        <w:rPr>
          <w:rFonts w:ascii="Arial" w:cs="Arial" w:eastAsia="Arial" w:hAnsi="Arial"/>
          <w:sz w:val="16"/>
          <w:szCs w:val="16"/>
          <w:color w:val="auto"/>
        </w:rPr>
        <w:t xml:space="preserve">Section 2.5 </w:t>
      </w:r>
      <w:r>
        <w:rPr>
          <w:rFonts w:ascii="Arial" w:cs="Arial" w:eastAsia="Arial" w:hAnsi="Arial"/>
          <w:sz w:val="16"/>
          <w:szCs w:val="16"/>
          <w:u w:val="single" w:color="auto"/>
          <w:color w:val="auto"/>
        </w:rPr>
        <w:t>List of Stockholders</w:t>
      </w:r>
      <w:r>
        <w:rPr>
          <w:rFonts w:ascii="Arial" w:cs="Arial" w:eastAsia="Arial" w:hAnsi="Arial"/>
          <w:sz w:val="16"/>
          <w:szCs w:val="16"/>
          <w:color w:val="auto"/>
        </w:rPr>
        <w:t xml:space="preserve">. The Corporation shall prepare, at least 10 days before every meeting of stockholders, a complete list of the stockholders entitled to vote at the meeting;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if the record date for determining the stockholders entitled to vote is less than 10 days before the date of the meeting, the list shall reflect the stockholders entitled to vote as of the 10th day before the meeting date. Such list shall be arranged in alphabetical order and shall show the address of each stockholder and the number of shares registered in the name of each stockholder. Nothing in this Section 2.5 shall require the Corporation to include electronic mail addresses or other electronic contact information on such list. Such list shall be open to the examination of any stockholder for any purpose germane to the meeting at least 10 days prior to the meeting: (a) on a reasonably accessible electronic network,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information required to gain access to such list is provided with the notice of meeting; or (b) during ordinary business hours at the principal place of business of the Corporation. In the event that the Corporation determines to make the list available on an electronic network, the Corporation may take reasonable steps to ensure that such information is available only to stockholders of the Corporation. If the meeting is to be held at a place, then a list of stockholders entitled to vote at the meeting shall be produced and kept at the time and place of the meeting during the whole time thereof and may be examined by any stockholder who is present. If the meeting is to be held solely by means of remote communication, then the list shall also be open to the examination of any stockholder during the whole time of the meeting on a reasonably accessible electronic network, and the information required to access such list shall be provided with the notice of the meeting. Except as otherwise required by law, the stock ledger shall be the only evidence as to who are the stockholders entitled to examine the list of stockholders required by this Section 2.5 or to vote in person or by proxy at any meeting of stockholders.</w:t>
      </w:r>
    </w:p>
    <w:p>
      <w:pPr>
        <w:spacing w:after="0" w:line="10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4"/>
          </w:cols>
          <w:pgMar w:left="436" w:top="274" w:right="459" w:bottom="1440" w:gutter="0" w:footer="0" w:header="0"/>
        </w:sectPr>
      </w:pPr>
    </w:p>
    <w:bookmarkStart w:id="23" w:name="page24"/>
    <w:bookmarkEnd w:id="23"/>
    <w:p>
      <w:pPr>
        <w:ind w:right="40" w:firstLine="991"/>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2.6 </w:t>
      </w:r>
      <w:r>
        <w:rPr>
          <w:rFonts w:ascii="Arial" w:cs="Arial" w:eastAsia="Arial" w:hAnsi="Arial"/>
          <w:sz w:val="16"/>
          <w:szCs w:val="16"/>
          <w:u w:val="single" w:color="auto"/>
          <w:color w:val="auto"/>
        </w:rPr>
        <w:t>Quorum</w:t>
      </w:r>
      <w:r>
        <w:rPr>
          <w:rFonts w:ascii="Arial" w:cs="Arial" w:eastAsia="Arial" w:hAnsi="Arial"/>
          <w:sz w:val="16"/>
          <w:szCs w:val="16"/>
          <w:color w:val="auto"/>
        </w:rPr>
        <w:t xml:space="preserve">. Except as otherwise required by law, the Certificate of Incorporation (including any Preferred Stock Designation) or these Bylaws, at any meeting of stockholders, a majority of the voting power of the stock outstanding and entitled to vote at the meeting, present in person or represented by proxy, shall constitute a quorum for the transaction of business;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where a separate vote by a class or series or classes or series is required, a majority of the voting power of the stock of such class or series or classes or series outstanding and entitled to vote on that matter, present in person or represented by proxy, shall constitute a quorum entitled to take action with respect to such matter. If a quorum is not present or represented at any meeting of stockholders, then the chair of the meeting, or a majority of the voting power of the stock present in person or represented by proxy at the meeting and entitled to vote thereon, shall have power to adjourn or recess the meeting from time to time in accordance with Section 2.7, until a quorum is present or represented. Subject to applicable law, if a quorum initially is present at any meeting of stockholders, the stockholders may continue to transact business until adjournment or recess, notwithstanding the withdrawal of enough stockholders to leave less than a quorum, but if a quorum is not present at least initially, no business other than adjournment or recess may be transacted.</w:t>
      </w:r>
    </w:p>
    <w:p>
      <w:pPr>
        <w:spacing w:after="0" w:line="168" w:lineRule="exact"/>
        <w:rPr>
          <w:sz w:val="20"/>
          <w:szCs w:val="20"/>
          <w:color w:val="auto"/>
        </w:rPr>
      </w:pPr>
    </w:p>
    <w:p>
      <w:pPr>
        <w:ind w:right="160" w:firstLine="991"/>
        <w:spacing w:after="0" w:line="255" w:lineRule="auto"/>
        <w:rPr>
          <w:sz w:val="20"/>
          <w:szCs w:val="20"/>
          <w:color w:val="auto"/>
        </w:rPr>
      </w:pPr>
      <w:r>
        <w:rPr>
          <w:rFonts w:ascii="Arial" w:cs="Arial" w:eastAsia="Arial" w:hAnsi="Arial"/>
          <w:sz w:val="18"/>
          <w:szCs w:val="18"/>
          <w:color w:val="auto"/>
        </w:rPr>
        <w:t xml:space="preserve">Section 2.7 </w:t>
      </w:r>
      <w:r>
        <w:rPr>
          <w:rFonts w:ascii="Arial" w:cs="Arial" w:eastAsia="Arial" w:hAnsi="Arial"/>
          <w:sz w:val="18"/>
          <w:szCs w:val="18"/>
          <w:u w:val="single" w:color="auto"/>
          <w:color w:val="auto"/>
        </w:rPr>
        <w:t>Adjourned or Recessed Meeting</w:t>
      </w:r>
      <w:r>
        <w:rPr>
          <w:rFonts w:ascii="Arial" w:cs="Arial" w:eastAsia="Arial" w:hAnsi="Arial"/>
          <w:sz w:val="18"/>
          <w:szCs w:val="18"/>
          <w:color w:val="auto"/>
        </w:rPr>
        <w:t>. Any annual or special meeting of stockholders, whether or not a quorum is present, may be adjourned or recessed for any or no reason from time to time by the chair of the meeting, subject to any rules and regulations adopted by the Board of Directors pursuant to Section 2.4(b). Any such meeting may be adjourned for any or no reason (and may be recessed if a quorum is not present or represented) from time to time by a majority of the voting power of the stock present in person or represented by proxy at the meeting and entitled to vote thereon. At any such adjourned or recessed meeting at which a quorum is present, any business may be transacted that might have been transacted at the meeting as originally called.</w:t>
      </w:r>
    </w:p>
    <w:p>
      <w:pPr>
        <w:spacing w:after="0" w:line="192"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2.8 </w:t>
      </w:r>
      <w:r>
        <w:rPr>
          <w:rFonts w:ascii="Arial" w:cs="Arial" w:eastAsia="Arial" w:hAnsi="Arial"/>
          <w:sz w:val="18"/>
          <w:szCs w:val="18"/>
          <w:u w:val="single" w:color="auto"/>
          <w:color w:val="auto"/>
        </w:rPr>
        <w:t>Voting; Proxies</w:t>
      </w:r>
      <w:r>
        <w:rPr>
          <w:rFonts w:ascii="Arial" w:cs="Arial" w:eastAsia="Arial" w:hAnsi="Arial"/>
          <w:sz w:val="18"/>
          <w:szCs w:val="18"/>
          <w:color w:val="auto"/>
        </w:rPr>
        <w:t>.</w:t>
      </w:r>
    </w:p>
    <w:p>
      <w:pPr>
        <w:spacing w:after="0" w:line="117" w:lineRule="exact"/>
        <w:rPr>
          <w:sz w:val="20"/>
          <w:szCs w:val="20"/>
          <w:color w:val="auto"/>
        </w:rPr>
      </w:pPr>
    </w:p>
    <w:p>
      <w:pPr>
        <w:ind w:right="160" w:firstLine="987"/>
        <w:spacing w:after="0" w:line="263" w:lineRule="auto"/>
        <w:tabs>
          <w:tab w:leader="none" w:pos="1236" w:val="left"/>
        </w:tabs>
        <w:numPr>
          <w:ilvl w:val="0"/>
          <w:numId w:val="27"/>
        </w:numPr>
        <w:rPr>
          <w:rFonts w:ascii="Arial" w:cs="Arial" w:eastAsia="Arial" w:hAnsi="Arial"/>
          <w:sz w:val="18"/>
          <w:szCs w:val="18"/>
          <w:color w:val="auto"/>
        </w:rPr>
      </w:pPr>
      <w:r>
        <w:rPr>
          <w:rFonts w:ascii="Arial" w:cs="Arial" w:eastAsia="Arial" w:hAnsi="Arial"/>
          <w:sz w:val="18"/>
          <w:szCs w:val="18"/>
          <w:color w:val="auto"/>
        </w:rPr>
        <w:t>Except as otherwise required by law or the Certificate of Incorporation (including any Preferred Stock Designation), each holder of stock of the Corporation entitled to vote at any meeting of stockholders shall be entitled to one vote for each share of such stock held of record by such holder that has voting power upon the subject matter in question.</w:t>
      </w:r>
    </w:p>
    <w:p>
      <w:pPr>
        <w:spacing w:after="0" w:line="75" w:lineRule="exact"/>
        <w:rPr>
          <w:rFonts w:ascii="Arial" w:cs="Arial" w:eastAsia="Arial" w:hAnsi="Arial"/>
          <w:sz w:val="18"/>
          <w:szCs w:val="18"/>
          <w:color w:val="auto"/>
        </w:rPr>
      </w:pPr>
    </w:p>
    <w:p>
      <w:pPr>
        <w:ind w:firstLine="987"/>
        <w:spacing w:after="0" w:line="272" w:lineRule="auto"/>
        <w:tabs>
          <w:tab w:leader="none" w:pos="1246" w:val="left"/>
        </w:tabs>
        <w:numPr>
          <w:ilvl w:val="0"/>
          <w:numId w:val="27"/>
        </w:numPr>
        <w:rPr>
          <w:rFonts w:ascii="Arial" w:cs="Arial" w:eastAsia="Arial" w:hAnsi="Arial"/>
          <w:sz w:val="17"/>
          <w:szCs w:val="17"/>
          <w:color w:val="auto"/>
        </w:rPr>
      </w:pPr>
      <w:r>
        <w:rPr>
          <w:rFonts w:ascii="Arial" w:cs="Arial" w:eastAsia="Arial" w:hAnsi="Arial"/>
          <w:sz w:val="17"/>
          <w:szCs w:val="17"/>
          <w:color w:val="auto"/>
        </w:rPr>
        <w:t>Except as otherwise required by law, the Certificate of Incorporation (including any Preferred Stock Designation), these Bylaws or any law, rule or regulation applicable to the Corporation or its securities, 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and where a separate vote by a class or series or classes or series is required, if a quorum of such class or series or classes or series is present, such act shall be authorized by the affirmative vote of at least a majority of the voting power of the stock of such class or series or classes or series present in person or represented by proxy and entitled to vote on the subject matter. Voting at meetings of stockholders need not be by written ballot.</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20"/>
          </w:cols>
          <w:pgMar w:left="440" w:top="274" w:right="439" w:bottom="1440" w:gutter="0" w:footer="0" w:header="0"/>
        </w:sectPr>
      </w:pPr>
    </w:p>
    <w:bookmarkStart w:id="24" w:name="page25"/>
    <w:bookmarkEnd w:id="24"/>
    <w:p>
      <w:pPr>
        <w:ind w:firstLine="987"/>
        <w:spacing w:after="0" w:line="254" w:lineRule="auto"/>
        <w:tabs>
          <w:tab w:leader="none" w:pos="1236"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Proxies</w:t>
      </w:r>
      <w:r>
        <w:rPr>
          <w:rFonts w:ascii="Arial" w:cs="Arial" w:eastAsia="Arial" w:hAnsi="Arial"/>
          <w:sz w:val="18"/>
          <w:szCs w:val="18"/>
          <w:color w:val="auto"/>
        </w:rPr>
        <w:t>. 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 A proxy shall be irrevocable if it states that it is irrevocable and if, and only as long as, it is coupled with an interest sufficient in law to support an irrevocable power. A proxy may be made irrevocable regardless of whether the interest with which it is coupled is an interest in the stock itself or an interest in the Corporation generally. A stockholder may revoke any proxy which is not irrevocable by attending the meeting and voting in person or by delivering to the Secretary of the Corporation a revocation of the proxy or an executed new proxy bearing a later date.</w:t>
      </w:r>
    </w:p>
    <w:p>
      <w:pPr>
        <w:spacing w:after="0" w:line="19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2.9 </w:t>
      </w:r>
      <w:r>
        <w:rPr>
          <w:rFonts w:ascii="Arial" w:cs="Arial" w:eastAsia="Arial" w:hAnsi="Arial"/>
          <w:sz w:val="18"/>
          <w:szCs w:val="18"/>
          <w:u w:val="single" w:color="auto"/>
          <w:color w:val="auto"/>
        </w:rPr>
        <w:t>Submission of Information by Director Nominees</w:t>
      </w:r>
      <w:r>
        <w:rPr>
          <w:rFonts w:ascii="Arial" w:cs="Arial" w:eastAsia="Arial" w:hAnsi="Arial"/>
          <w:sz w:val="18"/>
          <w:szCs w:val="18"/>
          <w:color w:val="auto"/>
        </w:rPr>
        <w:t>.</w:t>
      </w:r>
    </w:p>
    <w:p>
      <w:pPr>
        <w:spacing w:after="0" w:line="117" w:lineRule="exact"/>
        <w:rPr>
          <w:sz w:val="20"/>
          <w:szCs w:val="20"/>
          <w:color w:val="auto"/>
        </w:rPr>
      </w:pPr>
    </w:p>
    <w:p>
      <w:pPr>
        <w:ind w:right="140" w:firstLine="987"/>
        <w:spacing w:after="0" w:line="277" w:lineRule="auto"/>
        <w:tabs>
          <w:tab w:leader="none" w:pos="1236"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be eligible to be a nominee for election or re-election as a director of the Corporation, a person must deliver to the Secretary of the Corporation at the principal executive offices of the Corporation the following information:</w:t>
      </w:r>
    </w:p>
    <w:p>
      <w:pPr>
        <w:spacing w:after="0" w:line="62" w:lineRule="exact"/>
        <w:rPr>
          <w:rFonts w:ascii="Arial" w:cs="Arial" w:eastAsia="Arial" w:hAnsi="Arial"/>
          <w:sz w:val="18"/>
          <w:szCs w:val="18"/>
          <w:color w:val="auto"/>
        </w:rPr>
      </w:pPr>
    </w:p>
    <w:p>
      <w:pPr>
        <w:ind w:firstLine="1428"/>
        <w:spacing w:after="0" w:line="269" w:lineRule="auto"/>
        <w:tabs>
          <w:tab w:leader="none" w:pos="1647" w:val="left"/>
        </w:tabs>
        <w:numPr>
          <w:ilvl w:val="1"/>
          <w:numId w:val="29"/>
        </w:numPr>
        <w:rPr>
          <w:rFonts w:ascii="Arial" w:cs="Arial" w:eastAsia="Arial" w:hAnsi="Arial"/>
          <w:sz w:val="17"/>
          <w:szCs w:val="17"/>
          <w:color w:val="auto"/>
        </w:rPr>
      </w:pPr>
      <w:r>
        <w:rPr>
          <w:rFonts w:ascii="Arial" w:cs="Arial" w:eastAsia="Arial" w:hAnsi="Arial"/>
          <w:sz w:val="17"/>
          <w:szCs w:val="17"/>
          <w:color w:val="auto"/>
        </w:rPr>
        <w:t>a written representation and agreement, which shall be signed by such person and pursuant to which such person shall represent and agree that such person: (A) consents to serving as a director if elected and to being named in the Corporation’s proxy statement and form of proxy as a nominee, and currently intends to serve as a director for the full term for which such person is standing for election; (B) is not and will not become a party to any agreement, arrangement or understanding with, and has not given any commitment or assurance to, any person or entity: (1) as to how the person, if elected as a director, will act or vote on any issue or question that has not been disclosed to the Corporation; or (2) that could limit or interfere with the person’s ability to comply, if elected as a director, with such person’s fiduciary duties under applicable law; (C) is not and will not become a party to any agreement, arrangement or understanding with any person or entity other than the Corporation with respect to any direct or indirect compensation, reimbursement or indemnification in connection with service or action as a director or nominee that has not been disclosed to the Corporation; and (D) if elected as a director, will comply with all of the Corporation’s corporate governance, conflict of interest, confidentiality, and stock ownership and trading policies and guidelines, and any other Corporation policies and guidelines applicable to directors (which will be promptly provided following a request therefor); and</w:t>
      </w:r>
    </w:p>
    <w:p>
      <w:pPr>
        <w:spacing w:after="0" w:line="73" w:lineRule="exact"/>
        <w:rPr>
          <w:rFonts w:ascii="Arial" w:cs="Arial" w:eastAsia="Arial" w:hAnsi="Arial"/>
          <w:sz w:val="17"/>
          <w:szCs w:val="17"/>
          <w:color w:val="auto"/>
        </w:rPr>
      </w:pPr>
    </w:p>
    <w:p>
      <w:pPr>
        <w:ind w:right="240" w:firstLine="1428"/>
        <w:spacing w:after="0" w:line="257" w:lineRule="auto"/>
        <w:tabs>
          <w:tab w:leader="none" w:pos="1697" w:val="left"/>
        </w:tabs>
        <w:numPr>
          <w:ilvl w:val="1"/>
          <w:numId w:val="29"/>
        </w:numPr>
        <w:rPr>
          <w:rFonts w:ascii="Arial" w:cs="Arial" w:eastAsia="Arial" w:hAnsi="Arial"/>
          <w:sz w:val="18"/>
          <w:szCs w:val="18"/>
          <w:color w:val="auto"/>
        </w:rPr>
      </w:pPr>
      <w:r>
        <w:rPr>
          <w:rFonts w:ascii="Arial" w:cs="Arial" w:eastAsia="Arial" w:hAnsi="Arial"/>
          <w:sz w:val="18"/>
          <w:szCs w:val="18"/>
          <w:color w:val="auto"/>
        </w:rPr>
        <w:t>all completed and signed questionnaires prepared by the Corporation (including those questionnaires required of the Corporation’s directors and any other questionnaire the Corporation determines is necessary or advisable to assess whether a nominee will satisfy any qualifications or requirements imposed by the Certificate of Incorporation or these Bylaws, any law, rule, regulation or listing standard that may be applicable to the Corporation, and the Corporation’s corporate governance policies and guidelines) (all of the foregoing, “</w:t>
      </w:r>
      <w:r>
        <w:rPr>
          <w:rFonts w:ascii="Arial" w:cs="Arial" w:eastAsia="Arial" w:hAnsi="Arial"/>
          <w:sz w:val="18"/>
          <w:szCs w:val="18"/>
          <w:u w:val="single" w:color="auto"/>
          <w:color w:val="auto"/>
        </w:rPr>
        <w:t>Questionnaires</w:t>
      </w:r>
      <w:r>
        <w:rPr>
          <w:rFonts w:ascii="Arial" w:cs="Arial" w:eastAsia="Arial" w:hAnsi="Arial"/>
          <w:sz w:val="18"/>
          <w:szCs w:val="18"/>
          <w:color w:val="auto"/>
        </w:rPr>
        <w:t>”). The Questionnaires will be promptly provided following a request therefor.</w:t>
      </w:r>
    </w:p>
    <w:p>
      <w:pPr>
        <w:spacing w:after="0" w:line="79" w:lineRule="exact"/>
        <w:rPr>
          <w:rFonts w:ascii="Arial" w:cs="Arial" w:eastAsia="Arial" w:hAnsi="Arial"/>
          <w:sz w:val="18"/>
          <w:szCs w:val="18"/>
          <w:color w:val="auto"/>
        </w:rPr>
      </w:pPr>
    </w:p>
    <w:p>
      <w:pPr>
        <w:jc w:val="both"/>
        <w:ind w:right="80" w:firstLine="987"/>
        <w:spacing w:after="0" w:line="259" w:lineRule="auto"/>
        <w:tabs>
          <w:tab w:leader="none" w:pos="1246" w:val="left"/>
        </w:tabs>
        <w:numPr>
          <w:ilvl w:val="0"/>
          <w:numId w:val="29"/>
        </w:numPr>
        <w:rPr>
          <w:rFonts w:ascii="Arial" w:cs="Arial" w:eastAsia="Arial" w:hAnsi="Arial"/>
          <w:sz w:val="18"/>
          <w:szCs w:val="18"/>
          <w:color w:val="auto"/>
        </w:rPr>
      </w:pPr>
      <w:r>
        <w:rPr>
          <w:rFonts w:ascii="Arial" w:cs="Arial" w:eastAsia="Arial" w:hAnsi="Arial"/>
          <w:sz w:val="18"/>
          <w:szCs w:val="18"/>
          <w:color w:val="auto"/>
        </w:rPr>
        <w:t>A nominee for election or re-election as a director of the Corporation shall also provide to the Corporation such other information as it may reasonably request. The Corporation may request such additional information as necessary to permit the Corporation to determine the eligibility of such person to serve as a director of the Corporation, including information relevant to a determination whether such person can be considered an independent director.</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25" w:name="page26"/>
    <w:bookmarkEnd w:id="25"/>
    <w:p>
      <w:pPr>
        <w:ind w:right="160" w:firstLine="987"/>
        <w:spacing w:after="0" w:line="257" w:lineRule="auto"/>
        <w:tabs>
          <w:tab w:leader="none" w:pos="1236" w:val="left"/>
        </w:tabs>
        <w:numPr>
          <w:ilvl w:val="0"/>
          <w:numId w:val="3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Notwithstanding any other provision of these Bylaws, if a stockholder has submitted notice of an intent to nominate a candidate for election or re-election as a director pursuant to Section 2.10, the Questionnaires described in Section 2.9(a)(ii) above and the additional information described in Section 2.9(b) above shall be considered timely if provided to the Corporation promptly upon request by the Corporation, but in any event within five business days after such request, and all information provided pursuant to this Section 2.9 shall be deemed part of the stockholder’s notice submitted pursuant to Section 2.10.</w:t>
      </w:r>
    </w:p>
    <w:p>
      <w:pPr>
        <w:spacing w:after="0" w:line="188"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2.10 </w:t>
      </w:r>
      <w:r>
        <w:rPr>
          <w:rFonts w:ascii="Arial" w:cs="Arial" w:eastAsia="Arial" w:hAnsi="Arial"/>
          <w:sz w:val="18"/>
          <w:szCs w:val="18"/>
          <w:u w:val="single" w:color="auto"/>
          <w:color w:val="auto"/>
        </w:rPr>
        <w:t>Notice of Stockholder Business and Nominations</w:t>
      </w:r>
      <w:r>
        <w:rPr>
          <w:rFonts w:ascii="Arial" w:cs="Arial" w:eastAsia="Arial" w:hAnsi="Arial"/>
          <w:sz w:val="18"/>
          <w:szCs w:val="18"/>
          <w:color w:val="auto"/>
        </w:rPr>
        <w:t>.</w:t>
      </w:r>
    </w:p>
    <w:p>
      <w:pPr>
        <w:spacing w:after="0" w:line="117" w:lineRule="exact"/>
        <w:rPr>
          <w:sz w:val="20"/>
          <w:szCs w:val="20"/>
          <w:color w:val="auto"/>
        </w:rPr>
      </w:pPr>
    </w:p>
    <w:p>
      <w:pPr>
        <w:ind w:left="1240" w:hanging="253"/>
        <w:spacing w:after="0"/>
        <w:tabs>
          <w:tab w:leader="none" w:pos="1240"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Annual Meeting</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00" w:firstLine="1428"/>
        <w:spacing w:after="0" w:line="253" w:lineRule="auto"/>
        <w:tabs>
          <w:tab w:leader="none" w:pos="1647" w:val="left"/>
        </w:tabs>
        <w:numPr>
          <w:ilvl w:val="1"/>
          <w:numId w:val="31"/>
        </w:numPr>
        <w:rPr>
          <w:rFonts w:ascii="Arial" w:cs="Arial" w:eastAsia="Arial" w:hAnsi="Arial"/>
          <w:sz w:val="18"/>
          <w:szCs w:val="18"/>
          <w:color w:val="auto"/>
        </w:rPr>
      </w:pPr>
      <w:r>
        <w:rPr>
          <w:rFonts w:ascii="Arial" w:cs="Arial" w:eastAsia="Arial" w:hAnsi="Arial"/>
          <w:sz w:val="18"/>
          <w:szCs w:val="18"/>
          <w:color w:val="auto"/>
        </w:rPr>
        <w:t>Nominations of persons for election to the Board of Directors and the proposal of business other than nominations to be considered by the stockholders may be made at an annual meeting of stockholders only: (A) pursuant to the Corporation’s notice of meeting (or any supplement thereto); (B) by or at the direction of the Board of Directors (or any authorized committee thereof); (C) by any stockholder of the Corporation who is a stockholder of record at the time the notice provided for in this Section 2.10(a) is delivered to the Secretary of the Corporation, who is entitled to vote at the meeting and who complies with the notice procedures set forth in this Section 2.10(a) or (D) by any Eligible Stockholder (as defined in Section 2.11) whose Stockholder Notice is included in the Corporation’s proxy materials for the applicable annual meeting. For the avoidance of doubt, the foregoing clause (C) shall be the exclusive means for a stockholder to make nominations or propose other business at an annual meeting of stockholders (other than a proposal included in the Corporation’s proxy statement pursuant to and in compliance with Rule 14a-8 under the Exchange Act).</w:t>
      </w:r>
    </w:p>
    <w:p>
      <w:pPr>
        <w:spacing w:after="0" w:line="88" w:lineRule="exact"/>
        <w:rPr>
          <w:rFonts w:ascii="Arial" w:cs="Arial" w:eastAsia="Arial" w:hAnsi="Arial"/>
          <w:sz w:val="18"/>
          <w:szCs w:val="18"/>
          <w:color w:val="auto"/>
        </w:rPr>
      </w:pPr>
    </w:p>
    <w:p>
      <w:pPr>
        <w:ind w:firstLine="1428"/>
        <w:spacing w:after="0" w:line="269" w:lineRule="auto"/>
        <w:tabs>
          <w:tab w:leader="none" w:pos="1697" w:val="left"/>
        </w:tabs>
        <w:numPr>
          <w:ilvl w:val="1"/>
          <w:numId w:val="31"/>
        </w:numPr>
        <w:rPr>
          <w:rFonts w:ascii="Arial" w:cs="Arial" w:eastAsia="Arial" w:hAnsi="Arial"/>
          <w:sz w:val="17"/>
          <w:szCs w:val="17"/>
          <w:color w:val="auto"/>
        </w:rPr>
      </w:pPr>
      <w:r>
        <w:rPr>
          <w:rFonts w:ascii="Arial" w:cs="Arial" w:eastAsia="Arial" w:hAnsi="Arial"/>
          <w:sz w:val="17"/>
          <w:szCs w:val="17"/>
          <w:color w:val="auto"/>
        </w:rPr>
        <w:t>For nominations or other business to be properly brought before an annual meeting by a stockholder pursuant to clause (C) of the foregoing paragraph, the stockholder must have given timely notice thereof in writing to the Secretary of the Corporation and, in the case of business other than nominations, such business must be a proper subject for stockholder action. To be timely, a stockholder’s notice must be delivered to the Secretary at the principal executive offices of the Corporation not later than the close of business (as defined in Section 2.10(c)(ii) below) on the 90th day nor earlier than the close of business on the 120</w:t>
      </w:r>
      <w:r>
        <w:rPr>
          <w:rFonts w:ascii="Arial" w:cs="Arial" w:eastAsia="Arial" w:hAnsi="Arial"/>
          <w:sz w:val="14"/>
          <w:szCs w:val="14"/>
          <w:color w:val="auto"/>
        </w:rPr>
        <w:t>th</w:t>
      </w:r>
      <w:r>
        <w:rPr>
          <w:rFonts w:ascii="Arial" w:cs="Arial" w:eastAsia="Arial" w:hAnsi="Arial"/>
          <w:sz w:val="17"/>
          <w:szCs w:val="17"/>
          <w:color w:val="auto"/>
        </w:rPr>
        <w:t xml:space="preserve"> day prior to the first anniversary of the preceding year’s annual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(as defined in Section 2.10(c)(ii) below)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a stockholder’s notice as described above. The number of nominees a</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20"/>
          </w:cols>
          <w:pgMar w:left="440" w:top="274" w:right="439" w:bottom="1440" w:gutter="0" w:footer="0" w:header="0"/>
        </w:sectPr>
      </w:pPr>
    </w:p>
    <w:bookmarkStart w:id="26" w:name="page27"/>
    <w:bookmarkEnd w:id="26"/>
    <w:p>
      <w:pPr>
        <w:ind w:right="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stockholder may nominate for election at the annual meeting (or in the case of a stockholder giving the notice on behalf of a beneficial owner, the number of nominees a stockholder may nominate for election at the annual meeting on behalf of the beneficial owner) shall not exceed the number of directors to be elected at such annual meeting. For purposes of this Section 2.10, the 2020 annual meeting of stockholders shall be deemed to have been held on July 23, 2020. Such stockholder’s notice shall set forth:</w:t>
      </w:r>
    </w:p>
    <w:p>
      <w:pPr>
        <w:spacing w:after="0" w:line="79" w:lineRule="exact"/>
        <w:rPr>
          <w:sz w:val="20"/>
          <w:szCs w:val="20"/>
          <w:color w:val="auto"/>
        </w:rPr>
      </w:pPr>
    </w:p>
    <w:p>
      <w:pPr>
        <w:ind w:right="20" w:firstLine="1979"/>
        <w:spacing w:after="0" w:line="271" w:lineRule="auto"/>
        <w:tabs>
          <w:tab w:leader="none" w:pos="2278" w:val="left"/>
        </w:tabs>
        <w:numPr>
          <w:ilvl w:val="0"/>
          <w:numId w:val="32"/>
        </w:numPr>
        <w:rPr>
          <w:rFonts w:ascii="Arial" w:cs="Arial" w:eastAsia="Arial" w:hAnsi="Arial"/>
          <w:sz w:val="17"/>
          <w:szCs w:val="17"/>
          <w:color w:val="auto"/>
        </w:rPr>
      </w:pPr>
      <w:r>
        <w:rPr>
          <w:rFonts w:ascii="Arial" w:cs="Arial" w:eastAsia="Arial" w:hAnsi="Arial"/>
          <w:sz w:val="17"/>
          <w:szCs w:val="17"/>
          <w:color w:val="auto"/>
        </w:rPr>
        <w:t xml:space="preserve">as to each person whom the stockholder proposes to nominate for election or re-election as a director: (1) all information relating to such person that is required to be disclosed in solicitations of proxies for election of directors in an election contest, or is otherwise required, in each case pursuant to and in accordance with Regulation 14A under the Exchange Act; (2) such person’s written consent to serving as a director, if elected, for the full term for which such person is standing for election and (3) a written representation and agreement covering the matters specified in Section 2.11(c)(iii) ;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in addition to the information required in the stockholder’s notice pursuant to this Section 2.10(a)(ii)(A), such person shall also provide the Corporation such other information that the Corporation may reasonably request and that is necessary to permit the Corporation to determine the eligibility of such person to serve as a director of the Corporation, including information relevant to a determination whether such person can be considered an independent director;</w:t>
      </w:r>
    </w:p>
    <w:p>
      <w:pPr>
        <w:spacing w:after="0" w:line="70" w:lineRule="exact"/>
        <w:rPr>
          <w:rFonts w:ascii="Arial" w:cs="Arial" w:eastAsia="Arial" w:hAnsi="Arial"/>
          <w:sz w:val="17"/>
          <w:szCs w:val="17"/>
          <w:color w:val="auto"/>
        </w:rPr>
      </w:pPr>
    </w:p>
    <w:p>
      <w:pPr>
        <w:ind w:right="40" w:firstLine="1979"/>
        <w:spacing w:after="0" w:line="255" w:lineRule="auto"/>
        <w:tabs>
          <w:tab w:leader="none" w:pos="2268" w:val="left"/>
        </w:tabs>
        <w:numPr>
          <w:ilvl w:val="0"/>
          <w:numId w:val="32"/>
        </w:numPr>
        <w:rPr>
          <w:rFonts w:ascii="Arial" w:cs="Arial" w:eastAsia="Arial" w:hAnsi="Arial"/>
          <w:sz w:val="18"/>
          <w:szCs w:val="18"/>
          <w:color w:val="auto"/>
        </w:rPr>
      </w:pPr>
      <w:r>
        <w:rPr>
          <w:rFonts w:ascii="Arial" w:cs="Arial" w:eastAsia="Arial" w:hAnsi="Arial"/>
          <w:sz w:val="18"/>
          <w:szCs w:val="18"/>
          <w:color w:val="auto"/>
        </w:rPr>
        <w:t>as to any other business that the stockholder proposes to bring before the meeting, a brief description of the business desired to be brought before the meeting, the text of the proposal or business (including the text of any resolutions proposed for consideration and in the event that such business includes a proposal to amend the Bylaws of the Corporation, the language of the proposed amendment), the reasons for conducting such business at the meeting and any substantial interest (within the meaning of Item 5 of Schedule 14A under the Exchange Act) in such business of such stockholder and the beneficial owner (within the meaning of Section 13(d) of the Exchange Act), if any, on whose behalf the proposal is made;</w:t>
      </w:r>
    </w:p>
    <w:p>
      <w:pPr>
        <w:spacing w:after="0" w:line="84" w:lineRule="exact"/>
        <w:rPr>
          <w:rFonts w:ascii="Arial" w:cs="Arial" w:eastAsia="Arial" w:hAnsi="Arial"/>
          <w:sz w:val="18"/>
          <w:szCs w:val="18"/>
          <w:color w:val="auto"/>
        </w:rPr>
      </w:pPr>
    </w:p>
    <w:p>
      <w:pPr>
        <w:ind w:left="2260" w:hanging="281"/>
        <w:spacing w:after="0"/>
        <w:tabs>
          <w:tab w:leader="none" w:pos="2260" w:val="left"/>
        </w:tabs>
        <w:numPr>
          <w:ilvl w:val="0"/>
          <w:numId w:val="32"/>
        </w:numPr>
        <w:rPr>
          <w:rFonts w:ascii="Arial" w:cs="Arial" w:eastAsia="Arial" w:hAnsi="Arial"/>
          <w:sz w:val="16"/>
          <w:szCs w:val="16"/>
          <w:color w:val="auto"/>
        </w:rPr>
      </w:pPr>
      <w:r>
        <w:rPr>
          <w:rFonts w:ascii="Arial" w:cs="Arial" w:eastAsia="Arial" w:hAnsi="Arial"/>
          <w:sz w:val="16"/>
          <w:szCs w:val="16"/>
          <w:color w:val="auto"/>
        </w:rPr>
        <w:t>as to the stockholder giving the notice and the beneficial owner, if any, on whose behalf the nomination is made or the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other business is proposed:</w:t>
      </w:r>
    </w:p>
    <w:p>
      <w:pPr>
        <w:spacing w:after="0" w:line="102" w:lineRule="exact"/>
        <w:rPr>
          <w:rFonts w:ascii="Arial" w:cs="Arial" w:eastAsia="Arial" w:hAnsi="Arial"/>
          <w:sz w:val="16"/>
          <w:szCs w:val="16"/>
          <w:color w:val="auto"/>
        </w:rPr>
      </w:pPr>
    </w:p>
    <w:p>
      <w:pPr>
        <w:ind w:left="2680" w:hanging="261"/>
        <w:spacing w:after="0"/>
        <w:tabs>
          <w:tab w:leader="none" w:pos="2680" w:val="left"/>
        </w:tabs>
        <w:numPr>
          <w:ilvl w:val="1"/>
          <w:numId w:val="32"/>
        </w:numPr>
        <w:rPr>
          <w:rFonts w:ascii="Arial" w:cs="Arial" w:eastAsia="Arial" w:hAnsi="Arial"/>
          <w:sz w:val="16"/>
          <w:szCs w:val="16"/>
          <w:color w:val="auto"/>
        </w:rPr>
      </w:pPr>
      <w:r>
        <w:rPr>
          <w:rFonts w:ascii="Arial" w:cs="Arial" w:eastAsia="Arial" w:hAnsi="Arial"/>
          <w:sz w:val="16"/>
          <w:szCs w:val="16"/>
          <w:color w:val="auto"/>
        </w:rPr>
        <w:t>the name and address of such stockholder, as they appear on the Corporation’s books, and the name and address of</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such beneficial owner;</w:t>
      </w:r>
    </w:p>
    <w:p>
      <w:pPr>
        <w:spacing w:after="0" w:line="102" w:lineRule="exact"/>
        <w:rPr>
          <w:rFonts w:ascii="Arial" w:cs="Arial" w:eastAsia="Arial" w:hAnsi="Arial"/>
          <w:sz w:val="16"/>
          <w:szCs w:val="16"/>
          <w:color w:val="auto"/>
        </w:rPr>
      </w:pPr>
    </w:p>
    <w:p>
      <w:pPr>
        <w:ind w:firstLine="2419"/>
        <w:spacing w:after="0" w:line="259" w:lineRule="auto"/>
        <w:tabs>
          <w:tab w:leader="none" w:pos="2678" w:val="left"/>
        </w:tabs>
        <w:numPr>
          <w:ilvl w:val="1"/>
          <w:numId w:val="32"/>
        </w:numPr>
        <w:rPr>
          <w:rFonts w:ascii="Arial" w:cs="Arial" w:eastAsia="Arial" w:hAnsi="Arial"/>
          <w:sz w:val="18"/>
          <w:szCs w:val="18"/>
          <w:color w:val="auto"/>
        </w:rPr>
      </w:pPr>
      <w:r>
        <w:rPr>
          <w:rFonts w:ascii="Arial" w:cs="Arial" w:eastAsia="Arial" w:hAnsi="Arial"/>
          <w:sz w:val="18"/>
          <w:szCs w:val="18"/>
          <w:color w:val="auto"/>
        </w:rPr>
        <w:t>the class or series and number of shares of stock of the Corporation which are owned of record by such stockholder and such beneficial owner as of the date of the notice, and a representation that the stockholder will notify the Corporation in writing within five business days after the record date for such meeting of the class or series and number of shares of stock of the Corporation owned of record by the stockholder and such beneficial owner as of the record date for the meeting; and</w:t>
      </w:r>
    </w:p>
    <w:p>
      <w:pPr>
        <w:spacing w:after="0" w:line="78" w:lineRule="exact"/>
        <w:rPr>
          <w:rFonts w:ascii="Arial" w:cs="Arial" w:eastAsia="Arial" w:hAnsi="Arial"/>
          <w:sz w:val="18"/>
          <w:szCs w:val="18"/>
          <w:color w:val="auto"/>
        </w:rPr>
      </w:pPr>
    </w:p>
    <w:p>
      <w:pPr>
        <w:ind w:right="460" w:firstLine="2419"/>
        <w:spacing w:after="0" w:line="277" w:lineRule="auto"/>
        <w:tabs>
          <w:tab w:leader="none" w:pos="2678" w:val="left"/>
        </w:tabs>
        <w:numPr>
          <w:ilvl w:val="1"/>
          <w:numId w:val="32"/>
        </w:numPr>
        <w:rPr>
          <w:rFonts w:ascii="Arial" w:cs="Arial" w:eastAsia="Arial" w:hAnsi="Arial"/>
          <w:sz w:val="18"/>
          <w:szCs w:val="18"/>
          <w:color w:val="auto"/>
        </w:rPr>
      </w:pPr>
      <w:r>
        <w:rPr>
          <w:rFonts w:ascii="Arial" w:cs="Arial" w:eastAsia="Arial" w:hAnsi="Arial"/>
          <w:sz w:val="18"/>
          <w:szCs w:val="18"/>
          <w:color w:val="auto"/>
        </w:rPr>
        <w:t>a representation that the stockholder (or a qualified representative of the stockholder) intends to appear at the meeting to make such nomination or propose such business;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80"/>
          </w:cols>
          <w:pgMar w:left="440" w:top="274" w:right="479" w:bottom="1440" w:gutter="0" w:footer="0" w:header="0"/>
        </w:sectPr>
      </w:pPr>
    </w:p>
    <w:bookmarkStart w:id="27" w:name="page28"/>
    <w:bookmarkEnd w:id="27"/>
    <w:p>
      <w:pPr>
        <w:ind w:left="-40" w:right="280" w:firstLine="1979"/>
        <w:spacing w:after="0" w:line="286" w:lineRule="auto"/>
        <w:tabs>
          <w:tab w:leader="none" w:pos="2238" w:val="left"/>
        </w:tabs>
        <w:numPr>
          <w:ilvl w:val="0"/>
          <w:numId w:val="3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 to the stockholder giving the notice or, if the notice is given on behalf of a beneficial owner on whose behalf the nomination is made or the other business is proposed, as to such beneficial owner, and if such stockholder or beneficial owner is an entity, as to each director, executive, managing member or control person of such entity (any such individual or control person, a “</w:t>
      </w:r>
      <w:r>
        <w:rPr>
          <w:rFonts w:ascii="Arial" w:cs="Arial" w:eastAsia="Arial" w:hAnsi="Arial"/>
          <w:sz w:val="17"/>
          <w:szCs w:val="17"/>
          <w:u w:val="single" w:color="auto"/>
          <w:color w:val="auto"/>
        </w:rPr>
        <w:t>control person</w:t>
      </w:r>
      <w:r>
        <w:rPr>
          <w:rFonts w:ascii="Arial" w:cs="Arial" w:eastAsia="Arial" w:hAnsi="Arial"/>
          <w:sz w:val="17"/>
          <w:szCs w:val="17"/>
          <w:color w:val="auto"/>
        </w:rPr>
        <w:t>”):</w:t>
      </w:r>
    </w:p>
    <w:p>
      <w:pPr>
        <w:spacing w:after="0" w:line="57" w:lineRule="exact"/>
        <w:rPr>
          <w:rFonts w:ascii="Arial" w:cs="Arial" w:eastAsia="Arial" w:hAnsi="Arial"/>
          <w:sz w:val="17"/>
          <w:szCs w:val="17"/>
          <w:color w:val="auto"/>
        </w:rPr>
      </w:pPr>
    </w:p>
    <w:p>
      <w:pPr>
        <w:jc w:val="both"/>
        <w:ind w:left="-40" w:right="200" w:firstLine="2419"/>
        <w:spacing w:after="0" w:line="257" w:lineRule="auto"/>
        <w:tabs>
          <w:tab w:leader="none" w:pos="2638" w:val="left"/>
        </w:tabs>
        <w:numPr>
          <w:ilvl w:val="1"/>
          <w:numId w:val="33"/>
        </w:numPr>
        <w:rPr>
          <w:rFonts w:ascii="Arial" w:cs="Arial" w:eastAsia="Arial" w:hAnsi="Arial"/>
          <w:sz w:val="18"/>
          <w:szCs w:val="18"/>
          <w:color w:val="auto"/>
        </w:rPr>
      </w:pPr>
      <w:r>
        <w:rPr>
          <w:rFonts w:ascii="Arial" w:cs="Arial" w:eastAsia="Arial" w:hAnsi="Arial"/>
          <w:sz w:val="18"/>
          <w:szCs w:val="18"/>
          <w:color w:val="auto"/>
        </w:rPr>
        <w:t>the class or series and number of shares of stock of the Corporation which are beneficially owned (as defined in Section 2.10(c)(ii) below) by such stockholder or beneficial owner and by any control person as of the date of the notice, and a representation that the stockholder will notify the Corporation in writing within five business days after the record date for such meeting of the class or series and number of shares of stock of the Corporation beneficially owned by such stockholder or beneficial owner and by any control person as of the record date for the meeting;</w:t>
      </w:r>
    </w:p>
    <w:p>
      <w:pPr>
        <w:spacing w:after="0" w:line="79" w:lineRule="exact"/>
        <w:rPr>
          <w:rFonts w:ascii="Arial" w:cs="Arial" w:eastAsia="Arial" w:hAnsi="Arial"/>
          <w:sz w:val="18"/>
          <w:szCs w:val="18"/>
          <w:color w:val="auto"/>
        </w:rPr>
      </w:pPr>
    </w:p>
    <w:p>
      <w:pPr>
        <w:ind w:left="-40" w:firstLine="2419"/>
        <w:spacing w:after="0" w:line="296" w:lineRule="auto"/>
        <w:tabs>
          <w:tab w:leader="none" w:pos="2638" w:val="left"/>
        </w:tabs>
        <w:numPr>
          <w:ilvl w:val="1"/>
          <w:numId w:val="33"/>
        </w:numPr>
        <w:rPr>
          <w:rFonts w:ascii="Arial" w:cs="Arial" w:eastAsia="Arial" w:hAnsi="Arial"/>
          <w:sz w:val="16"/>
          <w:szCs w:val="16"/>
          <w:color w:val="auto"/>
        </w:rPr>
      </w:pPr>
      <w:r>
        <w:rPr>
          <w:rFonts w:ascii="Arial" w:cs="Arial" w:eastAsia="Arial" w:hAnsi="Arial"/>
          <w:sz w:val="16"/>
          <w:szCs w:val="16"/>
          <w:color w:val="auto"/>
        </w:rPr>
        <w:t>a description of any agreement, arrangement or understanding with respect to the nomination or other business between or among such stockholder, beneficial owner or control person and any other person, including, without limitation any agreements that would be required to be disclosed pursuant to Item 5 or Item 6 of Exchange Act Schedule 13D (regardless of whether the requirement to file a Schedule 13D is applicable) and a representation that the stockholder will notify the Corporation in writing within five business days after the record date for such meeting of any such agreement, arrangement or understanding in effect as of the record date for the meeting;</w:t>
      </w:r>
    </w:p>
    <w:p>
      <w:pPr>
        <w:spacing w:after="0" w:line="53" w:lineRule="exact"/>
        <w:rPr>
          <w:rFonts w:ascii="Arial" w:cs="Arial" w:eastAsia="Arial" w:hAnsi="Arial"/>
          <w:sz w:val="16"/>
          <w:szCs w:val="16"/>
          <w:color w:val="auto"/>
        </w:rPr>
      </w:pPr>
    </w:p>
    <w:p>
      <w:pPr>
        <w:ind w:left="-40" w:firstLine="2419"/>
        <w:spacing w:after="0" w:line="254" w:lineRule="auto"/>
        <w:tabs>
          <w:tab w:leader="none" w:pos="2638" w:val="left"/>
        </w:tabs>
        <w:numPr>
          <w:ilvl w:val="1"/>
          <w:numId w:val="33"/>
        </w:numPr>
        <w:rPr>
          <w:rFonts w:ascii="Arial" w:cs="Arial" w:eastAsia="Arial" w:hAnsi="Arial"/>
          <w:sz w:val="18"/>
          <w:szCs w:val="18"/>
          <w:color w:val="auto"/>
        </w:rPr>
      </w:pPr>
      <w:r>
        <w:rPr>
          <w:rFonts w:ascii="Arial" w:cs="Arial" w:eastAsia="Arial" w:hAnsi="Arial"/>
          <w:sz w:val="18"/>
          <w:szCs w:val="18"/>
          <w:color w:val="auto"/>
        </w:rPr>
        <w:t>a description of any agreement, arrangement or understanding (including, without limitation, any derivative or short positions, profit interests, options, hedging transactions, and borrowed or loaned shares) that has been entered into as of the date of the stockholder’s notice by, or on behalf of, such stockholder, beneficial owner or control person, the effect or intent of which is to mitigate loss, manage risk or benefit from changes in the share price of any class or series of the Corporation’s stock, or maintain, increase or decrease the voting power of the stockholder, beneficial owner or control person with respect to securities of the Corporation, and a representation that the stockholder will notify the Corporation in writing within five business days after the record date for such meeting of any such agreement, arrangement or understanding in effect as of the record date for the meeting; and</w:t>
      </w:r>
    </w:p>
    <w:p>
      <w:pPr>
        <w:spacing w:after="0" w:line="86" w:lineRule="exact"/>
        <w:rPr>
          <w:rFonts w:ascii="Arial" w:cs="Arial" w:eastAsia="Arial" w:hAnsi="Arial"/>
          <w:sz w:val="18"/>
          <w:szCs w:val="18"/>
          <w:color w:val="auto"/>
        </w:rPr>
      </w:pPr>
    </w:p>
    <w:p>
      <w:pPr>
        <w:ind w:left="-40" w:firstLine="2419"/>
        <w:spacing w:after="0" w:line="296" w:lineRule="auto"/>
        <w:tabs>
          <w:tab w:leader="none" w:pos="2638" w:val="left"/>
        </w:tabs>
        <w:numPr>
          <w:ilvl w:val="1"/>
          <w:numId w:val="33"/>
        </w:numPr>
        <w:rPr>
          <w:rFonts w:ascii="Arial" w:cs="Arial" w:eastAsia="Arial" w:hAnsi="Arial"/>
          <w:sz w:val="16"/>
          <w:szCs w:val="16"/>
          <w:color w:val="auto"/>
        </w:rPr>
      </w:pPr>
      <w:r>
        <w:rPr>
          <w:rFonts w:ascii="Arial" w:cs="Arial" w:eastAsia="Arial" w:hAnsi="Arial"/>
          <w:sz w:val="16"/>
          <w:szCs w:val="16"/>
          <w:color w:val="auto"/>
        </w:rPr>
        <w:t>a representation whether the stockholder or the beneficial owner, if any, will engage in a solicitation with respect to the nomination or other business and, if so, the name of each participant in such solicitation (as defined in Item 4 of Schedule 14A under the Exchange Act) and whether such person intends or is part of a group which intends to deliver a proxy statement and/or form of proxy to holders of at least a majority of the issued shares of the Corporation that are entitled to vote in the election of directors in the case of a nomination and at lest the percentage of the Corporation’s shares required to approve or adopt the business to be proposed by the stockholder in the case of a proposal;</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20"/>
          </w:cols>
          <w:pgMar w:left="480" w:top="274" w:right="499" w:bottom="1440" w:gutter="0" w:footer="0" w:header="0"/>
        </w:sectPr>
      </w:pPr>
    </w:p>
    <w:bookmarkStart w:id="28" w:name="page29"/>
    <w:bookmarkEnd w:id="28"/>
    <w:p>
      <w:pPr>
        <w:ind w:left="-40" w:firstLine="1428"/>
        <w:spacing w:after="0" w:line="293" w:lineRule="auto"/>
        <w:tabs>
          <w:tab w:leader="none" w:pos="1707" w:val="left"/>
        </w:tabs>
        <w:numPr>
          <w:ilvl w:val="1"/>
          <w:numId w:val="3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Notwithstanding anything in Section 2.10(a)(ii) above or Section 2.10(b) below to the contrary, if the record date for determining the stockholders entitled to vote at any meeting of stockholders is different from the record date for determining the stockholders entitled to notice of the meeting, a stockholder’s notice required by this Section 2.10 shall set forth a representation that the stockholder will notify the Corporation in writing within five business days after the record date for determining the stockholders entitled to vote at the meeting, or by the opening of business on the date of the meeting (whichever is earlier), of the information required under clauses (ii)(C)(2) and (ii)(D)(1)-(3) of this Section 2.10(a), and such information when provided to the Corporation shall be current as of the record date for determining the stockholders entitled to vote at the meeting.</w:t>
      </w:r>
    </w:p>
    <w:p>
      <w:pPr>
        <w:spacing w:after="0" w:line="56" w:lineRule="exact"/>
        <w:rPr>
          <w:rFonts w:ascii="Arial" w:cs="Arial" w:eastAsia="Arial" w:hAnsi="Arial"/>
          <w:sz w:val="16"/>
          <w:szCs w:val="16"/>
          <w:color w:val="auto"/>
        </w:rPr>
      </w:pPr>
    </w:p>
    <w:p>
      <w:pPr>
        <w:ind w:left="-40" w:right="160" w:firstLine="1428"/>
        <w:spacing w:after="0" w:line="311" w:lineRule="auto"/>
        <w:tabs>
          <w:tab w:leader="none" w:pos="1697" w:val="left"/>
        </w:tabs>
        <w:numPr>
          <w:ilvl w:val="1"/>
          <w:numId w:val="34"/>
        </w:numPr>
        <w:rPr>
          <w:rFonts w:ascii="Arial" w:cs="Arial" w:eastAsia="Arial" w:hAnsi="Arial"/>
          <w:sz w:val="16"/>
          <w:szCs w:val="16"/>
          <w:color w:val="auto"/>
        </w:rPr>
      </w:pPr>
      <w:r>
        <w:rPr>
          <w:rFonts w:ascii="Arial" w:cs="Arial" w:eastAsia="Arial" w:hAnsi="Arial"/>
          <w:sz w:val="16"/>
          <w:szCs w:val="16"/>
          <w:color w:val="auto"/>
        </w:rPr>
        <w:t>This Section 2.10(a) shall not apply to a proposal proposed to be made by a stockholder if the stockholder has notified the Corporation of their intention to present the proposal at an annual or special meeting only pursuant to and in compliance with Rule 14a-8 under the Exchange Act and such proposal has been included in a proxy statement that has been prepared by the Corporation to solicit proxies for such meeting.</w:t>
      </w:r>
    </w:p>
    <w:p>
      <w:pPr>
        <w:spacing w:after="0" w:line="40" w:lineRule="exact"/>
        <w:rPr>
          <w:rFonts w:ascii="Arial" w:cs="Arial" w:eastAsia="Arial" w:hAnsi="Arial"/>
          <w:sz w:val="16"/>
          <w:szCs w:val="16"/>
          <w:color w:val="auto"/>
        </w:rPr>
      </w:pPr>
    </w:p>
    <w:p>
      <w:pPr>
        <w:ind w:left="-40" w:right="40" w:firstLine="1428"/>
        <w:spacing w:after="0" w:line="254" w:lineRule="auto"/>
        <w:tabs>
          <w:tab w:leader="none" w:pos="1647" w:val="left"/>
        </w:tabs>
        <w:numPr>
          <w:ilvl w:val="1"/>
          <w:numId w:val="34"/>
        </w:numPr>
        <w:rPr>
          <w:rFonts w:ascii="Arial" w:cs="Arial" w:eastAsia="Arial" w:hAnsi="Arial"/>
          <w:sz w:val="18"/>
          <w:szCs w:val="18"/>
          <w:color w:val="auto"/>
        </w:rPr>
      </w:pPr>
      <w:r>
        <w:rPr>
          <w:rFonts w:ascii="Arial" w:cs="Arial" w:eastAsia="Arial" w:hAnsi="Arial"/>
          <w:sz w:val="18"/>
          <w:szCs w:val="18"/>
          <w:color w:val="auto"/>
        </w:rPr>
        <w:t>Notwithstanding anything in this Section 2.10(a) to the contrary, in the event that the number of directors to be elected to the Board of Directors at an annual meeting is increased and there is no public announcement by the Corporation naming all of the nominees for director or specifying the size of the increased Board of Directors made by the Corporation at least 10 days prior to the last day a stockholder may deliver a notice in accordance with Section 2.10(a)(ii), a stockholder’s notice required by this Section 2.10(a) shall also be considered timely, but only with respect to nominees for any new positions created by such increase, if it shall be delivered to the Secretary of the Corporation at the principal executive offices of the Corporation not later than the close of business on the 10th day following the day on which such public announcement is first made by the Corporation.</w:t>
      </w:r>
    </w:p>
    <w:p>
      <w:pPr>
        <w:spacing w:after="0" w:line="86" w:lineRule="exact"/>
        <w:rPr>
          <w:rFonts w:ascii="Arial" w:cs="Arial" w:eastAsia="Arial" w:hAnsi="Arial"/>
          <w:sz w:val="18"/>
          <w:szCs w:val="18"/>
          <w:color w:val="auto"/>
        </w:rPr>
      </w:pPr>
    </w:p>
    <w:p>
      <w:pPr>
        <w:ind w:left="-40" w:firstLine="987"/>
        <w:spacing w:after="0" w:line="286" w:lineRule="auto"/>
        <w:tabs>
          <w:tab w:leader="none" w:pos="1206" w:val="left"/>
        </w:tabs>
        <w:numPr>
          <w:ilvl w:val="0"/>
          <w:numId w:val="35"/>
        </w:numPr>
        <w:rPr>
          <w:rFonts w:ascii="Arial" w:cs="Arial" w:eastAsia="Arial" w:hAnsi="Arial"/>
          <w:sz w:val="16"/>
          <w:szCs w:val="16"/>
          <w:color w:val="auto"/>
        </w:rPr>
      </w:pPr>
      <w:r>
        <w:rPr>
          <w:rFonts w:ascii="Arial" w:cs="Arial" w:eastAsia="Arial" w:hAnsi="Arial"/>
          <w:sz w:val="16"/>
          <w:szCs w:val="16"/>
          <w:u w:val="single" w:color="auto"/>
          <w:color w:val="auto"/>
        </w:rPr>
        <w:t>Special Meeting</w:t>
      </w:r>
      <w:r>
        <w:rPr>
          <w:rFonts w:ascii="Arial" w:cs="Arial" w:eastAsia="Arial" w:hAnsi="Arial"/>
          <w:sz w:val="16"/>
          <w:szCs w:val="16"/>
          <w:color w:val="auto"/>
        </w:rPr>
        <w:t xml:space="preserve">. Nominations of persons for election to the Board of Directors may be made at a special meeting of stockholders at which directors are to be elected pursuant to the Corporation’s notice of meeting: (i) by or at the direction of the Board of Directors (or any authorized committee thereof); (ii)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one or more directors are to be elected at such meeting, by any stockholder of the Corporation who is a stockholder of record at the time the notice provided for in this Section 2.10(b) is delivered to the Secretary of the Corporation, who is entitled to vote at the meeting and upon such election and who delivers notice thereof in writing setting forth the information required by Section 2.10(a) above and provides the additional information required by Section 2.9 above; or (iii) in the case of a stockholder-requested special meeting, by any stockholder of the Corporation pursuant to Section 2.2. In the event the Corporation calls a special meeting of stockholders (other than a stockholder-requested special meeting) for the purpose of electing one or more directors to the Board of Directors, any stockholder entitled to vote in such election of directors may nominate a person or persons (as the case may be) for election to such position(s) as specified in the Corporation’s notice of meeting, if the notice required by this Section 2.10(b) shall be delivered to the Secretary at the principal executive offices of the Corporation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special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special meeting or the 10th day following the date on which public announcement of the date of the special meeting and of the nominees proposed by the Board of Directors to be elected at such meeting is first made by the Corporation. The number of nominees a stockholder may nominate for election at the special meeting (or in the case of a stockholder giving the notice on behalf of a beneficial owner, the number of nominees a stockholder may nominate for election at the annual meeting on behalf of such beneficial owner) shall not exceed the number of directors</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20"/>
          </w:cols>
          <w:pgMar w:left="480" w:top="274" w:right="499" w:bottom="1440" w:gutter="0" w:footer="0" w:header="0"/>
        </w:sectPr>
      </w:pPr>
    </w:p>
    <w:bookmarkStart w:id="29" w:name="page30"/>
    <w:bookmarkEnd w:id="29"/>
    <w:p>
      <w:pPr>
        <w:ind w:right="6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be elected at such special meeting. In no event shall an adjournment, recess or postponement of a special meeting commence a new time period (or extend any time period) for the giving of a stockholder’s notice as described above. Notwithstanding any other provision of these Bylaws, in the case of a stockholder-requested special meeting, no stockholder may nominate a person for election to the Board of Directors or propose any other business to be considered at the meeting, except pursuant to the written request(s) delivered for such special meeting pursuant to Section 2.2(a).</w:t>
      </w:r>
    </w:p>
    <w:p>
      <w:pPr>
        <w:spacing w:after="0" w:line="49" w:lineRule="exact"/>
        <w:rPr>
          <w:sz w:val="20"/>
          <w:szCs w:val="20"/>
          <w:color w:val="auto"/>
        </w:rPr>
      </w:pPr>
    </w:p>
    <w:p>
      <w:pPr>
        <w:ind w:left="1240" w:hanging="253"/>
        <w:spacing w:after="0"/>
        <w:tabs>
          <w:tab w:leader="none" w:pos="124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1428"/>
        <w:spacing w:after="0" w:line="284" w:lineRule="auto"/>
        <w:tabs>
          <w:tab w:leader="none" w:pos="1647" w:val="left"/>
        </w:tabs>
        <w:numPr>
          <w:ilvl w:val="1"/>
          <w:numId w:val="36"/>
        </w:numPr>
        <w:rPr>
          <w:rFonts w:ascii="Arial" w:cs="Arial" w:eastAsia="Arial" w:hAnsi="Arial"/>
          <w:sz w:val="16"/>
          <w:szCs w:val="16"/>
          <w:color w:val="auto"/>
        </w:rPr>
      </w:pPr>
      <w:r>
        <w:rPr>
          <w:rFonts w:ascii="Arial" w:cs="Arial" w:eastAsia="Arial" w:hAnsi="Arial"/>
          <w:sz w:val="16"/>
          <w:szCs w:val="16"/>
          <w:color w:val="auto"/>
        </w:rPr>
        <w:t>Except as otherwise required by law, only such persons who are nominated in accordance with the procedures set forth in this Section 2.10 shall be eligible to be elected at any meeting of stockholders of the Corporation to serve as directors and only such other business shall be conducted at a meeting of stockholders as shall have been brought before the meeting in accordance with the procedures set forth in this Section 2.10. Except as otherwise required by law, each of the Board Chair or the chair of the meeting shall have the power to determine whether a nomination or any other business proposed to be brought before the meeting was made or proposed, as the case may be, in accordance with the procedures set forth in this Section 2.10 (including whether a stockholder or beneficial owner solicited (or is part of a group which solicited) or did not so solicit, proxies in compliance with such stockholder’s representation as required by Section 2.10(a)(ii)(D)(4). If any proposed nomination or other business is not in compliance with this Section 2.10, then except as otherwise required by law, the chair of the meeting shall have the power to declare that such nomination shall be disregarded or that such other business shall not be transacted. Notwithstanding the foregoing provisions of this Section 2.10, unless otherwise required by law, or otherwise determined by the Board Chair or the chair of the meeting, if the stockholder does not provide the information required under Section 2.9 or clauses (a)(ii)(C)(2) and (a)(ii)(D)(1)-(3) of this Section 2.10 to the Corporation within the time frames specified herein, any such nomination shall be disregarded and any such other business shall not be transacted, notwithstanding that proxies in respect of such vote may have been received by the Corporation. Notwithstanding the foregoing provisions of this Section 2.10, unless otherwise required by law, or otherwise determined by the Board Chair or the chair of the meeting, if the stockholder (or a qualified representative of the stockholder) does not appear at the annual or special meeting of stockholders of the Corporation to present a nomination or other business (whether pursuant to the requirements of these Bylaws or in accordance with Rule 14a-8 under the Exchange Act), such nomination shall be disregarded and such other business shall not be transacted, notwithstanding that proxies in respect of such vote may have been received by the Corporation. To be considered a qualified representative of a stockholder pursuant to the preceding sentence, a person must be a duly authorized officer, manager or partner of such stockholder or authorized by a writing executed by such stockholder (or a reliable reproduction of the writing) delivered to the Corporation prior to the making of such nomination or proposal at such meeting (and in any event not fewer than five days before the meeting) stating that such person is authorized to act for such stockholder as proxy at the meeting of stockholders.</w:t>
      </w:r>
    </w:p>
    <w:p>
      <w:pPr>
        <w:spacing w:after="0" w:line="3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80"/>
          </w:cols>
          <w:pgMar w:left="440" w:top="274" w:right="479" w:bottom="1440" w:gutter="0" w:footer="0" w:header="0"/>
        </w:sectPr>
      </w:pPr>
    </w:p>
    <w:bookmarkStart w:id="30" w:name="page31"/>
    <w:bookmarkEnd w:id="30"/>
    <w:p>
      <w:pPr>
        <w:ind w:firstLine="1428"/>
        <w:spacing w:after="0" w:line="270" w:lineRule="auto"/>
        <w:tabs>
          <w:tab w:leader="none" w:pos="1697" w:val="left"/>
        </w:tabs>
        <w:numPr>
          <w:ilvl w:val="0"/>
          <w:numId w:val="3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 purposes of this Section 2.10, the “</w:t>
      </w:r>
      <w:r>
        <w:rPr>
          <w:rFonts w:ascii="Arial" w:cs="Arial" w:eastAsia="Arial" w:hAnsi="Arial"/>
          <w:sz w:val="17"/>
          <w:szCs w:val="17"/>
          <w:u w:val="single" w:color="auto"/>
          <w:color w:val="auto"/>
        </w:rPr>
        <w:t>close of business</w:t>
      </w:r>
      <w:r>
        <w:rPr>
          <w:rFonts w:ascii="Arial" w:cs="Arial" w:eastAsia="Arial" w:hAnsi="Arial"/>
          <w:sz w:val="17"/>
          <w:szCs w:val="17"/>
          <w:color w:val="auto"/>
        </w:rPr>
        <w:t>” shall mean 6:00 p.m. local time at the principal executive offices of the Corporation on any calendar day, whether or not the day is a business day, and a “</w:t>
      </w:r>
      <w:r>
        <w:rPr>
          <w:rFonts w:ascii="Arial" w:cs="Arial" w:eastAsia="Arial" w:hAnsi="Arial"/>
          <w:sz w:val="17"/>
          <w:szCs w:val="17"/>
          <w:u w:val="single" w:color="auto"/>
          <w:color w:val="auto"/>
        </w:rPr>
        <w:t>public announcement</w:t>
      </w:r>
      <w:r>
        <w:rPr>
          <w:rFonts w:ascii="Arial" w:cs="Arial" w:eastAsia="Arial" w:hAnsi="Arial"/>
          <w:sz w:val="17"/>
          <w:szCs w:val="17"/>
          <w:color w:val="auto"/>
        </w:rPr>
        <w:t>” shall mean disclosure in a press release reported by the Dow Jones News Service, Associated Press or a comparable national news service or in a document publicly filed by the Corporation with the Securities and Exchange Commission pursuant to Section 13, 14 or 15(d) of the Exchange Act. For purposes of clause (a)(ii)(D)(1) of this Section 2.10, shares shall be treated as “</w:t>
      </w:r>
      <w:r>
        <w:rPr>
          <w:rFonts w:ascii="Arial" w:cs="Arial" w:eastAsia="Arial" w:hAnsi="Arial"/>
          <w:sz w:val="17"/>
          <w:szCs w:val="17"/>
          <w:u w:val="single" w:color="auto"/>
          <w:color w:val="auto"/>
        </w:rPr>
        <w:t>beneficially owned</w:t>
      </w:r>
      <w:r>
        <w:rPr>
          <w:rFonts w:ascii="Arial" w:cs="Arial" w:eastAsia="Arial" w:hAnsi="Arial"/>
          <w:sz w:val="17"/>
          <w:szCs w:val="17"/>
          <w:color w:val="auto"/>
        </w:rPr>
        <w:t>” by a person if the person beneficially owns such shares, directly or indirectly, for purposes of Section 13(d) of the Exchange Act and Regulations 13D and 13G thereunder or has or shares pursuant to any agreement, arrangement or understanding (whether or not in writing): (A) the right to acquire such shares (whether such right is exercisable immediately or only after the passage of time or the fulfillment of a condition or both); (B) the right to vote such shares, alone or in concert with others; and/or (C) investment power with respect to such shares, including the power to dispose of, or to direct the disposition of, such shares.</w:t>
      </w:r>
    </w:p>
    <w:p>
      <w:pPr>
        <w:spacing w:after="0" w:line="180" w:lineRule="exact"/>
        <w:rPr>
          <w:rFonts w:ascii="Arial" w:cs="Arial" w:eastAsia="Arial" w:hAnsi="Arial"/>
          <w:sz w:val="17"/>
          <w:szCs w:val="17"/>
          <w:color w:val="auto"/>
        </w:rPr>
      </w:pPr>
    </w:p>
    <w:p>
      <w:pPr>
        <w:ind w:right="40" w:firstLine="1428"/>
        <w:spacing w:after="0" w:line="277" w:lineRule="auto"/>
        <w:tabs>
          <w:tab w:leader="none" w:pos="1747" w:val="left"/>
        </w:tabs>
        <w:numPr>
          <w:ilvl w:val="0"/>
          <w:numId w:val="37"/>
        </w:numPr>
        <w:rPr>
          <w:rFonts w:ascii="Arial" w:cs="Arial" w:eastAsia="Arial" w:hAnsi="Arial"/>
          <w:sz w:val="18"/>
          <w:szCs w:val="18"/>
          <w:color w:val="auto"/>
        </w:rPr>
      </w:pPr>
      <w:r>
        <w:rPr>
          <w:rFonts w:ascii="Arial" w:cs="Arial" w:eastAsia="Arial" w:hAnsi="Arial"/>
          <w:sz w:val="18"/>
          <w:szCs w:val="18"/>
          <w:color w:val="auto"/>
        </w:rPr>
        <w:t>Nothing in this Section 2.10 shall be deemed to affect any rights of the holders of any series of Preferred Stock to elect directors pursuant to any applicable provisions of the Certificate of Incorporation (including any Preferred Stock Designation).</w:t>
      </w:r>
    </w:p>
    <w:p>
      <w:pPr>
        <w:spacing w:after="0" w:line="170"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2.11 </w:t>
      </w:r>
      <w:r>
        <w:rPr>
          <w:rFonts w:ascii="Arial" w:cs="Arial" w:eastAsia="Arial" w:hAnsi="Arial"/>
          <w:sz w:val="18"/>
          <w:szCs w:val="18"/>
          <w:u w:val="single" w:color="auto"/>
          <w:color w:val="auto"/>
        </w:rPr>
        <w:t>Proxy Access for Director Nominations</w:t>
      </w:r>
      <w:r>
        <w:rPr>
          <w:rFonts w:ascii="Arial" w:cs="Arial" w:eastAsia="Arial" w:hAnsi="Arial"/>
          <w:sz w:val="18"/>
          <w:szCs w:val="18"/>
          <w:color w:val="auto"/>
        </w:rPr>
        <w:t>.</w:t>
      </w:r>
    </w:p>
    <w:p>
      <w:pPr>
        <w:spacing w:after="0" w:line="117" w:lineRule="exact"/>
        <w:rPr>
          <w:sz w:val="20"/>
          <w:szCs w:val="20"/>
          <w:color w:val="auto"/>
        </w:rPr>
      </w:pPr>
    </w:p>
    <w:p>
      <w:pPr>
        <w:ind w:right="340" w:firstLine="987"/>
        <w:spacing w:after="0" w:line="301" w:lineRule="auto"/>
        <w:tabs>
          <w:tab w:leader="none" w:pos="1236" w:val="left"/>
        </w:tabs>
        <w:numPr>
          <w:ilvl w:val="0"/>
          <w:numId w:val="38"/>
        </w:numPr>
        <w:rPr>
          <w:rFonts w:ascii="Arial" w:cs="Arial" w:eastAsia="Arial" w:hAnsi="Arial"/>
          <w:sz w:val="16"/>
          <w:szCs w:val="16"/>
          <w:color w:val="auto"/>
        </w:rPr>
      </w:pPr>
      <w:r>
        <w:rPr>
          <w:rFonts w:ascii="Arial" w:cs="Arial" w:eastAsia="Arial" w:hAnsi="Arial"/>
          <w:sz w:val="16"/>
          <w:szCs w:val="16"/>
          <w:u w:val="single" w:color="auto"/>
          <w:color w:val="auto"/>
        </w:rPr>
        <w:t>Eligibility</w:t>
      </w:r>
      <w:r>
        <w:rPr>
          <w:rFonts w:ascii="Arial" w:cs="Arial" w:eastAsia="Arial" w:hAnsi="Arial"/>
          <w:sz w:val="16"/>
          <w:szCs w:val="16"/>
          <w:color w:val="auto"/>
        </w:rPr>
        <w:t>. Subject to the terms and conditions of these Bylaws, in connection with an annual meeting of stockholders at which directors are to be elected, the Corporation: (x) shall include in its proxy statement and on its form of proxy the names of; and (y) shall include in its proxy statement the “</w:t>
      </w:r>
      <w:r>
        <w:rPr>
          <w:rFonts w:ascii="Arial" w:cs="Arial" w:eastAsia="Arial" w:hAnsi="Arial"/>
          <w:sz w:val="16"/>
          <w:szCs w:val="16"/>
          <w:u w:val="single" w:color="auto"/>
          <w:color w:val="auto"/>
        </w:rPr>
        <w:t>Additional Information</w:t>
      </w:r>
      <w:r>
        <w:rPr>
          <w:rFonts w:ascii="Arial" w:cs="Arial" w:eastAsia="Arial" w:hAnsi="Arial"/>
          <w:sz w:val="16"/>
          <w:szCs w:val="16"/>
          <w:color w:val="auto"/>
        </w:rPr>
        <w:t>” (as defined below) relating to, a number of nominees specified pursuant to Section 2.11(b)(i) (the “</w:t>
      </w:r>
      <w:r>
        <w:rPr>
          <w:rFonts w:ascii="Arial" w:cs="Arial" w:eastAsia="Arial" w:hAnsi="Arial"/>
          <w:sz w:val="16"/>
          <w:szCs w:val="16"/>
          <w:u w:val="single" w:color="auto"/>
          <w:color w:val="auto"/>
        </w:rPr>
        <w:t>Authorized Number</w:t>
      </w:r>
      <w:r>
        <w:rPr>
          <w:rFonts w:ascii="Arial" w:cs="Arial" w:eastAsia="Arial" w:hAnsi="Arial"/>
          <w:sz w:val="16"/>
          <w:szCs w:val="16"/>
          <w:color w:val="auto"/>
        </w:rPr>
        <w:t>”) for election to the Board of Directors submitted pursuant to this Section 2.11 (each, a “</w:t>
      </w:r>
      <w:r>
        <w:rPr>
          <w:rFonts w:ascii="Arial" w:cs="Arial" w:eastAsia="Arial" w:hAnsi="Arial"/>
          <w:sz w:val="16"/>
          <w:szCs w:val="16"/>
          <w:u w:val="single" w:color="auto"/>
          <w:color w:val="auto"/>
        </w:rPr>
        <w:t>Stockholder Nominee</w:t>
      </w:r>
      <w:r>
        <w:rPr>
          <w:rFonts w:ascii="Arial" w:cs="Arial" w:eastAsia="Arial" w:hAnsi="Arial"/>
          <w:sz w:val="16"/>
          <w:szCs w:val="16"/>
          <w:color w:val="auto"/>
        </w:rPr>
        <w:t>”), if:</w:t>
      </w:r>
    </w:p>
    <w:p>
      <w:pPr>
        <w:spacing w:after="0" w:line="49" w:lineRule="exact"/>
        <w:rPr>
          <w:rFonts w:ascii="Arial" w:cs="Arial" w:eastAsia="Arial" w:hAnsi="Arial"/>
          <w:sz w:val="16"/>
          <w:szCs w:val="16"/>
          <w:color w:val="auto"/>
        </w:rPr>
      </w:pPr>
    </w:p>
    <w:p>
      <w:pPr>
        <w:ind w:left="1640" w:hanging="212"/>
        <w:spacing w:after="0"/>
        <w:tabs>
          <w:tab w:leader="none" w:pos="1640" w:val="left"/>
        </w:tabs>
        <w:numPr>
          <w:ilvl w:val="1"/>
          <w:numId w:val="38"/>
        </w:numPr>
        <w:rPr>
          <w:rFonts w:ascii="Arial" w:cs="Arial" w:eastAsia="Arial" w:hAnsi="Arial"/>
          <w:sz w:val="18"/>
          <w:szCs w:val="18"/>
          <w:color w:val="auto"/>
        </w:rPr>
      </w:pPr>
      <w:r>
        <w:rPr>
          <w:rFonts w:ascii="Arial" w:cs="Arial" w:eastAsia="Arial" w:hAnsi="Arial"/>
          <w:sz w:val="18"/>
          <w:szCs w:val="18"/>
          <w:color w:val="auto"/>
        </w:rPr>
        <w:t>the Stockholder Nominee satisfies the eligibility requirements in this Section 2.11;</w:t>
      </w:r>
    </w:p>
    <w:p>
      <w:pPr>
        <w:spacing w:after="0" w:line="117" w:lineRule="exact"/>
        <w:rPr>
          <w:rFonts w:ascii="Arial" w:cs="Arial" w:eastAsia="Arial" w:hAnsi="Arial"/>
          <w:sz w:val="18"/>
          <w:szCs w:val="18"/>
          <w:color w:val="auto"/>
        </w:rPr>
      </w:pPr>
    </w:p>
    <w:p>
      <w:pPr>
        <w:ind w:right="640" w:firstLine="1428"/>
        <w:spacing w:after="0" w:line="277" w:lineRule="auto"/>
        <w:tabs>
          <w:tab w:leader="none" w:pos="1697" w:val="left"/>
        </w:tabs>
        <w:numPr>
          <w:ilvl w:val="1"/>
          <w:numId w:val="38"/>
        </w:numPr>
        <w:rPr>
          <w:rFonts w:ascii="Arial" w:cs="Arial" w:eastAsia="Arial" w:hAnsi="Arial"/>
          <w:sz w:val="18"/>
          <w:szCs w:val="18"/>
          <w:color w:val="auto"/>
        </w:rPr>
      </w:pPr>
      <w:r>
        <w:rPr>
          <w:rFonts w:ascii="Arial" w:cs="Arial" w:eastAsia="Arial" w:hAnsi="Arial"/>
          <w:sz w:val="18"/>
          <w:szCs w:val="18"/>
          <w:color w:val="auto"/>
        </w:rPr>
        <w:t>the Stockholder Nominee is identified in a timely notice (the “</w:t>
      </w:r>
      <w:r>
        <w:rPr>
          <w:rFonts w:ascii="Arial" w:cs="Arial" w:eastAsia="Arial" w:hAnsi="Arial"/>
          <w:sz w:val="18"/>
          <w:szCs w:val="18"/>
          <w:u w:val="single" w:color="auto"/>
          <w:color w:val="auto"/>
        </w:rPr>
        <w:t>Stockholder Notice</w:t>
      </w:r>
      <w:r>
        <w:rPr>
          <w:rFonts w:ascii="Arial" w:cs="Arial" w:eastAsia="Arial" w:hAnsi="Arial"/>
          <w:sz w:val="18"/>
          <w:szCs w:val="18"/>
          <w:color w:val="auto"/>
        </w:rPr>
        <w:t>”) that satisfies this Section 2.11 and is delivered by a stockholder that qualifies as, or is acting on behalf of, an Eligible Stockholder (as defined below);</w:t>
      </w:r>
    </w:p>
    <w:p>
      <w:pPr>
        <w:spacing w:after="0" w:line="62" w:lineRule="exact"/>
        <w:rPr>
          <w:rFonts w:ascii="Arial" w:cs="Arial" w:eastAsia="Arial" w:hAnsi="Arial"/>
          <w:sz w:val="18"/>
          <w:szCs w:val="18"/>
          <w:color w:val="auto"/>
        </w:rPr>
      </w:pPr>
    </w:p>
    <w:p>
      <w:pPr>
        <w:ind w:right="360" w:firstLine="1428"/>
        <w:spacing w:after="0" w:line="277" w:lineRule="auto"/>
        <w:tabs>
          <w:tab w:leader="none" w:pos="1747" w:val="left"/>
        </w:tabs>
        <w:numPr>
          <w:ilvl w:val="1"/>
          <w:numId w:val="38"/>
        </w:numPr>
        <w:rPr>
          <w:rFonts w:ascii="Arial" w:cs="Arial" w:eastAsia="Arial" w:hAnsi="Arial"/>
          <w:sz w:val="18"/>
          <w:szCs w:val="18"/>
          <w:color w:val="auto"/>
        </w:rPr>
      </w:pPr>
      <w:r>
        <w:rPr>
          <w:rFonts w:ascii="Arial" w:cs="Arial" w:eastAsia="Arial" w:hAnsi="Arial"/>
          <w:sz w:val="18"/>
          <w:szCs w:val="18"/>
          <w:color w:val="auto"/>
        </w:rPr>
        <w:t>the Eligible Stockholder satisfies the requirements in this Section 2.11 and expressly elects at the time of the delivery of the Stockholder Notice to have the Stockholder Nominee included in the Corporation’s proxy materials; and</w:t>
      </w:r>
    </w:p>
    <w:p>
      <w:pPr>
        <w:spacing w:after="0" w:line="62" w:lineRule="exact"/>
        <w:rPr>
          <w:rFonts w:ascii="Arial" w:cs="Arial" w:eastAsia="Arial" w:hAnsi="Arial"/>
          <w:sz w:val="18"/>
          <w:szCs w:val="18"/>
          <w:color w:val="auto"/>
        </w:rPr>
      </w:pPr>
    </w:p>
    <w:p>
      <w:pPr>
        <w:ind w:left="1740" w:hanging="312"/>
        <w:spacing w:after="0"/>
        <w:tabs>
          <w:tab w:leader="none" w:pos="1740" w:val="left"/>
        </w:tabs>
        <w:numPr>
          <w:ilvl w:val="1"/>
          <w:numId w:val="38"/>
        </w:numPr>
        <w:rPr>
          <w:rFonts w:ascii="Arial" w:cs="Arial" w:eastAsia="Arial" w:hAnsi="Arial"/>
          <w:sz w:val="18"/>
          <w:szCs w:val="18"/>
          <w:color w:val="auto"/>
        </w:rPr>
      </w:pPr>
      <w:r>
        <w:rPr>
          <w:rFonts w:ascii="Arial" w:cs="Arial" w:eastAsia="Arial" w:hAnsi="Arial"/>
          <w:sz w:val="18"/>
          <w:szCs w:val="18"/>
          <w:color w:val="auto"/>
        </w:rPr>
        <w:t>the additional requirements of these Bylaws are met.</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40" w:firstLine="1428"/>
        <w:spacing w:after="0" w:line="255" w:lineRule="auto"/>
        <w:tabs>
          <w:tab w:leader="none" w:pos="1647" w:val="left"/>
        </w:tabs>
        <w:numPr>
          <w:ilvl w:val="1"/>
          <w:numId w:val="38"/>
        </w:numPr>
        <w:rPr>
          <w:rFonts w:ascii="Arial" w:cs="Arial" w:eastAsia="Arial" w:hAnsi="Arial"/>
          <w:sz w:val="18"/>
          <w:szCs w:val="18"/>
          <w:color w:val="auto"/>
        </w:rPr>
      </w:pPr>
      <w:r>
        <w:rPr>
          <w:rFonts w:ascii="Arial" w:cs="Arial" w:eastAsia="Arial" w:hAnsi="Arial"/>
          <w:sz w:val="18"/>
          <w:szCs w:val="18"/>
          <w:color w:val="auto"/>
        </w:rPr>
        <w:t>The maximum number of Stockholder Nominees appearing in the Corporation’s proxy materials with respect to an annual meeting of stockholders (the “</w:t>
      </w:r>
      <w:r>
        <w:rPr>
          <w:rFonts w:ascii="Arial" w:cs="Arial" w:eastAsia="Arial" w:hAnsi="Arial"/>
          <w:sz w:val="18"/>
          <w:szCs w:val="18"/>
          <w:u w:val="single" w:color="auto"/>
          <w:color w:val="auto"/>
        </w:rPr>
        <w:t>Authorized Number</w:t>
      </w:r>
      <w:r>
        <w:rPr>
          <w:rFonts w:ascii="Arial" w:cs="Arial" w:eastAsia="Arial" w:hAnsi="Arial"/>
          <w:sz w:val="18"/>
          <w:szCs w:val="18"/>
          <w:color w:val="auto"/>
        </w:rPr>
        <w:t xml:space="preserve">”) shall not exceed the greater of two or 20% of the number of directors in office as of the last day on which a Stockholder Notice may be delivered pursuant to this Section 2.11 with respect to the annual meeting, or if such amount is not a whole number, the closest whole number (rounding down) below 20%;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Authorized Number shall be reduced: (A) by any Stockholder Nominee whose name was submitted for inclusion in the Corporation’s proxy materials pursuant to this Section 2.11 but whom the Board of Directors decides to nominate as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2214245</wp:posOffset>
            </wp:positionH>
            <wp:positionV relativeFrom="paragraph">
              <wp:posOffset>-716915</wp:posOffset>
            </wp:positionV>
            <wp:extent cx="28575" cy="825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2">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31" w:name="page32"/>
    <w:bookmarkEnd w:id="31"/>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Board nominee</w:t>
      </w:r>
      <w:r>
        <w:rPr>
          <w:rFonts w:ascii="Arial" w:cs="Arial" w:eastAsia="Arial" w:hAnsi="Arial"/>
          <w:sz w:val="18"/>
          <w:szCs w:val="18"/>
          <w:i w:val="1"/>
          <w:iCs w:val="1"/>
          <w:color w:val="auto"/>
        </w:rPr>
        <w:t>;</w:t>
      </w:r>
      <w:r>
        <w:rPr>
          <w:rFonts w:ascii="Arial" w:cs="Arial" w:eastAsia="Arial" w:hAnsi="Arial"/>
          <w:sz w:val="18"/>
          <w:szCs w:val="18"/>
          <w:color w:val="auto"/>
        </w:rPr>
        <w:t xml:space="preserve"> (B) by any nominees who were previously elected to the Board of Directors as Stockholder Nominees at any of the preceding two annual meetings and who are nominated for election at the annual meeting by the Board of Directors as a Board nominee; and (C) by any Stockholder Nominee who is not included in the Corporation’s proxy materials or is not submitted for director election for any reason, in accordance with the last sentence of Section 2.11(d)(ii). In the event that one or more vacancies for any reason occurs after the date of the Stockholder Notice but before the annual meeting and the Board of Directors resolves to reduce the size of the Board of Directors in connection therewith, the Authorized Number shall be calculated based on the number of directors in office as so reduced.</w:t>
      </w:r>
    </w:p>
    <w:p>
      <w:pPr>
        <w:spacing w:after="0" w:line="84" w:lineRule="exact"/>
        <w:rPr>
          <w:sz w:val="20"/>
          <w:szCs w:val="20"/>
          <w:color w:val="auto"/>
        </w:rPr>
      </w:pPr>
    </w:p>
    <w:p>
      <w:pPr>
        <w:ind w:left="1700" w:hanging="272"/>
        <w:spacing w:after="0"/>
        <w:tabs>
          <w:tab w:leader="none" w:pos="170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qualify as an “</w:t>
      </w:r>
      <w:r>
        <w:rPr>
          <w:rFonts w:ascii="Arial" w:cs="Arial" w:eastAsia="Arial" w:hAnsi="Arial"/>
          <w:sz w:val="18"/>
          <w:szCs w:val="18"/>
          <w:u w:val="single" w:color="auto"/>
          <w:color w:val="auto"/>
        </w:rPr>
        <w:t>Eligible Stockholder</w:t>
      </w:r>
      <w:r>
        <w:rPr>
          <w:rFonts w:ascii="Arial" w:cs="Arial" w:eastAsia="Arial" w:hAnsi="Arial"/>
          <w:sz w:val="18"/>
          <w:szCs w:val="18"/>
          <w:color w:val="auto"/>
        </w:rPr>
        <w:t>,” a stockholder or a group as described in this Section 2.11 must:</w:t>
      </w:r>
    </w:p>
    <w:p>
      <w:pPr>
        <w:spacing w:after="0" w:line="117" w:lineRule="exact"/>
        <w:rPr>
          <w:rFonts w:ascii="Arial" w:cs="Arial" w:eastAsia="Arial" w:hAnsi="Arial"/>
          <w:sz w:val="18"/>
          <w:szCs w:val="18"/>
          <w:color w:val="auto"/>
        </w:rPr>
      </w:pPr>
    </w:p>
    <w:p>
      <w:pPr>
        <w:jc w:val="both"/>
        <w:ind w:firstLine="1979"/>
        <w:spacing w:after="0" w:line="279" w:lineRule="auto"/>
        <w:tabs>
          <w:tab w:leader="none" w:pos="2278" w:val="left"/>
        </w:tabs>
        <w:numPr>
          <w:ilvl w:val="1"/>
          <w:numId w:val="39"/>
        </w:numPr>
        <w:rPr>
          <w:rFonts w:ascii="Arial" w:cs="Arial" w:eastAsia="Arial" w:hAnsi="Arial"/>
          <w:sz w:val="17"/>
          <w:szCs w:val="17"/>
          <w:color w:val="auto"/>
        </w:rPr>
      </w:pPr>
      <w:r>
        <w:rPr>
          <w:rFonts w:ascii="Arial" w:cs="Arial" w:eastAsia="Arial" w:hAnsi="Arial"/>
          <w:sz w:val="17"/>
          <w:szCs w:val="17"/>
          <w:color w:val="auto"/>
        </w:rPr>
        <w:t>Own and have Owned (as defined below), continuously for at least three years as of the date of the Stockholder Notice, a number of shares (as adjusted to account for any stock dividend, stock split, subdivision, combination, reclassification or recapitalization of shares of the Corporation that are entitled to vote generally in the election of directors) that represents at least 3% of the outstanding shares of the Corporation that are entitled to vote generally in the election of directors as of the date of the Stockholder Notice (the “</w:t>
      </w:r>
      <w:r>
        <w:rPr>
          <w:rFonts w:ascii="Arial" w:cs="Arial" w:eastAsia="Arial" w:hAnsi="Arial"/>
          <w:sz w:val="17"/>
          <w:szCs w:val="17"/>
          <w:u w:val="single" w:color="auto"/>
          <w:color w:val="auto"/>
        </w:rPr>
        <w:t>Required Shares</w:t>
      </w:r>
      <w:r>
        <w:rPr>
          <w:rFonts w:ascii="Arial" w:cs="Arial" w:eastAsia="Arial" w:hAnsi="Arial"/>
          <w:sz w:val="17"/>
          <w:szCs w:val="17"/>
          <w:color w:val="auto"/>
        </w:rPr>
        <w:t>”), and</w:t>
      </w:r>
    </w:p>
    <w:p>
      <w:pPr>
        <w:spacing w:after="0" w:line="63" w:lineRule="exact"/>
        <w:rPr>
          <w:rFonts w:ascii="Arial" w:cs="Arial" w:eastAsia="Arial" w:hAnsi="Arial"/>
          <w:sz w:val="17"/>
          <w:szCs w:val="17"/>
          <w:color w:val="auto"/>
        </w:rPr>
      </w:pPr>
    </w:p>
    <w:p>
      <w:pPr>
        <w:ind w:left="2260" w:hanging="281"/>
        <w:spacing w:after="0"/>
        <w:tabs>
          <w:tab w:leader="none" w:pos="2260" w:val="left"/>
        </w:tabs>
        <w:numPr>
          <w:ilvl w:val="1"/>
          <w:numId w:val="39"/>
        </w:numPr>
        <w:rPr>
          <w:rFonts w:ascii="Arial" w:cs="Arial" w:eastAsia="Arial" w:hAnsi="Arial"/>
          <w:sz w:val="18"/>
          <w:szCs w:val="18"/>
          <w:color w:val="auto"/>
        </w:rPr>
      </w:pPr>
      <w:r>
        <w:rPr>
          <w:rFonts w:ascii="Arial" w:cs="Arial" w:eastAsia="Arial" w:hAnsi="Arial"/>
          <w:sz w:val="18"/>
          <w:szCs w:val="18"/>
          <w:color w:val="auto"/>
        </w:rPr>
        <w:t>thereafter continue to Own the Required Shares through such annual meeting of stockholders.</w:t>
      </w:r>
    </w:p>
    <w:p>
      <w:pPr>
        <w:spacing w:after="0" w:line="117" w:lineRule="exact"/>
        <w:rPr>
          <w:sz w:val="20"/>
          <w:szCs w:val="20"/>
          <w:color w:val="auto"/>
        </w:rPr>
      </w:pPr>
    </w:p>
    <w:p>
      <w:pPr>
        <w:ind w:right="40" w:firstLine="440"/>
        <w:spacing w:after="0" w:line="269" w:lineRule="auto"/>
        <w:rPr>
          <w:sz w:val="20"/>
          <w:szCs w:val="20"/>
          <w:color w:val="auto"/>
        </w:rPr>
      </w:pPr>
      <w:r>
        <w:rPr>
          <w:rFonts w:ascii="Arial" w:cs="Arial" w:eastAsia="Arial" w:hAnsi="Arial"/>
          <w:sz w:val="17"/>
          <w:szCs w:val="17"/>
          <w:color w:val="auto"/>
        </w:rPr>
        <w:t>For purposes of satisfying the ownership requirements of this Section 2.11(b)(ii), a group of not more than 20 stockholders and/or beneficial owners may aggregate the number of shares of the Corporation that are entitled to vote generally in the election of directors that each group member has individually Owned continuously for at least three years as of the date of the Stockholder Notice if all other requirements and obligations for an Eligible Stockholder set forth in this Section 2.11 are satisfied by and as to each stockholder or beneficial owner comprising the group whose shares are aggregated. No shares may be attributed to more than one Eligible Stockholder, and no stockholder or beneficial owner, alone or together with any of its affiliates, may individually or as a member of a group qualify as or constitute more than one Eligible Stockholder under this Section 2.11. A group of any two or more funds shall be treated as only one stockholder or beneficial owner for this purpose if they are (1) under common management and investment control or (2) part of a “group of investment companies,” as such term is defined in Section 12(d)(1)(G)(ii) of the Investment Company Act of 1940. For purposes of this Section 2.11, the term “affiliate” or “affiliates” shall have the meanings ascribed thereto under the rules and regulations promulgated under the Securities Exchange Act of 1934 (the “</w:t>
      </w:r>
      <w:r>
        <w:rPr>
          <w:rFonts w:ascii="Arial" w:cs="Arial" w:eastAsia="Arial" w:hAnsi="Arial"/>
          <w:sz w:val="17"/>
          <w:szCs w:val="17"/>
          <w:u w:val="single" w:color="auto"/>
          <w:color w:val="auto"/>
        </w:rPr>
        <w:t>Exchange Act</w:t>
      </w:r>
      <w:r>
        <w:rPr>
          <w:rFonts w:ascii="Arial" w:cs="Arial" w:eastAsia="Arial" w:hAnsi="Arial"/>
          <w:sz w:val="17"/>
          <w:szCs w:val="17"/>
          <w:color w:val="auto"/>
        </w:rPr>
        <w:t>”).</w:t>
      </w:r>
    </w:p>
    <w:p>
      <w:pPr>
        <w:spacing w:after="0" w:line="77" w:lineRule="exact"/>
        <w:rPr>
          <w:sz w:val="20"/>
          <w:szCs w:val="20"/>
          <w:color w:val="auto"/>
        </w:rPr>
      </w:pPr>
    </w:p>
    <w:p>
      <w:pPr>
        <w:ind w:left="1740" w:hanging="312"/>
        <w:spacing w:after="0"/>
        <w:tabs>
          <w:tab w:leader="none" w:pos="17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For purposes of this Section 2.11:</w:t>
      </w:r>
    </w:p>
    <w:p>
      <w:pPr>
        <w:spacing w:after="0" w:line="117" w:lineRule="exact"/>
        <w:rPr>
          <w:rFonts w:ascii="Arial" w:cs="Arial" w:eastAsia="Arial" w:hAnsi="Arial"/>
          <w:sz w:val="18"/>
          <w:szCs w:val="18"/>
          <w:color w:val="auto"/>
        </w:rPr>
      </w:pPr>
    </w:p>
    <w:p>
      <w:pPr>
        <w:jc w:val="both"/>
        <w:ind w:firstLine="1979"/>
        <w:spacing w:after="0" w:line="259" w:lineRule="auto"/>
        <w:tabs>
          <w:tab w:leader="none" w:pos="2278" w:val="left"/>
        </w:tabs>
        <w:numPr>
          <w:ilvl w:val="1"/>
          <w:numId w:val="40"/>
        </w:numPr>
        <w:rPr>
          <w:rFonts w:ascii="Arial" w:cs="Arial" w:eastAsia="Arial" w:hAnsi="Arial"/>
          <w:sz w:val="18"/>
          <w:szCs w:val="18"/>
          <w:color w:val="auto"/>
        </w:rPr>
      </w:pPr>
      <w:r>
        <w:rPr>
          <w:rFonts w:ascii="Arial" w:cs="Arial" w:eastAsia="Arial" w:hAnsi="Arial"/>
          <w:sz w:val="18"/>
          <w:szCs w:val="18"/>
          <w:color w:val="auto"/>
        </w:rPr>
        <w:t>A stockholder or beneficial owner is deemed to “</w:t>
      </w:r>
      <w:r>
        <w:rPr>
          <w:rFonts w:ascii="Arial" w:cs="Arial" w:eastAsia="Arial" w:hAnsi="Arial"/>
          <w:sz w:val="18"/>
          <w:szCs w:val="18"/>
          <w:u w:val="single" w:color="auto"/>
          <w:color w:val="auto"/>
        </w:rPr>
        <w:t>Own</w:t>
      </w:r>
      <w:r>
        <w:rPr>
          <w:rFonts w:ascii="Arial" w:cs="Arial" w:eastAsia="Arial" w:hAnsi="Arial"/>
          <w:sz w:val="18"/>
          <w:szCs w:val="18"/>
          <w:color w:val="auto"/>
        </w:rPr>
        <w:t>” only those outstanding shares of the Corporation that are entitled to vote generally in the election of directors as to which the person possesses both: (1) the full voting rights pertaining to such shares (which includes the power to vote, or to direct the voting of, such shares) and the full investment rights pertaining to such shares (which includes the power to dispose, or to direct the disposition</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32" w:name="page33"/>
    <w:bookmarkEnd w:id="32"/>
    <w:p>
      <w:pPr>
        <w:ind w:left="4" w:right="4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of, such shares); and (2) the full economic interest in (including the opportunity for profit and risk of loss on) such shares, except that the number of shares calculated in accordance with clauses (1) and (2) shall not include any shares: (a) sold by such person in any transaction that has not been settled or closed; (b) borrowed by the person for any purposes or purchased by the person pursuant to an agreement to resell; or (c) subject to any option, warrant, forward contract, swap, contract of sale, or other derivative or similar agreement entered into by the person, whether the instrument or agreement is to be settled with shares or with cash based on the notional amount or value of outstanding shares of the Corporation that are entitled to vote generally in the election of directors, if the instrument or agreement has, or is intended to have, or if exercised would have, the purpose or effect of:</w:t>
      </w:r>
    </w:p>
    <w:p>
      <w:pPr>
        <w:spacing w:after="0" w:line="4" w:lineRule="exact"/>
        <w:rPr>
          <w:sz w:val="20"/>
          <w:szCs w:val="20"/>
          <w:color w:val="auto"/>
        </w:rPr>
      </w:pPr>
    </w:p>
    <w:p>
      <w:pPr>
        <w:ind w:left="4" w:right="80" w:hanging="4"/>
        <w:spacing w:after="0" w:line="253" w:lineRule="auto"/>
        <w:tabs>
          <w:tab w:leader="none" w:pos="219" w:val="left"/>
        </w:tabs>
        <w:numPr>
          <w:ilvl w:val="0"/>
          <w:numId w:val="41"/>
        </w:numPr>
        <w:rPr>
          <w:rFonts w:ascii="Arial" w:cs="Arial" w:eastAsia="Arial" w:hAnsi="Arial"/>
          <w:sz w:val="18"/>
          <w:szCs w:val="18"/>
          <w:color w:val="auto"/>
        </w:rPr>
      </w:pPr>
      <w:r>
        <w:rPr>
          <w:rFonts w:ascii="Arial" w:cs="Arial" w:eastAsia="Arial" w:hAnsi="Arial"/>
          <w:sz w:val="18"/>
          <w:szCs w:val="18"/>
          <w:color w:val="auto"/>
        </w:rPr>
        <w:t>reducing in any manner, to any extent or at any time in the future, the person’s full right to vote or direct the voting of the shares; and/or (ii) hedging, offsetting or altering to any degree any gain or loss arising from the full economic ownership of the shares by the person. The terms “Owned,” “Owning” and other variations of the word “Own,” when used with respect to a stockholder or beneficial owner, have correlative meanings. For purposes of clauses (a) through (c), the term “person” includes its affiliates.</w:t>
      </w:r>
    </w:p>
    <w:p>
      <w:pPr>
        <w:spacing w:after="0" w:line="84" w:lineRule="exact"/>
        <w:rPr>
          <w:rFonts w:ascii="Arial" w:cs="Arial" w:eastAsia="Arial" w:hAnsi="Arial"/>
          <w:sz w:val="18"/>
          <w:szCs w:val="18"/>
          <w:color w:val="auto"/>
        </w:rPr>
      </w:pPr>
    </w:p>
    <w:p>
      <w:pPr>
        <w:ind w:left="4" w:right="20" w:firstLine="1979"/>
        <w:spacing w:after="0" w:line="275" w:lineRule="auto"/>
        <w:tabs>
          <w:tab w:leader="none" w:pos="2272" w:val="left"/>
        </w:tabs>
        <w:numPr>
          <w:ilvl w:val="2"/>
          <w:numId w:val="41"/>
        </w:numPr>
        <w:rPr>
          <w:rFonts w:ascii="Arial" w:cs="Arial" w:eastAsia="Arial" w:hAnsi="Arial"/>
          <w:sz w:val="17"/>
          <w:szCs w:val="17"/>
          <w:color w:val="auto"/>
        </w:rPr>
      </w:pPr>
      <w:r>
        <w:rPr>
          <w:rFonts w:ascii="Arial" w:cs="Arial" w:eastAsia="Arial" w:hAnsi="Arial"/>
          <w:sz w:val="17"/>
          <w:szCs w:val="17"/>
          <w:color w:val="auto"/>
        </w:rPr>
        <w:t>A stockholder or beneficial owner “Owns” shares held in the name of a nominee or other intermediary so long as the person retains both: (1) the full voting rights pertaining to the shares (which includes the power to vote, or to direct the voting of, such shares) and the full investment rights pertaining to the shares (which includes the power to dispose, or to direct the disposition of, such shares); and (2) the full economic interest in the shares. The person’s Ownership of shares is deemed to continue during any period in which the person has delegated any voting power by means of a proxy, power of attorney, or other instrument or arrangement that is revocable at any time by the stockholder.</w:t>
      </w:r>
    </w:p>
    <w:p>
      <w:pPr>
        <w:spacing w:after="0" w:line="68" w:lineRule="exact"/>
        <w:rPr>
          <w:rFonts w:ascii="Arial" w:cs="Arial" w:eastAsia="Arial" w:hAnsi="Arial"/>
          <w:sz w:val="17"/>
          <w:szCs w:val="17"/>
          <w:color w:val="auto"/>
        </w:rPr>
      </w:pPr>
    </w:p>
    <w:p>
      <w:pPr>
        <w:ind w:left="4" w:right="320" w:firstLine="1979"/>
        <w:spacing w:after="0" w:line="308" w:lineRule="auto"/>
        <w:tabs>
          <w:tab w:leader="none" w:pos="2272" w:val="left"/>
        </w:tabs>
        <w:numPr>
          <w:ilvl w:val="2"/>
          <w:numId w:val="41"/>
        </w:numPr>
        <w:rPr>
          <w:rFonts w:ascii="Arial" w:cs="Arial" w:eastAsia="Arial" w:hAnsi="Arial"/>
          <w:sz w:val="17"/>
          <w:szCs w:val="17"/>
          <w:color w:val="auto"/>
        </w:rPr>
      </w:pPr>
      <w:r>
        <w:rPr>
          <w:rFonts w:ascii="Arial" w:cs="Arial" w:eastAsia="Arial" w:hAnsi="Arial"/>
          <w:sz w:val="17"/>
          <w:szCs w:val="17"/>
          <w:color w:val="auto"/>
        </w:rPr>
        <w:t>A stockholder or beneficial owner’s Ownership of shares shall be deemed to continue during any period in which the person has loaned the shares if the person has the power to recall the loaned shares on not more than five business days’ notice.</w:t>
      </w:r>
    </w:p>
    <w:p>
      <w:pPr>
        <w:spacing w:after="0" w:line="38" w:lineRule="exact"/>
        <w:rPr>
          <w:rFonts w:ascii="Arial" w:cs="Arial" w:eastAsia="Arial" w:hAnsi="Arial"/>
          <w:sz w:val="17"/>
          <w:szCs w:val="17"/>
          <w:color w:val="auto"/>
        </w:rPr>
      </w:pPr>
    </w:p>
    <w:p>
      <w:pPr>
        <w:ind w:left="1744" w:hanging="312"/>
        <w:spacing w:after="0"/>
        <w:tabs>
          <w:tab w:leader="none" w:pos="1744" w:val="left"/>
        </w:tabs>
        <w:numPr>
          <w:ilvl w:val="1"/>
          <w:numId w:val="41"/>
        </w:numPr>
        <w:rPr>
          <w:rFonts w:ascii="Arial" w:cs="Arial" w:eastAsia="Arial" w:hAnsi="Arial"/>
          <w:sz w:val="16"/>
          <w:szCs w:val="16"/>
          <w:color w:val="auto"/>
        </w:rPr>
      </w:pPr>
      <w:r>
        <w:rPr>
          <w:rFonts w:ascii="Arial" w:cs="Arial" w:eastAsia="Arial" w:hAnsi="Arial"/>
          <w:sz w:val="16"/>
          <w:szCs w:val="16"/>
          <w:color w:val="auto"/>
        </w:rPr>
        <w:t>For purposes of this Section 2.11, the “</w:t>
      </w:r>
      <w:r>
        <w:rPr>
          <w:rFonts w:ascii="Arial" w:cs="Arial" w:eastAsia="Arial" w:hAnsi="Arial"/>
          <w:sz w:val="16"/>
          <w:szCs w:val="16"/>
          <w:u w:val="single" w:color="auto"/>
          <w:color w:val="auto"/>
        </w:rPr>
        <w:t>Additional Information</w:t>
      </w:r>
      <w:r>
        <w:rPr>
          <w:rFonts w:ascii="Arial" w:cs="Arial" w:eastAsia="Arial" w:hAnsi="Arial"/>
          <w:sz w:val="16"/>
          <w:szCs w:val="16"/>
          <w:color w:val="auto"/>
        </w:rPr>
        <w:t>” referred to in Section 2.11(a) that the Corporation will include in</w:t>
      </w:r>
    </w:p>
    <w:p>
      <w:pPr>
        <w:spacing w:after="0" w:line="46" w:lineRule="exact"/>
        <w:rPr>
          <w:rFonts w:ascii="Arial" w:cs="Arial" w:eastAsia="Arial" w:hAnsi="Arial"/>
          <w:sz w:val="16"/>
          <w:szCs w:val="16"/>
          <w:color w:val="auto"/>
        </w:rPr>
      </w:pPr>
    </w:p>
    <w:p>
      <w:pPr>
        <w:ind w:left="4"/>
        <w:spacing w:after="0"/>
        <w:rPr>
          <w:rFonts w:ascii="Arial" w:cs="Arial" w:eastAsia="Arial" w:hAnsi="Arial"/>
          <w:sz w:val="16"/>
          <w:szCs w:val="16"/>
          <w:color w:val="auto"/>
        </w:rPr>
      </w:pPr>
      <w:r>
        <w:rPr>
          <w:rFonts w:ascii="Arial" w:cs="Arial" w:eastAsia="Arial" w:hAnsi="Arial"/>
          <w:sz w:val="18"/>
          <w:szCs w:val="18"/>
          <w:color w:val="auto"/>
        </w:rPr>
        <w:t>its proxy statement is:</w:t>
      </w:r>
    </w:p>
    <w:p>
      <w:pPr>
        <w:spacing w:after="0" w:line="102" w:lineRule="exact"/>
        <w:rPr>
          <w:rFonts w:ascii="Arial" w:cs="Arial" w:eastAsia="Arial" w:hAnsi="Arial"/>
          <w:sz w:val="16"/>
          <w:szCs w:val="16"/>
          <w:color w:val="auto"/>
        </w:rPr>
      </w:pPr>
    </w:p>
    <w:p>
      <w:pPr>
        <w:jc w:val="both"/>
        <w:ind w:left="4" w:right="580" w:firstLine="1979"/>
        <w:spacing w:after="0" w:line="263" w:lineRule="auto"/>
        <w:tabs>
          <w:tab w:leader="none" w:pos="2282" w:val="left"/>
        </w:tabs>
        <w:numPr>
          <w:ilvl w:val="2"/>
          <w:numId w:val="42"/>
        </w:numPr>
        <w:rPr>
          <w:rFonts w:ascii="Arial" w:cs="Arial" w:eastAsia="Arial" w:hAnsi="Arial"/>
          <w:sz w:val="18"/>
          <w:szCs w:val="18"/>
          <w:color w:val="auto"/>
        </w:rPr>
      </w:pPr>
      <w:r>
        <w:rPr>
          <w:rFonts w:ascii="Arial" w:cs="Arial" w:eastAsia="Arial" w:hAnsi="Arial"/>
          <w:sz w:val="18"/>
          <w:szCs w:val="18"/>
          <w:color w:val="auto"/>
        </w:rPr>
        <w:t>the information set forth in the Schedule 14N provided with the Stockholder Notice concerning each Stockholder Nominee and the Eligible Stockholder that is required to be disclosed in the Corporation’s proxy statement by the applicable requirements of the Exchange Act and the rules and regulations thereunder; and</w:t>
      </w:r>
    </w:p>
    <w:p>
      <w:pPr>
        <w:spacing w:after="0" w:line="75" w:lineRule="exact"/>
        <w:rPr>
          <w:rFonts w:ascii="Arial" w:cs="Arial" w:eastAsia="Arial" w:hAnsi="Arial"/>
          <w:sz w:val="18"/>
          <w:szCs w:val="18"/>
          <w:color w:val="auto"/>
        </w:rPr>
      </w:pPr>
    </w:p>
    <w:p>
      <w:pPr>
        <w:ind w:left="4" w:right="40" w:firstLine="1979"/>
        <w:spacing w:after="0" w:line="263" w:lineRule="auto"/>
        <w:tabs>
          <w:tab w:leader="none" w:pos="2272" w:val="left"/>
        </w:tabs>
        <w:numPr>
          <w:ilvl w:val="2"/>
          <w:numId w:val="42"/>
        </w:numPr>
        <w:rPr>
          <w:rFonts w:ascii="Arial" w:cs="Arial" w:eastAsia="Arial" w:hAnsi="Arial"/>
          <w:sz w:val="18"/>
          <w:szCs w:val="18"/>
          <w:color w:val="auto"/>
        </w:rPr>
      </w:pPr>
      <w:r>
        <w:rPr>
          <w:rFonts w:ascii="Arial" w:cs="Arial" w:eastAsia="Arial" w:hAnsi="Arial"/>
          <w:sz w:val="18"/>
          <w:szCs w:val="18"/>
          <w:color w:val="auto"/>
        </w:rPr>
        <w:t>if the Eligible Stockholder so elects, a written statement of the Eligible Stockholder (or, in the case of a group, a written statement of the group), not to exceed 500 words, in support of its Stockholder Nominee(s), which must be provided at the same time as the Stockholder Notice for inclusion in the Corporation’s proxy statement for the annual meeting (the “</w:t>
      </w:r>
      <w:r>
        <w:rPr>
          <w:rFonts w:ascii="Arial" w:cs="Arial" w:eastAsia="Arial" w:hAnsi="Arial"/>
          <w:sz w:val="18"/>
          <w:szCs w:val="18"/>
          <w:u w:val="single" w:color="auto"/>
          <w:color w:val="auto"/>
        </w:rPr>
        <w:t>Statement</w:t>
      </w:r>
      <w:r>
        <w:rPr>
          <w:rFonts w:ascii="Arial" w:cs="Arial" w:eastAsia="Arial" w:hAnsi="Arial"/>
          <w:sz w:val="18"/>
          <w:szCs w:val="18"/>
          <w:color w:val="auto"/>
        </w:rPr>
        <w:t>”).</w:t>
      </w:r>
    </w:p>
    <w:p>
      <w:pPr>
        <w:spacing w:after="0" w:line="184" w:lineRule="exact"/>
        <w:rPr>
          <w:sz w:val="20"/>
          <w:szCs w:val="20"/>
          <w:color w:val="auto"/>
        </w:rPr>
      </w:pPr>
    </w:p>
    <w:p>
      <w:pPr>
        <w:ind w:left="4" w:right="120" w:firstLine="440"/>
        <w:spacing w:after="0" w:line="257" w:lineRule="auto"/>
        <w:rPr>
          <w:sz w:val="20"/>
          <w:szCs w:val="20"/>
          <w:color w:val="auto"/>
        </w:rPr>
      </w:pPr>
      <w:r>
        <w:rPr>
          <w:rFonts w:ascii="Arial" w:cs="Arial" w:eastAsia="Arial" w:hAnsi="Arial"/>
          <w:sz w:val="18"/>
          <w:szCs w:val="18"/>
          <w:color w:val="auto"/>
        </w:rPr>
        <w:t>Notwithstanding anything to the contrary contained in this Section 2.11, the Corporation may omit from its proxy materials any information or Statement that it, in good faith, believes is untrue in any material respect (or omits a material fact necessary in order to make the statements made, in light of the circumstances under which they are made, not misleading) or would violate any applicable law, rule, regulation or listing standard. Nothing in this Section 2.11 shall limit the Corporation’s ability to solicit against and include in its proxy materials its own statements relating to any Eligible Stockholder or Stockholder Nominee.</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4"/>
          </w:cols>
          <w:pgMar w:left="436" w:top="274" w:right="459" w:bottom="1440" w:gutter="0" w:footer="0" w:header="0"/>
        </w:sectPr>
      </w:pPr>
    </w:p>
    <w:bookmarkStart w:id="33" w:name="page34"/>
    <w:bookmarkEnd w:id="33"/>
    <w:p>
      <w:pPr>
        <w:ind w:left="1240" w:hanging="253"/>
        <w:spacing w:after="0"/>
        <w:tabs>
          <w:tab w:leader="none" w:pos="1240" w:val="left"/>
        </w:tabs>
        <w:numPr>
          <w:ilvl w:val="0"/>
          <w:numId w:val="4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Stockholder Notice and Other Informational Requirements.</w:t>
      </w:r>
    </w:p>
    <w:p>
      <w:pPr>
        <w:spacing w:after="0" w:line="117" w:lineRule="exact"/>
        <w:rPr>
          <w:rFonts w:ascii="Arial" w:cs="Arial" w:eastAsia="Arial" w:hAnsi="Arial"/>
          <w:sz w:val="18"/>
          <w:szCs w:val="18"/>
          <w:color w:val="auto"/>
        </w:rPr>
      </w:pPr>
    </w:p>
    <w:p>
      <w:pPr>
        <w:ind w:right="160" w:firstLine="1428"/>
        <w:spacing w:after="0" w:line="259" w:lineRule="auto"/>
        <w:tabs>
          <w:tab w:leader="none" w:pos="1647" w:val="left"/>
        </w:tabs>
        <w:numPr>
          <w:ilvl w:val="1"/>
          <w:numId w:val="43"/>
        </w:numPr>
        <w:rPr>
          <w:rFonts w:ascii="Arial" w:cs="Arial" w:eastAsia="Arial" w:hAnsi="Arial"/>
          <w:sz w:val="18"/>
          <w:szCs w:val="18"/>
          <w:color w:val="auto"/>
        </w:rPr>
      </w:pPr>
      <w:r>
        <w:rPr>
          <w:rFonts w:ascii="Arial" w:cs="Arial" w:eastAsia="Arial" w:hAnsi="Arial"/>
          <w:sz w:val="18"/>
          <w:szCs w:val="18"/>
          <w:color w:val="auto"/>
        </w:rPr>
        <w:t>The Stockholder Notice shall set forth all information, representations and agreements required under Section 2.10(a)(ii) above, including the information required with respect to any nominee for election as a director, any stockholder giving notice of an intent to nominate a candidate for election, and any stockholder, beneficial owner or other person on whose behalf the nomination is made under this Section 2.11. In addition, such Stockholder Notice shall include:</w:t>
      </w:r>
    </w:p>
    <w:p>
      <w:pPr>
        <w:spacing w:after="0" w:line="78" w:lineRule="exact"/>
        <w:rPr>
          <w:rFonts w:ascii="Arial" w:cs="Arial" w:eastAsia="Arial" w:hAnsi="Arial"/>
          <w:sz w:val="18"/>
          <w:szCs w:val="18"/>
          <w:color w:val="auto"/>
        </w:rPr>
      </w:pPr>
    </w:p>
    <w:p>
      <w:pPr>
        <w:ind w:left="2280" w:hanging="301"/>
        <w:spacing w:after="0"/>
        <w:tabs>
          <w:tab w:leader="none" w:pos="2280" w:val="left"/>
        </w:tabs>
        <w:numPr>
          <w:ilvl w:val="2"/>
          <w:numId w:val="43"/>
        </w:numPr>
        <w:rPr>
          <w:rFonts w:ascii="Arial" w:cs="Arial" w:eastAsia="Arial" w:hAnsi="Arial"/>
          <w:sz w:val="18"/>
          <w:szCs w:val="18"/>
          <w:color w:val="auto"/>
        </w:rPr>
      </w:pPr>
      <w:r>
        <w:rPr>
          <w:rFonts w:ascii="Arial" w:cs="Arial" w:eastAsia="Arial" w:hAnsi="Arial"/>
          <w:sz w:val="18"/>
          <w:szCs w:val="18"/>
          <w:color w:val="auto"/>
        </w:rPr>
        <w:t>a copy of the Schedule 14N that has been or concurrently is filed with the SEC under the Exchange Act;</w:t>
      </w:r>
    </w:p>
    <w:p>
      <w:pPr>
        <w:spacing w:after="0" w:line="117" w:lineRule="exact"/>
        <w:rPr>
          <w:rFonts w:ascii="Arial" w:cs="Arial" w:eastAsia="Arial" w:hAnsi="Arial"/>
          <w:sz w:val="18"/>
          <w:szCs w:val="18"/>
          <w:color w:val="auto"/>
        </w:rPr>
      </w:pPr>
    </w:p>
    <w:p>
      <w:pPr>
        <w:ind w:right="40" w:firstLine="1979"/>
        <w:spacing w:after="0" w:line="275" w:lineRule="auto"/>
        <w:tabs>
          <w:tab w:leader="none" w:pos="2268" w:val="left"/>
        </w:tabs>
        <w:numPr>
          <w:ilvl w:val="2"/>
          <w:numId w:val="43"/>
        </w:numPr>
        <w:rPr>
          <w:rFonts w:ascii="Arial" w:cs="Arial" w:eastAsia="Arial" w:hAnsi="Arial"/>
          <w:sz w:val="17"/>
          <w:szCs w:val="17"/>
          <w:color w:val="auto"/>
        </w:rPr>
      </w:pPr>
      <w:r>
        <w:rPr>
          <w:rFonts w:ascii="Arial" w:cs="Arial" w:eastAsia="Arial" w:hAnsi="Arial"/>
          <w:sz w:val="17"/>
          <w:szCs w:val="17"/>
          <w:color w:val="auto"/>
        </w:rPr>
        <w:t>a written statement of the Eligible Stockholder (and in the case of a group, the written statement of each stockholder or beneficial owner whose shares are aggregated for purposes of constituting an Eligible Stockholder), which statement(s) shall also be included in the Schedule 14N filed with the SEC: (1) setting forth and certifying to the number of shares of the Corporation that are entitled to vote generally in the election of directors the Eligible Stockholder Owns and has Owned (as defined in Section 2.11(b)(iii)) continuously for at least three years as of the date of the Stockholder Notice; (2) agreeing to continue to Own such shares through the annual meeting;</w:t>
      </w:r>
    </w:p>
    <w:p>
      <w:pPr>
        <w:spacing w:after="0" w:line="68" w:lineRule="exact"/>
        <w:rPr>
          <w:rFonts w:ascii="Arial" w:cs="Arial" w:eastAsia="Arial" w:hAnsi="Arial"/>
          <w:sz w:val="17"/>
          <w:szCs w:val="17"/>
          <w:color w:val="auto"/>
        </w:rPr>
      </w:pPr>
    </w:p>
    <w:p>
      <w:pPr>
        <w:ind w:right="120" w:firstLine="1979"/>
        <w:spacing w:after="0" w:line="263" w:lineRule="auto"/>
        <w:tabs>
          <w:tab w:leader="none" w:pos="2268" w:val="left"/>
        </w:tabs>
        <w:numPr>
          <w:ilvl w:val="2"/>
          <w:numId w:val="43"/>
        </w:numPr>
        <w:rPr>
          <w:rFonts w:ascii="Arial" w:cs="Arial" w:eastAsia="Arial" w:hAnsi="Arial"/>
          <w:sz w:val="18"/>
          <w:szCs w:val="18"/>
          <w:color w:val="auto"/>
        </w:rPr>
      </w:pPr>
      <w:r>
        <w:rPr>
          <w:rFonts w:ascii="Arial" w:cs="Arial" w:eastAsia="Arial" w:hAnsi="Arial"/>
          <w:sz w:val="18"/>
          <w:szCs w:val="18"/>
          <w:color w:val="auto"/>
        </w:rPr>
        <w:t>the written agreement of the Eligible Stockholder (and in the case of a group, the written agreement of each stockholder or beneficial owner whose shares are aggregated for purposes of constituting an Eligible Stockholder) addressed to the Corporation, setting forth the following additional agreements, representations, and warranties:</w:t>
      </w:r>
    </w:p>
    <w:p>
      <w:pPr>
        <w:spacing w:after="0" w:line="75" w:lineRule="exact"/>
        <w:rPr>
          <w:rFonts w:ascii="Arial" w:cs="Arial" w:eastAsia="Arial" w:hAnsi="Arial"/>
          <w:sz w:val="18"/>
          <w:szCs w:val="18"/>
          <w:color w:val="auto"/>
        </w:rPr>
      </w:pPr>
    </w:p>
    <w:p>
      <w:pPr>
        <w:ind w:right="40" w:firstLine="2419"/>
        <w:spacing w:after="0" w:line="254" w:lineRule="auto"/>
        <w:tabs>
          <w:tab w:leader="none" w:pos="2678" w:val="left"/>
        </w:tabs>
        <w:numPr>
          <w:ilvl w:val="3"/>
          <w:numId w:val="43"/>
        </w:numPr>
        <w:rPr>
          <w:rFonts w:ascii="Arial" w:cs="Arial" w:eastAsia="Arial" w:hAnsi="Arial"/>
          <w:sz w:val="18"/>
          <w:szCs w:val="18"/>
          <w:color w:val="auto"/>
        </w:rPr>
      </w:pPr>
      <w:r>
        <w:rPr>
          <w:rFonts w:ascii="Arial" w:cs="Arial" w:eastAsia="Arial" w:hAnsi="Arial"/>
          <w:sz w:val="18"/>
          <w:szCs w:val="18"/>
          <w:color w:val="auto"/>
        </w:rPr>
        <w:t>it shall provide: (a) within five business days after the date of the Stockholder Notice, one or more written statements from the record holder(s) of the Required Shares and from each intermediary through which the Required Shares are or have been held, in each case during the requisite three-year holding period, specifying the number of shares that the Eligible Stockholder Owns, and has Owned continuously in compliance with this Section 2.11; (b) within five business days after the record date for the annual meeting both the information required under Section 2.10(a)(ii)(C)-Section 2.10(a)(ii)(D)(D) and notification in writing verifying the Eligible Stockholder’s continuous Ownership of the Required Shares, in each case, as of such date; and (c) immediate notice to the Corporation if the Eligible Stockholder ceases to own any of the Required Shares prior to the annual meeting;</w:t>
      </w:r>
    </w:p>
    <w:p>
      <w:pPr>
        <w:spacing w:after="0" w:line="86" w:lineRule="exact"/>
        <w:rPr>
          <w:rFonts w:ascii="Arial" w:cs="Arial" w:eastAsia="Arial" w:hAnsi="Arial"/>
          <w:sz w:val="18"/>
          <w:szCs w:val="18"/>
          <w:color w:val="auto"/>
        </w:rPr>
      </w:pPr>
    </w:p>
    <w:p>
      <w:pPr>
        <w:ind w:firstLine="2419"/>
        <w:spacing w:after="0" w:line="279" w:lineRule="auto"/>
        <w:tabs>
          <w:tab w:leader="none" w:pos="2678" w:val="left"/>
        </w:tabs>
        <w:numPr>
          <w:ilvl w:val="3"/>
          <w:numId w:val="43"/>
        </w:numPr>
        <w:rPr>
          <w:rFonts w:ascii="Arial" w:cs="Arial" w:eastAsia="Arial" w:hAnsi="Arial"/>
          <w:sz w:val="17"/>
          <w:szCs w:val="17"/>
          <w:color w:val="auto"/>
        </w:rPr>
      </w:pPr>
      <w:r>
        <w:rPr>
          <w:rFonts w:ascii="Arial" w:cs="Arial" w:eastAsia="Arial" w:hAnsi="Arial"/>
          <w:sz w:val="17"/>
          <w:szCs w:val="17"/>
          <w:color w:val="auto"/>
        </w:rPr>
        <w:t>it: (a) acquired the Required Shares in the ordinary course of business and not with the intent to change or influence control at the Corporation, and does not presently have this intent; (b) has not nominated and shall not nominate for election to the Board of Directors at the annual meeting any person other than the Stockholder Nominee(s) being nominated pursuant to this Section 2.11; (c) has not engaged and shall not engage in, and has not been and shall not be a participant (as defined in Item 4 of Exchange Act Schedule 14A)</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4" w:right="459" w:bottom="1440" w:gutter="0" w:footer="0" w:header="0"/>
        </w:sectPr>
      </w:pPr>
    </w:p>
    <w:bookmarkStart w:id="34" w:name="page35"/>
    <w:bookmarkEnd w:id="34"/>
    <w:p>
      <w:pPr>
        <w:ind w:right="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a solicitation within the meaning of Exchange Act Rule 14a-1(l), in support of the election of any individual as a director at the annual meeting other than its Stockholder Nominee(s) or any nominee(s) of the Board of Directors; and (d) shall not distribute to any stockholder any form of proxy for the annual meeting other than the form distributed by the Corporation; and</w:t>
      </w:r>
    </w:p>
    <w:p>
      <w:pPr>
        <w:spacing w:after="0" w:line="76" w:lineRule="exact"/>
        <w:rPr>
          <w:sz w:val="20"/>
          <w:szCs w:val="20"/>
          <w:color w:val="auto"/>
        </w:rPr>
      </w:pPr>
    </w:p>
    <w:p>
      <w:pPr>
        <w:ind w:right="40" w:firstLine="2419"/>
        <w:spacing w:after="0" w:line="287" w:lineRule="auto"/>
        <w:tabs>
          <w:tab w:leader="none" w:pos="2678" w:val="left"/>
        </w:tabs>
        <w:numPr>
          <w:ilvl w:val="2"/>
          <w:numId w:val="44"/>
        </w:numPr>
        <w:rPr>
          <w:rFonts w:ascii="Arial" w:cs="Arial" w:eastAsia="Arial" w:hAnsi="Arial"/>
          <w:sz w:val="16"/>
          <w:szCs w:val="16"/>
          <w:color w:val="auto"/>
        </w:rPr>
      </w:pPr>
      <w:r>
        <w:rPr>
          <w:rFonts w:ascii="Arial" w:cs="Arial" w:eastAsia="Arial" w:hAnsi="Arial"/>
          <w:sz w:val="16"/>
          <w:szCs w:val="16"/>
          <w:color w:val="auto"/>
        </w:rPr>
        <w:t>it will: (a) assume all liability stemming from any legal or regulatory violation arising out of the Eligible Stockholder’s communications with the stockholders of the Corporation or out of the information that the Eligible Stockholder provided to the Corporation; (b) indemnify and hold harmless the Corporation and each of its directors, officers and employees individually against any liability, loss or damages in connection with any threatened or pending action, suit or proceeding, whether legal, administrative or investigative, against the Corporation or any of its directors, officers or employees arising out of the nomination or solicitation process pursuant to this Section 2.11; (c) comply with all laws, rules, regulations and listing standards applicable to its nomination or any solicitation in connection with the annual meeting; (d) file with the SEC any solicitation or other communication by or on behalf of the Eligible Stockholder relating to the Corporation’s annual meeting of stockholders, one or more of the Corporation’s directors or director nominees or any Stockholder Nominee, regardless of whether the filing is required under Exchange Act Regulation 14A, or whether any exemption from filing is available for the materials under Exchange Act Regulation 14A; and (e) at the request of the Corporation, promptly, but in any event within five business days after such request (or by the day prior to the day of the annual meeting, if earlier), provide to the Corporation such additional information as reasonably requested by the Corporation; and</w:t>
      </w:r>
    </w:p>
    <w:p>
      <w:pPr>
        <w:spacing w:after="0" w:line="63" w:lineRule="exact"/>
        <w:rPr>
          <w:rFonts w:ascii="Arial" w:cs="Arial" w:eastAsia="Arial" w:hAnsi="Arial"/>
          <w:sz w:val="16"/>
          <w:szCs w:val="16"/>
          <w:color w:val="auto"/>
        </w:rPr>
      </w:pPr>
    </w:p>
    <w:p>
      <w:pPr>
        <w:ind w:right="80" w:firstLine="1979"/>
        <w:spacing w:after="0" w:line="293" w:lineRule="auto"/>
        <w:tabs>
          <w:tab w:leader="none" w:pos="2278" w:val="left"/>
        </w:tabs>
        <w:numPr>
          <w:ilvl w:val="1"/>
          <w:numId w:val="45"/>
        </w:numPr>
        <w:rPr>
          <w:rFonts w:ascii="Arial" w:cs="Arial" w:eastAsia="Arial" w:hAnsi="Arial"/>
          <w:sz w:val="16"/>
          <w:szCs w:val="16"/>
          <w:color w:val="auto"/>
        </w:rPr>
      </w:pPr>
      <w:r>
        <w:rPr>
          <w:rFonts w:ascii="Arial" w:cs="Arial" w:eastAsia="Arial" w:hAnsi="Arial"/>
          <w:sz w:val="16"/>
          <w:szCs w:val="16"/>
          <w:color w:val="auto"/>
        </w:rPr>
        <w:t>in the case of a nomination by a group, the designation by all group members of one group member that is authorized to act on behalf of all members of the group with respect to the nomination and matters related thereto, including withdrawal of the nomination, and the written agreement, representation, and warranty of the Eligible Stockholder that it shall provide, within five business days after the date of the Stockholder Notice, documentation reasonably satisfactory to the Corporation demonstrating that the number of stockholders and/or beneficial owners within such group does not exceed 20, including whether a group of funds qualifies as one stockholder or beneficial owner within the meaning of Section 2.11(b)(ii). All information provided pursuant to this Section 2.11 shall be deemed part of the Member Notice for purposes of this Section.</w:t>
      </w:r>
    </w:p>
    <w:p>
      <w:pPr>
        <w:spacing w:after="0" w:line="56" w:lineRule="exact"/>
        <w:rPr>
          <w:rFonts w:ascii="Arial" w:cs="Arial" w:eastAsia="Arial" w:hAnsi="Arial"/>
          <w:sz w:val="16"/>
          <w:szCs w:val="16"/>
          <w:color w:val="auto"/>
        </w:rPr>
      </w:pPr>
    </w:p>
    <w:p>
      <w:pPr>
        <w:ind w:firstLine="1428"/>
        <w:spacing w:after="0" w:line="291" w:lineRule="auto"/>
        <w:tabs>
          <w:tab w:leader="none" w:pos="1697" w:val="left"/>
        </w:tabs>
        <w:numPr>
          <w:ilvl w:val="0"/>
          <w:numId w:val="46"/>
        </w:numPr>
        <w:rPr>
          <w:rFonts w:ascii="Arial" w:cs="Arial" w:eastAsia="Arial" w:hAnsi="Arial"/>
          <w:sz w:val="16"/>
          <w:szCs w:val="16"/>
          <w:color w:val="auto"/>
        </w:rPr>
      </w:pPr>
      <w:r>
        <w:rPr>
          <w:rFonts w:ascii="Arial" w:cs="Arial" w:eastAsia="Arial" w:hAnsi="Arial"/>
          <w:sz w:val="16"/>
          <w:szCs w:val="16"/>
          <w:color w:val="auto"/>
        </w:rPr>
        <w:t>To be timely under this Section 2.11, the Stockholder Notice must be delivered by a stockholder to the Secretary at such officer’s business address not less than the close of business (as defined in Section 2.10(c)(ii) above) on the 90</w:t>
      </w:r>
      <w:r>
        <w:rPr>
          <w:rFonts w:ascii="Arial" w:cs="Arial" w:eastAsia="Arial" w:hAnsi="Arial"/>
          <w:sz w:val="13"/>
          <w:szCs w:val="13"/>
          <w:color w:val="auto"/>
        </w:rPr>
        <w:t>th</w:t>
      </w:r>
      <w:r>
        <w:rPr>
          <w:rFonts w:ascii="Arial" w:cs="Arial" w:eastAsia="Arial" w:hAnsi="Arial"/>
          <w:sz w:val="16"/>
          <w:szCs w:val="16"/>
          <w:color w:val="auto"/>
        </w:rPr>
        <w:t xml:space="preserve"> nor earlier than the close of business on the</w:t>
      </w:r>
    </w:p>
    <w:p>
      <w:pPr>
        <w:ind w:right="120"/>
        <w:spacing w:after="0" w:line="287" w:lineRule="auto"/>
        <w:rPr>
          <w:rFonts w:ascii="Arial" w:cs="Arial" w:eastAsia="Arial" w:hAnsi="Arial"/>
          <w:sz w:val="16"/>
          <w:szCs w:val="16"/>
          <w:color w:val="auto"/>
        </w:rPr>
      </w:pPr>
      <w:r>
        <w:rPr>
          <w:rFonts w:ascii="Arial" w:cs="Arial" w:eastAsia="Arial" w:hAnsi="Arial"/>
          <w:sz w:val="16"/>
          <w:szCs w:val="16"/>
          <w:color w:val="auto"/>
        </w:rPr>
        <w:t>120</w:t>
      </w:r>
      <w:r>
        <w:rPr>
          <w:rFonts w:ascii="Arial" w:cs="Arial" w:eastAsia="Arial" w:hAnsi="Arial"/>
          <w:sz w:val="13"/>
          <w:szCs w:val="13"/>
          <w:color w:val="auto"/>
        </w:rPr>
        <w:t>th</w:t>
      </w:r>
      <w:r>
        <w:rPr>
          <w:rFonts w:ascii="Arial" w:cs="Arial" w:eastAsia="Arial" w:hAnsi="Arial"/>
          <w:sz w:val="16"/>
          <w:szCs w:val="16"/>
          <w:color w:val="auto"/>
        </w:rPr>
        <w:t xml:space="preserve"> day prior to the first anniversary of the date (as stated in the Corporation’s proxy materials) the definitive proxy statement was first released to stockholders in connection with the preceding year’s annual meeting of stockholders;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in the event the annual meeting is more than 30 days before or after the anniversary of the previous year’s annual meeting, or if no annual meeting was held in the preceding year, to be timely, the Stockholder Notice must be so delivered not earlier than the close of business on the 120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and not later than the close of business on the later of the 90</w:t>
      </w:r>
      <w:r>
        <w:rPr>
          <w:rFonts w:ascii="Arial" w:cs="Arial" w:eastAsia="Arial" w:hAnsi="Arial"/>
          <w:sz w:val="13"/>
          <w:szCs w:val="13"/>
          <w:color w:val="auto"/>
        </w:rPr>
        <w:t>th</w:t>
      </w:r>
      <w:r>
        <w:rPr>
          <w:rFonts w:ascii="Arial" w:cs="Arial" w:eastAsia="Arial" w:hAnsi="Arial"/>
          <w:sz w:val="16"/>
          <w:szCs w:val="16"/>
          <w:color w:val="auto"/>
        </w:rPr>
        <w:t xml:space="preserve"> day prior to such annual meeting or the 10th day following the day on which public announcement of the date of such meeting is first made by the Corporation. In no event shall an adjournment or recess of an annual meeting, or a postponement of an annual meeting for which notice of the meeting has already been given to stockholders or a Public Announcement of the meeting date has already been made, commence a new time period (or extend any time period) for the giving of the Stockholder Notice as described above.</w:t>
      </w:r>
    </w:p>
    <w:p>
      <w:pPr>
        <w:spacing w:after="0" w:line="10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80"/>
          </w:cols>
          <w:pgMar w:left="440" w:top="274" w:right="479" w:bottom="1440" w:gutter="0" w:footer="0" w:header="0"/>
        </w:sectPr>
      </w:pPr>
    </w:p>
    <w:bookmarkStart w:id="35" w:name="page36"/>
    <w:bookmarkEnd w:id="35"/>
    <w:p>
      <w:pPr>
        <w:ind w:right="400" w:firstLine="1428"/>
        <w:spacing w:after="0" w:line="263" w:lineRule="auto"/>
        <w:tabs>
          <w:tab w:leader="none" w:pos="1747" w:val="left"/>
        </w:tabs>
        <w:numPr>
          <w:ilvl w:val="0"/>
          <w:numId w:val="4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Within the time period for delivery of the Stockholder Notice, a written representation and agreement of each Stockholder Nominee shall be delivered to the Secretary of at such officer’s business address, which shall be signed by each Stockholder Nominee and shall represent and agree that such Stockholder Nominee:</w:t>
      </w:r>
    </w:p>
    <w:p>
      <w:pPr>
        <w:spacing w:after="0" w:line="75" w:lineRule="exact"/>
        <w:rPr>
          <w:rFonts w:ascii="Arial" w:cs="Arial" w:eastAsia="Arial" w:hAnsi="Arial"/>
          <w:sz w:val="18"/>
          <w:szCs w:val="18"/>
          <w:color w:val="auto"/>
        </w:rPr>
      </w:pPr>
    </w:p>
    <w:p>
      <w:pPr>
        <w:ind w:right="220" w:firstLine="1979"/>
        <w:spacing w:after="0" w:line="263" w:lineRule="auto"/>
        <w:tabs>
          <w:tab w:leader="none" w:pos="2278" w:val="left"/>
        </w:tabs>
        <w:numPr>
          <w:ilvl w:val="1"/>
          <w:numId w:val="47"/>
        </w:numPr>
        <w:rPr>
          <w:rFonts w:ascii="Arial" w:cs="Arial" w:eastAsia="Arial" w:hAnsi="Arial"/>
          <w:sz w:val="18"/>
          <w:szCs w:val="18"/>
          <w:color w:val="auto"/>
        </w:rPr>
      </w:pPr>
      <w:r>
        <w:rPr>
          <w:rFonts w:ascii="Arial" w:cs="Arial" w:eastAsia="Arial" w:hAnsi="Arial"/>
          <w:sz w:val="18"/>
          <w:szCs w:val="18"/>
          <w:color w:val="auto"/>
        </w:rPr>
        <w:t>consents to being named in the Corporation’s proxy statement and form of proxy as a nominee and to serving as a director if elected, for the full term for which such person is standing for election, and (B) currently intends to serve as a director for the full term for which such person is standing for election</w:t>
      </w:r>
      <w:r>
        <w:rPr>
          <w:rFonts w:ascii="Arial" w:cs="Arial" w:eastAsia="Arial" w:hAnsi="Arial"/>
          <w:sz w:val="18"/>
          <w:szCs w:val="18"/>
          <w:i w:val="1"/>
          <w:iCs w:val="1"/>
          <w:color w:val="auto"/>
        </w:rPr>
        <w:t>;</w:t>
      </w:r>
    </w:p>
    <w:p>
      <w:pPr>
        <w:spacing w:after="0" w:line="75" w:lineRule="exact"/>
        <w:rPr>
          <w:rFonts w:ascii="Arial" w:cs="Arial" w:eastAsia="Arial" w:hAnsi="Arial"/>
          <w:sz w:val="18"/>
          <w:szCs w:val="18"/>
          <w:color w:val="auto"/>
        </w:rPr>
      </w:pPr>
    </w:p>
    <w:p>
      <w:pPr>
        <w:ind w:right="100" w:firstLine="1979"/>
        <w:spacing w:after="0" w:line="259" w:lineRule="auto"/>
        <w:tabs>
          <w:tab w:leader="none" w:pos="2268" w:val="left"/>
        </w:tabs>
        <w:numPr>
          <w:ilvl w:val="1"/>
          <w:numId w:val="47"/>
        </w:numPr>
        <w:rPr>
          <w:rFonts w:ascii="Arial" w:cs="Arial" w:eastAsia="Arial" w:hAnsi="Arial"/>
          <w:sz w:val="18"/>
          <w:szCs w:val="18"/>
          <w:color w:val="auto"/>
        </w:rPr>
      </w:pPr>
      <w:r>
        <w:rPr>
          <w:rFonts w:ascii="Arial" w:cs="Arial" w:eastAsia="Arial" w:hAnsi="Arial"/>
          <w:sz w:val="18"/>
          <w:szCs w:val="18"/>
          <w:color w:val="auto"/>
        </w:rPr>
        <w:t>is not and shall not become a party to any agreement, arrangement or understanding with, and has not given any commitment or assurance to, any person or entity: (1) as to how the Stockholder Nominee, if elected as a director, shall act or vote on any issue or question that has not been disclosed to the Corporation; or (2) that could limit or interfere with the Stockholder Nominee’s ability to comply, if elected as a director, with the Stockholder Nominee’s fiduciary duties under applicable law;</w:t>
      </w:r>
    </w:p>
    <w:p>
      <w:pPr>
        <w:spacing w:after="0" w:line="78" w:lineRule="exact"/>
        <w:rPr>
          <w:rFonts w:ascii="Arial" w:cs="Arial" w:eastAsia="Arial" w:hAnsi="Arial"/>
          <w:sz w:val="18"/>
          <w:szCs w:val="18"/>
          <w:color w:val="auto"/>
        </w:rPr>
      </w:pPr>
    </w:p>
    <w:p>
      <w:pPr>
        <w:jc w:val="both"/>
        <w:ind w:firstLine="1979"/>
        <w:spacing w:after="0" w:line="263" w:lineRule="auto"/>
        <w:tabs>
          <w:tab w:leader="none" w:pos="2268" w:val="left"/>
        </w:tabs>
        <w:numPr>
          <w:ilvl w:val="1"/>
          <w:numId w:val="47"/>
        </w:numPr>
        <w:rPr>
          <w:rFonts w:ascii="Arial" w:cs="Arial" w:eastAsia="Arial" w:hAnsi="Arial"/>
          <w:sz w:val="18"/>
          <w:szCs w:val="18"/>
          <w:color w:val="auto"/>
        </w:rPr>
      </w:pPr>
      <w:r>
        <w:rPr>
          <w:rFonts w:ascii="Arial" w:cs="Arial" w:eastAsia="Arial" w:hAnsi="Arial"/>
          <w:sz w:val="18"/>
          <w:szCs w:val="18"/>
          <w:color w:val="auto"/>
        </w:rPr>
        <w:t>is not and shall not become a party to any agreement, arrangement or understanding with any person or entity other than the Corporation with respect to any direct or indirect compensation, reimbursement or indemnification in connection with service or action as a director that has not been disclosed to the Corporation; and</w:t>
      </w:r>
    </w:p>
    <w:p>
      <w:pPr>
        <w:spacing w:after="0" w:line="75" w:lineRule="exact"/>
        <w:rPr>
          <w:rFonts w:ascii="Arial" w:cs="Arial" w:eastAsia="Arial" w:hAnsi="Arial"/>
          <w:sz w:val="18"/>
          <w:szCs w:val="18"/>
          <w:color w:val="auto"/>
        </w:rPr>
      </w:pPr>
    </w:p>
    <w:p>
      <w:pPr>
        <w:ind w:right="440" w:firstLine="1979"/>
        <w:spacing w:after="0" w:line="263" w:lineRule="auto"/>
        <w:tabs>
          <w:tab w:leader="none" w:pos="2278" w:val="left"/>
        </w:tabs>
        <w:numPr>
          <w:ilvl w:val="1"/>
          <w:numId w:val="47"/>
        </w:numPr>
        <w:rPr>
          <w:rFonts w:ascii="Arial" w:cs="Arial" w:eastAsia="Arial" w:hAnsi="Arial"/>
          <w:sz w:val="18"/>
          <w:szCs w:val="18"/>
          <w:color w:val="auto"/>
        </w:rPr>
      </w:pPr>
      <w:r>
        <w:rPr>
          <w:rFonts w:ascii="Arial" w:cs="Arial" w:eastAsia="Arial" w:hAnsi="Arial"/>
          <w:sz w:val="18"/>
          <w:szCs w:val="18"/>
          <w:color w:val="auto"/>
        </w:rPr>
        <w:t>if elected as a director, shall comply with all of the Corporation’s corporate governance, conflict of interest, confidentiality, and stock ownership and trading policies and guidelines, and any other Corporation policies and guidelines applicable to directors (which shall be provided to such director nominee promptly following a request therefor).</w:t>
      </w:r>
    </w:p>
    <w:p>
      <w:pPr>
        <w:spacing w:after="0" w:line="184"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At the request of the Corporation, the Stockholder Nominee must promptly submit all completed and signed questionnaires required of the Corporation’s nominees and provide to the Corporation such other information as it may reasonably request no later than the earlier of (x) five Business Days after request of the Company and (y) the last date on which a stockholder notice would be timely submitted under this Section. The Corporation may request such additional information as necessary to permit the Board of Directors to determine if each Stockholder Nominee satisfies the requirements of this Section 2.11.</w:t>
      </w:r>
    </w:p>
    <w:p>
      <w:pPr>
        <w:spacing w:after="0" w:line="80" w:lineRule="exact"/>
        <w:rPr>
          <w:sz w:val="20"/>
          <w:szCs w:val="20"/>
          <w:color w:val="auto"/>
        </w:rPr>
      </w:pPr>
    </w:p>
    <w:p>
      <w:pPr>
        <w:ind w:firstLine="1428"/>
        <w:spacing w:after="0" w:line="293" w:lineRule="auto"/>
        <w:tabs>
          <w:tab w:leader="none" w:pos="1737" w:val="left"/>
        </w:tabs>
        <w:numPr>
          <w:ilvl w:val="0"/>
          <w:numId w:val="48"/>
        </w:numPr>
        <w:rPr>
          <w:rFonts w:ascii="Arial" w:cs="Arial" w:eastAsia="Arial" w:hAnsi="Arial"/>
          <w:sz w:val="16"/>
          <w:szCs w:val="16"/>
          <w:color w:val="auto"/>
        </w:rPr>
      </w:pPr>
      <w:r>
        <w:rPr>
          <w:rFonts w:ascii="Arial" w:cs="Arial" w:eastAsia="Arial" w:hAnsi="Arial"/>
          <w:sz w:val="16"/>
          <w:szCs w:val="16"/>
          <w:color w:val="auto"/>
        </w:rPr>
        <w:t>In the event that any information or communications provided by the Eligible Stockholder or any Stockholder Nominees to the Corporation or its stockholders is not, when provided, or thereafter ceases to be, true, correct and complete in all material respects (including omitting a material fact necessary to make the statements made, in light of the circumstances under which they were made, not misleading), such Eligible Stockholder or Stockholder Nominee, as the case may be, shall promptly notify the Secretary and provide the information that is required to make such information or communication true, correct, complete and not misleading; it being understood that providing any such notification shall not be deemed to cure any defect or limit the Corporation’s right to omit a Stockholder Nominee from its proxy materials as provided in this Section 2.11.</w:t>
      </w:r>
    </w:p>
    <w:p>
      <w:pPr>
        <w:spacing w:after="0" w:line="9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20"/>
          </w:cols>
          <w:pgMar w:left="440" w:top="274" w:right="539" w:bottom="1440" w:gutter="0" w:footer="0" w:header="0"/>
        </w:sectPr>
      </w:pPr>
    </w:p>
    <w:bookmarkStart w:id="36" w:name="page37"/>
    <w:bookmarkEnd w:id="36"/>
    <w:p>
      <w:pPr>
        <w:jc w:val="center"/>
        <w:ind w:right="-19"/>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All information provided pursuant to this Section 2.11(c) shall be deemed part of the Stockholder Notice for purposes of this Section 2.11(c).</w:t>
      </w:r>
    </w:p>
    <w:p>
      <w:pPr>
        <w:spacing w:after="0" w:line="129" w:lineRule="exact"/>
        <w:rPr>
          <w:sz w:val="20"/>
          <w:szCs w:val="20"/>
          <w:color w:val="auto"/>
        </w:rPr>
      </w:pPr>
    </w:p>
    <w:p>
      <w:pPr>
        <w:ind w:left="1240" w:hanging="253"/>
        <w:spacing w:after="0"/>
        <w:tabs>
          <w:tab w:leader="none" w:pos="12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Proxy Access Procedures.</w:t>
      </w:r>
    </w:p>
    <w:p>
      <w:pPr>
        <w:spacing w:after="0" w:line="117" w:lineRule="exact"/>
        <w:rPr>
          <w:rFonts w:ascii="Arial" w:cs="Arial" w:eastAsia="Arial" w:hAnsi="Arial"/>
          <w:sz w:val="18"/>
          <w:szCs w:val="18"/>
          <w:color w:val="auto"/>
        </w:rPr>
      </w:pPr>
    </w:p>
    <w:p>
      <w:pPr>
        <w:ind w:right="100" w:firstLine="1428"/>
        <w:spacing w:after="0" w:line="263" w:lineRule="auto"/>
        <w:tabs>
          <w:tab w:leader="none" w:pos="1647" w:val="left"/>
        </w:tabs>
        <w:numPr>
          <w:ilvl w:val="1"/>
          <w:numId w:val="49"/>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Section 2.11, the Corporation may omit from its proxy materials any Stockholder Nominee, and such nomination shall be disregarded and no vote on such Stockholder Nominee shall occur, notwithstanding that proxies in respect of such vote may have been received by the Corporation, if:</w:t>
      </w:r>
    </w:p>
    <w:p>
      <w:pPr>
        <w:spacing w:after="0" w:line="75" w:lineRule="exact"/>
        <w:rPr>
          <w:rFonts w:ascii="Arial" w:cs="Arial" w:eastAsia="Arial" w:hAnsi="Arial"/>
          <w:sz w:val="18"/>
          <w:szCs w:val="18"/>
          <w:color w:val="auto"/>
        </w:rPr>
      </w:pPr>
    </w:p>
    <w:p>
      <w:pPr>
        <w:jc w:val="both"/>
        <w:ind w:right="80" w:firstLine="1979"/>
        <w:spacing w:after="0" w:line="301" w:lineRule="auto"/>
        <w:tabs>
          <w:tab w:leader="none" w:pos="2278" w:val="left"/>
        </w:tabs>
        <w:numPr>
          <w:ilvl w:val="2"/>
          <w:numId w:val="49"/>
        </w:numPr>
        <w:rPr>
          <w:rFonts w:ascii="Arial" w:cs="Arial" w:eastAsia="Arial" w:hAnsi="Arial"/>
          <w:sz w:val="16"/>
          <w:szCs w:val="16"/>
          <w:color w:val="auto"/>
        </w:rPr>
      </w:pPr>
      <w:r>
        <w:rPr>
          <w:rFonts w:ascii="Arial" w:cs="Arial" w:eastAsia="Arial" w:hAnsi="Arial"/>
          <w:sz w:val="16"/>
          <w:szCs w:val="16"/>
          <w:color w:val="auto"/>
        </w:rPr>
        <w:t>the Eligible Stockholder or Stockholder Nominee breaches any of its agreements, representations or warranties set forth in the Stockholder Notice or otherwise submitted pursuant to this Section 2.11, any of the information in the Stockholder Notice or otherwise submitted pursuant to this Section 2.11 was not, when provided, true, correct and complete, or the Eligible Stockholder or applicable Stockholder Nominee otherwise fails to comply with its obligations pursuant to these Bylaws, including, but not limited to, its obligations under this Section 2.11;</w:t>
      </w:r>
    </w:p>
    <w:p>
      <w:pPr>
        <w:spacing w:after="0" w:line="49" w:lineRule="exact"/>
        <w:rPr>
          <w:rFonts w:ascii="Arial" w:cs="Arial" w:eastAsia="Arial" w:hAnsi="Arial"/>
          <w:sz w:val="16"/>
          <w:szCs w:val="16"/>
          <w:color w:val="auto"/>
        </w:rPr>
      </w:pPr>
    </w:p>
    <w:p>
      <w:pPr>
        <w:ind w:firstLine="1979"/>
        <w:spacing w:after="0" w:line="273" w:lineRule="auto"/>
        <w:tabs>
          <w:tab w:leader="none" w:pos="2268" w:val="left"/>
        </w:tabs>
        <w:numPr>
          <w:ilvl w:val="2"/>
          <w:numId w:val="49"/>
        </w:numPr>
        <w:rPr>
          <w:rFonts w:ascii="Arial" w:cs="Arial" w:eastAsia="Arial" w:hAnsi="Arial"/>
          <w:sz w:val="17"/>
          <w:szCs w:val="17"/>
          <w:color w:val="auto"/>
        </w:rPr>
      </w:pPr>
      <w:r>
        <w:rPr>
          <w:rFonts w:ascii="Arial" w:cs="Arial" w:eastAsia="Arial" w:hAnsi="Arial"/>
          <w:sz w:val="17"/>
          <w:szCs w:val="17"/>
          <w:color w:val="auto"/>
        </w:rPr>
        <w:t>the Stockholder Nominee: (1) is not independent under any applicable listing standards, any applicable rules of the SEC and any publicly disclosed standards used by the Board of Directors in determining and disclosing the independence of the Corporation’s directors; (2) is or has been, within the past three years, an officer or director of a competitor, as defined in Section 8 of the Clayton Antitrust Act of 1914; (3) is a named subject of a pending criminal proceeding (excluding traffic violations and other minor offenses) or has been convicted in a criminal proceeding (excluding traffic violations and other minor offenses) within the past ten years; or (4) is subject to any order of the type specified in Rule 506(d) of Regulation D promulgated under the Securities Act of 1933, as amended;</w:t>
      </w:r>
    </w:p>
    <w:p>
      <w:pPr>
        <w:spacing w:after="0" w:line="69" w:lineRule="exact"/>
        <w:rPr>
          <w:rFonts w:ascii="Arial" w:cs="Arial" w:eastAsia="Arial" w:hAnsi="Arial"/>
          <w:sz w:val="17"/>
          <w:szCs w:val="17"/>
          <w:color w:val="auto"/>
        </w:rPr>
      </w:pPr>
    </w:p>
    <w:p>
      <w:pPr>
        <w:ind w:right="160" w:firstLine="1979"/>
        <w:spacing w:after="0" w:line="263" w:lineRule="auto"/>
        <w:tabs>
          <w:tab w:leader="none" w:pos="2268" w:val="left"/>
        </w:tabs>
        <w:numPr>
          <w:ilvl w:val="2"/>
          <w:numId w:val="49"/>
        </w:numPr>
        <w:rPr>
          <w:rFonts w:ascii="Arial" w:cs="Arial" w:eastAsia="Arial" w:hAnsi="Arial"/>
          <w:sz w:val="18"/>
          <w:szCs w:val="18"/>
          <w:color w:val="auto"/>
        </w:rPr>
      </w:pPr>
      <w:r>
        <w:rPr>
          <w:rFonts w:ascii="Arial" w:cs="Arial" w:eastAsia="Arial" w:hAnsi="Arial"/>
          <w:sz w:val="18"/>
          <w:szCs w:val="18"/>
          <w:color w:val="auto"/>
        </w:rPr>
        <w:t>the Corporation has received a notice (whether or not subsequently withdrawn) that a stockholder intends to nominate any candidate for election to the Board of Directors pursuant to the advance notice requirements for stockholder nominees for director in Section 2.10; or</w:t>
      </w:r>
    </w:p>
    <w:p>
      <w:pPr>
        <w:spacing w:after="0" w:line="75" w:lineRule="exact"/>
        <w:rPr>
          <w:rFonts w:ascii="Arial" w:cs="Arial" w:eastAsia="Arial" w:hAnsi="Arial"/>
          <w:sz w:val="18"/>
          <w:szCs w:val="18"/>
          <w:color w:val="auto"/>
        </w:rPr>
      </w:pPr>
    </w:p>
    <w:p>
      <w:pPr>
        <w:ind w:right="60" w:firstLine="1979"/>
        <w:spacing w:after="0" w:line="277" w:lineRule="auto"/>
        <w:tabs>
          <w:tab w:leader="none" w:pos="2278" w:val="left"/>
        </w:tabs>
        <w:numPr>
          <w:ilvl w:val="2"/>
          <w:numId w:val="49"/>
        </w:numPr>
        <w:rPr>
          <w:rFonts w:ascii="Arial" w:cs="Arial" w:eastAsia="Arial" w:hAnsi="Arial"/>
          <w:sz w:val="18"/>
          <w:szCs w:val="18"/>
          <w:color w:val="auto"/>
        </w:rPr>
      </w:pPr>
      <w:r>
        <w:rPr>
          <w:rFonts w:ascii="Arial" w:cs="Arial" w:eastAsia="Arial" w:hAnsi="Arial"/>
          <w:sz w:val="18"/>
          <w:szCs w:val="18"/>
          <w:color w:val="auto"/>
        </w:rPr>
        <w:t>the election of the Stockholder Nominee to the Board of Directors would cause the Corporation to violate the Certificate of Incorporation of the Corporation, these Bylaws, or any applicable law, rule, regulation or listing standard.</w:t>
      </w:r>
    </w:p>
    <w:p>
      <w:pPr>
        <w:spacing w:after="0" w:line="62" w:lineRule="exact"/>
        <w:rPr>
          <w:rFonts w:ascii="Arial" w:cs="Arial" w:eastAsia="Arial" w:hAnsi="Arial"/>
          <w:sz w:val="18"/>
          <w:szCs w:val="18"/>
          <w:color w:val="auto"/>
        </w:rPr>
      </w:pPr>
    </w:p>
    <w:p>
      <w:pPr>
        <w:ind w:right="20" w:firstLine="1428"/>
        <w:spacing w:after="0" w:line="257" w:lineRule="auto"/>
        <w:tabs>
          <w:tab w:leader="none" w:pos="1697" w:val="left"/>
        </w:tabs>
        <w:numPr>
          <w:ilvl w:val="1"/>
          <w:numId w:val="49"/>
        </w:numPr>
        <w:rPr>
          <w:rFonts w:ascii="Arial" w:cs="Arial" w:eastAsia="Arial" w:hAnsi="Arial"/>
          <w:sz w:val="18"/>
          <w:szCs w:val="18"/>
          <w:color w:val="auto"/>
        </w:rPr>
      </w:pPr>
      <w:r>
        <w:rPr>
          <w:rFonts w:ascii="Arial" w:cs="Arial" w:eastAsia="Arial" w:hAnsi="Arial"/>
          <w:sz w:val="18"/>
          <w:szCs w:val="18"/>
          <w:color w:val="auto"/>
        </w:rPr>
        <w:t>An Eligible Stockholder submitting more than one Stockholder Nominee for inclusion in the Corporation’s proxy materials pursuant to this Section 2.11 shall rank such Stockholder Nominees based on the order that the Eligible Stockholder desires such Stockholder Nominees to be selected for inclusion in the Corporation’s proxy materials and include such assigned rank in its Stockholder Notice submitted to the Corporation. In the event that the number of Stockholder Nominees submitted by Eligible Stockholders pursuant to this Section 2.11 exceeds the Authorized Number, the Stockholder Nominees to be included in the</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00"/>
          </w:cols>
          <w:pgMar w:left="440" w:top="274" w:right="459" w:bottom="1440" w:gutter="0" w:footer="0" w:header="0"/>
        </w:sectPr>
      </w:pPr>
    </w:p>
    <w:bookmarkStart w:id="37" w:name="page38"/>
    <w:bookmarkEnd w:id="37"/>
    <w:p>
      <w:pPr>
        <w:ind w:right="8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Corporation’s proxy materials shall be determined in accordance with the following provisions: the highest ranking Stockholder Nominee of each Eligible Stockholder for inclusion in the Corporation’s proxy materials until the Authorized Number is reached, going in order of the amount (largest to smallest) of shares of the Corporation each Eligible Stockholder disclosed as Owned in its Stockholder Notice submitted to the Corporation. If the Authorized Number is not reached after the highest ranking Stockholder Nominee has been selected from each Eligible Stockholder for any reason (including because a Stockholder Nominee does not satisfy the eligibility requirements in this Section), this selection process shall continue as many times as necessary, following the same order each time, until the Authorized Number is reached through the selection of Stockholder Nominees who satisfy the eligibility requirements in this Section. Following such determination, if any Stockholder Nominee who satisfies the eligibility requirements in this Section 2.11 thereafter is nominated by the Board of Directors, thereafter is not included in the Corporation’s proxy materials or thereafter is not submitted for director election for any reason (including the Eligible Stockholder’s or Stockholder Nominee’s failure to comply with this Section 2.11), no other nominee or nominees shall be included in the Corporation’s proxy materials or otherwise submitted for election as a director at the applicable annual meeting in substitution for such Stockholder Nominee.</w:t>
      </w:r>
    </w:p>
    <w:p>
      <w:pPr>
        <w:spacing w:after="0" w:line="74" w:lineRule="exact"/>
        <w:rPr>
          <w:sz w:val="20"/>
          <w:szCs w:val="20"/>
          <w:color w:val="auto"/>
        </w:rPr>
      </w:pPr>
    </w:p>
    <w:p>
      <w:pPr>
        <w:ind w:right="20" w:firstLine="1428"/>
        <w:spacing w:after="0" w:line="273" w:lineRule="auto"/>
        <w:tabs>
          <w:tab w:leader="none" w:pos="1747" w:val="left"/>
        </w:tabs>
        <w:numPr>
          <w:ilvl w:val="0"/>
          <w:numId w:val="50"/>
        </w:numPr>
        <w:rPr>
          <w:rFonts w:ascii="Arial" w:cs="Arial" w:eastAsia="Arial" w:hAnsi="Arial"/>
          <w:sz w:val="17"/>
          <w:szCs w:val="17"/>
          <w:color w:val="auto"/>
        </w:rPr>
      </w:pPr>
      <w:r>
        <w:rPr>
          <w:rFonts w:ascii="Arial" w:cs="Arial" w:eastAsia="Arial" w:hAnsi="Arial"/>
          <w:sz w:val="17"/>
          <w:szCs w:val="17"/>
          <w:color w:val="auto"/>
        </w:rPr>
        <w:t>Any Stockholder Nominee who is included in the Corporation’s proxy materials for a particular annual meeting of stockholders but either: (A) withdraws from or becomes ineligible or unavailable for election at the annual meeting for any reason, including for the failure to comply with any provision of these Bylaws (provided that in no event shall any such withdrawal, ineligibility or unavailability commence a new time period (or extend any time period) for the giving of a Stockholder Notice); or (B) does not receive a number of votes cast in favor of his or her election that is at least equal to 20% of the shares present in person or represented by proxy and entitled to vote in the election of directors, shall be ineligible to be a Stockholder Nominee pursuant to this Section 2.11 for the next two annual meetings.</w:t>
      </w:r>
    </w:p>
    <w:p>
      <w:pPr>
        <w:spacing w:after="0" w:line="69" w:lineRule="exact"/>
        <w:rPr>
          <w:rFonts w:ascii="Arial" w:cs="Arial" w:eastAsia="Arial" w:hAnsi="Arial"/>
          <w:sz w:val="17"/>
          <w:szCs w:val="17"/>
          <w:color w:val="auto"/>
        </w:rPr>
      </w:pPr>
    </w:p>
    <w:p>
      <w:pPr>
        <w:ind w:firstLine="1428"/>
        <w:spacing w:after="0" w:line="270" w:lineRule="auto"/>
        <w:tabs>
          <w:tab w:leader="none" w:pos="1737" w:val="left"/>
        </w:tabs>
        <w:numPr>
          <w:ilvl w:val="0"/>
          <w:numId w:val="50"/>
        </w:numPr>
        <w:rPr>
          <w:rFonts w:ascii="Arial" w:cs="Arial" w:eastAsia="Arial" w:hAnsi="Arial"/>
          <w:sz w:val="17"/>
          <w:szCs w:val="17"/>
          <w:color w:val="auto"/>
        </w:rPr>
      </w:pPr>
      <w:r>
        <w:rPr>
          <w:rFonts w:ascii="Arial" w:cs="Arial" w:eastAsia="Arial" w:hAnsi="Arial"/>
          <w:sz w:val="17"/>
          <w:szCs w:val="17"/>
          <w:color w:val="auto"/>
        </w:rPr>
        <w:t>Notwithstanding the foregoing provisions of this Section 2.11, unless otherwise required by law or otherwise determined by the chair of the meeting or the Board of Directors, if the stockholder delivering the Stockholder Notice (or a proxy or corporate representative of the stockholder, as defined in Section 2.10) does not appear at the annual meeting of stockholders of the Corporation to present its Stockholder Nominee or Stockholder Nominees, such nomination or nominations shall be disregarded, notwithstanding that proxies in respect of the election of the Stockholder Nominee or Stockholder Nominees may have been received by the Corporation. Without limiting the Board of Directors’ power and authority to interpret any other provisions of these Bylaws, the Board of Directors (and any other person or body authorized by the Board of Directors) shall have the power and authority to interpret this Section 2.11 and to make any and all determinations necessary or advisable to apply this Section 2.11 to any persons, facts or circumstances, in each case acting in good faith. This Section 2.11 shall be the exclusive method for stockholders to include nominees for director election in the Corporation’s proxy materials.</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0"/>
          </w:cols>
          <w:pgMar w:left="440" w:top="274" w:right="459" w:bottom="1440" w:gutter="0" w:footer="0" w:header="0"/>
        </w:sectPr>
      </w:pPr>
    </w:p>
    <w:bookmarkStart w:id="38" w:name="page39"/>
    <w:bookmarkEnd w:id="38"/>
    <w:p>
      <w:pPr>
        <w:ind w:left="9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2.12 </w:t>
      </w:r>
      <w:r>
        <w:rPr>
          <w:rFonts w:ascii="Arial" w:cs="Arial" w:eastAsia="Arial" w:hAnsi="Arial"/>
          <w:sz w:val="18"/>
          <w:szCs w:val="18"/>
          <w:u w:val="single" w:color="auto"/>
          <w:color w:val="auto"/>
        </w:rPr>
        <w:t>Action by Written Consent</w:t>
      </w:r>
      <w:r>
        <w:rPr>
          <w:rFonts w:ascii="Arial" w:cs="Arial" w:eastAsia="Arial" w:hAnsi="Arial"/>
          <w:sz w:val="18"/>
          <w:szCs w:val="18"/>
          <w:color w:val="auto"/>
        </w:rPr>
        <w:t>.</w:t>
      </w:r>
    </w:p>
    <w:p>
      <w:pPr>
        <w:spacing w:after="0" w:line="117" w:lineRule="exact"/>
        <w:rPr>
          <w:sz w:val="20"/>
          <w:szCs w:val="20"/>
          <w:color w:val="auto"/>
        </w:rPr>
      </w:pPr>
    </w:p>
    <w:p>
      <w:pPr>
        <w:ind w:firstLine="987"/>
        <w:spacing w:after="0" w:line="287" w:lineRule="auto"/>
        <w:tabs>
          <w:tab w:leader="none" w:pos="1236" w:val="left"/>
        </w:tabs>
        <w:numPr>
          <w:ilvl w:val="0"/>
          <w:numId w:val="51"/>
        </w:numPr>
        <w:rPr>
          <w:rFonts w:ascii="Arial" w:cs="Arial" w:eastAsia="Arial" w:hAnsi="Arial"/>
          <w:sz w:val="16"/>
          <w:szCs w:val="16"/>
          <w:color w:val="auto"/>
        </w:rPr>
      </w:pPr>
      <w:r>
        <w:rPr>
          <w:rFonts w:ascii="Arial" w:cs="Arial" w:eastAsia="Arial" w:hAnsi="Arial"/>
          <w:sz w:val="16"/>
          <w:szCs w:val="16"/>
          <w:color w:val="auto"/>
        </w:rPr>
        <w:t>Except as otherwise provided for or fixed pursuant to the Certificate of Incorporation (including any Preferred Stock Designation), any action required or permitted to be taken at any annual or special meeting of stockholders of the Corporation may be taken without a meeting, without prior notice and without a vote, if a consent or consents, setting forth the action so taken, are signed by the holders of the outstanding stock that at the date of the resolution would be entitled to attend the meeting and vote on the resolution; provided that this bylaw shall not apply to action taken pursuant to Section 2.12. To be effective, such a consent must be delivered to the Corporation in accordance with Section 228(d) of the DGCL; provided, however, that the Corporation has not designated, and shall not designate, any information processing system for receiving such consents. No consent shall be effective to take the corporate action referred to therein unless consents signed by a sufficient number of holders to take action are delivered to the Corporation in accordance with this Section 2.11 within 60 days of the first date on which a consent is so delivered to the Corporation. Any person executing a consent may provide, whether through instruction to an agent or otherwise, that such a consent shall be effective at a future time (including a time determined upon the happening of an event), no later than 60 days after such instruction is given or such provision is made, if evidence of such instruction or provision is provided to the Corporation. Unless otherwise provided, any such consent shall be revocable prior to its becoming effective.</w:t>
      </w:r>
    </w:p>
    <w:p>
      <w:pPr>
        <w:spacing w:after="0" w:line="63" w:lineRule="exact"/>
        <w:rPr>
          <w:rFonts w:ascii="Arial" w:cs="Arial" w:eastAsia="Arial" w:hAnsi="Arial"/>
          <w:sz w:val="16"/>
          <w:szCs w:val="16"/>
          <w:color w:val="auto"/>
        </w:rPr>
      </w:pPr>
    </w:p>
    <w:p>
      <w:pPr>
        <w:ind w:right="80" w:firstLine="987"/>
        <w:spacing w:after="0" w:line="259" w:lineRule="auto"/>
        <w:tabs>
          <w:tab w:leader="none" w:pos="1246" w:val="left"/>
        </w:tabs>
        <w:numPr>
          <w:ilvl w:val="0"/>
          <w:numId w:val="51"/>
        </w:numPr>
        <w:rPr>
          <w:rFonts w:ascii="Arial" w:cs="Arial" w:eastAsia="Arial" w:hAnsi="Arial"/>
          <w:sz w:val="18"/>
          <w:szCs w:val="18"/>
          <w:color w:val="auto"/>
        </w:rPr>
      </w:pPr>
      <w:r>
        <w:rPr>
          <w:rFonts w:ascii="Arial" w:cs="Arial" w:eastAsia="Arial" w:hAnsi="Arial"/>
          <w:sz w:val="18"/>
          <w:szCs w:val="18"/>
          <w:color w:val="auto"/>
        </w:rPr>
        <w:t>Prompt notice of the taking of the corporate action without a meeting by less than unanimous consent shall be given to those stockholders who have not consented and who, if the action had been taken at a meeting, would have been entitled to notice of the meeting if the record date for notice of such meeting had been the date that consents signed by a sufficient number of stockholders to take the action were delivered to the Corporation in accordance with this Section 2.12.</w:t>
      </w:r>
    </w:p>
    <w:p>
      <w:pPr>
        <w:spacing w:after="0" w:line="187" w:lineRule="exact"/>
        <w:rPr>
          <w:sz w:val="20"/>
          <w:szCs w:val="20"/>
          <w:color w:val="auto"/>
        </w:rPr>
      </w:pPr>
    </w:p>
    <w:p>
      <w:pPr>
        <w:ind w:right="20" w:firstLine="991"/>
        <w:spacing w:after="0" w:line="293"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Inspectors of Election</w:t>
      </w:r>
      <w:r>
        <w:rPr>
          <w:rFonts w:ascii="Arial" w:cs="Arial" w:eastAsia="Arial" w:hAnsi="Arial"/>
          <w:sz w:val="16"/>
          <w:szCs w:val="16"/>
          <w:color w:val="auto"/>
        </w:rPr>
        <w:t>. Before any meeting of stockholders, the Corporation shall appoint one or more inspectors of election to act at the meeting and make a written report thereof. Inspectors may be employees of the Corporation. The Corporation may designate one or more persons as alternate inspectors to replace any inspector who fails to act. If no inspector or alternate is able to act at a meeting of stockholders, the chair of the meeting may, and shall if required by law, appoint one or more inspectors to act at the meeting. Each inspector, before entering upon the discharge of their duties, shall take and sign an oath faithfully to execute the duties of inspector with strict impartiality and according to the best of their ability. Inspectors need not be stockholders. No director or nominee for the office of director at an election shall be appointed as an inspector at such election.</w:t>
      </w:r>
    </w:p>
    <w:p>
      <w:pPr>
        <w:spacing w:after="0" w:line="16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Such inspectors shall:</w:t>
      </w:r>
    </w:p>
    <w:p>
      <w:pPr>
        <w:spacing w:after="0" w:line="117" w:lineRule="exact"/>
        <w:rPr>
          <w:sz w:val="20"/>
          <w:szCs w:val="20"/>
          <w:color w:val="auto"/>
        </w:rPr>
      </w:pPr>
    </w:p>
    <w:p>
      <w:pPr>
        <w:ind w:right="640" w:firstLine="987"/>
        <w:spacing w:after="0" w:line="277" w:lineRule="auto"/>
        <w:tabs>
          <w:tab w:leader="none" w:pos="1236" w:val="left"/>
        </w:tabs>
        <w:numPr>
          <w:ilvl w:val="0"/>
          <w:numId w:val="52"/>
        </w:numPr>
        <w:rPr>
          <w:rFonts w:ascii="Arial" w:cs="Arial" w:eastAsia="Arial" w:hAnsi="Arial"/>
          <w:sz w:val="18"/>
          <w:szCs w:val="18"/>
          <w:color w:val="auto"/>
        </w:rPr>
      </w:pPr>
      <w:r>
        <w:rPr>
          <w:rFonts w:ascii="Arial" w:cs="Arial" w:eastAsia="Arial" w:hAnsi="Arial"/>
          <w:sz w:val="18"/>
          <w:szCs w:val="18"/>
          <w:color w:val="auto"/>
        </w:rPr>
        <w:t>determine the number of shares outstanding and the voting power of each, the number of shares represented at the meeting, the existence of a quorum, and the validity of proxies and ballots;</w:t>
      </w:r>
    </w:p>
    <w:p>
      <w:pPr>
        <w:spacing w:after="0" w:line="62" w:lineRule="exact"/>
        <w:rPr>
          <w:rFonts w:ascii="Arial" w:cs="Arial" w:eastAsia="Arial" w:hAnsi="Arial"/>
          <w:sz w:val="18"/>
          <w:szCs w:val="18"/>
          <w:color w:val="auto"/>
        </w:rPr>
      </w:pPr>
    </w:p>
    <w:p>
      <w:pPr>
        <w:ind w:left="1240" w:hanging="253"/>
        <w:spacing w:after="0"/>
        <w:tabs>
          <w:tab w:leader="none" w:pos="1240" w:val="left"/>
        </w:tabs>
        <w:numPr>
          <w:ilvl w:val="0"/>
          <w:numId w:val="52"/>
        </w:numPr>
        <w:rPr>
          <w:rFonts w:ascii="Arial" w:cs="Arial" w:eastAsia="Arial" w:hAnsi="Arial"/>
          <w:sz w:val="16"/>
          <w:szCs w:val="16"/>
          <w:color w:val="auto"/>
        </w:rPr>
      </w:pPr>
      <w:r>
        <w:rPr>
          <w:rFonts w:ascii="Arial" w:cs="Arial" w:eastAsia="Arial" w:hAnsi="Arial"/>
          <w:sz w:val="16"/>
          <w:szCs w:val="16"/>
          <w:color w:val="auto"/>
        </w:rPr>
        <w:t>determine and retain for a reasonable period a record of the disposition of any challenges made to any determination by the inspectors;</w:t>
      </w:r>
    </w:p>
    <w:p>
      <w:pPr>
        <w:spacing w:after="0" w:line="140" w:lineRule="exact"/>
        <w:rPr>
          <w:rFonts w:ascii="Arial" w:cs="Arial" w:eastAsia="Arial" w:hAnsi="Arial"/>
          <w:sz w:val="16"/>
          <w:szCs w:val="16"/>
          <w:color w:val="auto"/>
        </w:rPr>
      </w:pPr>
    </w:p>
    <w:p>
      <w:pPr>
        <w:ind w:left="1240" w:hanging="253"/>
        <w:spacing w:after="0"/>
        <w:tabs>
          <w:tab w:leader="none" w:pos="12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count and tabulate all votes and ballots; and</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certify their determination of the number of shares represented at the meeting, and their count of all votes and ballots.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39" w:name="page40"/>
    <w:bookmarkEnd w:id="39"/>
    <w:p>
      <w:pPr>
        <w:ind w:right="100" w:firstLine="991"/>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2.14 </w:t>
      </w:r>
      <w:r>
        <w:rPr>
          <w:rFonts w:ascii="Arial" w:cs="Arial" w:eastAsia="Arial" w:hAnsi="Arial"/>
          <w:sz w:val="17"/>
          <w:szCs w:val="17"/>
          <w:u w:val="single" w:color="auto"/>
          <w:color w:val="auto"/>
        </w:rPr>
        <w:t>Meetings by Remote Communications</w:t>
      </w:r>
      <w:r>
        <w:rPr>
          <w:rFonts w:ascii="Arial" w:cs="Arial" w:eastAsia="Arial" w:hAnsi="Arial"/>
          <w:sz w:val="17"/>
          <w:szCs w:val="17"/>
          <w:color w:val="auto"/>
        </w:rPr>
        <w:t xml:space="preserve">. The Board of Directors may, in its sole discretion, determine that a meeting of stockholders shall not be held at any place, but may instead be held solely by means of remote communication in accordance with Section 211(a)(2) of the DGCL. If authorized by the Board of Directors in its sole discretion, and subject to such guidelines and procedures as the Board of Directors may adopt, stockholders and proxyholders not physically present at a meeting of stockholders may, by means of remote communication: (a) participate in a meeting of stockholders; and (b) be deemed present in person and vote at a meeting of stockholders whether such meeting is to be held at a designated place or solely by means of remote communication,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the Corporation shall implement reasonable measures to verify that each person deemed present and permitted to vote at the meeting by means of remote communication is a stockholder or proxyholder; (ii) the Corporation shall implement reasonable measures to provide such stockholders and proxyholders a reasonable opportunity to participate in the meeting and to vote on matters submitted to the stockholders, including an opportunity to read or hear the proceedings of the meeting substantially concurrently with such proceedings; and (iii) if any stockholder or proxyholder votes or takes other action at the meeting by means of remote communication, a record of such vote or other action shall be maintained by the Corporation.</w:t>
      </w:r>
    </w:p>
    <w:p>
      <w:pPr>
        <w:spacing w:after="0" w:line="182" w:lineRule="exact"/>
        <w:rPr>
          <w:sz w:val="20"/>
          <w:szCs w:val="20"/>
          <w:color w:val="auto"/>
        </w:rPr>
      </w:pPr>
    </w:p>
    <w:p>
      <w:pPr>
        <w:ind w:right="20" w:firstLine="991"/>
        <w:spacing w:after="0" w:line="275" w:lineRule="auto"/>
        <w:rPr>
          <w:sz w:val="20"/>
          <w:szCs w:val="20"/>
          <w:color w:val="auto"/>
        </w:rPr>
      </w:pPr>
      <w:r>
        <w:rPr>
          <w:rFonts w:ascii="Arial" w:cs="Arial" w:eastAsia="Arial" w:hAnsi="Arial"/>
          <w:sz w:val="17"/>
          <w:szCs w:val="17"/>
          <w:color w:val="auto"/>
        </w:rPr>
        <w:t xml:space="preserve">Section 2.15 </w:t>
      </w:r>
      <w:r>
        <w:rPr>
          <w:rFonts w:ascii="Arial" w:cs="Arial" w:eastAsia="Arial" w:hAnsi="Arial"/>
          <w:sz w:val="17"/>
          <w:szCs w:val="17"/>
          <w:u w:val="single" w:color="auto"/>
          <w:color w:val="auto"/>
        </w:rPr>
        <w:t>Delivery to the Corporation</w:t>
      </w:r>
      <w:r>
        <w:rPr>
          <w:rFonts w:ascii="Arial" w:cs="Arial" w:eastAsia="Arial" w:hAnsi="Arial"/>
          <w:sz w:val="17"/>
          <w:szCs w:val="17"/>
          <w:color w:val="auto"/>
        </w:rPr>
        <w:t>. Whenever this Article II requires one or more persons (including a record or beneficial owner of stock) to deliver a document or information to the Corporation or any officer, employee or agent thereof (including any notice, request, questionnaire, revocation, representation or other document or agreement), the Corporation shall not be required to accept delivery of such document or information unless the document or information is in writing exclusively (and not in an electronic transmission) and delivered exclusively by hand (including, without limitation, overnight courier service) or by certified or registered mail, return receipt requested.</w:t>
      </w:r>
    </w:p>
    <w:p>
      <w:pPr>
        <w:spacing w:after="0" w:line="388" w:lineRule="exact"/>
        <w:rPr>
          <w:sz w:val="20"/>
          <w:szCs w:val="20"/>
          <w:color w:val="auto"/>
        </w:rPr>
      </w:pPr>
    </w:p>
    <w:p>
      <w:pPr>
        <w:ind w:left="4960"/>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DIRECTORS</w:t>
      </w:r>
    </w:p>
    <w:p>
      <w:pPr>
        <w:spacing w:after="0" w:line="211" w:lineRule="exact"/>
        <w:rPr>
          <w:sz w:val="20"/>
          <w:szCs w:val="20"/>
          <w:color w:val="auto"/>
        </w:rPr>
      </w:pPr>
    </w:p>
    <w:p>
      <w:pPr>
        <w:ind w:right="60" w:firstLine="991"/>
        <w:spacing w:after="0" w:line="257" w:lineRule="auto"/>
        <w:rPr>
          <w:sz w:val="20"/>
          <w:szCs w:val="20"/>
          <w:color w:val="auto"/>
        </w:rPr>
      </w:pPr>
      <w:r>
        <w:rPr>
          <w:rFonts w:ascii="Arial" w:cs="Arial" w:eastAsia="Arial" w:hAnsi="Arial"/>
          <w:sz w:val="18"/>
          <w:szCs w:val="18"/>
          <w:color w:val="auto"/>
        </w:rPr>
        <w:t xml:space="preserve">Section 3.1 </w:t>
      </w:r>
      <w:r>
        <w:rPr>
          <w:rFonts w:ascii="Arial" w:cs="Arial" w:eastAsia="Arial" w:hAnsi="Arial"/>
          <w:sz w:val="18"/>
          <w:szCs w:val="18"/>
          <w:u w:val="single" w:color="auto"/>
          <w:color w:val="auto"/>
        </w:rPr>
        <w:t>Powers</w:t>
      </w:r>
      <w:r>
        <w:rPr>
          <w:rFonts w:ascii="Arial" w:cs="Arial" w:eastAsia="Arial" w:hAnsi="Arial"/>
          <w:sz w:val="18"/>
          <w:szCs w:val="18"/>
          <w:color w:val="auto"/>
        </w:rPr>
        <w:t>. Except as otherwise required by the DGCL or as provided in the Certificate of Incorporation (including any Preferred Stock Designation), the business and affairs of the Corporation shall be managed by or under the direction of the Board of Directors. In addition to the powers and authorities these Bylaws expressly confer upon it, the Board of Directors may exercise all such powers of the Corporation and do all such lawful acts and things as are not by law, the Certificate of Incorporation (including any Preferred Stock Designation) or these Bylaws required to be exercised or done by the stockholders.</w:t>
      </w:r>
    </w:p>
    <w:p>
      <w:pPr>
        <w:spacing w:after="0" w:line="188"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 xml:space="preserve">Section 3.2 </w:t>
      </w:r>
      <w:r>
        <w:rPr>
          <w:rFonts w:ascii="Arial" w:cs="Arial" w:eastAsia="Arial" w:hAnsi="Arial"/>
          <w:sz w:val="18"/>
          <w:szCs w:val="18"/>
          <w:u w:val="single" w:color="auto"/>
          <w:color w:val="auto"/>
        </w:rPr>
        <w:t>Number, Term of Office and Election</w:t>
      </w:r>
      <w:r>
        <w:rPr>
          <w:rFonts w:ascii="Arial" w:cs="Arial" w:eastAsia="Arial" w:hAnsi="Arial"/>
          <w:sz w:val="18"/>
          <w:szCs w:val="18"/>
          <w:color w:val="auto"/>
        </w:rPr>
        <w:t>. Except as otherwise provided for or fixed pursuant to the Certificate of Incorporation (including any Preferred Stock Designation), the Board of Directors shall consist of not fewer than two (2) nor more than fifteen (15) directors, the exact number to be determined from time to time solely by resolution adopted by the Board of Directors. The first Board of Directors shall consist of the person or persons elected by the incorporator or designated in the Certificate of Incorporation.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80"/>
          </w:cols>
          <w:pgMar w:left="440" w:top="274" w:right="479" w:bottom="1440" w:gutter="0" w:footer="0" w:header="0"/>
        </w:sectPr>
      </w:pPr>
    </w:p>
    <w:bookmarkStart w:id="40" w:name="page41"/>
    <w:bookmarkEnd w:id="40"/>
    <w:p>
      <w:pPr>
        <w:ind w:right="20" w:firstLine="440"/>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At any meeting of 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 For purposes of this Section 3.2, an “</w:t>
      </w:r>
      <w:r>
        <w:rPr>
          <w:rFonts w:ascii="Arial" w:cs="Arial" w:eastAsia="Arial" w:hAnsi="Arial"/>
          <w:sz w:val="16"/>
          <w:szCs w:val="16"/>
          <w:u w:val="single" w:color="auto"/>
          <w:color w:val="auto"/>
        </w:rPr>
        <w:t>uncontested election</w:t>
      </w:r>
      <w:r>
        <w:rPr>
          <w:rFonts w:ascii="Arial" w:cs="Arial" w:eastAsia="Arial" w:hAnsi="Arial"/>
          <w:sz w:val="16"/>
          <w:szCs w:val="16"/>
          <w:color w:val="auto"/>
        </w:rPr>
        <w:t xml:space="preserve">” means any meeting of stockholders at which the number of candidates does not exceed the number of directors to be elected and with respect to which: (a) no stockholder has submitted notice of an intent to nominate a candidate for election at such meeting in accordance with Section 2.10; or (b) such a notice has been submitted, and on or before the fifth business day prior to the date that the Corporation files its definitive proxy statement relating to such meeting with the Securities and Exchange Commission (regardless of whether thereafter revised or supplemented), the notice has been: (i) withdrawn in writing to the Secretary of the Corporation; (ii) determined not to be a valid notice of nomination, with such determination to be made by the Board of Directors (or a committee thereof) pursuant to Section 2.10, or if challenged in court, by a final court order; or (iii) determined by the Board of Directors (or a committee thereof) not to create a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election contest.</w:t>
      </w:r>
    </w:p>
    <w:p>
      <w:pPr>
        <w:spacing w:after="0" w:line="168" w:lineRule="exact"/>
        <w:rPr>
          <w:sz w:val="20"/>
          <w:szCs w:val="20"/>
          <w:color w:val="auto"/>
        </w:rPr>
      </w:pPr>
    </w:p>
    <w:p>
      <w:pPr>
        <w:jc w:val="both"/>
        <w:ind w:right="260" w:firstLine="440"/>
        <w:spacing w:after="0" w:line="263" w:lineRule="auto"/>
        <w:rPr>
          <w:sz w:val="20"/>
          <w:szCs w:val="20"/>
          <w:color w:val="auto"/>
        </w:rPr>
      </w:pPr>
      <w:r>
        <w:rPr>
          <w:rFonts w:ascii="Arial" w:cs="Arial" w:eastAsia="Arial" w:hAnsi="Arial"/>
          <w:sz w:val="18"/>
          <w:szCs w:val="18"/>
          <w:color w:val="auto"/>
        </w:rPr>
        <w:t>Each director shall hold office until the next election of directors and until their successor shall have been duly elected and qualified. Directors need not be stockholders unless so required by the Certificate of Incorporation (including any Preferred Stock Designation) or these Bylaws, wherein other qualifications for directors may be prescribed.</w:t>
      </w:r>
    </w:p>
    <w:p>
      <w:pPr>
        <w:spacing w:after="0" w:line="184" w:lineRule="exact"/>
        <w:rPr>
          <w:sz w:val="20"/>
          <w:szCs w:val="20"/>
          <w:color w:val="auto"/>
        </w:rPr>
      </w:pPr>
    </w:p>
    <w:p>
      <w:pPr>
        <w:ind w:firstLine="991"/>
        <w:spacing w:after="0" w:line="273" w:lineRule="auto"/>
        <w:rPr>
          <w:sz w:val="20"/>
          <w:szCs w:val="20"/>
          <w:color w:val="auto"/>
        </w:rPr>
      </w:pPr>
      <w:r>
        <w:rPr>
          <w:rFonts w:ascii="Arial" w:cs="Arial" w:eastAsia="Arial" w:hAnsi="Arial"/>
          <w:sz w:val="17"/>
          <w:szCs w:val="17"/>
          <w:color w:val="auto"/>
        </w:rPr>
        <w:t xml:space="preserve">Section 3.3 </w:t>
      </w:r>
      <w:r>
        <w:rPr>
          <w:rFonts w:ascii="Arial" w:cs="Arial" w:eastAsia="Arial" w:hAnsi="Arial"/>
          <w:sz w:val="17"/>
          <w:szCs w:val="17"/>
          <w:u w:val="single" w:color="auto"/>
          <w:color w:val="auto"/>
        </w:rPr>
        <w:t>Vacancies and Newly Created Directorships</w:t>
      </w:r>
      <w:r>
        <w:rPr>
          <w:rFonts w:ascii="Arial" w:cs="Arial" w:eastAsia="Arial" w:hAnsi="Arial"/>
          <w:sz w:val="17"/>
          <w:szCs w:val="17"/>
          <w:color w:val="auto"/>
        </w:rPr>
        <w:t>. Subject to the rights of the holders of any outstanding series of Preferred Stock, and unless otherwise required by law, newly created directorships resulting from any increase in the authorized number of directors and any vacancies in the Board of Directors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their successor shall have been duly elected and qualified. No decrease in the authorized number of directors shall shorten the term of any incumbent director.</w:t>
      </w:r>
    </w:p>
    <w:p>
      <w:pPr>
        <w:spacing w:after="0" w:line="178"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3.4 </w:t>
      </w:r>
      <w:r>
        <w:rPr>
          <w:rFonts w:ascii="Arial" w:cs="Arial" w:eastAsia="Arial" w:hAnsi="Arial"/>
          <w:sz w:val="18"/>
          <w:szCs w:val="18"/>
          <w:u w:val="single" w:color="auto"/>
          <w:color w:val="auto"/>
        </w:rPr>
        <w:t>Resignations and Removal</w:t>
      </w:r>
      <w:r>
        <w:rPr>
          <w:rFonts w:ascii="Arial" w:cs="Arial" w:eastAsia="Arial" w:hAnsi="Arial"/>
          <w:sz w:val="18"/>
          <w:szCs w:val="18"/>
          <w:color w:val="auto"/>
        </w:rPr>
        <w:t>.</w:t>
      </w:r>
    </w:p>
    <w:p>
      <w:pPr>
        <w:spacing w:after="0" w:line="117" w:lineRule="exact"/>
        <w:rPr>
          <w:sz w:val="20"/>
          <w:szCs w:val="20"/>
          <w:color w:val="auto"/>
        </w:rPr>
      </w:pPr>
    </w:p>
    <w:p>
      <w:pPr>
        <w:ind w:right="80" w:firstLine="987"/>
        <w:spacing w:after="0" w:line="259" w:lineRule="auto"/>
        <w:tabs>
          <w:tab w:leader="none" w:pos="1236" w:val="left"/>
        </w:tabs>
        <w:numPr>
          <w:ilvl w:val="0"/>
          <w:numId w:val="53"/>
        </w:numPr>
        <w:rPr>
          <w:rFonts w:ascii="Arial" w:cs="Arial" w:eastAsia="Arial" w:hAnsi="Arial"/>
          <w:sz w:val="18"/>
          <w:szCs w:val="18"/>
          <w:color w:val="auto"/>
        </w:rPr>
      </w:pPr>
      <w:r>
        <w:rPr>
          <w:rFonts w:ascii="Arial" w:cs="Arial" w:eastAsia="Arial" w:hAnsi="Arial"/>
          <w:sz w:val="18"/>
          <w:szCs w:val="18"/>
          <w:color w:val="auto"/>
        </w:rPr>
        <w:t>Any director may resign at any time upon notice given in writing or by electronic transmission to the Board of Directors, the Board Chair or the Secretary of the Corporation. Such resignation shall take effect upon delivery, unless the resignation specifies a later effective date or time or an effective date or time determined upon the happening of an event or events. Unless otherwise specified therein, the acceptance of such resignation shall not be necessary to make it effective.</w:t>
      </w:r>
    </w:p>
    <w:p>
      <w:pPr>
        <w:spacing w:after="0" w:line="78" w:lineRule="exact"/>
        <w:rPr>
          <w:rFonts w:ascii="Arial" w:cs="Arial" w:eastAsia="Arial" w:hAnsi="Arial"/>
          <w:sz w:val="18"/>
          <w:szCs w:val="18"/>
          <w:color w:val="auto"/>
        </w:rPr>
      </w:pPr>
    </w:p>
    <w:p>
      <w:pPr>
        <w:ind w:right="40" w:firstLine="987"/>
        <w:spacing w:after="0" w:line="257" w:lineRule="auto"/>
        <w:tabs>
          <w:tab w:leader="none" w:pos="1246" w:val="left"/>
        </w:tabs>
        <w:numPr>
          <w:ilvl w:val="0"/>
          <w:numId w:val="53"/>
        </w:numPr>
        <w:rPr>
          <w:rFonts w:ascii="Arial" w:cs="Arial" w:eastAsia="Arial" w:hAnsi="Arial"/>
          <w:sz w:val="18"/>
          <w:szCs w:val="18"/>
          <w:color w:val="auto"/>
        </w:rPr>
      </w:pPr>
      <w:r>
        <w:rPr>
          <w:rFonts w:ascii="Arial" w:cs="Arial" w:eastAsia="Arial" w:hAnsi="Arial"/>
          <w:sz w:val="18"/>
          <w:szCs w:val="18"/>
          <w:color w:val="auto"/>
        </w:rPr>
        <w:t xml:space="preserve">Any director, or the entire Board of Directors, may be removed, with or without cause, by the affirmative vote of at least a majority of the voting power of the stock outstanding and entitled to vote thereon;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whenever the holders of any class or series are entitled to elect one or more directors by the Certificate of Incorporation (including any Preferred Stock Designation), with respect to the removal without cause of a director or directors so elected, the vote of the holders of the outstanding shares of that class or series and not the vote of the outstanding shares as a whole shall apply.</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0"/>
          </w:cols>
          <w:pgMar w:left="440" w:top="274" w:right="459" w:bottom="1440" w:gutter="0" w:footer="0" w:header="0"/>
        </w:sectPr>
      </w:pPr>
    </w:p>
    <w:bookmarkStart w:id="41" w:name="page42"/>
    <w:bookmarkEnd w:id="41"/>
    <w:p>
      <w:pPr>
        <w:ind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3.5 </w:t>
      </w:r>
      <w:r>
        <w:rPr>
          <w:rFonts w:ascii="Arial" w:cs="Arial" w:eastAsia="Arial" w:hAnsi="Arial"/>
          <w:sz w:val="18"/>
          <w:szCs w:val="18"/>
          <w:u w:val="single" w:color="auto"/>
          <w:color w:val="auto"/>
        </w:rPr>
        <w:t>Regular Meetings</w:t>
      </w:r>
      <w:r>
        <w:rPr>
          <w:rFonts w:ascii="Arial" w:cs="Arial" w:eastAsia="Arial" w:hAnsi="Arial"/>
          <w:sz w:val="18"/>
          <w:szCs w:val="18"/>
          <w:color w:val="auto"/>
        </w:rPr>
        <w:t>. Regular meetings of the Board of Directors shall be held at such place or places, within or without the State of Delaware, on such date or dates and at such time or times, as shall have been established by the Board of Directors and publicized among all directors. A notice of each regular meeting shall not be required.</w:t>
      </w:r>
    </w:p>
    <w:p>
      <w:pPr>
        <w:spacing w:after="0" w:line="184" w:lineRule="exact"/>
        <w:rPr>
          <w:sz w:val="20"/>
          <w:szCs w:val="20"/>
          <w:color w:val="auto"/>
        </w:rPr>
      </w:pPr>
    </w:p>
    <w:p>
      <w:pPr>
        <w:ind w:right="40" w:firstLine="991"/>
        <w:spacing w:after="0" w:line="272" w:lineRule="auto"/>
        <w:rPr>
          <w:sz w:val="20"/>
          <w:szCs w:val="20"/>
          <w:color w:val="auto"/>
        </w:rPr>
      </w:pPr>
      <w:r>
        <w:rPr>
          <w:rFonts w:ascii="Arial" w:cs="Arial" w:eastAsia="Arial" w:hAnsi="Arial"/>
          <w:sz w:val="17"/>
          <w:szCs w:val="17"/>
          <w:color w:val="auto"/>
        </w:rPr>
        <w:t xml:space="preserve">Section 3.6 </w:t>
      </w:r>
      <w:r>
        <w:rPr>
          <w:rFonts w:ascii="Arial" w:cs="Arial" w:eastAsia="Arial" w:hAnsi="Arial"/>
          <w:sz w:val="17"/>
          <w:szCs w:val="17"/>
          <w:u w:val="single" w:color="auto"/>
          <w:color w:val="auto"/>
        </w:rPr>
        <w:t>Special Meetings</w:t>
      </w:r>
      <w:r>
        <w:rPr>
          <w:rFonts w:ascii="Arial" w:cs="Arial" w:eastAsia="Arial" w:hAnsi="Arial"/>
          <w:sz w:val="17"/>
          <w:szCs w:val="17"/>
          <w:color w:val="auto"/>
        </w:rPr>
        <w:t>. Special meetings of the Board of Directors for any purpose or purposes may be called at any time by the Board Chair, the Chief Executive Officer or a majority of the directors then in office. The person or persons authorized to call special meetings of the Board of Directors may fix the place, within or without the State of Delaware, date and time of such meetings. Notice of each such meeting shall be given to each director, if by mail, addressed to such director at their residence or usual place of business, at least five days before the day on which such meeting is to be held, or shall be sent to such director by electronic transmission, or be delivered personally or by telephone, in each case at least 24 hours prior to the time set for such meeting. A notice of special meeting need not state the purpose of such meeting, and, unless indicated in the notice thereof, any and all business may be transacted at a special meeting.</w:t>
      </w:r>
    </w:p>
    <w:p>
      <w:pPr>
        <w:spacing w:after="0" w:line="177" w:lineRule="exact"/>
        <w:rPr>
          <w:sz w:val="20"/>
          <w:szCs w:val="20"/>
          <w:color w:val="auto"/>
        </w:rPr>
      </w:pPr>
    </w:p>
    <w:p>
      <w:pPr>
        <w:jc w:val="both"/>
        <w:ind w:right="240" w:firstLine="991"/>
        <w:spacing w:after="0" w:line="311"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u w:val="single" w:color="auto"/>
          <w:color w:val="auto"/>
        </w:rPr>
        <w:t>Participation in Meetings by Conference Telephone</w:t>
      </w:r>
      <w:r>
        <w:rPr>
          <w:rFonts w:ascii="Arial" w:cs="Arial" w:eastAsia="Arial" w:hAnsi="Arial"/>
          <w:sz w:val="16"/>
          <w:szCs w:val="16"/>
          <w:color w:val="auto"/>
        </w:rPr>
        <w:t>. Members of the Board of Directors, or of any committee thereof, may participate in a meeting of such Board of Directors or committee by means of conference telephone or other communications equipment by means of which all persons participating in the meeting can hear each other, and such participation shall constitute presence in person at such meeting.</w:t>
      </w:r>
    </w:p>
    <w:p>
      <w:pPr>
        <w:spacing w:after="0" w:line="149" w:lineRule="exact"/>
        <w:rPr>
          <w:sz w:val="20"/>
          <w:szCs w:val="20"/>
          <w:color w:val="auto"/>
        </w:rPr>
      </w:pPr>
    </w:p>
    <w:p>
      <w:pPr>
        <w:ind w:right="40" w:firstLine="991"/>
        <w:spacing w:after="0" w:line="296" w:lineRule="auto"/>
        <w:rPr>
          <w:sz w:val="20"/>
          <w:szCs w:val="20"/>
          <w:color w:val="auto"/>
        </w:rPr>
      </w:pPr>
      <w:r>
        <w:rPr>
          <w:rFonts w:ascii="Arial" w:cs="Arial" w:eastAsia="Arial" w:hAnsi="Arial"/>
          <w:sz w:val="16"/>
          <w:szCs w:val="16"/>
          <w:color w:val="auto"/>
        </w:rPr>
        <w:t xml:space="preserve">Section 3.8 </w:t>
      </w:r>
      <w:r>
        <w:rPr>
          <w:rFonts w:ascii="Arial" w:cs="Arial" w:eastAsia="Arial" w:hAnsi="Arial"/>
          <w:sz w:val="16"/>
          <w:szCs w:val="16"/>
          <w:u w:val="single" w:color="auto"/>
          <w:color w:val="auto"/>
        </w:rPr>
        <w:t>Quorum and Voting</w:t>
      </w:r>
      <w:r>
        <w:rPr>
          <w:rFonts w:ascii="Arial" w:cs="Arial" w:eastAsia="Arial" w:hAnsi="Arial"/>
          <w:sz w:val="16"/>
          <w:szCs w:val="16"/>
          <w:color w:val="auto"/>
        </w:rPr>
        <w:t>. Except as otherwise required by law, the Certificate of Incorporation or these Bylaws, a majority of the total number of directors then authorized shall constitute a quorum for the transaction of business at any meeting of the Board of Directors, and the vote of a majority of the directors present at a duly held meeting at which a quorum is present shall be the act of the Board of Directors. The chair of the meeting or a majority of the directors present may adjourn the meeting to another time and place whether or not a quorum is present. At any adjourned meeting at which a quorum is present, any business may be transacted which might have been transacted at the meeting as originally called.</w:t>
      </w:r>
    </w:p>
    <w:p>
      <w:pPr>
        <w:spacing w:after="0" w:line="161" w:lineRule="exact"/>
        <w:rPr>
          <w:sz w:val="20"/>
          <w:szCs w:val="20"/>
          <w:color w:val="auto"/>
        </w:rPr>
      </w:pPr>
    </w:p>
    <w:p>
      <w:pPr>
        <w:ind w:right="40" w:firstLine="991"/>
        <w:spacing w:after="0" w:line="270" w:lineRule="auto"/>
        <w:rPr>
          <w:sz w:val="20"/>
          <w:szCs w:val="20"/>
          <w:color w:val="auto"/>
        </w:rPr>
      </w:pPr>
      <w:r>
        <w:rPr>
          <w:rFonts w:ascii="Arial" w:cs="Arial" w:eastAsia="Arial" w:hAnsi="Arial"/>
          <w:sz w:val="17"/>
          <w:szCs w:val="17"/>
          <w:color w:val="auto"/>
        </w:rPr>
        <w:t xml:space="preserve">Section 3.9 </w:t>
      </w:r>
      <w:r>
        <w:rPr>
          <w:rFonts w:ascii="Arial" w:cs="Arial" w:eastAsia="Arial" w:hAnsi="Arial"/>
          <w:sz w:val="17"/>
          <w:szCs w:val="17"/>
          <w:u w:val="single" w:color="auto"/>
          <w:color w:val="auto"/>
        </w:rPr>
        <w:t>Board of Directors Action by Written Consent Without a Meeting</w:t>
      </w:r>
      <w:r>
        <w:rPr>
          <w:rFonts w:ascii="Arial" w:cs="Arial" w:eastAsia="Arial" w:hAnsi="Arial"/>
          <w:sz w:val="17"/>
          <w:szCs w:val="17"/>
          <w:color w:val="auto"/>
        </w:rPr>
        <w:t xml:space="preserve">. Unless otherwise restricted by the Certificate of Incorporation or these Bylaws, any action required or permitted to be taken at any meeting of the Board of Directors, or any committee thereof, may be taken without a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all members of the Board of Directors or committee, as the case may be, consent in writing or by electronic transmission to such action. After an action is taken, the consent or consents relating thereto shall be filed with the minutes or proceedings of the Board of Directors or committee in the same paper or electronic form as the minutes are maintained. Any person (whether or not then a director) may provide, whether through instruction to an agent or otherwise, that a consent to action shall be effective at a future time (including a time determined upon the happening of an event), no later than 60 days after such instruction is given or such provision is made and such consent shall be deemed to have been given at such effective time so long as such person is then a director and did not revoke the consent prior to such time. Any such consent shall be revocable prior to its becoming effective.</w:t>
      </w:r>
    </w:p>
    <w:p>
      <w:pPr>
        <w:spacing w:after="0" w:line="11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0960"/>
          </w:cols>
          <w:pgMar w:left="440" w:top="274" w:right="499" w:bottom="1440" w:gutter="0" w:footer="0" w:header="0"/>
        </w:sectPr>
      </w:pPr>
    </w:p>
    <w:bookmarkStart w:id="42" w:name="page43"/>
    <w:bookmarkEnd w:id="42"/>
    <w:p>
      <w:pPr>
        <w:ind w:right="420" w:firstLine="991"/>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3.10 </w:t>
      </w:r>
      <w:r>
        <w:rPr>
          <w:rFonts w:ascii="Arial" w:cs="Arial" w:eastAsia="Arial" w:hAnsi="Arial"/>
          <w:sz w:val="16"/>
          <w:szCs w:val="16"/>
          <w:u w:val="single" w:color="auto"/>
          <w:color w:val="auto"/>
        </w:rPr>
        <w:t>Board Chair</w:t>
      </w:r>
      <w:r>
        <w:rPr>
          <w:rFonts w:ascii="Arial" w:cs="Arial" w:eastAsia="Arial" w:hAnsi="Arial"/>
          <w:sz w:val="16"/>
          <w:szCs w:val="16"/>
          <w:color w:val="auto"/>
        </w:rPr>
        <w:t>. The Board Chair shall preside at meetings of stockholders (unless otherwise determined by the Board of Directors) and at meetings of directors and shall perform such other duties as the Board of Directors may from time to time determine. If the Board Chair is not present at a meeting of the Board of Directors, another director chosen by the Board of Directors shall preside.</w:t>
      </w:r>
    </w:p>
    <w:p>
      <w:pPr>
        <w:spacing w:after="0" w:line="149" w:lineRule="exact"/>
        <w:rPr>
          <w:sz w:val="20"/>
          <w:szCs w:val="20"/>
          <w:color w:val="auto"/>
        </w:rPr>
      </w:pPr>
    </w:p>
    <w:p>
      <w:pPr>
        <w:ind w:right="140" w:firstLine="991"/>
        <w:spacing w:after="0" w:line="263" w:lineRule="auto"/>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Rules and Regulations</w:t>
      </w:r>
      <w:r>
        <w:rPr>
          <w:rFonts w:ascii="Arial" w:cs="Arial" w:eastAsia="Arial" w:hAnsi="Arial"/>
          <w:sz w:val="18"/>
          <w:szCs w:val="18"/>
          <w:color w:val="auto"/>
        </w:rPr>
        <w:t>. The Board of Directors shall adopt such rules and regulations not inconsistent with the provisions of law, the Certificate of Incorporation or these Bylaws for the conduct of its meetings and management of the affairs of the Corporation as the Board of Directors shall deem proper.</w:t>
      </w:r>
    </w:p>
    <w:p>
      <w:pPr>
        <w:spacing w:after="0" w:line="184" w:lineRule="exact"/>
        <w:rPr>
          <w:sz w:val="20"/>
          <w:szCs w:val="20"/>
          <w:color w:val="auto"/>
        </w:rPr>
      </w:pPr>
    </w:p>
    <w:p>
      <w:pPr>
        <w:ind w:right="240" w:firstLine="991"/>
        <w:spacing w:after="0" w:line="263" w:lineRule="auto"/>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Fees and Compensation of Directors</w:t>
      </w:r>
      <w:r>
        <w:rPr>
          <w:rFonts w:ascii="Arial" w:cs="Arial" w:eastAsia="Arial" w:hAnsi="Arial"/>
          <w:sz w:val="18"/>
          <w:szCs w:val="18"/>
          <w:color w:val="auto"/>
        </w:rPr>
        <w:t>. Unless otherwise restricted by the Certificate of Incorporation, directors may receive such compensation, if any, for their services on the Board of Directors and its committees, and such reimbursement of expenses, as may be fixed or determined by resolution of the Board of Directors.</w:t>
      </w:r>
    </w:p>
    <w:p>
      <w:pPr>
        <w:spacing w:after="0" w:line="184" w:lineRule="exact"/>
        <w:rPr>
          <w:sz w:val="20"/>
          <w:szCs w:val="20"/>
          <w:color w:val="auto"/>
        </w:rPr>
      </w:pPr>
    </w:p>
    <w:p>
      <w:pPr>
        <w:ind w:right="100" w:firstLine="991"/>
        <w:spacing w:after="0" w:line="272" w:lineRule="auto"/>
        <w:rPr>
          <w:sz w:val="20"/>
          <w:szCs w:val="20"/>
          <w:color w:val="auto"/>
        </w:rPr>
      </w:pPr>
      <w:r>
        <w:rPr>
          <w:rFonts w:ascii="Arial" w:cs="Arial" w:eastAsia="Arial" w:hAnsi="Arial"/>
          <w:sz w:val="17"/>
          <w:szCs w:val="17"/>
          <w:color w:val="auto"/>
        </w:rPr>
        <w:t xml:space="preserve">Section 3.13 </w:t>
      </w:r>
      <w:r>
        <w:rPr>
          <w:rFonts w:ascii="Arial" w:cs="Arial" w:eastAsia="Arial" w:hAnsi="Arial"/>
          <w:sz w:val="17"/>
          <w:szCs w:val="17"/>
          <w:u w:val="single" w:color="auto"/>
          <w:color w:val="auto"/>
        </w:rPr>
        <w:t>Emergency Bylaws</w:t>
      </w:r>
      <w:r>
        <w:rPr>
          <w:rFonts w:ascii="Arial" w:cs="Arial" w:eastAsia="Arial" w:hAnsi="Arial"/>
          <w:sz w:val="17"/>
          <w:szCs w:val="17"/>
          <w:color w:val="auto"/>
        </w:rPr>
        <w:t>. This Section 3.13 shall be operative during any emergency condition as contemplated by Section 110 of the DGCL (an “Emergency”), notwithstanding any different or conflicting provisions in these Bylaws, the Certificate of Incorporation or the DGCL. In the event of any Emergency, or other similar emergency condition, the director or directors in attendance at a meeting of the Board of Directors or a standing committee thereof shall constitute a quorum. Such director or directors in attendance may further take action to appoint one or more of themselves or other directors to membership on any standing or temporary committees of the Board of Directors as they shall deem necessary and appropriate. Except as the Board may otherwise determine, during any Emergency, the Corporation and its directors and officers, may exercise any authority and take any action or measure contemplated by Section 110 of the DGCL.</w:t>
      </w:r>
    </w:p>
    <w:p>
      <w:pPr>
        <w:spacing w:after="0" w:line="177" w:lineRule="exact"/>
        <w:rPr>
          <w:sz w:val="20"/>
          <w:szCs w:val="20"/>
          <w:color w:val="auto"/>
        </w:rPr>
      </w:pPr>
    </w:p>
    <w:p>
      <w:pPr>
        <w:ind w:right="80" w:firstLine="991"/>
        <w:spacing w:after="0" w:line="254"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Shareholder Rights Plans</w:t>
      </w:r>
      <w:r>
        <w:rPr>
          <w:rFonts w:ascii="Arial" w:cs="Arial" w:eastAsia="Arial" w:hAnsi="Arial"/>
          <w:sz w:val="18"/>
          <w:szCs w:val="18"/>
          <w:color w:val="auto"/>
        </w:rPr>
        <w:t>. In furtherance and not in limitation of any other authority of the Board under these Bylaws, the Board is expressly authorized to adopt a shareholder rights plan as a defensive measure at any time that the determines to be in the best interest of the Corporation and its shareholders, including in response to any pending or threatened unsolicited offer in respect of a business combination. Any shareholder rights plan adopted pursuant to this Section 3.14 shall either (1) have a term of less than 12 months or (2) be submitted to the stockholders for approval by not more than 12 months following adoption of the plan. In addition, any such shareholder rights plan would not contain provisions that limit the discretion of new Directors to amend or redeem the rights under the plan, commonly referred to as “dead-hand” or “modified dead-hand” provisions.</w:t>
      </w:r>
    </w:p>
    <w:p>
      <w:pPr>
        <w:spacing w:after="0" w:line="200" w:lineRule="exact"/>
        <w:rPr>
          <w:sz w:val="20"/>
          <w:szCs w:val="20"/>
          <w:color w:val="auto"/>
        </w:rPr>
      </w:pPr>
    </w:p>
    <w:p>
      <w:pPr>
        <w:spacing w:after="0" w:line="2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COMMITTEES</w:t>
      </w:r>
    </w:p>
    <w:p>
      <w:pPr>
        <w:spacing w:after="0" w:line="211" w:lineRule="exact"/>
        <w:rPr>
          <w:sz w:val="20"/>
          <w:szCs w:val="20"/>
          <w:color w:val="auto"/>
        </w:rPr>
      </w:pPr>
    </w:p>
    <w:p>
      <w:pPr>
        <w:ind w:firstLine="991"/>
        <w:spacing w:after="0" w:line="259" w:lineRule="auto"/>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Committees of the Board of Directors</w:t>
      </w:r>
      <w:r>
        <w:rPr>
          <w:rFonts w:ascii="Arial" w:cs="Arial" w:eastAsia="Arial" w:hAnsi="Arial"/>
          <w:sz w:val="18"/>
          <w:szCs w:val="18"/>
          <w:color w:val="auto"/>
        </w:rPr>
        <w:t>. The Board of Directors may designate one or more committees, each such committee to consist of one or more of the directors of the Corporation. The Board of Directors may designate one or more directors as alternate members of any committee to replace any absent or disqualified member at any meeting of the committee. In the absence or disqualification of a member of a committee, the member or</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00"/>
          </w:cols>
          <w:pgMar w:left="440" w:top="274" w:right="459" w:bottom="1440" w:gutter="0" w:footer="0" w:header="0"/>
        </w:sectPr>
      </w:pPr>
    </w:p>
    <w:bookmarkStart w:id="43" w:name="page44"/>
    <w:bookmarkEnd w:id="43"/>
    <w:p>
      <w:pPr>
        <w:spacing w:after="0" w:line="25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members present at any meeting and not disqualified from voting, whether or not he, she or they constitute a quorum, may unanimously appoint another member of the Board of Directors to act at the meeting in the place of any such absent or disqualified member. Any such committee, to the extent permitted by law and provided in the resolution of the Board of Directors establishing such committee, shall have and may exercise all the powers and authority of the Board of Directors in the management of the business and affairs of the Corporation, and may authorize the seal of the Corporation to be affixed to all papers which may require it; but no such committee shall have the power or authority in reference to the following matters: (a) approving or adopting, or recommending to the stockholders, any action or matter (other than the election or removal of directors) expressly required by the DGCL to be submitted to stockholders for approval; or (b) adopting, amending or repealing any bylaw of the Corporation. All committees of the Board of Directors shall keep minutes of their meetings and shall report their proceedings to the Board of Directors when requested or required by the Board of Directors.</w:t>
      </w:r>
    </w:p>
    <w:p>
      <w:pPr>
        <w:spacing w:after="0" w:line="196" w:lineRule="exact"/>
        <w:rPr>
          <w:sz w:val="20"/>
          <w:szCs w:val="20"/>
          <w:color w:val="auto"/>
        </w:rPr>
      </w:pPr>
    </w:p>
    <w:p>
      <w:pPr>
        <w:ind w:right="60" w:firstLine="991"/>
        <w:spacing w:after="0" w:line="254" w:lineRule="auto"/>
        <w:rPr>
          <w:sz w:val="20"/>
          <w:szCs w:val="20"/>
          <w:color w:val="auto"/>
        </w:rPr>
      </w:pPr>
      <w:r>
        <w:rPr>
          <w:rFonts w:ascii="Arial" w:cs="Arial" w:eastAsia="Arial" w:hAnsi="Arial"/>
          <w:sz w:val="18"/>
          <w:szCs w:val="18"/>
          <w:color w:val="auto"/>
        </w:rPr>
        <w:t xml:space="preserve">Section 4.2 </w:t>
      </w:r>
      <w:r>
        <w:rPr>
          <w:rFonts w:ascii="Arial" w:cs="Arial" w:eastAsia="Arial" w:hAnsi="Arial"/>
          <w:sz w:val="18"/>
          <w:szCs w:val="18"/>
          <w:u w:val="single" w:color="auto"/>
          <w:color w:val="auto"/>
        </w:rPr>
        <w:t>Meetings and Action of Committees</w:t>
      </w:r>
      <w:r>
        <w:rPr>
          <w:rFonts w:ascii="Arial" w:cs="Arial" w:eastAsia="Arial" w:hAnsi="Arial"/>
          <w:sz w:val="18"/>
          <w:szCs w:val="18"/>
          <w:color w:val="auto"/>
        </w:rPr>
        <w:t xml:space="preserve">. Unless the Board of Directors provides otherwise by resolution, any committee of the Board of Directors may adopt, alter and repeal such rules and regulations not inconsistent with the provisions of law, the Certificate of Incorporation or these Bylaws for the conduct of its meetings as such committee may deem proper. A majority of the directors then serving on a committee shall constitute a quorum for the transaction of business by the committee except as otherwise required by law, the Certificate of Incorporation or these Bylaws, and except as otherwise provided in a resolution of the Board of Directors;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in no case shall a quorum be less than one-third of the directors then serving on the committee. Unless the Certificate of Incorporation, these Bylaws or a resolution of the Board of Directors requires a greater number, the vote of a majority of the members of a committee present at a meeting at which a quorum is present shall be the act of the committee.</w:t>
      </w:r>
    </w:p>
    <w:p>
      <w:pPr>
        <w:spacing w:after="0" w:line="200" w:lineRule="exact"/>
        <w:rPr>
          <w:sz w:val="20"/>
          <w:szCs w:val="20"/>
          <w:color w:val="auto"/>
        </w:rPr>
      </w:pPr>
    </w:p>
    <w:p>
      <w:pPr>
        <w:spacing w:after="0" w:line="204" w:lineRule="exact"/>
        <w:rPr>
          <w:sz w:val="20"/>
          <w:szCs w:val="20"/>
          <w:color w:val="auto"/>
        </w:rPr>
      </w:pPr>
    </w:p>
    <w:p>
      <w:pPr>
        <w:ind w:left="5000"/>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OFFICERS</w:t>
      </w:r>
    </w:p>
    <w:p>
      <w:pPr>
        <w:spacing w:after="0" w:line="211" w:lineRule="exact"/>
        <w:rPr>
          <w:sz w:val="20"/>
          <w:szCs w:val="20"/>
          <w:color w:val="auto"/>
        </w:rPr>
      </w:pPr>
    </w:p>
    <w:p>
      <w:pPr>
        <w:ind w:firstLine="991"/>
        <w:spacing w:after="0" w:line="271" w:lineRule="auto"/>
        <w:rPr>
          <w:sz w:val="20"/>
          <w:szCs w:val="20"/>
          <w:color w:val="auto"/>
        </w:rPr>
      </w:pPr>
      <w:r>
        <w:rPr>
          <w:rFonts w:ascii="Arial" w:cs="Arial" w:eastAsia="Arial" w:hAnsi="Arial"/>
          <w:sz w:val="17"/>
          <w:szCs w:val="17"/>
          <w:color w:val="auto"/>
        </w:rPr>
        <w:t xml:space="preserve">Section 5.1 </w:t>
      </w:r>
      <w:r>
        <w:rPr>
          <w:rFonts w:ascii="Arial" w:cs="Arial" w:eastAsia="Arial" w:hAnsi="Arial"/>
          <w:sz w:val="17"/>
          <w:szCs w:val="17"/>
          <w:u w:val="single" w:color="auto"/>
          <w:color w:val="auto"/>
        </w:rPr>
        <w:t>Officers</w:t>
      </w:r>
      <w:r>
        <w:rPr>
          <w:rFonts w:ascii="Arial" w:cs="Arial" w:eastAsia="Arial" w:hAnsi="Arial"/>
          <w:sz w:val="17"/>
          <w:szCs w:val="17"/>
          <w:color w:val="auto"/>
        </w:rPr>
        <w:t xml:space="preserve">. The officers of the Corporation shall consist of a Chief Executive Office, a Chief Financial Officer, a Secretary and such other officers as the Board of Directors may from time to time determine, each of whom shall be expressly elected by the Board of Directors, each to have such authority, functions or duties as determined by the Board of Directors. Each officer shall be elected by the Board of Directors and shall hold office for such term as may be prescribed by the Board of Directors and until such person’s successor shall have been duly elected and qualified, or until such person’s earlier death, disqualification, resignation or removal. Any number of offices may be held by the same person;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no officer shall execute, acknowledge or verify any instrument in more than one capacity if such instrument is required by law, the Certificate of Incorporation or these Bylaws to be executed, acknowledged or verified by two or more officers. The Board of Directors may require any officer, agent or employee to give security for the faithful performance of their duties.</w:t>
      </w:r>
    </w:p>
    <w:p>
      <w:pPr>
        <w:spacing w:after="0" w:line="178" w:lineRule="exact"/>
        <w:rPr>
          <w:sz w:val="20"/>
          <w:szCs w:val="20"/>
          <w:color w:val="auto"/>
        </w:rPr>
      </w:pPr>
    </w:p>
    <w:p>
      <w:pPr>
        <w:ind w:right="120" w:firstLine="991"/>
        <w:spacing w:after="0" w:line="257" w:lineRule="auto"/>
        <w:rPr>
          <w:sz w:val="20"/>
          <w:szCs w:val="20"/>
          <w:color w:val="auto"/>
        </w:rPr>
      </w:pPr>
      <w:r>
        <w:rPr>
          <w:rFonts w:ascii="Arial" w:cs="Arial" w:eastAsia="Arial" w:hAnsi="Arial"/>
          <w:sz w:val="18"/>
          <w:szCs w:val="18"/>
          <w:color w:val="auto"/>
        </w:rPr>
        <w:t xml:space="preserve">Section 5.2 </w:t>
      </w:r>
      <w:r>
        <w:rPr>
          <w:rFonts w:ascii="Arial" w:cs="Arial" w:eastAsia="Arial" w:hAnsi="Arial"/>
          <w:sz w:val="18"/>
          <w:szCs w:val="18"/>
          <w:u w:val="single" w:color="auto"/>
          <w:color w:val="auto"/>
        </w:rPr>
        <w:t>Chief Executive Officer</w:t>
      </w:r>
      <w:r>
        <w:rPr>
          <w:rFonts w:ascii="Arial" w:cs="Arial" w:eastAsia="Arial" w:hAnsi="Arial"/>
          <w:sz w:val="18"/>
          <w:szCs w:val="18"/>
          <w:color w:val="auto"/>
        </w:rPr>
        <w:t>. The Chief Executive Officer shall have general supervision and direction of the business and affairs of the Corporation, shall be responsible for corporate policy and strategy, and shall report directly to the Board of Directors. Unless otherwise provided in these Bylaws or determined by the Board of Directors, all other officers of the Corporation shall report directly to the Chief Executive Officer or as otherwise determined by the Chief Executive Officer. The Chief Executive Officer shall, if present and in the absence of the Board Chair, preside at meetings of the stockholders.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00"/>
          </w:cols>
          <w:pgMar w:left="440" w:top="274" w:right="459" w:bottom="1440" w:gutter="0" w:footer="0" w:header="0"/>
        </w:sectPr>
      </w:pPr>
    </w:p>
    <w:bookmarkStart w:id="44" w:name="page45"/>
    <w:bookmarkEnd w:id="44"/>
    <w:p>
      <w:pPr>
        <w:ind w:right="260" w:firstLine="991"/>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5.3 </w:t>
      </w:r>
      <w:r>
        <w:rPr>
          <w:rFonts w:ascii="Arial" w:cs="Arial" w:eastAsia="Arial" w:hAnsi="Arial"/>
          <w:sz w:val="18"/>
          <w:szCs w:val="18"/>
          <w:u w:val="single" w:color="auto"/>
          <w:color w:val="auto"/>
        </w:rPr>
        <w:t>Chief Financial Officer</w:t>
      </w:r>
      <w:r>
        <w:rPr>
          <w:rFonts w:ascii="Arial" w:cs="Arial" w:eastAsia="Arial" w:hAnsi="Arial"/>
          <w:sz w:val="18"/>
          <w:szCs w:val="18"/>
          <w:color w:val="auto"/>
        </w:rPr>
        <w:t>. The Chief Financial Officer shall exercise all the powers and perform the duties of the office of the chief financial officer and in general have overall supervision of the financial operations of the Corporation. The Chief Financial Officer shall, when requested, counsel with and advise the other officers of the Corporation and shall perform such other duties as the Board of Directors or the Chief Executive Officer (or the President) may from time to time determine.</w:t>
      </w:r>
    </w:p>
    <w:p>
      <w:pPr>
        <w:spacing w:after="0" w:line="187" w:lineRule="exact"/>
        <w:rPr>
          <w:sz w:val="20"/>
          <w:szCs w:val="20"/>
          <w:color w:val="auto"/>
        </w:rPr>
      </w:pPr>
    </w:p>
    <w:p>
      <w:pPr>
        <w:ind w:right="100" w:firstLine="991"/>
        <w:spacing w:after="0" w:line="253" w:lineRule="auto"/>
        <w:rPr>
          <w:sz w:val="20"/>
          <w:szCs w:val="20"/>
          <w:color w:val="auto"/>
        </w:rPr>
      </w:pPr>
      <w:r>
        <w:rPr>
          <w:rFonts w:ascii="Arial" w:cs="Arial" w:eastAsia="Arial" w:hAnsi="Arial"/>
          <w:sz w:val="18"/>
          <w:szCs w:val="18"/>
          <w:color w:val="auto"/>
        </w:rPr>
        <w:t xml:space="preserve">Section 5.4 </w:t>
      </w:r>
      <w:r>
        <w:rPr>
          <w:rFonts w:ascii="Arial" w:cs="Arial" w:eastAsia="Arial" w:hAnsi="Arial"/>
          <w:sz w:val="18"/>
          <w:szCs w:val="18"/>
          <w:u w:val="single" w:color="auto"/>
          <w:color w:val="auto"/>
        </w:rPr>
        <w:t>Secretary</w:t>
      </w:r>
      <w:r>
        <w:rPr>
          <w:rFonts w:ascii="Arial" w:cs="Arial" w:eastAsia="Arial" w:hAnsi="Arial"/>
          <w:sz w:val="18"/>
          <w:szCs w:val="18"/>
          <w:color w:val="auto"/>
        </w:rPr>
        <w:t>. The powers and duties of the Secretary are: (i) to act as Secretary at all meetings of the Board of Directors, of the committees of the Board of Directors and of the stockholders and to record the proceedings of such meetings in a book or books to be kept for that purpose; (ii) to see that all notices required to be given by the Corporation are duly given and served; (iii) to act as custodian of the seal of the Corporation and affix the seal or cause it to be affixed to all certificates of stock of the Corporation and to all documents, the execution of which on behalf of the Corporation under its seal is duly authorized in accordance with the provisions of these Bylaws; (iv) to have charge of the books, records and papers of the Corporation and see that the reports, statements and other documents required by law to be kept and filed are properly kept and filed; and (v) to perform all of the duties incident to the office of Secretary. The Secretary shall, when requested, counsel with and advise the other officers of the Corporation and shall perform such other duties as the Board of Directors or the Chief Executive Officer (or the President) may from time to time determine.</w:t>
      </w:r>
    </w:p>
    <w:p>
      <w:pPr>
        <w:spacing w:after="0" w:line="196" w:lineRule="exact"/>
        <w:rPr>
          <w:sz w:val="20"/>
          <w:szCs w:val="20"/>
          <w:color w:val="auto"/>
        </w:rPr>
      </w:pPr>
    </w:p>
    <w:p>
      <w:pPr>
        <w:ind w:right="100" w:firstLine="991"/>
        <w:spacing w:after="0" w:line="277" w:lineRule="auto"/>
        <w:rPr>
          <w:sz w:val="20"/>
          <w:szCs w:val="20"/>
          <w:color w:val="auto"/>
        </w:rPr>
      </w:pPr>
      <w:r>
        <w:rPr>
          <w:rFonts w:ascii="Arial" w:cs="Arial" w:eastAsia="Arial" w:hAnsi="Arial"/>
          <w:sz w:val="18"/>
          <w:szCs w:val="18"/>
          <w:color w:val="auto"/>
        </w:rPr>
        <w:t xml:space="preserve">Section 5.5 </w:t>
      </w:r>
      <w:r>
        <w:rPr>
          <w:rFonts w:ascii="Arial" w:cs="Arial" w:eastAsia="Arial" w:hAnsi="Arial"/>
          <w:sz w:val="18"/>
          <w:szCs w:val="18"/>
          <w:u w:val="single" w:color="auto"/>
          <w:color w:val="auto"/>
        </w:rPr>
        <w:t>Other Officers</w:t>
      </w:r>
      <w:r>
        <w:rPr>
          <w:rFonts w:ascii="Arial" w:cs="Arial" w:eastAsia="Arial" w:hAnsi="Arial"/>
          <w:sz w:val="18"/>
          <w:szCs w:val="18"/>
          <w:color w:val="auto"/>
        </w:rPr>
        <w:t>. The Board of Directors shall have the discretion to appoint any of the following officers, if at all, each to have such authority, functions or duties as determined by the Board of Directors:</w:t>
      </w:r>
    </w:p>
    <w:p>
      <w:pPr>
        <w:spacing w:after="0" w:line="62" w:lineRule="exact"/>
        <w:rPr>
          <w:sz w:val="20"/>
          <w:szCs w:val="20"/>
          <w:color w:val="auto"/>
        </w:rPr>
      </w:pPr>
    </w:p>
    <w:p>
      <w:pPr>
        <w:ind w:firstLine="987"/>
        <w:spacing w:after="0" w:line="263" w:lineRule="auto"/>
        <w:tabs>
          <w:tab w:leader="none" w:pos="1236" w:val="left"/>
        </w:tabs>
        <w:numPr>
          <w:ilvl w:val="0"/>
          <w:numId w:val="54"/>
        </w:numPr>
        <w:rPr>
          <w:rFonts w:ascii="Arial" w:cs="Arial" w:eastAsia="Arial" w:hAnsi="Arial"/>
          <w:sz w:val="18"/>
          <w:szCs w:val="18"/>
          <w:color w:val="auto"/>
        </w:rPr>
      </w:pPr>
      <w:r>
        <w:rPr>
          <w:rFonts w:ascii="Arial" w:cs="Arial" w:eastAsia="Arial" w:hAnsi="Arial"/>
          <w:sz w:val="18"/>
          <w:szCs w:val="18"/>
          <w:color w:val="auto"/>
        </w:rPr>
        <w:t>a President, which shall be the chief operating officer of the Corporation, with general responsibility for the management and control of the operations of the Corporation. The President shall, when requested, counsel with and advise the other officers of the Corporation and shall perform such other duties as the Board of Directors or the Chief Executive Officer may from time to time determine;</w:t>
      </w:r>
    </w:p>
    <w:p>
      <w:pPr>
        <w:spacing w:after="0" w:line="75" w:lineRule="exact"/>
        <w:rPr>
          <w:rFonts w:ascii="Arial" w:cs="Arial" w:eastAsia="Arial" w:hAnsi="Arial"/>
          <w:sz w:val="18"/>
          <w:szCs w:val="18"/>
          <w:color w:val="auto"/>
        </w:rPr>
      </w:pPr>
    </w:p>
    <w:p>
      <w:pPr>
        <w:ind w:right="260" w:firstLine="987"/>
        <w:spacing w:after="0" w:line="311" w:lineRule="auto"/>
        <w:tabs>
          <w:tab w:leader="none" w:pos="1246" w:val="left"/>
        </w:tabs>
        <w:numPr>
          <w:ilvl w:val="0"/>
          <w:numId w:val="54"/>
        </w:numPr>
        <w:rPr>
          <w:rFonts w:ascii="Arial" w:cs="Arial" w:eastAsia="Arial" w:hAnsi="Arial"/>
          <w:sz w:val="16"/>
          <w:szCs w:val="16"/>
          <w:color w:val="auto"/>
        </w:rPr>
      </w:pPr>
      <w:r>
        <w:rPr>
          <w:rFonts w:ascii="Arial" w:cs="Arial" w:eastAsia="Arial" w:hAnsi="Arial"/>
          <w:sz w:val="16"/>
          <w:szCs w:val="16"/>
          <w:color w:val="auto"/>
        </w:rPr>
        <w:t>Vice Presidents, each who shall have such powers and duties as shall be prescribed by their superior officer, the Chief Executive Officer or the President. A Vice President shall, when requested, counsel with and advise the other officers of the Corporation and shall perform such other duties as the Board of Directors, the Chief Executive Officer, the President or another duly authorized officer may from time to time determine;</w:t>
      </w:r>
    </w:p>
    <w:p>
      <w:pPr>
        <w:spacing w:after="0" w:line="40" w:lineRule="exact"/>
        <w:rPr>
          <w:rFonts w:ascii="Arial" w:cs="Arial" w:eastAsia="Arial" w:hAnsi="Arial"/>
          <w:sz w:val="16"/>
          <w:szCs w:val="16"/>
          <w:color w:val="auto"/>
        </w:rPr>
      </w:pPr>
    </w:p>
    <w:p>
      <w:pPr>
        <w:ind w:right="40" w:firstLine="987"/>
        <w:spacing w:after="0" w:line="273" w:lineRule="auto"/>
        <w:tabs>
          <w:tab w:leader="none" w:pos="1236" w:val="left"/>
        </w:tabs>
        <w:numPr>
          <w:ilvl w:val="0"/>
          <w:numId w:val="54"/>
        </w:numPr>
        <w:rPr>
          <w:rFonts w:ascii="Arial" w:cs="Arial" w:eastAsia="Arial" w:hAnsi="Arial"/>
          <w:sz w:val="17"/>
          <w:szCs w:val="17"/>
          <w:color w:val="auto"/>
        </w:rPr>
      </w:pPr>
      <w:r>
        <w:rPr>
          <w:rFonts w:ascii="Arial" w:cs="Arial" w:eastAsia="Arial" w:hAnsi="Arial"/>
          <w:sz w:val="17"/>
          <w:szCs w:val="17"/>
          <w:color w:val="auto"/>
        </w:rPr>
        <w:t>a Treasurer who shall supervise and be responsible for all the funds and securities of the Corporation, the deposit of all monies and other valuables to the credit of the Corporation in depositories of the Corporation, borrowings and compliance with the provisions of all indentures, agreements and instruments governing such borrowings to which the Corporation is a party, the disbursement of funds of the Corporation and the investment of its funds, and in general shall perform all of the duties incident to the office of the Treasurer. The Treasurer shall, when requested, counsel with and advise the other officers of the Corporation and shall perform such other duties as the Board of Directors, the Chief Executive Officer, the President or the Chief Financial Officer may from time to time determine; and</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00"/>
          </w:cols>
          <w:pgMar w:left="440" w:top="274" w:right="459" w:bottom="1440" w:gutter="0" w:footer="0" w:header="0"/>
        </w:sectPr>
      </w:pPr>
    </w:p>
    <w:bookmarkStart w:id="45" w:name="page46"/>
    <w:bookmarkEnd w:id="45"/>
    <w:p>
      <w:pPr>
        <w:ind w:right="40" w:firstLine="987"/>
        <w:spacing w:after="0" w:line="263" w:lineRule="auto"/>
        <w:tabs>
          <w:tab w:leader="none" w:pos="1246" w:val="left"/>
        </w:tabs>
        <w:numPr>
          <w:ilvl w:val="0"/>
          <w:numId w:val="5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 Controller, who shall be the chief accounting officer of the Corporation. The Controller shall, when requested, counsel with and advise the other officers of the Corporation and shall perform such other duties as the Board of Directors, the Chief Executive Officer, the President, the Chief Financial Officer or the Treasurer may from time to time determine.</w:t>
      </w:r>
    </w:p>
    <w:p>
      <w:pPr>
        <w:spacing w:after="0" w:line="184" w:lineRule="exact"/>
        <w:rPr>
          <w:sz w:val="20"/>
          <w:szCs w:val="20"/>
          <w:color w:val="auto"/>
        </w:rPr>
      </w:pPr>
    </w:p>
    <w:p>
      <w:pPr>
        <w:ind w:firstLine="991"/>
        <w:spacing w:after="0" w:line="301" w:lineRule="auto"/>
        <w:rPr>
          <w:sz w:val="20"/>
          <w:szCs w:val="20"/>
          <w:color w:val="auto"/>
        </w:rPr>
      </w:pPr>
      <w:r>
        <w:rPr>
          <w:rFonts w:ascii="Arial" w:cs="Arial" w:eastAsia="Arial" w:hAnsi="Arial"/>
          <w:sz w:val="16"/>
          <w:szCs w:val="16"/>
          <w:color w:val="auto"/>
        </w:rPr>
        <w:t xml:space="preserve">Section 5.6 </w:t>
      </w:r>
      <w:r>
        <w:rPr>
          <w:rFonts w:ascii="Arial" w:cs="Arial" w:eastAsia="Arial" w:hAnsi="Arial"/>
          <w:sz w:val="16"/>
          <w:szCs w:val="16"/>
          <w:u w:val="single" w:color="auto"/>
          <w:color w:val="auto"/>
        </w:rPr>
        <w:t>Additional Matters</w:t>
      </w:r>
      <w:r>
        <w:rPr>
          <w:rFonts w:ascii="Arial" w:cs="Arial" w:eastAsia="Arial" w:hAnsi="Arial"/>
          <w:sz w:val="16"/>
          <w:szCs w:val="16"/>
          <w:color w:val="auto"/>
        </w:rPr>
        <w:t>. The Chief Executive Officer and the Chief Financial Officer of the Corporation shall have the authority to designate employees of the Corporation to have the title of Chairman, Vice-Chairman, Vice President, Assistant Vice President, Assistant Treasurer or Assistant Secretary. Any employee so designated shall have the powers and duties determined by the officer making such designation. The persons upon whom such titles are conferred shall not be deemed officers of the Corporation unless elected by the Board of Directors.</w:t>
      </w:r>
    </w:p>
    <w:p>
      <w:pPr>
        <w:spacing w:after="0" w:line="157" w:lineRule="exact"/>
        <w:rPr>
          <w:sz w:val="20"/>
          <w:szCs w:val="20"/>
          <w:color w:val="auto"/>
        </w:rPr>
      </w:pPr>
    </w:p>
    <w:p>
      <w:pPr>
        <w:ind w:right="20" w:firstLine="991"/>
        <w:spacing w:after="0" w:line="263" w:lineRule="auto"/>
        <w:rPr>
          <w:sz w:val="20"/>
          <w:szCs w:val="20"/>
          <w:color w:val="auto"/>
        </w:rPr>
      </w:pPr>
      <w:r>
        <w:rPr>
          <w:rFonts w:ascii="Arial" w:cs="Arial" w:eastAsia="Arial" w:hAnsi="Arial"/>
          <w:sz w:val="18"/>
          <w:szCs w:val="18"/>
          <w:color w:val="auto"/>
        </w:rPr>
        <w:t xml:space="preserve">Section 5.7 </w:t>
      </w:r>
      <w:r>
        <w:rPr>
          <w:rFonts w:ascii="Arial" w:cs="Arial" w:eastAsia="Arial" w:hAnsi="Arial"/>
          <w:sz w:val="18"/>
          <w:szCs w:val="18"/>
          <w:u w:val="single" w:color="auto"/>
          <w:color w:val="auto"/>
        </w:rPr>
        <w:t>Compensation</w:t>
      </w:r>
      <w:r>
        <w:rPr>
          <w:rFonts w:ascii="Arial" w:cs="Arial" w:eastAsia="Arial" w:hAnsi="Arial"/>
          <w:sz w:val="18"/>
          <w:szCs w:val="18"/>
          <w:color w:val="auto"/>
        </w:rPr>
        <w:t>. The salaries of the officers of the Corporation and the manner and time of the payment of such salaries shall be fixed and determined by the Board of Directors or by a duly authorized officer and may be altered by the Board of Directors from time to time as it deems appropriate, subject to the rights, if any, of such officers under any contract of employment.</w:t>
      </w:r>
    </w:p>
    <w:p>
      <w:pPr>
        <w:spacing w:after="0" w:line="184" w:lineRule="exact"/>
        <w:rPr>
          <w:sz w:val="20"/>
          <w:szCs w:val="20"/>
          <w:color w:val="auto"/>
        </w:rPr>
      </w:pPr>
    </w:p>
    <w:p>
      <w:pPr>
        <w:ind w:right="40" w:firstLine="991"/>
        <w:spacing w:after="0" w:line="296" w:lineRule="auto"/>
        <w:rPr>
          <w:sz w:val="20"/>
          <w:szCs w:val="20"/>
          <w:color w:val="auto"/>
        </w:rPr>
      </w:pPr>
      <w:r>
        <w:rPr>
          <w:rFonts w:ascii="Arial" w:cs="Arial" w:eastAsia="Arial" w:hAnsi="Arial"/>
          <w:sz w:val="16"/>
          <w:szCs w:val="16"/>
          <w:color w:val="auto"/>
        </w:rPr>
        <w:t xml:space="preserve">Section 5.8 </w:t>
      </w:r>
      <w:r>
        <w:rPr>
          <w:rFonts w:ascii="Arial" w:cs="Arial" w:eastAsia="Arial" w:hAnsi="Arial"/>
          <w:sz w:val="16"/>
          <w:szCs w:val="16"/>
          <w:u w:val="single" w:color="auto"/>
          <w:color w:val="auto"/>
        </w:rPr>
        <w:t>Removal, Resignation and Vacancies</w:t>
      </w:r>
      <w:r>
        <w:rPr>
          <w:rFonts w:ascii="Arial" w:cs="Arial" w:eastAsia="Arial" w:hAnsi="Arial"/>
          <w:sz w:val="16"/>
          <w:szCs w:val="16"/>
          <w:color w:val="auto"/>
        </w:rPr>
        <w:t>. Any officer of the Corporation may be removed, with or without cause, by the Board of Directors or by a duly authorized officer, without prejudice to the rights, if any, of such officer under any contract to which it is a party. Any officer may resign at any time upon notice given in writing or by electronic transmission to the Corporation, without prejudice to the rights, if any, of the Corporation under any contract to which such officer is a party. If any vacancy occurs in any office of the Corporation, the Board of Directors may elect a successor to fill such vacancy for the remainder of the unexpired term and until a successor shall have been duly elected and qualified</w:t>
      </w:r>
    </w:p>
    <w:p>
      <w:pPr>
        <w:spacing w:after="0" w:line="161" w:lineRule="exact"/>
        <w:rPr>
          <w:sz w:val="20"/>
          <w:szCs w:val="20"/>
          <w:color w:val="auto"/>
        </w:rPr>
      </w:pPr>
    </w:p>
    <w:p>
      <w:pPr>
        <w:ind w:right="340" w:firstLine="991"/>
        <w:spacing w:after="0" w:line="279" w:lineRule="auto"/>
        <w:rPr>
          <w:sz w:val="20"/>
          <w:szCs w:val="20"/>
          <w:color w:val="auto"/>
        </w:rPr>
      </w:pPr>
      <w:r>
        <w:rPr>
          <w:rFonts w:ascii="Arial" w:cs="Arial" w:eastAsia="Arial" w:hAnsi="Arial"/>
          <w:sz w:val="17"/>
          <w:szCs w:val="17"/>
          <w:color w:val="auto"/>
        </w:rPr>
        <w:t xml:space="preserve">Section 5.9 </w:t>
      </w:r>
      <w:r>
        <w:rPr>
          <w:rFonts w:ascii="Arial" w:cs="Arial" w:eastAsia="Arial" w:hAnsi="Arial"/>
          <w:sz w:val="17"/>
          <w:szCs w:val="17"/>
          <w:u w:val="single" w:color="auto"/>
          <w:color w:val="auto"/>
        </w:rPr>
        <w:t>Checks; Drafts; Evidences of Indebtedness</w:t>
      </w:r>
      <w:r>
        <w:rPr>
          <w:rFonts w:ascii="Arial" w:cs="Arial" w:eastAsia="Arial" w:hAnsi="Arial"/>
          <w:sz w:val="17"/>
          <w:szCs w:val="17"/>
          <w:color w:val="auto"/>
        </w:rPr>
        <w:t>. From time to time, the Board of Directors shall determine the method, and designate (or authorize officers of the Corporation to designate) the person or persons who shall have authority, to sign or endorse all checks, drafts, other orders for payment of money and notes, bonds, debentures or other evidences of indebtedness that are issued in the name of or payable by the Corporation, and only the persons so authorized shall sign or endorse such instruments.</w:t>
      </w:r>
    </w:p>
    <w:p>
      <w:pPr>
        <w:spacing w:after="0" w:line="171" w:lineRule="exact"/>
        <w:rPr>
          <w:sz w:val="20"/>
          <w:szCs w:val="20"/>
          <w:color w:val="auto"/>
        </w:rPr>
      </w:pPr>
    </w:p>
    <w:p>
      <w:pPr>
        <w:ind w:right="40" w:firstLine="991"/>
        <w:spacing w:after="0" w:line="296" w:lineRule="auto"/>
        <w:rPr>
          <w:sz w:val="20"/>
          <w:szCs w:val="20"/>
          <w:color w:val="auto"/>
        </w:rPr>
      </w:pPr>
      <w:r>
        <w:rPr>
          <w:rFonts w:ascii="Arial" w:cs="Arial" w:eastAsia="Arial" w:hAnsi="Arial"/>
          <w:sz w:val="16"/>
          <w:szCs w:val="16"/>
          <w:color w:val="auto"/>
        </w:rPr>
        <w:t xml:space="preserve">Section 5.10 </w:t>
      </w:r>
      <w:r>
        <w:rPr>
          <w:rFonts w:ascii="Arial" w:cs="Arial" w:eastAsia="Arial" w:hAnsi="Arial"/>
          <w:sz w:val="16"/>
          <w:szCs w:val="16"/>
          <w:u w:val="single" w:color="auto"/>
          <w:color w:val="auto"/>
        </w:rPr>
        <w:t>Corporate Contracts and Instruments; How Executed</w:t>
      </w:r>
      <w:r>
        <w:rPr>
          <w:rFonts w:ascii="Arial" w:cs="Arial" w:eastAsia="Arial" w:hAnsi="Arial"/>
          <w:sz w:val="16"/>
          <w:szCs w:val="16"/>
          <w:color w:val="auto"/>
        </w:rPr>
        <w:t>. Except as otherwise provided in these Bylaws, the Board of Directors may determine the method, and designate (or authorize officers of the Corporation to designate) the person or persons who shall have authority to enter into any contract or execute any instrument in the name of and on behalf of the Corporation. Such authority may be general or confined to specific instances. Unless so authorized, or within the power incident to a person’s office or other position with the Corporation, no person shall have any power or authority to bind the Corporation by any contract or engagement or to pledge its credit or to render it liable for any purpose or for any amount.</w:t>
      </w:r>
    </w:p>
    <w:p>
      <w:pPr>
        <w:spacing w:after="0" w:line="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0980"/>
          </w:cols>
          <w:pgMar w:left="440" w:top="274" w:right="479" w:bottom="1440" w:gutter="0" w:footer="0" w:header="0"/>
        </w:sectPr>
      </w:pPr>
    </w:p>
    <w:bookmarkStart w:id="46" w:name="page47"/>
    <w:bookmarkEnd w:id="46"/>
    <w:p>
      <w:pPr>
        <w:ind w:right="80" w:firstLine="991"/>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5.11 </w:t>
      </w:r>
      <w:r>
        <w:rPr>
          <w:rFonts w:ascii="Arial" w:cs="Arial" w:eastAsia="Arial" w:hAnsi="Arial"/>
          <w:sz w:val="17"/>
          <w:szCs w:val="17"/>
          <w:u w:val="single" w:color="auto"/>
          <w:color w:val="auto"/>
        </w:rPr>
        <w:t>Signature Authority</w:t>
      </w:r>
      <w:r>
        <w:rPr>
          <w:rFonts w:ascii="Arial" w:cs="Arial" w:eastAsia="Arial" w:hAnsi="Arial"/>
          <w:sz w:val="17"/>
          <w:szCs w:val="17"/>
          <w:color w:val="auto"/>
        </w:rPr>
        <w:t>. Unless otherwise determined by the Board of Directors or otherwise provided by law or these Bylaws, contracts, evidences of indebtedness and other instruments or documents of the Corporation may be executed, signed or endorsed: (i) by the Chief Executive Officer or the President; or (ii) by the Chief Financial Officer[, any Vice President], Treasurer, Secretary or Controller, in each case only with regard to such instruments or documents that pertain to or relate to such person’s duties or business functions.</w:t>
      </w:r>
    </w:p>
    <w:p>
      <w:pPr>
        <w:spacing w:after="0" w:line="171" w:lineRule="exact"/>
        <w:rPr>
          <w:sz w:val="20"/>
          <w:szCs w:val="20"/>
          <w:color w:val="auto"/>
        </w:rPr>
      </w:pPr>
    </w:p>
    <w:p>
      <w:pPr>
        <w:ind w:right="60" w:firstLine="991"/>
        <w:spacing w:after="0" w:line="279" w:lineRule="auto"/>
        <w:rPr>
          <w:sz w:val="20"/>
          <w:szCs w:val="20"/>
          <w:color w:val="auto"/>
        </w:rPr>
      </w:pPr>
      <w:r>
        <w:rPr>
          <w:rFonts w:ascii="Arial" w:cs="Arial" w:eastAsia="Arial" w:hAnsi="Arial"/>
          <w:sz w:val="17"/>
          <w:szCs w:val="17"/>
          <w:color w:val="auto"/>
        </w:rPr>
        <w:t xml:space="preserve">Section 5.12 </w:t>
      </w:r>
      <w:r>
        <w:rPr>
          <w:rFonts w:ascii="Arial" w:cs="Arial" w:eastAsia="Arial" w:hAnsi="Arial"/>
          <w:sz w:val="17"/>
          <w:szCs w:val="17"/>
          <w:u w:val="single" w:color="auto"/>
          <w:color w:val="auto"/>
        </w:rPr>
        <w:t>Action with Respect to Securities of Other Corporations or Entities</w:t>
      </w:r>
      <w:r>
        <w:rPr>
          <w:rFonts w:ascii="Arial" w:cs="Arial" w:eastAsia="Arial" w:hAnsi="Arial"/>
          <w:sz w:val="17"/>
          <w:szCs w:val="17"/>
          <w:color w:val="auto"/>
        </w:rPr>
        <w:t>. Any officer of the Corporation is authorized to vote, represent, and exercise on behalf of the Corporation all rights incident to any and all shares or other equity interests of any other corporation or entity or corporations or entities, standing in the name of the Corporation. The authority herein granted may be exercised either by such person directly or by any other person authorized to do so by proxy or power of attorney duly executed by the person having such authority.</w:t>
      </w:r>
    </w:p>
    <w:p>
      <w:pPr>
        <w:spacing w:after="0" w:line="171"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u w:val="single" w:color="auto"/>
          <w:color w:val="auto"/>
        </w:rPr>
        <w:t>Delegation</w:t>
      </w:r>
      <w:r>
        <w:rPr>
          <w:rFonts w:ascii="Arial" w:cs="Arial" w:eastAsia="Arial" w:hAnsi="Arial"/>
          <w:sz w:val="18"/>
          <w:szCs w:val="18"/>
          <w:color w:val="auto"/>
        </w:rPr>
        <w:t>. The Board of Directors may from time to time delegate the powers or duties of any officer to any other officers or agents, notwithstanding the foregoing provisions of this Article V.</w:t>
      </w: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INDEMNIFICATION AND ADVANCEMENT OF EXPENSES</w:t>
      </w:r>
    </w:p>
    <w:p>
      <w:pPr>
        <w:spacing w:after="0" w:line="211" w:lineRule="exact"/>
        <w:rPr>
          <w:sz w:val="20"/>
          <w:szCs w:val="20"/>
          <w:color w:val="auto"/>
        </w:rPr>
      </w:pPr>
    </w:p>
    <w:p>
      <w:pPr>
        <w:ind w:left="860"/>
        <w:spacing w:after="0"/>
        <w:rPr>
          <w:sz w:val="20"/>
          <w:szCs w:val="20"/>
          <w:color w:val="auto"/>
        </w:rPr>
      </w:pPr>
      <w:r>
        <w:rPr>
          <w:rFonts w:ascii="Arial" w:cs="Arial" w:eastAsia="Arial" w:hAnsi="Arial"/>
          <w:sz w:val="18"/>
          <w:szCs w:val="18"/>
          <w:color w:val="auto"/>
        </w:rPr>
        <w:t xml:space="preserve">Section 6.1 </w:t>
      </w:r>
      <w:r>
        <w:rPr>
          <w:rFonts w:ascii="Arial" w:cs="Arial" w:eastAsia="Arial" w:hAnsi="Arial"/>
          <w:sz w:val="18"/>
          <w:szCs w:val="18"/>
          <w:u w:val="single" w:color="auto"/>
          <w:color w:val="auto"/>
        </w:rPr>
        <w:t>Right to Indemnification</w:t>
      </w:r>
      <w:r>
        <w:rPr>
          <w:rFonts w:ascii="Arial" w:cs="Arial" w:eastAsia="Arial" w:hAnsi="Arial"/>
          <w:sz w:val="18"/>
          <w:szCs w:val="18"/>
          <w:color w:val="auto"/>
        </w:rPr>
        <w:t>.</w:t>
      </w:r>
    </w:p>
    <w:p>
      <w:pPr>
        <w:spacing w:after="0" w:line="117" w:lineRule="exact"/>
        <w:rPr>
          <w:sz w:val="20"/>
          <w:szCs w:val="20"/>
          <w:color w:val="auto"/>
        </w:rPr>
      </w:pPr>
    </w:p>
    <w:p>
      <w:pPr>
        <w:ind w:firstLine="987"/>
        <w:spacing w:after="0" w:line="268" w:lineRule="auto"/>
        <w:tabs>
          <w:tab w:leader="none" w:pos="1236" w:val="left"/>
        </w:tabs>
        <w:numPr>
          <w:ilvl w:val="0"/>
          <w:numId w:val="56"/>
        </w:numPr>
        <w:rPr>
          <w:rFonts w:ascii="Arial" w:cs="Arial" w:eastAsia="Arial" w:hAnsi="Arial"/>
          <w:sz w:val="17"/>
          <w:szCs w:val="17"/>
          <w:color w:val="auto"/>
        </w:rPr>
      </w:pPr>
      <w:r>
        <w:rPr>
          <w:rFonts w:ascii="Arial" w:cs="Arial" w:eastAsia="Arial" w:hAnsi="Arial"/>
          <w:sz w:val="17"/>
          <w:szCs w:val="17"/>
          <w:color w:val="auto"/>
        </w:rPr>
        <w:t>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Corporation or otherwise, including any and all appeals, whether of a civil, criminal, administrative, legislative, investigative or other nature (hereinafter a “</w:t>
      </w:r>
      <w:r>
        <w:rPr>
          <w:rFonts w:ascii="Arial" w:cs="Arial" w:eastAsia="Arial" w:hAnsi="Arial"/>
          <w:sz w:val="17"/>
          <w:szCs w:val="17"/>
          <w:u w:val="single" w:color="auto"/>
          <w:color w:val="auto"/>
        </w:rPr>
        <w:t>proceeding</w:t>
      </w:r>
      <w:r>
        <w:rPr>
          <w:rFonts w:ascii="Arial" w:cs="Arial" w:eastAsia="Arial" w:hAnsi="Arial"/>
          <w:sz w:val="17"/>
          <w:szCs w:val="17"/>
          <w:color w:val="auto"/>
        </w:rPr>
        <w:t>”), by reason of the fact that he or she is or was a director or an officer of the Corporation or while a director or officer of the Corporation is or was serving at the request of the Corporation as a director, officer, employee, agent or trustee of another corporation or of a partnership, joint venture, trust or other enterprise, including service with respect to an employee benefit plan (hereinafter an “</w:t>
      </w:r>
      <w:r>
        <w:rPr>
          <w:rFonts w:ascii="Arial" w:cs="Arial" w:eastAsia="Arial" w:hAnsi="Arial"/>
          <w:sz w:val="17"/>
          <w:szCs w:val="17"/>
          <w:u w:val="single" w:color="auto"/>
          <w:color w:val="auto"/>
        </w:rPr>
        <w:t>indemnitee</w:t>
      </w:r>
      <w:r>
        <w:rPr>
          <w:rFonts w:ascii="Arial" w:cs="Arial" w:eastAsia="Arial" w:hAnsi="Arial"/>
          <w:sz w:val="17"/>
          <w:szCs w:val="17"/>
          <w:color w:val="auto"/>
        </w:rPr>
        <w:t xml:space="preserve">”), or by reason of anything done or not done by them in any such capacity, shall be indemnified and held harmless by the Corporation to the fullest extent authorized by the DGCL, as the same exists or may hereafter be amended, against all expense, liability and loss (including attorneys’ fees, judgments, fines, ERISA excise taxes, penalties and amounts paid in settlement by or on behalf of the indemnitee) actually and reasonably incurred by such indemnitee in connection therewith, all on the terms and conditions set forth in these Bylaws;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except as otherwise required by law or provided in Section 6.4 with respect to suits to enforce rights under this Article VI, the Corporation shall indemnify any such indemnitee in connection with a proceeding, or part thereof, voluntarily initiated by such indemnitee (including claims and counterclaims, whether such counterclaims are asserted by: (i) such indemnitee; or (ii) the Corporation in a proceeding initiated by such indemnitee) only if such proceeding, or part thereof, was authorized or ratified by the Board of Directors or the Board of Directors otherwise determines that indemnification or advancement of expenses is appropriate.</w:t>
      </w:r>
    </w:p>
    <w:p>
      <w:pPr>
        <w:spacing w:after="0" w:line="73" w:lineRule="exact"/>
        <w:rPr>
          <w:rFonts w:ascii="Arial" w:cs="Arial" w:eastAsia="Arial" w:hAnsi="Arial"/>
          <w:sz w:val="17"/>
          <w:szCs w:val="17"/>
          <w:color w:val="auto"/>
        </w:rPr>
      </w:pPr>
    </w:p>
    <w:p>
      <w:pPr>
        <w:ind w:right="340" w:firstLine="987"/>
        <w:spacing w:after="0" w:line="277" w:lineRule="auto"/>
        <w:tabs>
          <w:tab w:leader="none" w:pos="1246" w:val="left"/>
        </w:tabs>
        <w:numPr>
          <w:ilvl w:val="0"/>
          <w:numId w:val="56"/>
        </w:numPr>
        <w:rPr>
          <w:rFonts w:ascii="Arial" w:cs="Arial" w:eastAsia="Arial" w:hAnsi="Arial"/>
          <w:sz w:val="18"/>
          <w:szCs w:val="18"/>
          <w:color w:val="auto"/>
        </w:rPr>
      </w:pPr>
      <w:r>
        <w:rPr>
          <w:rFonts w:ascii="Arial" w:cs="Arial" w:eastAsia="Arial" w:hAnsi="Arial"/>
          <w:sz w:val="18"/>
          <w:szCs w:val="18"/>
          <w:color w:val="auto"/>
        </w:rPr>
        <w:t>For the purposes of this Article VI, an “officer” refers to those individuals specifically elected as officers by the Board of Directors pursuant to Section 5.1 of these Bylaws.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00"/>
          </w:cols>
          <w:pgMar w:left="440" w:top="274" w:right="459" w:bottom="1440" w:gutter="0" w:footer="0" w:header="0"/>
        </w:sectPr>
      </w:pPr>
    </w:p>
    <w:bookmarkStart w:id="47" w:name="page48"/>
    <w:bookmarkEnd w:id="47"/>
    <w:p>
      <w:pPr>
        <w:ind w:left="8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6.2 </w:t>
      </w:r>
      <w:r>
        <w:rPr>
          <w:rFonts w:ascii="Arial" w:cs="Arial" w:eastAsia="Arial" w:hAnsi="Arial"/>
          <w:sz w:val="18"/>
          <w:szCs w:val="18"/>
          <w:u w:val="single" w:color="auto"/>
          <w:color w:val="auto"/>
        </w:rPr>
        <w:t>Right to Advancement of Expenses</w:t>
      </w:r>
      <w:r>
        <w:rPr>
          <w:rFonts w:ascii="Arial" w:cs="Arial" w:eastAsia="Arial" w:hAnsi="Arial"/>
          <w:sz w:val="18"/>
          <w:szCs w:val="18"/>
          <w:color w:val="auto"/>
        </w:rPr>
        <w:t>.</w:t>
      </w:r>
    </w:p>
    <w:p>
      <w:pPr>
        <w:spacing w:after="0" w:line="117" w:lineRule="exact"/>
        <w:rPr>
          <w:sz w:val="20"/>
          <w:szCs w:val="20"/>
          <w:color w:val="auto"/>
        </w:rPr>
      </w:pPr>
    </w:p>
    <w:p>
      <w:pPr>
        <w:ind w:right="20" w:firstLine="987"/>
        <w:spacing w:after="0" w:line="273" w:lineRule="auto"/>
        <w:tabs>
          <w:tab w:leader="none" w:pos="1236" w:val="left"/>
        </w:tabs>
        <w:numPr>
          <w:ilvl w:val="0"/>
          <w:numId w:val="57"/>
        </w:numPr>
        <w:rPr>
          <w:rFonts w:ascii="Arial" w:cs="Arial" w:eastAsia="Arial" w:hAnsi="Arial"/>
          <w:sz w:val="17"/>
          <w:szCs w:val="17"/>
          <w:color w:val="auto"/>
        </w:rPr>
      </w:pPr>
      <w:r>
        <w:rPr>
          <w:rFonts w:ascii="Arial" w:cs="Arial" w:eastAsia="Arial" w:hAnsi="Arial"/>
          <w:sz w:val="17"/>
          <w:szCs w:val="17"/>
          <w:color w:val="auto"/>
        </w:rPr>
        <w:t>In addition to the right to indemnification conferred in Section 6.1, an indemnitee shall, to the fullest extent permitted by law, also have the right to be paid by the Corporation the expenses (including attorneys’ fees) incurred in defending any proceeding in advance of its final disposition (hereinafter an “</w:t>
      </w:r>
      <w:r>
        <w:rPr>
          <w:rFonts w:ascii="Arial" w:cs="Arial" w:eastAsia="Arial" w:hAnsi="Arial"/>
          <w:sz w:val="17"/>
          <w:szCs w:val="17"/>
          <w:u w:val="single" w:color="auto"/>
          <w:color w:val="auto"/>
        </w:rPr>
        <w:t>advancement of expenses</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an advancement of expenses shall be made only upon delivery to the Corporation of an undertaking (hereinafter an “</w:t>
      </w:r>
      <w:r>
        <w:rPr>
          <w:rFonts w:ascii="Arial" w:cs="Arial" w:eastAsia="Arial" w:hAnsi="Arial"/>
          <w:sz w:val="17"/>
          <w:szCs w:val="17"/>
          <w:u w:val="single" w:color="auto"/>
          <w:color w:val="auto"/>
        </w:rPr>
        <w:t>undertaking</w:t>
      </w:r>
      <w:r>
        <w:rPr>
          <w:rFonts w:ascii="Arial" w:cs="Arial" w:eastAsia="Arial" w:hAnsi="Arial"/>
          <w:sz w:val="17"/>
          <w:szCs w:val="17"/>
          <w:color w:val="auto"/>
        </w:rPr>
        <w:t>”), by or on behalf of such indemnitee, to repay all amounts so advanced if it shall ultimately be determined by final judicial decision of a court of competent jurisdiction from which there is no further right to appeal (hereinafter a “</w:t>
      </w:r>
      <w:r>
        <w:rPr>
          <w:rFonts w:ascii="Arial" w:cs="Arial" w:eastAsia="Arial" w:hAnsi="Arial"/>
          <w:sz w:val="17"/>
          <w:szCs w:val="17"/>
          <w:u w:val="single" w:color="auto"/>
          <w:color w:val="auto"/>
        </w:rPr>
        <w:t>final</w:t>
      </w:r>
      <w:r>
        <w:rPr>
          <w:rFonts w:ascii="Arial" w:cs="Arial" w:eastAsia="Arial" w:hAnsi="Arial"/>
          <w:sz w:val="17"/>
          <w:szCs w:val="17"/>
          <w:color w:val="auto"/>
        </w:rPr>
        <w:t xml:space="preserve"> </w:t>
      </w:r>
      <w:r>
        <w:rPr>
          <w:rFonts w:ascii="Arial" w:cs="Arial" w:eastAsia="Arial" w:hAnsi="Arial"/>
          <w:sz w:val="17"/>
          <w:szCs w:val="17"/>
          <w:u w:val="single" w:color="auto"/>
          <w:color w:val="auto"/>
        </w:rPr>
        <w:t>adjudication</w:t>
      </w:r>
      <w:r>
        <w:rPr>
          <w:rFonts w:ascii="Arial" w:cs="Arial" w:eastAsia="Arial" w:hAnsi="Arial"/>
          <w:sz w:val="17"/>
          <w:szCs w:val="17"/>
          <w:color w:val="auto"/>
        </w:rPr>
        <w:t>”) that such indemnitee is not entitled to be indemnified for such expenses under this Article VI or otherwise.</w:t>
      </w:r>
    </w:p>
    <w:p>
      <w:pPr>
        <w:spacing w:after="0" w:line="69" w:lineRule="exact"/>
        <w:rPr>
          <w:rFonts w:ascii="Arial" w:cs="Arial" w:eastAsia="Arial" w:hAnsi="Arial"/>
          <w:sz w:val="17"/>
          <w:szCs w:val="17"/>
          <w:color w:val="auto"/>
        </w:rPr>
      </w:pPr>
    </w:p>
    <w:p>
      <w:pPr>
        <w:ind w:right="80" w:firstLine="987"/>
        <w:spacing w:after="0" w:line="271" w:lineRule="auto"/>
        <w:tabs>
          <w:tab w:leader="none" w:pos="1246" w:val="left"/>
        </w:tabs>
        <w:numPr>
          <w:ilvl w:val="0"/>
          <w:numId w:val="57"/>
        </w:numPr>
        <w:rPr>
          <w:rFonts w:ascii="Arial" w:cs="Arial" w:eastAsia="Arial" w:hAnsi="Arial"/>
          <w:sz w:val="17"/>
          <w:szCs w:val="17"/>
          <w:color w:val="auto"/>
        </w:rPr>
      </w:pPr>
      <w:r>
        <w:rPr>
          <w:rFonts w:ascii="Arial" w:cs="Arial" w:eastAsia="Arial" w:hAnsi="Arial"/>
          <w:sz w:val="17"/>
          <w:szCs w:val="17"/>
          <w:color w:val="auto"/>
        </w:rPr>
        <w:t>Notwithstanding the foregoing Section 6.2(a), the Corporation shall not make or continue to make advancements of expenses to an indemnitee if a determination is reasonably made that the facts known at the time such determination is made demonstrate clearly and convincingly that the indemnitee acted in bad faith or in a manner that the indemnitee did not reasonably believe to be in or not opposed to the best interests of the Corporation, or, with respect to any criminal proceeding, that the indemnitee had reasonable cause to believe their conduct was unlawful. Such determination shall be made: (i) by the Board of Directors by a majority vote of directors who are not parties to such proceeding, whether or not such majority constitutes a quorum; (ii) by a committee of such directors designated by a majority vote of such directors, whether or not such majority constitutes a quorum; or (iii) if there are no such directors, or if such directors so direct, by independent legal counsel in a written opinion to the Board of Directors, a copy of which shall be delivered to the indemnitee.</w:t>
      </w:r>
    </w:p>
    <w:p>
      <w:pPr>
        <w:spacing w:after="0" w:line="178" w:lineRule="exact"/>
        <w:rPr>
          <w:sz w:val="20"/>
          <w:szCs w:val="20"/>
          <w:color w:val="auto"/>
        </w:rPr>
      </w:pPr>
    </w:p>
    <w:p>
      <w:pPr>
        <w:ind w:right="160" w:firstLine="991"/>
        <w:spacing w:after="0" w:line="296" w:lineRule="auto"/>
        <w:rPr>
          <w:sz w:val="20"/>
          <w:szCs w:val="20"/>
          <w:color w:val="auto"/>
        </w:rPr>
      </w:pPr>
      <w:r>
        <w:rPr>
          <w:rFonts w:ascii="Arial" w:cs="Arial" w:eastAsia="Arial" w:hAnsi="Arial"/>
          <w:sz w:val="16"/>
          <w:szCs w:val="16"/>
          <w:color w:val="auto"/>
        </w:rPr>
        <w:t xml:space="preserve">Section 6.3 </w:t>
      </w:r>
      <w:r>
        <w:rPr>
          <w:rFonts w:ascii="Arial" w:cs="Arial" w:eastAsia="Arial" w:hAnsi="Arial"/>
          <w:sz w:val="16"/>
          <w:szCs w:val="16"/>
          <w:u w:val="single" w:color="auto"/>
          <w:color w:val="auto"/>
        </w:rPr>
        <w:t>Indemnification for Successful Defense</w:t>
      </w:r>
      <w:r>
        <w:rPr>
          <w:rFonts w:ascii="Arial" w:cs="Arial" w:eastAsia="Arial" w:hAnsi="Arial"/>
          <w:sz w:val="16"/>
          <w:szCs w:val="16"/>
          <w:color w:val="auto"/>
        </w:rPr>
        <w:t>. To the extent that an indemnitee has been successful on the merits or otherwise in defense of any proceeding (or in defense of any claim, issue or matter therein), such indemnitee shall be indemnified under this Section 6.3 against expenses (including attorneys’ fees) actually and reasonably incurred in connection with such defense. Indemnification under this Section 6.3 shall not be subject to satisfaction of a standard of conduct, and the Corporation may not assert the failure to satisfy a standard of conduct as a basis to deny indemnification or recover amounts advanced, including in a suit brought pursuant to Section 6.4 (notwithstanding anything to the contrary therein).</w:t>
      </w:r>
    </w:p>
    <w:p>
      <w:pPr>
        <w:spacing w:after="0" w:line="161" w:lineRule="exact"/>
        <w:rPr>
          <w:sz w:val="20"/>
          <w:szCs w:val="20"/>
          <w:color w:val="auto"/>
        </w:rPr>
      </w:pPr>
    </w:p>
    <w:p>
      <w:pPr>
        <w:ind w:firstLine="991"/>
        <w:spacing w:after="0" w:line="273" w:lineRule="auto"/>
        <w:rPr>
          <w:sz w:val="20"/>
          <w:szCs w:val="20"/>
          <w:color w:val="auto"/>
        </w:rPr>
      </w:pPr>
      <w:r>
        <w:rPr>
          <w:rFonts w:ascii="Arial" w:cs="Arial" w:eastAsia="Arial" w:hAnsi="Arial"/>
          <w:sz w:val="17"/>
          <w:szCs w:val="17"/>
          <w:color w:val="auto"/>
        </w:rPr>
        <w:t xml:space="preserve">Section 6.4 </w:t>
      </w:r>
      <w:r>
        <w:rPr>
          <w:rFonts w:ascii="Arial" w:cs="Arial" w:eastAsia="Arial" w:hAnsi="Arial"/>
          <w:sz w:val="17"/>
          <w:szCs w:val="17"/>
          <w:u w:val="single" w:color="auto"/>
          <w:color w:val="auto"/>
        </w:rPr>
        <w:t>Right of Indemnitee to Bring Suit</w:t>
      </w:r>
      <w:r>
        <w:rPr>
          <w:rFonts w:ascii="Arial" w:cs="Arial" w:eastAsia="Arial" w:hAnsi="Arial"/>
          <w:sz w:val="17"/>
          <w:szCs w:val="17"/>
          <w:color w:val="auto"/>
        </w:rPr>
        <w:t>. If a request for indemnification under Section 6.1 or Section 6.3 is not paid in full by the Corporation within 60 days, or if an advancement of expenses under Section 6.2 is not paid in full by the Corporation within 20 days, after a written request has been received by the Secretary of the Corporation, the indemnitee may at any time thereafter bring suit against the Corporation in a court of competent jurisdiction in the State of Delaware seeking an adjudication of entitlement to such indemnification or advancement of expenses. If successful in whole or in part in any such suit, or in a suit brought by the Corporation to recover an advancement of expenses pursuant to the terms of an undertaking, the indemnitee shall be entitled to be paid also the expense of prosecuting or defending such suit to</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0"/>
          </w:cols>
          <w:pgMar w:left="440" w:top="274" w:right="459" w:bottom="1440" w:gutter="0" w:footer="0" w:header="0"/>
        </w:sectPr>
      </w:pPr>
    </w:p>
    <w:bookmarkStart w:id="48" w:name="page49"/>
    <w:bookmarkEnd w:id="48"/>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fullest extent permitted by law. In any suit brought by the indemnitee to enforce a right to indemnification hereunder (but not in a suit brought by the indemnitee to enforce a right to an advancement of expenses) it shall be a defense that the indemnitee has not met any applicable standard of conduct for indemnification set forth in Section 145(a) or Section 145(b) of the DGCL. Further, in any suit brought by the Corporation to recover an advancement of expenses pursuant to the terms of an undertaking, the Corporation shall be entitled to recover such expenses upon a final adjudication that the indemnitee has not met any applicable standard of conduct for indemnification set forth in Section 145(a) or Section 145(b) of the DGCL. Neither the failure of the Corporation (including its directors who are not parties to such action, a committee of such directors, independent legal counsel or its stockholders) to have made a determination prior to the commencement of such suit that indemnification of the indemnitee is proper in the circumstances because the indemnitee has met such applicable standard of conduct, nor an actual determination by the Corporation (including its directors who are not parties to such action, a committee of such directors, independent legal counsel or its stockholders) that the indemnitee has not met such applicable standard of conduct, shall create a presumption that the indemnitee has not met the applicable standard of conduct or, in the case of such a suit brought by the indemnitee, be a defense to such suit. In any suit brought by the indemnitee to enforce a right to indemnification or to an advancement of expenses hereunder, or brought by the Corporation to recover an advancement of expenses pursuant to the terms of an undertaking, the burden of proving that the indemnitee is not entitled to be indemnified, or to such advancement of expenses, under applicable law, this Article VI or otherwise shall be on the Corporation.</w:t>
      </w:r>
    </w:p>
    <w:p>
      <w:pPr>
        <w:spacing w:after="0" w:line="184" w:lineRule="exact"/>
        <w:rPr>
          <w:sz w:val="20"/>
          <w:szCs w:val="20"/>
          <w:color w:val="auto"/>
        </w:rPr>
      </w:pPr>
    </w:p>
    <w:p>
      <w:pPr>
        <w:ind w:right="40" w:firstLine="991"/>
        <w:spacing w:after="0" w:line="263" w:lineRule="auto"/>
        <w:rPr>
          <w:sz w:val="20"/>
          <w:szCs w:val="20"/>
          <w:color w:val="auto"/>
        </w:rPr>
      </w:pPr>
      <w:r>
        <w:rPr>
          <w:rFonts w:ascii="Arial" w:cs="Arial" w:eastAsia="Arial" w:hAnsi="Arial"/>
          <w:sz w:val="18"/>
          <w:szCs w:val="18"/>
          <w:color w:val="auto"/>
        </w:rPr>
        <w:t xml:space="preserve">Section 6.5 </w:t>
      </w:r>
      <w:r>
        <w:rPr>
          <w:rFonts w:ascii="Arial" w:cs="Arial" w:eastAsia="Arial" w:hAnsi="Arial"/>
          <w:sz w:val="18"/>
          <w:szCs w:val="18"/>
          <w:u w:val="single" w:color="auto"/>
          <w:color w:val="auto"/>
        </w:rPr>
        <w:t>Non-Exclusivity of Rights</w:t>
      </w:r>
      <w:r>
        <w:rPr>
          <w:rFonts w:ascii="Arial" w:cs="Arial" w:eastAsia="Arial" w:hAnsi="Arial"/>
          <w:sz w:val="18"/>
          <w:szCs w:val="18"/>
          <w:color w:val="auto"/>
        </w:rPr>
        <w:t>. The rights to indemnification and to the advancement of expenses conferred in this Article VI shall not be exclusive of any other right which any person may have or hereafter acquire under any law, agreement, vote of stockholders or disinterested directors, provisions of a certificate of incorporation or bylaws, or otherwise.</w:t>
      </w:r>
    </w:p>
    <w:p>
      <w:pPr>
        <w:spacing w:after="0" w:line="184" w:lineRule="exact"/>
        <w:rPr>
          <w:sz w:val="20"/>
          <w:szCs w:val="20"/>
          <w:color w:val="auto"/>
        </w:rPr>
      </w:pPr>
    </w:p>
    <w:p>
      <w:pPr>
        <w:ind w:right="120" w:firstLine="991"/>
        <w:spacing w:after="0" w:line="286" w:lineRule="auto"/>
        <w:rPr>
          <w:sz w:val="20"/>
          <w:szCs w:val="20"/>
          <w:color w:val="auto"/>
        </w:rPr>
      </w:pPr>
      <w:r>
        <w:rPr>
          <w:rFonts w:ascii="Arial" w:cs="Arial" w:eastAsia="Arial" w:hAnsi="Arial"/>
          <w:sz w:val="17"/>
          <w:szCs w:val="17"/>
          <w:color w:val="auto"/>
        </w:rPr>
        <w:t xml:space="preserve">Section 6.6 </w:t>
      </w:r>
      <w:r>
        <w:rPr>
          <w:rFonts w:ascii="Arial" w:cs="Arial" w:eastAsia="Arial" w:hAnsi="Arial"/>
          <w:sz w:val="17"/>
          <w:szCs w:val="17"/>
          <w:u w:val="single" w:color="auto"/>
          <w:color w:val="auto"/>
        </w:rPr>
        <w:t>Insurance</w:t>
      </w:r>
      <w:r>
        <w:rPr>
          <w:rFonts w:ascii="Arial" w:cs="Arial" w:eastAsia="Arial" w:hAnsi="Arial"/>
          <w:sz w:val="17"/>
          <w:szCs w:val="17"/>
          <w:color w:val="auto"/>
        </w:rPr>
        <w:t>. The Corporation may maintain insurance, at its expense, to protect itself and any director, officer, employee or agent of the Corporation or another corporation, partnership, joint venture, trust or other enterprise against any expense, liability or loss, whether or not the Corporation would have the power to indemnify such person against such expense, liability or loss under the DGCL.</w:t>
      </w:r>
    </w:p>
    <w:p>
      <w:pPr>
        <w:spacing w:after="0" w:line="165" w:lineRule="exact"/>
        <w:rPr>
          <w:sz w:val="20"/>
          <w:szCs w:val="20"/>
          <w:color w:val="auto"/>
        </w:rPr>
      </w:pPr>
    </w:p>
    <w:p>
      <w:pPr>
        <w:ind w:right="60" w:firstLine="991"/>
        <w:spacing w:after="0" w:line="263" w:lineRule="auto"/>
        <w:rPr>
          <w:sz w:val="20"/>
          <w:szCs w:val="20"/>
          <w:color w:val="auto"/>
        </w:rPr>
      </w:pPr>
      <w:r>
        <w:rPr>
          <w:rFonts w:ascii="Arial" w:cs="Arial" w:eastAsia="Arial" w:hAnsi="Arial"/>
          <w:sz w:val="18"/>
          <w:szCs w:val="18"/>
          <w:color w:val="auto"/>
        </w:rPr>
        <w:t xml:space="preserve">Section 6.7 </w:t>
      </w:r>
      <w:r>
        <w:rPr>
          <w:rFonts w:ascii="Arial" w:cs="Arial" w:eastAsia="Arial" w:hAnsi="Arial"/>
          <w:sz w:val="18"/>
          <w:szCs w:val="18"/>
          <w:u w:val="single" w:color="auto"/>
          <w:color w:val="auto"/>
        </w:rPr>
        <w:t>Indemnification of Employees and Agents of the Corporation</w:t>
      </w:r>
      <w:r>
        <w:rPr>
          <w:rFonts w:ascii="Arial" w:cs="Arial" w:eastAsia="Arial" w:hAnsi="Arial"/>
          <w:sz w:val="18"/>
          <w:szCs w:val="18"/>
          <w:color w:val="auto"/>
        </w:rPr>
        <w:t>. The Corporation may, to the extent and in the manner permitted by law, and to the extent authorized from time to time, grant rights to indemnification and to the advancement of expenses to any employee or agent of the Corporation.</w:t>
      </w:r>
    </w:p>
    <w:p>
      <w:pPr>
        <w:spacing w:after="0" w:line="184" w:lineRule="exact"/>
        <w:rPr>
          <w:sz w:val="20"/>
          <w:szCs w:val="20"/>
          <w:color w:val="auto"/>
        </w:rPr>
      </w:pPr>
    </w:p>
    <w:p>
      <w:pPr>
        <w:ind w:right="260" w:firstLine="991"/>
        <w:spacing w:after="0" w:line="275" w:lineRule="auto"/>
        <w:rPr>
          <w:sz w:val="20"/>
          <w:szCs w:val="20"/>
          <w:color w:val="auto"/>
        </w:rPr>
      </w:pPr>
      <w:r>
        <w:rPr>
          <w:rFonts w:ascii="Arial" w:cs="Arial" w:eastAsia="Arial" w:hAnsi="Arial"/>
          <w:sz w:val="17"/>
          <w:szCs w:val="17"/>
          <w:color w:val="auto"/>
        </w:rPr>
        <w:t xml:space="preserve">Section 6.8 </w:t>
      </w:r>
      <w:r>
        <w:rPr>
          <w:rFonts w:ascii="Arial" w:cs="Arial" w:eastAsia="Arial" w:hAnsi="Arial"/>
          <w:sz w:val="17"/>
          <w:szCs w:val="17"/>
          <w:u w:val="single" w:color="auto"/>
          <w:color w:val="auto"/>
        </w:rPr>
        <w:t>Nature of Rights</w:t>
      </w:r>
      <w:r>
        <w:rPr>
          <w:rFonts w:ascii="Arial" w:cs="Arial" w:eastAsia="Arial" w:hAnsi="Arial"/>
          <w:sz w:val="17"/>
          <w:szCs w:val="17"/>
          <w:color w:val="auto"/>
        </w:rPr>
        <w:t>. The rights conferred upon indemnitees in this Article VI shall be contract rights and such rights shall continue as to an indemnitee who has ceased to be a director or officer and shall inure to the benefit of the indemnitee’s heirs, executors and administrators. Any amendment, alteration or repeal of this Article VI that adversely affects any right of an indemnitee or its successors shall be prospective only and shall not limit or eliminate any such right with respect to any proceeding involving any occurrence or alleged occurrence of any action or omission to act that took place prior to such amendment, alteration or repeal.</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000"/>
          </w:cols>
          <w:pgMar w:left="440" w:top="274" w:right="459" w:bottom="1440" w:gutter="0" w:footer="0" w:header="0"/>
        </w:sectPr>
      </w:pPr>
    </w:p>
    <w:bookmarkStart w:id="49" w:name="page50"/>
    <w:bookmarkEnd w:id="49"/>
    <w:p>
      <w:pPr>
        <w:jc w:val="both"/>
        <w:ind w:right="600" w:firstLine="991"/>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6.9 </w:t>
      </w:r>
      <w:r>
        <w:rPr>
          <w:rFonts w:ascii="Arial" w:cs="Arial" w:eastAsia="Arial" w:hAnsi="Arial"/>
          <w:sz w:val="18"/>
          <w:szCs w:val="18"/>
          <w:u w:val="single" w:color="auto"/>
          <w:color w:val="auto"/>
        </w:rPr>
        <w:t>Settlement of Claims</w:t>
      </w:r>
      <w:r>
        <w:rPr>
          <w:rFonts w:ascii="Arial" w:cs="Arial" w:eastAsia="Arial" w:hAnsi="Arial"/>
          <w:sz w:val="18"/>
          <w:szCs w:val="18"/>
          <w:color w:val="auto"/>
        </w:rPr>
        <w:t>. Notwithstanding anything in this Article VI to the contrary, the Corporation shall not be liable to indemnify any indemnitee under this Article VI for any amounts paid in settlement of any proceeding effected without the Corporation’s written consent, which consent shall not be unreasonably withheld.</w:t>
      </w:r>
    </w:p>
    <w:p>
      <w:pPr>
        <w:spacing w:after="0" w:line="184" w:lineRule="exact"/>
        <w:rPr>
          <w:sz w:val="20"/>
          <w:szCs w:val="20"/>
          <w:color w:val="auto"/>
        </w:rPr>
      </w:pPr>
    </w:p>
    <w:p>
      <w:pPr>
        <w:ind w:right="20" w:firstLine="991"/>
        <w:spacing w:after="0" w:line="259" w:lineRule="auto"/>
        <w:rPr>
          <w:sz w:val="20"/>
          <w:szCs w:val="20"/>
          <w:color w:val="auto"/>
        </w:rPr>
      </w:pPr>
      <w:r>
        <w:rPr>
          <w:rFonts w:ascii="Arial" w:cs="Arial" w:eastAsia="Arial" w:hAnsi="Arial"/>
          <w:sz w:val="18"/>
          <w:szCs w:val="18"/>
          <w:color w:val="auto"/>
        </w:rPr>
        <w:t xml:space="preserve">Section 6.10 </w:t>
      </w:r>
      <w:r>
        <w:rPr>
          <w:rFonts w:ascii="Arial" w:cs="Arial" w:eastAsia="Arial" w:hAnsi="Arial"/>
          <w:sz w:val="18"/>
          <w:szCs w:val="18"/>
          <w:u w:val="single" w:color="auto"/>
          <w:color w:val="auto"/>
        </w:rPr>
        <w:t>Subrogation</w:t>
      </w:r>
      <w:r>
        <w:rPr>
          <w:rFonts w:ascii="Arial" w:cs="Arial" w:eastAsia="Arial" w:hAnsi="Arial"/>
          <w:sz w:val="18"/>
          <w:szCs w:val="18"/>
          <w:color w:val="auto"/>
        </w:rPr>
        <w:t>. In the event of payment under this Article VI, the Corporation shall be subrogated to the extent of such payment to all of the rights of recovery of the indemnitee (excluding insurance obtained on the indemnitee’s own behalf), and the indemnitee shall execute all papers required and shall do everything that may be necessary to secure such rights, including the execution of such documents necessary to enable the Corporation effectively to bring suit to enforce such rights.</w:t>
      </w:r>
    </w:p>
    <w:p>
      <w:pPr>
        <w:spacing w:after="0" w:line="187" w:lineRule="exact"/>
        <w:rPr>
          <w:sz w:val="20"/>
          <w:szCs w:val="20"/>
          <w:color w:val="auto"/>
        </w:rPr>
      </w:pPr>
    </w:p>
    <w:p>
      <w:pPr>
        <w:ind w:firstLine="991"/>
        <w:spacing w:after="0" w:line="290" w:lineRule="auto"/>
        <w:rPr>
          <w:sz w:val="20"/>
          <w:szCs w:val="20"/>
          <w:color w:val="auto"/>
        </w:rPr>
      </w:pPr>
      <w:r>
        <w:rPr>
          <w:rFonts w:ascii="Arial" w:cs="Arial" w:eastAsia="Arial" w:hAnsi="Arial"/>
          <w:sz w:val="16"/>
          <w:szCs w:val="16"/>
          <w:color w:val="auto"/>
        </w:rPr>
        <w:t xml:space="preserve">Section 6.11 </w:t>
      </w:r>
      <w:r>
        <w:rPr>
          <w:rFonts w:ascii="Arial" w:cs="Arial" w:eastAsia="Arial" w:hAnsi="Arial"/>
          <w:sz w:val="16"/>
          <w:szCs w:val="16"/>
          <w:u w:val="single" w:color="auto"/>
          <w:color w:val="auto"/>
        </w:rPr>
        <w:t>Severability</w:t>
      </w:r>
      <w:r>
        <w:rPr>
          <w:rFonts w:ascii="Arial" w:cs="Arial" w:eastAsia="Arial" w:hAnsi="Arial"/>
          <w:sz w:val="16"/>
          <w:szCs w:val="16"/>
          <w:color w:val="auto"/>
        </w:rPr>
        <w:t>. If any provision or provisions of this Article VI shall be held to be invalid, illegal or unenforceable as applied to any person or entity or circumstance for any reason whatsoever, then, to the fullest extent permitted by law: (a) the validity, legality and enforceability of such provision in any other circumstance and of the remaining provisions of this Article VI (including, without limitation, all portions of any paragraph of this Article VI containing any such provision held to be invalid, illegal or unenforceable, that are not by themselves invalid, illegal or unenforceable) and the application of such provision to other persons or entities or circumstances shall not in any way be affected or impaired thereby; and (b) to the fullest extent possible, the provisions of this Article VI (including, without limitation, all portions of any paragraph of this Article VI containing any such provision held to be invalid, illegal or unenforceable, that are not themselves invalid, illegal or unenforceable) shall be construed so as to give effect to the intent of the parties that the Corporation provide protection to the indemnitee to the fullest extent set forth in this Article VI.</w:t>
      </w: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CAPITAL STOCK</w:t>
      </w:r>
    </w:p>
    <w:p>
      <w:pPr>
        <w:spacing w:after="0" w:line="211" w:lineRule="exact"/>
        <w:rPr>
          <w:sz w:val="20"/>
          <w:szCs w:val="20"/>
          <w:color w:val="auto"/>
        </w:rPr>
      </w:pPr>
    </w:p>
    <w:p>
      <w:pPr>
        <w:ind w:right="20" w:firstLine="991"/>
        <w:spacing w:after="0" w:line="254" w:lineRule="auto"/>
        <w:rPr>
          <w:sz w:val="20"/>
          <w:szCs w:val="20"/>
          <w:color w:val="auto"/>
        </w:rPr>
      </w:pPr>
      <w:r>
        <w:rPr>
          <w:rFonts w:ascii="Arial" w:cs="Arial" w:eastAsia="Arial" w:hAnsi="Arial"/>
          <w:sz w:val="18"/>
          <w:szCs w:val="18"/>
          <w:color w:val="auto"/>
        </w:rPr>
        <w:t xml:space="preserve">Section 7.1 </w:t>
      </w:r>
      <w:r>
        <w:rPr>
          <w:rFonts w:ascii="Arial" w:cs="Arial" w:eastAsia="Arial" w:hAnsi="Arial"/>
          <w:sz w:val="18"/>
          <w:szCs w:val="18"/>
          <w:u w:val="single" w:color="auto"/>
          <w:color w:val="auto"/>
        </w:rPr>
        <w:t>Certificates of Stock</w:t>
      </w:r>
      <w:r>
        <w:rPr>
          <w:rFonts w:ascii="Arial" w:cs="Arial" w:eastAsia="Arial" w:hAnsi="Arial"/>
          <w:sz w:val="18"/>
          <w:szCs w:val="18"/>
          <w:color w:val="auto"/>
        </w:rPr>
        <w:t xml:space="preserve">. The shares of the Corporation shall be represented by certificates;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Board of Directors may provide by resolution or resolutions that some or all of any or all classes or series of stock shall be uncertificated shares. Any such resolution shall not apply to shares represented by a certificate until such certificate is surrendered to the Corporation. Every holder of stock represented by certificates shall be entitled to have a certificate signed by or in the name of the Corporation by any two authorized officers of the Corporation certifying the number of shares owned by such holder in the Corporation. Any or all such signatures may be facsimiles. In case any officer, transfer agent or registrar who has signed or whose facsimile signature has been placed upon a certificate has ceased to be such officer, transfer agent or registrar before such certificate is issued, it may be issued by the Corporation with the same effect as if such person were such officer, transfer agent or registrar at the date of issue.</w:t>
      </w:r>
    </w:p>
    <w:p>
      <w:pPr>
        <w:spacing w:after="0" w:line="192" w:lineRule="exact"/>
        <w:rPr>
          <w:sz w:val="20"/>
          <w:szCs w:val="20"/>
          <w:color w:val="auto"/>
        </w:rPr>
      </w:pPr>
    </w:p>
    <w:p>
      <w:pPr>
        <w:ind w:right="200" w:firstLine="991"/>
        <w:spacing w:after="0" w:line="259" w:lineRule="auto"/>
        <w:rPr>
          <w:sz w:val="20"/>
          <w:szCs w:val="20"/>
          <w:color w:val="auto"/>
        </w:rPr>
      </w:pPr>
      <w:r>
        <w:rPr>
          <w:rFonts w:ascii="Arial" w:cs="Arial" w:eastAsia="Arial" w:hAnsi="Arial"/>
          <w:sz w:val="18"/>
          <w:szCs w:val="18"/>
          <w:color w:val="auto"/>
        </w:rPr>
        <w:t xml:space="preserve">Section 7.2 </w:t>
      </w:r>
      <w:r>
        <w:rPr>
          <w:rFonts w:ascii="Arial" w:cs="Arial" w:eastAsia="Arial" w:hAnsi="Arial"/>
          <w:sz w:val="18"/>
          <w:szCs w:val="18"/>
          <w:u w:val="single" w:color="auto"/>
          <w:color w:val="auto"/>
        </w:rPr>
        <w:t>Special Designation on Certificates</w:t>
      </w:r>
      <w:r>
        <w:rPr>
          <w:rFonts w:ascii="Arial" w:cs="Arial" w:eastAsia="Arial" w:hAnsi="Arial"/>
          <w:sz w:val="18"/>
          <w:szCs w:val="18"/>
          <w:color w:val="auto"/>
        </w:rPr>
        <w:t>. If the Corporation is authorized to issue more than one class of stock or more than one series of any class, then the powers, the designations, the preferences, and the relative, participating, optional or other special rights of each class of stock or series thereof and the qualifications, limitations or restrictions of such preferences and/or rights shall be set forth in full or summarized on the face or back of the certificate that the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000"/>
          </w:cols>
          <w:pgMar w:left="440" w:top="274" w:right="459" w:bottom="1440" w:gutter="0" w:footer="0" w:header="0"/>
        </w:sectPr>
      </w:pPr>
    </w:p>
    <w:bookmarkStart w:id="50" w:name="page51"/>
    <w:bookmarkEnd w:id="50"/>
    <w:p>
      <w:pPr>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Corporation shall issue to represent such class or series of stock;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except as otherwise provided in Section 202 of the DGCL, in lieu of the foregoing requirements there may be set forth on the face or back of the certificate that the Corporation shall issue to represent such class or series of stock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Within a reasonable time after the issuance or transfer of uncertificated stock, the registered owner thereof shall be given a notice, in writing or by electronic transmission, containing the information required to be set forth or stated on certificates pursuant to this Section 7.2 or Section 151, 156, 202(a) or 218(a) of the DGCL or with respect to this Section 7.2 and Section 151 of the DGCL a statement that the Corporation will furnish without charge to each stockholder who so requests the powers, the designations, the preferences, and the relative, participating, optional or other special rights of each class of stock or series thereof and the qualifications, limitations or restrictions of such preferences and/or rights. Except as otherwise expressly provided by law, the rights and obligations of the holders of uncertificated stock and the rights and obligations of the holders of certificates representing stock of the same class and series shall be identical.</w:t>
      </w:r>
    </w:p>
    <w:p>
      <w:pPr>
        <w:spacing w:after="0" w:line="172" w:lineRule="exact"/>
        <w:rPr>
          <w:sz w:val="20"/>
          <w:szCs w:val="20"/>
          <w:color w:val="auto"/>
        </w:rPr>
      </w:pPr>
    </w:p>
    <w:p>
      <w:pPr>
        <w:ind w:right="140" w:firstLine="991"/>
        <w:spacing w:after="0" w:line="273" w:lineRule="auto"/>
        <w:rPr>
          <w:sz w:val="20"/>
          <w:szCs w:val="20"/>
          <w:color w:val="auto"/>
        </w:rPr>
      </w:pPr>
      <w:r>
        <w:rPr>
          <w:rFonts w:ascii="Arial" w:cs="Arial" w:eastAsia="Arial" w:hAnsi="Arial"/>
          <w:sz w:val="17"/>
          <w:szCs w:val="17"/>
          <w:color w:val="auto"/>
        </w:rPr>
        <w:t xml:space="preserve">Section 7.3 </w:t>
      </w:r>
      <w:r>
        <w:rPr>
          <w:rFonts w:ascii="Arial" w:cs="Arial" w:eastAsia="Arial" w:hAnsi="Arial"/>
          <w:sz w:val="17"/>
          <w:szCs w:val="17"/>
          <w:u w:val="single" w:color="auto"/>
          <w:color w:val="auto"/>
        </w:rPr>
        <w:t>Transfers of Stock</w:t>
      </w:r>
      <w:r>
        <w:rPr>
          <w:rFonts w:ascii="Arial" w:cs="Arial" w:eastAsia="Arial" w:hAnsi="Arial"/>
          <w:sz w:val="17"/>
          <w:szCs w:val="17"/>
          <w:color w:val="auto"/>
        </w:rPr>
        <w:t xml:space="preserve">. Transfers of shares of stock of the Corporation shall be made only on the books of the Corporation upon authorization by the registered holder thereof or by such holder’s attorney thereunto authorized by a power of attorney duly executed and filed with the Secretary of the Corporation or a transfer agent for such stock, and if such shares are represented by a certificate, upon surrender of the certificate or certificates for such shares properly endorsed or accompanied by a duly executed stock transfer power and the payment of any taxes thereon;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Corporation shall be entitled to recognize and enforce any lawful restriction on transfer. Transfers may also be made in any manner authorized by the Corporation (or its authorized transfer agent) and permitted by Section 224 of the DGCL.</w:t>
      </w:r>
    </w:p>
    <w:p>
      <w:pPr>
        <w:spacing w:after="0" w:line="178" w:lineRule="exact"/>
        <w:rPr>
          <w:sz w:val="20"/>
          <w:szCs w:val="20"/>
          <w:color w:val="auto"/>
        </w:rPr>
      </w:pPr>
    </w:p>
    <w:p>
      <w:pPr>
        <w:ind w:right="40" w:firstLine="991"/>
        <w:spacing w:after="0" w:line="273" w:lineRule="auto"/>
        <w:rPr>
          <w:sz w:val="20"/>
          <w:szCs w:val="20"/>
          <w:color w:val="auto"/>
        </w:rPr>
      </w:pPr>
      <w:r>
        <w:rPr>
          <w:rFonts w:ascii="Arial" w:cs="Arial" w:eastAsia="Arial" w:hAnsi="Arial"/>
          <w:sz w:val="17"/>
          <w:szCs w:val="17"/>
          <w:color w:val="auto"/>
        </w:rPr>
        <w:t xml:space="preserve">Section 7.4 </w:t>
      </w:r>
      <w:r>
        <w:rPr>
          <w:rFonts w:ascii="Arial" w:cs="Arial" w:eastAsia="Arial" w:hAnsi="Arial"/>
          <w:sz w:val="17"/>
          <w:szCs w:val="17"/>
          <w:u w:val="single" w:color="auto"/>
          <w:color w:val="auto"/>
        </w:rPr>
        <w:t>Lost Certificates</w:t>
      </w:r>
      <w:r>
        <w:rPr>
          <w:rFonts w:ascii="Arial" w:cs="Arial" w:eastAsia="Arial" w:hAnsi="Arial"/>
          <w:sz w:val="17"/>
          <w:szCs w:val="17"/>
          <w:color w:val="auto"/>
        </w:rPr>
        <w:t>. The Corporation may issue a new share certificate or uncertificated shares in the place of any certificate theretofore issued by it, alleged to have been lost, stolen or destroyed, and the Corporation may require the owner of the lost, stolen or destroyed certificate or the owner’s legal representative to give the Corporation a bond (or other adequate security) sufficient to indemnify it against any claim that may be made against it (including any expense or liability) on account of the alleged loss, theft or destruction of any such certificate or the issuance of such new certificate or uncertificated shares. The Board of Directors may adopt such other provisions and restrictions with reference to lost certificates, not inconsistent with applicable law, as it shall in its discretion deem appropriate.</w:t>
      </w:r>
    </w:p>
    <w:p>
      <w:pPr>
        <w:spacing w:after="0" w:line="178" w:lineRule="exact"/>
        <w:rPr>
          <w:sz w:val="20"/>
          <w:szCs w:val="20"/>
          <w:color w:val="auto"/>
        </w:rPr>
      </w:pPr>
    </w:p>
    <w:p>
      <w:pPr>
        <w:jc w:val="both"/>
        <w:ind w:right="140" w:firstLine="991"/>
        <w:spacing w:after="0" w:line="311" w:lineRule="auto"/>
        <w:rPr>
          <w:sz w:val="20"/>
          <w:szCs w:val="20"/>
          <w:color w:val="auto"/>
        </w:rPr>
      </w:pPr>
      <w:r>
        <w:rPr>
          <w:rFonts w:ascii="Arial" w:cs="Arial" w:eastAsia="Arial" w:hAnsi="Arial"/>
          <w:sz w:val="16"/>
          <w:szCs w:val="16"/>
          <w:color w:val="auto"/>
        </w:rPr>
        <w:t xml:space="preserve">Section 7.5 </w:t>
      </w:r>
      <w:r>
        <w:rPr>
          <w:rFonts w:ascii="Arial" w:cs="Arial" w:eastAsia="Arial" w:hAnsi="Arial"/>
          <w:sz w:val="16"/>
          <w:szCs w:val="16"/>
          <w:u w:val="single" w:color="auto"/>
          <w:color w:val="auto"/>
        </w:rPr>
        <w:t>Registered Stockholders</w:t>
      </w:r>
      <w:r>
        <w:rPr>
          <w:rFonts w:ascii="Arial" w:cs="Arial" w:eastAsia="Arial" w:hAnsi="Arial"/>
          <w:sz w:val="16"/>
          <w:szCs w:val="16"/>
          <w:color w:val="auto"/>
        </w:rPr>
        <w:t>. The Corporation shall be entitled to recognize the exclusive right of a person registered on its books as the owner of shares to receive dividends, and to vote as such owner, and shall not be bound to recognize any equitable or other claim to or interest in such share or shares on the part of any other person, whether or not it shall have express or other notice thereof, except as otherwise required by law.</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20"/>
          </w:cols>
          <w:pgMar w:left="440" w:top="274" w:right="439" w:bottom="1440" w:gutter="0" w:footer="0" w:header="0"/>
        </w:sectPr>
      </w:pPr>
    </w:p>
    <w:bookmarkStart w:id="51" w:name="page52"/>
    <w:bookmarkEnd w:id="51"/>
    <w:p>
      <w:pPr>
        <w:ind w:left="8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7.6 </w:t>
      </w:r>
      <w:r>
        <w:rPr>
          <w:rFonts w:ascii="Arial" w:cs="Arial" w:eastAsia="Arial" w:hAnsi="Arial"/>
          <w:sz w:val="18"/>
          <w:szCs w:val="18"/>
          <w:u w:val="single" w:color="auto"/>
          <w:color w:val="auto"/>
        </w:rPr>
        <w:t>Record Date for Determining Stockholders</w:t>
      </w:r>
      <w:r>
        <w:rPr>
          <w:rFonts w:ascii="Arial" w:cs="Arial" w:eastAsia="Arial" w:hAnsi="Arial"/>
          <w:sz w:val="18"/>
          <w:szCs w:val="18"/>
          <w:color w:val="auto"/>
        </w:rPr>
        <w:t>.</w:t>
      </w:r>
    </w:p>
    <w:p>
      <w:pPr>
        <w:spacing w:after="0" w:line="117" w:lineRule="exact"/>
        <w:rPr>
          <w:sz w:val="20"/>
          <w:szCs w:val="20"/>
          <w:color w:val="auto"/>
        </w:rPr>
      </w:pPr>
    </w:p>
    <w:p>
      <w:pPr>
        <w:ind w:left="-20" w:right="20" w:firstLine="987"/>
        <w:spacing w:after="0" w:line="269" w:lineRule="auto"/>
        <w:tabs>
          <w:tab w:leader="none" w:pos="1216" w:val="left"/>
        </w:tabs>
        <w:numPr>
          <w:ilvl w:val="0"/>
          <w:numId w:val="58"/>
        </w:numPr>
        <w:rPr>
          <w:rFonts w:ascii="Arial" w:cs="Arial" w:eastAsia="Arial" w:hAnsi="Arial"/>
          <w:sz w:val="17"/>
          <w:szCs w:val="17"/>
          <w:color w:val="auto"/>
        </w:rPr>
      </w:pPr>
      <w:r>
        <w:rPr>
          <w:rFonts w:ascii="Arial" w:cs="Arial" w:eastAsia="Arial" w:hAnsi="Arial"/>
          <w:sz w:val="17"/>
          <w:szCs w:val="17"/>
          <w:color w:val="auto"/>
        </w:rPr>
        <w:t xml:space="preserve">In order that the Corporation may determine the stockholders entitled to notice of any meeting of stockholders or any adjourned meeting, the Board of Directors may fix a record date, which record date shall not precede the date upon which the resolution fixing the record date is adopted by the Board of Directors, and which record date shall, unless otherwise required by law, not be more than 60 nor less than 10 days before the date of such meeting. If the Board of Directors so fixes a date, such date shall also be the record date for determining the stockholders entitled to vote at such meeting unless the Board of Directors determines, at the time it fixes such record date, that a later date on or before the date of the meeting shall be the date for making such determination. If no record date is fixed by the Board of Directors, the record date for determining stockholders entitled to notice of and to vote at a meeting of stockholders shall be at the close of business on the day next preceding the day on which notice is given, or, if notice is waived, at the close of business on the day next preceding the day on which the meeting is held. A determination of stockholders of record entitled to notice of or to vote at a meeting of stockholders shall apply to any adjourned meeting;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Board of Directors may fix a new record date for the determination of stockholders entitled to vote at the adjourned meeting, and in such case shall also fix as the record date for stockholders entitled to notice of such adjourned meeting the same or an earlier date as that fixed for determination of stockholders entitled to vote in accordance herewith at the adjourned meeting.</w:t>
      </w:r>
    </w:p>
    <w:p>
      <w:pPr>
        <w:spacing w:after="0" w:line="70" w:lineRule="exact"/>
        <w:rPr>
          <w:rFonts w:ascii="Arial" w:cs="Arial" w:eastAsia="Arial" w:hAnsi="Arial"/>
          <w:sz w:val="17"/>
          <w:szCs w:val="17"/>
          <w:color w:val="auto"/>
        </w:rPr>
      </w:pPr>
    </w:p>
    <w:p>
      <w:pPr>
        <w:ind w:left="-20" w:firstLine="987"/>
        <w:spacing w:after="0" w:line="255" w:lineRule="auto"/>
        <w:tabs>
          <w:tab w:leader="none" w:pos="1226" w:val="left"/>
        </w:tabs>
        <w:numPr>
          <w:ilvl w:val="0"/>
          <w:numId w:val="58"/>
        </w:numPr>
        <w:rPr>
          <w:rFonts w:ascii="Arial" w:cs="Arial" w:eastAsia="Arial" w:hAnsi="Arial"/>
          <w:sz w:val="18"/>
          <w:szCs w:val="18"/>
          <w:color w:val="auto"/>
        </w:rPr>
      </w:pPr>
      <w:r>
        <w:rPr>
          <w:rFonts w:ascii="Arial" w:cs="Arial" w:eastAsia="Arial" w:hAnsi="Arial"/>
          <w:sz w:val="18"/>
          <w:szCs w:val="18"/>
          <w:color w:val="auto"/>
        </w:rPr>
        <w:t>In order that the Corporation may determine the stockholders entitled to receive payment of any dividend or other distribution or allotment of any rights, or entitled to exercise any rights in respect of any change, conversion or exchange of stock or for the purpose of any other lawful action, the Board of Directors may fix a record date, which record date shall not precede the date upon which the resolution fixing the record date is adopted by the Board of Directors, and which record date shall not be more than 60 days prior to such action. If no such record date is fixed, the record date for determining stockholders for any such purpose shall be at the close of business on the day on which the Board of Directors adopts the resolution relating thereto.</w:t>
      </w:r>
    </w:p>
    <w:p>
      <w:pPr>
        <w:spacing w:after="0" w:line="84" w:lineRule="exact"/>
        <w:rPr>
          <w:rFonts w:ascii="Arial" w:cs="Arial" w:eastAsia="Arial" w:hAnsi="Arial"/>
          <w:sz w:val="18"/>
          <w:szCs w:val="18"/>
          <w:color w:val="auto"/>
        </w:rPr>
      </w:pPr>
    </w:p>
    <w:p>
      <w:pPr>
        <w:ind w:left="-20" w:right="20" w:firstLine="987"/>
        <w:spacing w:after="0" w:line="289" w:lineRule="auto"/>
        <w:tabs>
          <w:tab w:leader="none" w:pos="1216" w:val="left"/>
        </w:tabs>
        <w:numPr>
          <w:ilvl w:val="0"/>
          <w:numId w:val="58"/>
        </w:numPr>
        <w:rPr>
          <w:rFonts w:ascii="Arial" w:cs="Arial" w:eastAsia="Arial" w:hAnsi="Arial"/>
          <w:sz w:val="16"/>
          <w:szCs w:val="16"/>
          <w:color w:val="auto"/>
        </w:rPr>
      </w:pPr>
      <w:r>
        <w:rPr>
          <w:rFonts w:ascii="Arial" w:cs="Arial" w:eastAsia="Arial" w:hAnsi="Arial"/>
          <w:sz w:val="16"/>
          <w:szCs w:val="16"/>
          <w:color w:val="auto"/>
        </w:rPr>
        <w:t>Unless otherwise restricted by the Certificate of Incorporation (including any Preferred Stock Designation), in order that the Corporation may determine the stockholders entitled to express consent to corporate action without a meeting, the Board of Directors may fix a record date, which record date shall not precede the date upon which the resolution fixing the record date is adopted by the Board of Directors, and which record date shall not be more than 10 days after the date upon which the resolution fixing the record date is adopted by the Board of Directors. If no record date has been fixed by the Board of Directors, the record date for determining stockholders entitled to express consent to corporate action without a meeting, when no prior action of the Board of Directors is required by law, shall be the first date on which a signed consent setting forth the action taken or proposed to be taken was delivered to the Corporation in accordance with Section 2.11. If no record date has been fixed by the Board of Directors, the record date for determining stockholders entitled to express consent to corporate action without a meeting, if prior action by the Board of Directors is required by law, shall be at the close of business on the day on which the Board of Directors adopts the resolution taking such prior action.</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980"/>
          </w:cols>
          <w:pgMar w:left="460" w:top="274" w:right="459" w:bottom="1440" w:gutter="0" w:footer="0" w:header="0"/>
        </w:sectPr>
      </w:pPr>
    </w:p>
    <w:bookmarkStart w:id="52" w:name="page53"/>
    <w:bookmarkEnd w:id="52"/>
    <w:p>
      <w:pPr>
        <w:ind w:right="60" w:firstLine="991"/>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7.7 </w:t>
      </w:r>
      <w:r>
        <w:rPr>
          <w:rFonts w:ascii="Arial" w:cs="Arial" w:eastAsia="Arial" w:hAnsi="Arial"/>
          <w:sz w:val="18"/>
          <w:szCs w:val="18"/>
          <w:u w:val="single" w:color="auto"/>
          <w:color w:val="auto"/>
        </w:rPr>
        <w:t>Regulations</w:t>
      </w:r>
      <w:r>
        <w:rPr>
          <w:rFonts w:ascii="Arial" w:cs="Arial" w:eastAsia="Arial" w:hAnsi="Arial"/>
          <w:sz w:val="18"/>
          <w:szCs w:val="18"/>
          <w:color w:val="auto"/>
        </w:rPr>
        <w:t>. To the extent permitted by applicable law, the Board of Directors may make such additional rules and regulations as it may deem expedient concerning the issue, transfer and registration of shares of stock of the Corporation.</w:t>
      </w:r>
    </w:p>
    <w:p>
      <w:pPr>
        <w:spacing w:after="0" w:line="170" w:lineRule="exact"/>
        <w:rPr>
          <w:sz w:val="20"/>
          <w:szCs w:val="20"/>
          <w:color w:val="auto"/>
        </w:rPr>
      </w:pPr>
    </w:p>
    <w:p>
      <w:pPr>
        <w:ind w:firstLine="991"/>
        <w:spacing w:after="0" w:line="291" w:lineRule="auto"/>
        <w:rPr>
          <w:sz w:val="20"/>
          <w:szCs w:val="20"/>
          <w:color w:val="auto"/>
        </w:rPr>
      </w:pPr>
      <w:r>
        <w:rPr>
          <w:rFonts w:ascii="Arial" w:cs="Arial" w:eastAsia="Arial" w:hAnsi="Arial"/>
          <w:sz w:val="16"/>
          <w:szCs w:val="16"/>
          <w:color w:val="auto"/>
        </w:rPr>
        <w:t xml:space="preserve">Section 7.8 </w:t>
      </w:r>
      <w:r>
        <w:rPr>
          <w:rFonts w:ascii="Arial" w:cs="Arial" w:eastAsia="Arial" w:hAnsi="Arial"/>
          <w:sz w:val="16"/>
          <w:szCs w:val="16"/>
          <w:u w:val="single" w:color="auto"/>
          <w:color w:val="auto"/>
        </w:rPr>
        <w:t>Waiver of Notice</w:t>
      </w:r>
      <w:r>
        <w:rPr>
          <w:rFonts w:ascii="Arial" w:cs="Arial" w:eastAsia="Arial" w:hAnsi="Arial"/>
          <w:sz w:val="16"/>
          <w:szCs w:val="16"/>
          <w:color w:val="auto"/>
        </w:rPr>
        <w:t>. Whenever notice is required to be given under any provision of the DGCL or the Certificate of Incorporation or these Bylaws, a written waiver, signed by the person entitled to notice, or a waiver by electronic transmission by the person entitled to notice, whether before or after the time stated therein, shall be deemed equivalent to notice. Attendance of a person at a meeting shall constitute a waiver of notice of such meeting, except when the person attends a meeting for the express purpose of objecting at the beginning of the meeting, to the transaction of any business because the meeting is not lawfully called or convened. Neither the business to be transacted at, nor the purpose of, any regular or special meeting of the stockholders, the Board of Directors or a committee of the Board of Directors need be specified in any written waiver of notice or any waiver by electronic transmission unless so required by the Certificate of Incorporation or these Bylaws.</w:t>
      </w:r>
    </w:p>
    <w:p>
      <w:pPr>
        <w:spacing w:after="0" w:line="37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GENERAL MATTERS</w:t>
      </w:r>
    </w:p>
    <w:p>
      <w:pPr>
        <w:spacing w:after="0" w:line="211" w:lineRule="exact"/>
        <w:rPr>
          <w:sz w:val="20"/>
          <w:szCs w:val="20"/>
          <w:color w:val="auto"/>
        </w:rPr>
      </w:pPr>
    </w:p>
    <w:p>
      <w:pPr>
        <w:ind w:right="240" w:firstLine="991"/>
        <w:spacing w:after="0" w:line="308" w:lineRule="auto"/>
        <w:rPr>
          <w:sz w:val="20"/>
          <w:szCs w:val="20"/>
          <w:color w:val="auto"/>
        </w:rPr>
      </w:pPr>
      <w:r>
        <w:rPr>
          <w:rFonts w:ascii="Arial" w:cs="Arial" w:eastAsia="Arial" w:hAnsi="Arial"/>
          <w:sz w:val="17"/>
          <w:szCs w:val="17"/>
          <w:color w:val="auto"/>
        </w:rPr>
        <w:t xml:space="preserve">Section 8.1 </w:t>
      </w:r>
      <w:r>
        <w:rPr>
          <w:rFonts w:ascii="Arial" w:cs="Arial" w:eastAsia="Arial" w:hAnsi="Arial"/>
          <w:sz w:val="17"/>
          <w:szCs w:val="17"/>
          <w:u w:val="single" w:color="auto"/>
          <w:color w:val="auto"/>
        </w:rPr>
        <w:t>Fiscal Year</w:t>
      </w:r>
      <w:r>
        <w:rPr>
          <w:rFonts w:ascii="Arial" w:cs="Arial" w:eastAsia="Arial" w:hAnsi="Arial"/>
          <w:sz w:val="17"/>
          <w:szCs w:val="17"/>
          <w:color w:val="auto"/>
        </w:rPr>
        <w:t>. The fiscal year of the Corporation shall begin on the first day of January of each year and end on the last day of December of the same year, or shall extend for such other 12 consecutive months as the Board of Directors may designate.</w:t>
      </w:r>
    </w:p>
    <w:p>
      <w:pPr>
        <w:spacing w:after="0" w:line="146" w:lineRule="exact"/>
        <w:rPr>
          <w:sz w:val="20"/>
          <w:szCs w:val="20"/>
          <w:color w:val="auto"/>
        </w:rPr>
      </w:pPr>
    </w:p>
    <w:p>
      <w:pPr>
        <w:ind w:right="160" w:firstLine="991"/>
        <w:spacing w:after="0" w:line="277" w:lineRule="auto"/>
        <w:rPr>
          <w:sz w:val="20"/>
          <w:szCs w:val="20"/>
          <w:color w:val="auto"/>
        </w:rPr>
      </w:pPr>
      <w:r>
        <w:rPr>
          <w:rFonts w:ascii="Arial" w:cs="Arial" w:eastAsia="Arial" w:hAnsi="Arial"/>
          <w:sz w:val="18"/>
          <w:szCs w:val="18"/>
          <w:color w:val="auto"/>
        </w:rPr>
        <w:t xml:space="preserve">Section 8.2 </w:t>
      </w:r>
      <w:r>
        <w:rPr>
          <w:rFonts w:ascii="Arial" w:cs="Arial" w:eastAsia="Arial" w:hAnsi="Arial"/>
          <w:sz w:val="18"/>
          <w:szCs w:val="18"/>
          <w:u w:val="single" w:color="auto"/>
          <w:color w:val="auto"/>
        </w:rPr>
        <w:t>Corporate Seal</w:t>
      </w:r>
      <w:r>
        <w:rPr>
          <w:rFonts w:ascii="Arial" w:cs="Arial" w:eastAsia="Arial" w:hAnsi="Arial"/>
          <w:sz w:val="18"/>
          <w:szCs w:val="18"/>
          <w:color w:val="auto"/>
        </w:rPr>
        <w:t>. The Board of Directors may provide a suitable seal, containing the name of the Corporation, which seal shall be in the charge of the Secretary of the Corporation.</w:t>
      </w:r>
    </w:p>
    <w:p>
      <w:pPr>
        <w:spacing w:after="0" w:line="170" w:lineRule="exact"/>
        <w:rPr>
          <w:sz w:val="20"/>
          <w:szCs w:val="20"/>
          <w:color w:val="auto"/>
        </w:rPr>
      </w:pPr>
    </w:p>
    <w:p>
      <w:pPr>
        <w:ind w:right="100" w:firstLine="991"/>
        <w:spacing w:after="0" w:line="296" w:lineRule="auto"/>
        <w:rPr>
          <w:sz w:val="20"/>
          <w:szCs w:val="20"/>
          <w:color w:val="auto"/>
        </w:rPr>
      </w:pPr>
      <w:r>
        <w:rPr>
          <w:rFonts w:ascii="Arial" w:cs="Arial" w:eastAsia="Arial" w:hAnsi="Arial"/>
          <w:sz w:val="16"/>
          <w:szCs w:val="16"/>
          <w:color w:val="auto"/>
        </w:rPr>
        <w:t xml:space="preserve">Section 8.3 </w:t>
      </w:r>
      <w:r>
        <w:rPr>
          <w:rFonts w:ascii="Arial" w:cs="Arial" w:eastAsia="Arial" w:hAnsi="Arial"/>
          <w:sz w:val="16"/>
          <w:szCs w:val="16"/>
          <w:u w:val="single" w:color="auto"/>
          <w:color w:val="auto"/>
        </w:rPr>
        <w:t>Reliance upon Books, Reports and Records</w:t>
      </w:r>
      <w:r>
        <w:rPr>
          <w:rFonts w:ascii="Arial" w:cs="Arial" w:eastAsia="Arial" w:hAnsi="Arial"/>
          <w:sz w:val="16"/>
          <w:szCs w:val="16"/>
          <w:color w:val="auto"/>
        </w:rPr>
        <w:t>. Each director and each member of any committee designated by the Board of Directors shall, in the performance of their duties, be fully protected in relying in good faith upon the books of account or other records of the Corporation and upon such information, opinions, reports or statements presented to the Corporation by any of its officers or employees, or committees of the Board of Directors so designated, or by any other person as to matters which such director or committee member reasonably believes are within such other person’s professional or expert competence and who has been selected with reasonable care by or on behalf of the Corporation.</w:t>
      </w:r>
    </w:p>
    <w:p>
      <w:pPr>
        <w:spacing w:after="0" w:line="161" w:lineRule="exact"/>
        <w:rPr>
          <w:sz w:val="20"/>
          <w:szCs w:val="20"/>
          <w:color w:val="auto"/>
        </w:rPr>
      </w:pPr>
    </w:p>
    <w:p>
      <w:pPr>
        <w:ind w:right="100" w:firstLine="991"/>
        <w:spacing w:after="0" w:line="342" w:lineRule="auto"/>
        <w:rPr>
          <w:sz w:val="20"/>
          <w:szCs w:val="20"/>
          <w:color w:val="auto"/>
        </w:rPr>
      </w:pPr>
      <w:r>
        <w:rPr>
          <w:rFonts w:ascii="Arial" w:cs="Arial" w:eastAsia="Arial" w:hAnsi="Arial"/>
          <w:sz w:val="16"/>
          <w:szCs w:val="16"/>
          <w:color w:val="auto"/>
        </w:rPr>
        <w:t xml:space="preserve">Section 8.4 </w:t>
      </w:r>
      <w:r>
        <w:rPr>
          <w:rFonts w:ascii="Arial" w:cs="Arial" w:eastAsia="Arial" w:hAnsi="Arial"/>
          <w:sz w:val="16"/>
          <w:szCs w:val="16"/>
          <w:u w:val="single" w:color="auto"/>
          <w:color w:val="auto"/>
        </w:rPr>
        <w:t>Subject to Law and Certificate of Incorporation</w:t>
      </w:r>
      <w:r>
        <w:rPr>
          <w:rFonts w:ascii="Arial" w:cs="Arial" w:eastAsia="Arial" w:hAnsi="Arial"/>
          <w:sz w:val="16"/>
          <w:szCs w:val="16"/>
          <w:color w:val="auto"/>
        </w:rPr>
        <w:t>. All powers, duties and responsibilities provided for in these Bylaws, whether or not explicitly so qualified, are qualified by the Certificate of Incorporation (including any Preferred Stock Designation) and applicable law.</w:t>
      </w:r>
    </w:p>
    <w:p>
      <w:pPr>
        <w:spacing w:after="0" w:line="124" w:lineRule="exact"/>
        <w:rPr>
          <w:sz w:val="20"/>
          <w:szCs w:val="20"/>
          <w:color w:val="auto"/>
        </w:rPr>
      </w:pPr>
    </w:p>
    <w:p>
      <w:pPr>
        <w:ind w:right="40" w:firstLine="991"/>
        <w:spacing w:after="0" w:line="279" w:lineRule="auto"/>
        <w:rPr>
          <w:sz w:val="20"/>
          <w:szCs w:val="20"/>
          <w:color w:val="auto"/>
        </w:rPr>
      </w:pPr>
      <w:r>
        <w:rPr>
          <w:rFonts w:ascii="Arial" w:cs="Arial" w:eastAsia="Arial" w:hAnsi="Arial"/>
          <w:sz w:val="17"/>
          <w:szCs w:val="17"/>
          <w:color w:val="auto"/>
        </w:rPr>
        <w:t xml:space="preserve">Section 8.5 </w:t>
      </w:r>
      <w:r>
        <w:rPr>
          <w:rFonts w:ascii="Arial" w:cs="Arial" w:eastAsia="Arial" w:hAnsi="Arial"/>
          <w:sz w:val="17"/>
          <w:szCs w:val="17"/>
          <w:u w:val="single" w:color="auto"/>
          <w:color w:val="auto"/>
        </w:rPr>
        <w:t>Electronic Signatures, etc</w:t>
      </w:r>
      <w:r>
        <w:rPr>
          <w:rFonts w:ascii="Arial" w:cs="Arial" w:eastAsia="Arial" w:hAnsi="Arial"/>
          <w:sz w:val="17"/>
          <w:szCs w:val="17"/>
          <w:color w:val="auto"/>
        </w:rPr>
        <w:t>. Except as otherwise required by the Certificate of Incorporation (including as otherwise required by any Preferred Stock Designation) or these Bylaws (including, without limitation, as otherwise required by Section 2.15), any document, including, without limitation, any consent, agreement, certificate or instrument, required by the DGCL, the Certificate of Incorporation (including any Preferred Stock Designation) or these Bylaws to be executed by any officer, director, stockholder, employee or</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0"/>
          </w:cols>
          <w:pgMar w:left="440" w:top="274" w:right="459" w:bottom="1440" w:gutter="0" w:footer="0" w:header="0"/>
        </w:sectPr>
      </w:pPr>
    </w:p>
    <w:bookmarkStart w:id="53" w:name="page54"/>
    <w:bookmarkEnd w:id="53"/>
    <w:p>
      <w:pPr>
        <w:ind w:right="14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agent of the Corporation may be executed using a facsimile or other form of electronic signature to the fullest extent permitted by applicable law. All other contracts, agreements, certificates or instruments to be executed on behalf of the Corporation may be executed using a facsimile or other form of electronic signature to the fullest extent permitted by applicable law. The terms “electronic mail,” “electronic mail address,” “electronic signature” and “electronic transmission” as used herein shall have the meanings ascribed thereto in the DGCL.</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AMENDMENTS</w:t>
      </w:r>
    </w:p>
    <w:p>
      <w:pPr>
        <w:spacing w:after="0" w:line="211" w:lineRule="exact"/>
        <w:rPr>
          <w:sz w:val="20"/>
          <w:szCs w:val="20"/>
          <w:color w:val="auto"/>
        </w:rPr>
      </w:pPr>
    </w:p>
    <w:p>
      <w:pPr>
        <w:ind w:firstLine="991"/>
        <w:spacing w:after="0" w:line="296" w:lineRule="auto"/>
        <w:rPr>
          <w:sz w:val="20"/>
          <w:szCs w:val="20"/>
          <w:color w:val="auto"/>
        </w:rPr>
      </w:pPr>
      <w:r>
        <w:rPr>
          <w:rFonts w:ascii="Arial" w:cs="Arial" w:eastAsia="Arial" w:hAnsi="Arial"/>
          <w:sz w:val="16"/>
          <w:szCs w:val="16"/>
          <w:color w:val="auto"/>
        </w:rPr>
        <w:t xml:space="preserve">Section 9.1 </w:t>
      </w:r>
      <w:r>
        <w:rPr>
          <w:rFonts w:ascii="Arial" w:cs="Arial" w:eastAsia="Arial" w:hAnsi="Arial"/>
          <w:sz w:val="16"/>
          <w:szCs w:val="16"/>
          <w:u w:val="single" w:color="auto"/>
          <w:color w:val="auto"/>
        </w:rPr>
        <w:t>Amendments</w:t>
      </w:r>
      <w:r>
        <w:rPr>
          <w:rFonts w:ascii="Arial" w:cs="Arial" w:eastAsia="Arial" w:hAnsi="Arial"/>
          <w:sz w:val="16"/>
          <w:szCs w:val="16"/>
          <w:color w:val="auto"/>
        </w:rPr>
        <w:t>. In furtherance and not in limitation of the powers conferred by the laws of the State of Delaware, the Board of Directors is expressly authorized to adopt, amend or repeal these Bylaws. Except as otherwise provided in the Certificate of Incorporation (including the terms of any Preferred Stock Designation that provides for a greater or lesser vote) or these Bylaws, and in addition to any other vote required by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these Bylaws.</w:t>
      </w:r>
    </w:p>
    <w:p>
      <w:pPr>
        <w:spacing w:after="0" w:line="16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foregoing Bylaws were adopted by the Board of Directors on April 19, 2021.</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80"/>
          </w:cols>
          <w:pgMar w:left="440" w:top="274" w:right="47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INDEMNIFICATION AGREEMENT</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This Indemnification Agreement (this “</w:t>
      </w:r>
      <w:r>
        <w:rPr>
          <w:rFonts w:ascii="Arial" w:cs="Arial" w:eastAsia="Arial" w:hAnsi="Arial"/>
          <w:sz w:val="17"/>
          <w:szCs w:val="17"/>
          <w:u w:val="single" w:color="auto"/>
          <w:color w:val="auto"/>
        </w:rPr>
        <w:t>Agreement</w:t>
      </w:r>
      <w:r>
        <w:rPr>
          <w:rFonts w:ascii="Arial" w:cs="Arial" w:eastAsia="Arial" w:hAnsi="Arial"/>
          <w:sz w:val="17"/>
          <w:szCs w:val="17"/>
          <w:color w:val="auto"/>
        </w:rPr>
        <w:t>”) is entered into as of [________], 20[__] (the “</w:t>
      </w:r>
      <w:r>
        <w:rPr>
          <w:rFonts w:ascii="Arial" w:cs="Arial" w:eastAsia="Arial" w:hAnsi="Arial"/>
          <w:sz w:val="17"/>
          <w:szCs w:val="17"/>
          <w:u w:val="single" w:color="auto"/>
          <w:color w:val="auto"/>
        </w:rPr>
        <w:t>Effective Date</w:t>
      </w:r>
      <w:r>
        <w:rPr>
          <w:rFonts w:ascii="Arial" w:cs="Arial" w:eastAsia="Arial" w:hAnsi="Arial"/>
          <w:sz w:val="17"/>
          <w:szCs w:val="17"/>
          <w:color w:val="auto"/>
        </w:rPr>
        <w:t>”) by and between Marvell</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Technology,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and [____________] (the “</w:t>
      </w:r>
      <w:r>
        <w:rPr>
          <w:rFonts w:ascii="Arial" w:cs="Arial" w:eastAsia="Arial" w:hAnsi="Arial"/>
          <w:sz w:val="18"/>
          <w:szCs w:val="18"/>
          <w:u w:val="single" w:color="auto"/>
          <w:color w:val="auto"/>
        </w:rPr>
        <w:t>Indemnitee</w:t>
      </w:r>
      <w:r>
        <w:rPr>
          <w:rFonts w:ascii="Arial" w:cs="Arial" w:eastAsia="Arial" w:hAnsi="Arial"/>
          <w:sz w:val="18"/>
          <w:szCs w:val="18"/>
          <w:color w:val="auto"/>
        </w:rPr>
        <w:t>”).</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140" w:firstLine="440"/>
        <w:spacing w:after="0" w:line="259" w:lineRule="auto"/>
        <w:rPr>
          <w:sz w:val="20"/>
          <w:szCs w:val="20"/>
          <w:color w:val="auto"/>
        </w:rPr>
      </w:pPr>
      <w:r>
        <w:rPr>
          <w:rFonts w:ascii="Arial" w:cs="Arial" w:eastAsia="Arial" w:hAnsi="Arial"/>
          <w:sz w:val="18"/>
          <w:szCs w:val="18"/>
          <w:color w:val="auto"/>
        </w:rPr>
        <w:t>WHEREAS, the Board of Directors has determined that the inability to attract and retain qualified persons as directors and officers is detrimental to the best interests of the Company’s stockholders and that the Company should act to assure such persons that there shall be adequate certainty of protection through insurance and indemnification against risks of claims and actions against them arising out of their service to and activities on behalf of the Company;</w:t>
      </w:r>
    </w:p>
    <w:p>
      <w:pPr>
        <w:spacing w:after="0" w:line="187" w:lineRule="exact"/>
        <w:rPr>
          <w:sz w:val="20"/>
          <w:szCs w:val="20"/>
          <w:color w:val="auto"/>
        </w:rPr>
      </w:pPr>
    </w:p>
    <w:p>
      <w:pPr>
        <w:ind w:right="140" w:firstLine="440"/>
        <w:spacing w:after="0" w:line="259" w:lineRule="auto"/>
        <w:rPr>
          <w:sz w:val="20"/>
          <w:szCs w:val="20"/>
          <w:color w:val="auto"/>
        </w:rPr>
      </w:pPr>
      <w:r>
        <w:rPr>
          <w:rFonts w:ascii="Arial" w:cs="Arial" w:eastAsia="Arial" w:hAnsi="Arial"/>
          <w:sz w:val="18"/>
          <w:szCs w:val="18"/>
          <w:color w:val="auto"/>
        </w:rPr>
        <w:t>WHEREAS, the Company has adopted provisions in its Certificate of Incorporation and Bylaws providing for indemnification and advancement of expenses of its directors and officers to the fullest extent not prohibited by the General Corporation Law of the State of Delaware (the “DGCL”) or any other applicable law, and the Company wishes to clarify and enhance the rights and obligations of the Company and the Indemnitee with respect to indemnification and advancement of expenses;</w:t>
      </w:r>
    </w:p>
    <w:p>
      <w:pPr>
        <w:spacing w:after="0" w:line="187"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WHEREAS, in order to induce and encourage highly experienced and capable persons such as the Indemnitee to serve and continue to serve as directors and officers of the Company and in any other capacity with respect to the Company as the Company may request, and to otherwise promote the desirable end that such persons shall resist what they consider unjustified lawsuits and claims made against them in connection with the good faith performance of their duties to the Company, with the knowledge that certain costs, judgments, penalties, fines, liabilities, and expenses incurred by them in their defense of such litigation are to be borne by the Company and they shall receive appropriate protection against such risks and liabilities, the Board of Directors of the Company has determined that the following Agreement is reasonable and prudent to promote and ensure the best interests of the Company and its stockholders; and</w:t>
      </w:r>
    </w:p>
    <w:p>
      <w:pPr>
        <w:spacing w:after="0" w:line="195" w:lineRule="exact"/>
        <w:rPr>
          <w:sz w:val="20"/>
          <w:szCs w:val="20"/>
          <w:color w:val="auto"/>
        </w:rPr>
      </w:pPr>
    </w:p>
    <w:p>
      <w:pPr>
        <w:ind w:right="80" w:firstLine="440"/>
        <w:spacing w:after="0" w:line="257" w:lineRule="auto"/>
        <w:rPr>
          <w:sz w:val="20"/>
          <w:szCs w:val="20"/>
          <w:color w:val="auto"/>
        </w:rPr>
      </w:pPr>
      <w:r>
        <w:rPr>
          <w:rFonts w:ascii="Arial" w:cs="Arial" w:eastAsia="Arial" w:hAnsi="Arial"/>
          <w:sz w:val="18"/>
          <w:szCs w:val="18"/>
          <w:color w:val="auto"/>
        </w:rPr>
        <w:t xml:space="preserve">WHEREAS, the Company desires to have the Indemnitee continue to serve as a director or officer of the Company and in any other capacity with respect to the Company as the Company may request, as the case may be, free from undue concern for unpredictable, inappropriate, or unreasonable legal risks and personal liabilities by reason of the Indemnitee acting in good faith in the performance of the Indemnitee’s duty to the Company; and the Indemnitee desires to continue so to serve the Company, </w:t>
      </w:r>
      <w:r>
        <w:rPr>
          <w:rFonts w:ascii="Arial" w:cs="Arial" w:eastAsia="Arial" w:hAnsi="Arial"/>
          <w:sz w:val="18"/>
          <w:szCs w:val="18"/>
          <w:u w:val="single" w:color="auto"/>
          <w:color w:val="auto"/>
        </w:rPr>
        <w:t>provided</w:t>
      </w:r>
      <w:r>
        <w:rPr>
          <w:rFonts w:ascii="Arial" w:cs="Arial" w:eastAsia="Arial" w:hAnsi="Arial"/>
          <w:sz w:val="18"/>
          <w:szCs w:val="18"/>
          <w:color w:val="auto"/>
        </w:rPr>
        <w:t>, and on the express condition, that he or she is furnished with the protections set forth hereinafter.</w:t>
      </w:r>
    </w:p>
    <w:p>
      <w:pPr>
        <w:sectPr>
          <w:pgSz w:w="11900" w:h="16838" w:orient="portrait"/>
          <w:cols w:equalWidth="0" w:num="1">
            <w:col w:w="11020"/>
          </w:cols>
          <w:pgMar w:left="440" w:top="121" w:right="439" w:bottom="1440" w:gutter="0" w:footer="0" w:header="0"/>
        </w:sectPr>
      </w:pPr>
    </w:p>
    <w:bookmarkStart w:id="55" w:name="page56"/>
    <w:bookmarkEnd w:id="5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AGREEMENT</w:t>
      </w:r>
    </w:p>
    <w:p>
      <w:pPr>
        <w:spacing w:after="0" w:line="229"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NOW, THEREFORE, in consideration of the Indemnitee’s continued service as a director or officer of the Company, the parties hereto agree as follows:</w:t>
      </w:r>
    </w:p>
    <w:p>
      <w:pPr>
        <w:spacing w:after="0" w:line="62" w:lineRule="exact"/>
        <w:rPr>
          <w:sz w:val="20"/>
          <w:szCs w:val="20"/>
          <w:color w:val="auto"/>
        </w:rPr>
      </w:pPr>
    </w:p>
    <w:p>
      <w:pPr>
        <w:ind w:left="620" w:hanging="184"/>
        <w:spacing w:after="0"/>
        <w:tabs>
          <w:tab w:leader="none" w:pos="620" w:val="left"/>
        </w:tabs>
        <w:numPr>
          <w:ilvl w:val="0"/>
          <w:numId w:val="59"/>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 For purposes of this Agreement:</w:t>
      </w:r>
    </w:p>
    <w:p>
      <w:pPr>
        <w:spacing w:after="0" w:line="117" w:lineRule="exact"/>
        <w:rPr>
          <w:rFonts w:ascii="Arial" w:cs="Arial" w:eastAsia="Arial" w:hAnsi="Arial"/>
          <w:sz w:val="18"/>
          <w:szCs w:val="18"/>
          <w:color w:val="auto"/>
        </w:rPr>
      </w:pPr>
    </w:p>
    <w:p>
      <w:pPr>
        <w:ind w:right="40" w:firstLine="987"/>
        <w:spacing w:after="0" w:line="291" w:lineRule="auto"/>
        <w:tabs>
          <w:tab w:leader="none" w:pos="1236" w:val="left"/>
        </w:tabs>
        <w:numPr>
          <w:ilvl w:val="1"/>
          <w:numId w:val="59"/>
        </w:numPr>
        <w:rPr>
          <w:rFonts w:ascii="Arial" w:cs="Arial" w:eastAsia="Arial" w:hAnsi="Arial"/>
          <w:sz w:val="16"/>
          <w:szCs w:val="16"/>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Change in Control</w:t>
      </w:r>
      <w:r>
        <w:rPr>
          <w:rFonts w:ascii="Arial" w:cs="Arial" w:eastAsia="Arial" w:hAnsi="Arial"/>
          <w:sz w:val="16"/>
          <w:szCs w:val="16"/>
          <w:color w:val="auto"/>
        </w:rPr>
        <w:t>” will be deemed to have occurred if, with respect to any particular 24-month period, the individuals who, at the beginning of such 24-month period, constituted the Board of Directors of the Company (the “</w:t>
      </w:r>
      <w:r>
        <w:rPr>
          <w:rFonts w:ascii="Arial" w:cs="Arial" w:eastAsia="Arial" w:hAnsi="Arial"/>
          <w:sz w:val="16"/>
          <w:szCs w:val="16"/>
          <w:u w:val="single" w:color="auto"/>
          <w:color w:val="auto"/>
        </w:rPr>
        <w:t>Incumbent Board</w:t>
      </w:r>
      <w:r>
        <w:rPr>
          <w:rFonts w:ascii="Arial" w:cs="Arial" w:eastAsia="Arial" w:hAnsi="Arial"/>
          <w:sz w:val="16"/>
          <w:szCs w:val="16"/>
          <w:color w:val="auto"/>
        </w:rPr>
        <w:t xml:space="preserve">”) cease for any reason to constitute at least a majority of the Board of Directors;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any individual becoming a director subsequent to the beginning of such 24-month period whose election, or nomination for election by the stockholders of the Company, was approved by a vote of at least a majority of the directors then comprising the Incumbent Board shall be considered as though such individual were a member of the Incumbent Board, but excluding, for this purpose, any such individual whose initial assumption of office occurs as a result of an actual or threatened election contest with respect to the election or removal of directors or other actual or threatened solicitation of proxies or consents by or on behalf of a person other than the Board of Directors.</w:t>
      </w:r>
    </w:p>
    <w:p>
      <w:pPr>
        <w:spacing w:after="0" w:line="58" w:lineRule="exact"/>
        <w:rPr>
          <w:rFonts w:ascii="Arial" w:cs="Arial" w:eastAsia="Arial" w:hAnsi="Arial"/>
          <w:sz w:val="16"/>
          <w:szCs w:val="16"/>
          <w:color w:val="auto"/>
        </w:rPr>
      </w:pPr>
    </w:p>
    <w:p>
      <w:pPr>
        <w:ind w:right="740" w:firstLine="987"/>
        <w:spacing w:after="0" w:line="277" w:lineRule="auto"/>
        <w:tabs>
          <w:tab w:leader="none" w:pos="1246" w:val="left"/>
        </w:tabs>
        <w:numPr>
          <w:ilvl w:val="1"/>
          <w:numId w:val="5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Disinterested Director</w:t>
      </w:r>
      <w:r>
        <w:rPr>
          <w:rFonts w:ascii="Arial" w:cs="Arial" w:eastAsia="Arial" w:hAnsi="Arial"/>
          <w:sz w:val="18"/>
          <w:szCs w:val="18"/>
          <w:color w:val="auto"/>
        </w:rPr>
        <w:t>” means a director of the Company who is not or was not a party to the Proceeding in respect of which indemnification is being sought by the Indemnitee.</w:t>
      </w:r>
    </w:p>
    <w:p>
      <w:pPr>
        <w:spacing w:after="0" w:line="62" w:lineRule="exact"/>
        <w:rPr>
          <w:rFonts w:ascii="Arial" w:cs="Arial" w:eastAsia="Arial" w:hAnsi="Arial"/>
          <w:sz w:val="18"/>
          <w:szCs w:val="18"/>
          <w:color w:val="auto"/>
        </w:rPr>
      </w:pPr>
    </w:p>
    <w:p>
      <w:pPr>
        <w:ind w:firstLine="987"/>
        <w:spacing w:after="0" w:line="254" w:lineRule="auto"/>
        <w:tabs>
          <w:tab w:leader="none" w:pos="1236" w:val="left"/>
        </w:tabs>
        <w:numPr>
          <w:ilvl w:val="1"/>
          <w:numId w:val="59"/>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Expenses</w:t>
      </w:r>
      <w:r>
        <w:rPr>
          <w:rFonts w:ascii="Arial" w:cs="Arial" w:eastAsia="Arial" w:hAnsi="Arial"/>
          <w:sz w:val="18"/>
          <w:szCs w:val="18"/>
          <w:color w:val="auto"/>
        </w:rPr>
        <w:t>” includes, without limitation, expenses incurred in connection with the defense or settlement of any action, suit, arbitration, alternative dispute resolution mechanism, investigation, inquiry, judicial, administrative, or legislative hearing, or any other threatened, pending, or completed proceeding, whether brought by or in the right of the Company or otherwise, including any and all appeals, whether of a civil, criminal, administrative, legislative, investigative, or other nature, attorneys’ fees, witness fees and expenses, fees and expenses of accountants and other advisors, retainers and disbursements and advances thereon, the premium, security for, and other costs relating to any bond (including cost bonds, appraisal bonds, or their equivalents), and any expenses of establishing a right to indemnification or advancement under Sections 9, 11, 13, and 16 hereof, but shall not include the amount of judgments, fines, ERISA excise taxes, or penalties actually levied against the Indemnitee, or any amounts paid in settlement by or on behalf of the Indemnitee.</w:t>
      </w:r>
    </w:p>
    <w:p>
      <w:pPr>
        <w:spacing w:after="0" w:line="83" w:lineRule="exact"/>
        <w:rPr>
          <w:rFonts w:ascii="Arial" w:cs="Arial" w:eastAsia="Arial" w:hAnsi="Arial"/>
          <w:sz w:val="18"/>
          <w:szCs w:val="18"/>
          <w:color w:val="auto"/>
        </w:rPr>
      </w:pPr>
    </w:p>
    <w:p>
      <w:pPr>
        <w:ind w:right="40" w:firstLine="987"/>
        <w:spacing w:after="0" w:line="275" w:lineRule="auto"/>
        <w:tabs>
          <w:tab w:leader="none" w:pos="1246" w:val="left"/>
        </w:tabs>
        <w:numPr>
          <w:ilvl w:val="1"/>
          <w:numId w:val="59"/>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Independent Counsel</w:t>
      </w:r>
      <w:r>
        <w:rPr>
          <w:rFonts w:ascii="Arial" w:cs="Arial" w:eastAsia="Arial" w:hAnsi="Arial"/>
          <w:sz w:val="17"/>
          <w:szCs w:val="17"/>
          <w:color w:val="auto"/>
        </w:rPr>
        <w:t>” means a law firm or a member of a law firm that neither is presently nor in the past five years has been retained to represent (i) the Company or the Indemnitee in any matter material to either such party or (ii) any other party to the Proceeding giving rise to a request for indemnification hereunder. Notwithstanding the foregoing, the term “Independent Counsel” shall not include any person who, under the applicable standards of professional conduct then prevailing, would have a conflict of interest in representing either the Company or the Indemnitee in an action to determine the Indemnitee’s right to indemnification under this Agreement.</w:t>
      </w:r>
    </w:p>
    <w:p>
      <w:pPr>
        <w:spacing w:after="0" w:line="68" w:lineRule="exact"/>
        <w:rPr>
          <w:rFonts w:ascii="Arial" w:cs="Arial" w:eastAsia="Arial" w:hAnsi="Arial"/>
          <w:sz w:val="17"/>
          <w:szCs w:val="17"/>
          <w:color w:val="auto"/>
        </w:rPr>
      </w:pPr>
    </w:p>
    <w:p>
      <w:pPr>
        <w:ind w:right="160" w:firstLine="987"/>
        <w:spacing w:after="0" w:line="273" w:lineRule="auto"/>
        <w:tabs>
          <w:tab w:leader="none" w:pos="1236" w:val="left"/>
        </w:tabs>
        <w:numPr>
          <w:ilvl w:val="1"/>
          <w:numId w:val="59"/>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Proceeding</w:t>
      </w:r>
      <w:r>
        <w:rPr>
          <w:rFonts w:ascii="Arial" w:cs="Arial" w:eastAsia="Arial" w:hAnsi="Arial"/>
          <w:sz w:val="17"/>
          <w:szCs w:val="17"/>
          <w:color w:val="auto"/>
        </w:rPr>
        <w:t>” means any action, suit, arbitration, alternative dispute resolution mechanism, investigation, inquiry, judicial, administrative, or legislative hearing, or any other threatened, pending, or completed proceeding, whether brought by or in the right of the Company or otherwise, including any and all appeals, whether of a civil, criminal, administrative, legislative, investigative, or other nature, to which the Indemnitee was or is a party or is threatened to be made a party or is otherwise involved in by reason of the fact that the Indemnitee is or was a director, officer, employee, agent, or trustee of the Company or while a director, officer, employee, agent, or trustee of the Company is or was serving at the request of the Company as a director, officer, employee, agent, or trustee of another corporation or of a</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0" w:right="439" w:bottom="1440" w:gutter="0" w:footer="0" w:header="0"/>
        </w:sectPr>
      </w:pPr>
    </w:p>
    <w:bookmarkStart w:id="56" w:name="page57"/>
    <w:bookmarkEnd w:id="56"/>
    <w:p>
      <w:pPr>
        <w:ind w:right="3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partnership, joint venture, trust, or other enterprise, including service with respect to an employee benefit plan, or by reason of anything done or not done by the Indemnitee in any such capacity, whether or not the Indemnitee is serving in such capacity at the time any expense, liability, or loss is incurred for which indemnification or advancement can be provided under this Agreement.</w:t>
      </w:r>
    </w:p>
    <w:p>
      <w:pPr>
        <w:spacing w:after="0" w:line="76" w:lineRule="exact"/>
        <w:rPr>
          <w:sz w:val="20"/>
          <w:szCs w:val="20"/>
          <w:color w:val="auto"/>
        </w:rPr>
      </w:pPr>
    </w:p>
    <w:p>
      <w:pPr>
        <w:ind w:right="20" w:firstLine="436"/>
        <w:spacing w:after="0" w:line="263" w:lineRule="auto"/>
        <w:tabs>
          <w:tab w:leader="none" w:pos="620" w:val="left"/>
        </w:tabs>
        <w:numPr>
          <w:ilvl w:val="0"/>
          <w:numId w:val="60"/>
        </w:numPr>
        <w:rPr>
          <w:rFonts w:ascii="Arial" w:cs="Arial" w:eastAsia="Arial" w:hAnsi="Arial"/>
          <w:sz w:val="18"/>
          <w:szCs w:val="18"/>
          <w:color w:val="auto"/>
        </w:rPr>
      </w:pPr>
      <w:r>
        <w:rPr>
          <w:rFonts w:ascii="Arial" w:cs="Arial" w:eastAsia="Arial" w:hAnsi="Arial"/>
          <w:sz w:val="18"/>
          <w:szCs w:val="18"/>
          <w:u w:val="single" w:color="auto"/>
          <w:color w:val="auto"/>
        </w:rPr>
        <w:t>Service by the Indemnitee</w:t>
      </w:r>
      <w:r>
        <w:rPr>
          <w:rFonts w:ascii="Arial" w:cs="Arial" w:eastAsia="Arial" w:hAnsi="Arial"/>
          <w:sz w:val="18"/>
          <w:szCs w:val="18"/>
          <w:color w:val="auto"/>
        </w:rPr>
        <w:t>. The Indemnitee shall serve and/or continue to serve as a director or officer of the Company faithfully and to the best of the Indemnitee’s ability so long as the Indemnitee is duly elected or appointed and until such time as the Indemnitee’s successor is elected and qualified or the Indemnitee is removed as permitted by applicable law or tenders a resignation in writing.</w:t>
      </w:r>
    </w:p>
    <w:p>
      <w:pPr>
        <w:spacing w:after="0" w:line="75" w:lineRule="exact"/>
        <w:rPr>
          <w:rFonts w:ascii="Arial" w:cs="Arial" w:eastAsia="Arial" w:hAnsi="Arial"/>
          <w:sz w:val="18"/>
          <w:szCs w:val="18"/>
          <w:color w:val="auto"/>
        </w:rPr>
      </w:pPr>
    </w:p>
    <w:p>
      <w:pPr>
        <w:ind w:firstLine="436"/>
        <w:spacing w:after="0" w:line="255" w:lineRule="auto"/>
        <w:tabs>
          <w:tab w:leader="none" w:pos="620" w:val="left"/>
        </w:tabs>
        <w:numPr>
          <w:ilvl w:val="0"/>
          <w:numId w:val="60"/>
        </w:numPr>
        <w:rPr>
          <w:rFonts w:ascii="Arial" w:cs="Arial" w:eastAsia="Arial" w:hAnsi="Arial"/>
          <w:sz w:val="18"/>
          <w:szCs w:val="18"/>
          <w:color w:val="auto"/>
        </w:rPr>
      </w:pPr>
      <w:r>
        <w:rPr>
          <w:rFonts w:ascii="Arial" w:cs="Arial" w:eastAsia="Arial" w:hAnsi="Arial"/>
          <w:sz w:val="18"/>
          <w:szCs w:val="18"/>
          <w:u w:val="single" w:color="auto"/>
          <w:color w:val="auto"/>
        </w:rPr>
        <w:t>Indemnification and Advancement of Expenses</w:t>
      </w:r>
      <w:r>
        <w:rPr>
          <w:rFonts w:ascii="Arial" w:cs="Arial" w:eastAsia="Arial" w:hAnsi="Arial"/>
          <w:sz w:val="18"/>
          <w:szCs w:val="18"/>
          <w:color w:val="auto"/>
        </w:rPr>
        <w:t>. The Company shall indemnify and hold harmless the Indemnitee, and shall pay to the Indemnitee in advance of the final disposition of any Proceeding all Expenses incurred by the Indemnitee in defending any such Proceeding, to the fullest extent authorized by the DGCL, as the same exists or may hereafter be amended, all on the terms and conditions set forth in this Agreement. Without diminishing the scope of the rights provided by this Section, the rights of the Indemnitee to indemnification and advancement of Expenses provided hereunder shall include but shall not be limited to those rights hereinafter set forth, except that no indemnification or advancement of Expenses shall be paid to the Indemnitee:</w:t>
      </w:r>
    </w:p>
    <w:p>
      <w:pPr>
        <w:spacing w:after="0" w:line="84" w:lineRule="exact"/>
        <w:rPr>
          <w:rFonts w:ascii="Arial" w:cs="Arial" w:eastAsia="Arial" w:hAnsi="Arial"/>
          <w:sz w:val="18"/>
          <w:szCs w:val="18"/>
          <w:color w:val="auto"/>
        </w:rPr>
      </w:pPr>
    </w:p>
    <w:p>
      <w:pPr>
        <w:ind w:left="1240" w:hanging="253"/>
        <w:spacing w:after="0"/>
        <w:tabs>
          <w:tab w:leader="none" w:pos="1240" w:val="left"/>
        </w:tabs>
        <w:numPr>
          <w:ilvl w:val="1"/>
          <w:numId w:val="60"/>
        </w:numPr>
        <w:rPr>
          <w:rFonts w:ascii="Arial" w:cs="Arial" w:eastAsia="Arial" w:hAnsi="Arial"/>
          <w:sz w:val="18"/>
          <w:szCs w:val="18"/>
          <w:color w:val="auto"/>
        </w:rPr>
      </w:pPr>
      <w:r>
        <w:rPr>
          <w:rFonts w:ascii="Arial" w:cs="Arial" w:eastAsia="Arial" w:hAnsi="Arial"/>
          <w:sz w:val="18"/>
          <w:szCs w:val="18"/>
          <w:color w:val="auto"/>
        </w:rPr>
        <w:t>to the extent expressly prohibited by applicable law or the Certificate of Incorporation or Bylaws of the Company;</w:t>
      </w:r>
    </w:p>
    <w:p>
      <w:pPr>
        <w:spacing w:after="0" w:line="117" w:lineRule="exact"/>
        <w:rPr>
          <w:rFonts w:ascii="Arial" w:cs="Arial" w:eastAsia="Arial" w:hAnsi="Arial"/>
          <w:sz w:val="18"/>
          <w:szCs w:val="18"/>
          <w:color w:val="auto"/>
        </w:rPr>
      </w:pPr>
    </w:p>
    <w:p>
      <w:pPr>
        <w:ind w:firstLine="987"/>
        <w:spacing w:after="0" w:line="311" w:lineRule="auto"/>
        <w:tabs>
          <w:tab w:leader="none" w:pos="1246" w:val="left"/>
        </w:tabs>
        <w:numPr>
          <w:ilvl w:val="1"/>
          <w:numId w:val="60"/>
        </w:numPr>
        <w:rPr>
          <w:rFonts w:ascii="Arial" w:cs="Arial" w:eastAsia="Arial" w:hAnsi="Arial"/>
          <w:sz w:val="16"/>
          <w:szCs w:val="16"/>
          <w:color w:val="auto"/>
        </w:rPr>
      </w:pPr>
      <w:r>
        <w:rPr>
          <w:rFonts w:ascii="Arial" w:cs="Arial" w:eastAsia="Arial" w:hAnsi="Arial"/>
          <w:sz w:val="16"/>
          <w:szCs w:val="16"/>
          <w:color w:val="auto"/>
        </w:rPr>
        <w:t>for and to the extent that payment is actually made to the Indemnitee under a valid and collectible insurance policy or under a valid and enforceable indemnity clause, provision of the certificate of incorporation or bylaws, or agreement of the Company or any other company or other enterprise (and the Indemnitee shall reimburse the Company for any amounts paid by the Company and subsequently so recovered by the Indemnitee);</w:t>
      </w:r>
    </w:p>
    <w:p>
      <w:pPr>
        <w:spacing w:after="0" w:line="40" w:lineRule="exact"/>
        <w:rPr>
          <w:rFonts w:ascii="Arial" w:cs="Arial" w:eastAsia="Arial" w:hAnsi="Arial"/>
          <w:sz w:val="16"/>
          <w:szCs w:val="16"/>
          <w:color w:val="auto"/>
        </w:rPr>
      </w:pPr>
    </w:p>
    <w:p>
      <w:pPr>
        <w:ind w:right="300" w:firstLine="987"/>
        <w:spacing w:after="0" w:line="257" w:lineRule="auto"/>
        <w:tabs>
          <w:tab w:leader="none" w:pos="1236" w:val="left"/>
        </w:tabs>
        <w:numPr>
          <w:ilvl w:val="1"/>
          <w:numId w:val="60"/>
        </w:numPr>
        <w:rPr>
          <w:rFonts w:ascii="Arial" w:cs="Arial" w:eastAsia="Arial" w:hAnsi="Arial"/>
          <w:sz w:val="18"/>
          <w:szCs w:val="18"/>
          <w:color w:val="auto"/>
        </w:rPr>
      </w:pPr>
      <w:r>
        <w:rPr>
          <w:rFonts w:ascii="Arial" w:cs="Arial" w:eastAsia="Arial" w:hAnsi="Arial"/>
          <w:sz w:val="18"/>
          <w:szCs w:val="18"/>
          <w:color w:val="auto"/>
        </w:rPr>
        <w:t>in connection with an action, suit, or proceeding, or part thereof voluntarily initiated by the Indemnitee (including claims and counterclaims, whether such counterclaims are asserted by (i) the Indemnitee, or (ii) the Company in an action, suit, or proceeding initiated by the Indemnitee), except a judicial proceeding or arbitration pursuant to Section 11 to enforce rights under this Agreement, unless the action, suit, or proceeding, or part thereof, was authorized or ratified by the Board of Directors of the Company or the Board of Directors otherwise determines that indemnification or advancement of Expenses is appropriate;</w:t>
      </w:r>
    </w:p>
    <w:p>
      <w:pPr>
        <w:spacing w:after="0" w:line="79" w:lineRule="exact"/>
        <w:rPr>
          <w:rFonts w:ascii="Arial" w:cs="Arial" w:eastAsia="Arial" w:hAnsi="Arial"/>
          <w:sz w:val="18"/>
          <w:szCs w:val="18"/>
          <w:color w:val="auto"/>
        </w:rPr>
      </w:pPr>
    </w:p>
    <w:p>
      <w:pPr>
        <w:ind w:right="320" w:firstLine="987"/>
        <w:spacing w:after="0" w:line="277" w:lineRule="auto"/>
        <w:tabs>
          <w:tab w:leader="none" w:pos="1246" w:val="left"/>
        </w:tabs>
        <w:numPr>
          <w:ilvl w:val="1"/>
          <w:numId w:val="60"/>
        </w:numPr>
        <w:rPr>
          <w:rFonts w:ascii="Arial" w:cs="Arial" w:eastAsia="Arial" w:hAnsi="Arial"/>
          <w:sz w:val="18"/>
          <w:szCs w:val="18"/>
          <w:color w:val="auto"/>
        </w:rPr>
      </w:pPr>
      <w:r>
        <w:rPr>
          <w:rFonts w:ascii="Arial" w:cs="Arial" w:eastAsia="Arial" w:hAnsi="Arial"/>
          <w:sz w:val="18"/>
          <w:szCs w:val="18"/>
          <w:color w:val="auto"/>
        </w:rPr>
        <w:t>with respect to any Proceeding brought by or in the right of the Company against the Indemnitee that is authorized by the Board of Directors of the Company, except as provided in Sections 5, 6, and 7 below.</w:t>
      </w:r>
    </w:p>
    <w:p>
      <w:pPr>
        <w:spacing w:after="0" w:line="62" w:lineRule="exact"/>
        <w:rPr>
          <w:rFonts w:ascii="Arial" w:cs="Arial" w:eastAsia="Arial" w:hAnsi="Arial"/>
          <w:sz w:val="18"/>
          <w:szCs w:val="18"/>
          <w:color w:val="auto"/>
        </w:rPr>
      </w:pPr>
    </w:p>
    <w:p>
      <w:pPr>
        <w:ind w:right="160" w:firstLine="436"/>
        <w:spacing w:after="0" w:line="263" w:lineRule="auto"/>
        <w:tabs>
          <w:tab w:leader="none" w:pos="620" w:val="left"/>
        </w:tabs>
        <w:numPr>
          <w:ilvl w:val="0"/>
          <w:numId w:val="60"/>
        </w:numPr>
        <w:rPr>
          <w:rFonts w:ascii="Arial" w:cs="Arial" w:eastAsia="Arial" w:hAnsi="Arial"/>
          <w:sz w:val="18"/>
          <w:szCs w:val="18"/>
          <w:color w:val="auto"/>
        </w:rPr>
      </w:pPr>
      <w:r>
        <w:rPr>
          <w:rFonts w:ascii="Arial" w:cs="Arial" w:eastAsia="Arial" w:hAnsi="Arial"/>
          <w:sz w:val="18"/>
          <w:szCs w:val="18"/>
          <w:u w:val="single" w:color="auto"/>
          <w:color w:val="auto"/>
        </w:rPr>
        <w:t>Action or Proceedings Other than an Action by or in the Right of the Company</w:t>
      </w:r>
      <w:r>
        <w:rPr>
          <w:rFonts w:ascii="Arial" w:cs="Arial" w:eastAsia="Arial" w:hAnsi="Arial"/>
          <w:sz w:val="18"/>
          <w:szCs w:val="18"/>
          <w:color w:val="auto"/>
        </w:rPr>
        <w:t>. Except as limited by Section 3 above, the Indemnitee shall be entitled to the indemnification rights provided in this Section if the Indemnitee was or is a party or is threatened to be made a party to, or was or is otherwise involved in, any Proceeding (other than an action by or in the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4" w:right="479" w:bottom="1440" w:gutter="0" w:footer="0" w:header="0"/>
        </w:sectPr>
      </w:pPr>
    </w:p>
    <w:bookmarkStart w:id="57" w:name="page58"/>
    <w:bookmarkEnd w:id="57"/>
    <w:p>
      <w:pPr>
        <w:ind w:right="2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right of the Company) by reason of the fact that the Indemnitee is or was a director, officer, employee, agent, or trustee of the Company or while a director, officer, employee, agent, or trustee of the Company is or was serving at the request of the Company as a director, officer, employee, agent, or trustee of another corporation or of a partnership, joint venture, trust, or other enterprise, including service with respect to an employee benefit plan, or by reason of anything done or not done by the Indemnitee in any such capacity. Pursuant to this Section, the Indemnitee shall be indemnified against all expense, liability, and loss (including judgments, fines, ERISA excise taxes, penalties, amounts paid in settlement by or on behalf of the Indemnitee, and Expenses) actually and reasonably incurred by the Indemnitee in connection with such Proceeding, if the Indemnitee acted in good faith and in a manner the Indemnitee reasonably believed to be in or not opposed to the best interests of the Company, and with respect to any criminal Proceeding, had no reasonable cause to believe his or her conduct was unlawful.</w:t>
      </w:r>
    </w:p>
    <w:p>
      <w:pPr>
        <w:spacing w:after="0" w:line="70" w:lineRule="exact"/>
        <w:rPr>
          <w:sz w:val="20"/>
          <w:szCs w:val="20"/>
          <w:color w:val="auto"/>
        </w:rPr>
      </w:pPr>
    </w:p>
    <w:p>
      <w:pPr>
        <w:ind w:firstLine="436"/>
        <w:spacing w:after="0" w:line="268" w:lineRule="auto"/>
        <w:tabs>
          <w:tab w:leader="none" w:pos="620" w:val="left"/>
        </w:tabs>
        <w:numPr>
          <w:ilvl w:val="0"/>
          <w:numId w:val="61"/>
        </w:numPr>
        <w:rPr>
          <w:rFonts w:ascii="Arial" w:cs="Arial" w:eastAsia="Arial" w:hAnsi="Arial"/>
          <w:sz w:val="17"/>
          <w:szCs w:val="17"/>
          <w:color w:val="auto"/>
        </w:rPr>
      </w:pPr>
      <w:r>
        <w:rPr>
          <w:rFonts w:ascii="Arial" w:cs="Arial" w:eastAsia="Arial" w:hAnsi="Arial"/>
          <w:sz w:val="17"/>
          <w:szCs w:val="17"/>
          <w:u w:val="single" w:color="auto"/>
          <w:color w:val="auto"/>
        </w:rPr>
        <w:t>Indemnity in Proceedings by or in the Right of the Company</w:t>
      </w:r>
      <w:r>
        <w:rPr>
          <w:rFonts w:ascii="Arial" w:cs="Arial" w:eastAsia="Arial" w:hAnsi="Arial"/>
          <w:sz w:val="17"/>
          <w:szCs w:val="17"/>
          <w:color w:val="auto"/>
        </w:rPr>
        <w:t xml:space="preserve">. Except as limited by Section 3 above, the Indemnitee shall be entitled to the indemnification rights provided in this Section if the Indemnitee was or is a party or is threatened to be made a party to, or was or is otherwise involved in, any Proceeding brought by or in the right of the Company to procure a judgment in its favor by reason of the fact that the Indemnitee is or was a director, officer, employee, agent, or trustee of the Company or while a director, officer, employee, agent, or trustee of the Company is or was serving at the request of the Company as a director, officer, employee, agent, or trustee of another corporation or of a partnership, joint venture, trust, or other enterprise, including service with respect to an employee benefit plan, or by reason of anything done or not done by the Indemnitee in any such capacity. Pursuant to this Section, the Indemnitee shall be indemnified against all Expenses actually and reasonably incurred by the Indemnitee in connection with such Proceeding if the Indemnitee acted in good faith and in a manner the Indemnitee reasonably believed to be in or not opposed to the best interests of the Company;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no such indemnification shall be made in respect of any claim, issue, or matter as to which the DGCL expressly prohibits such indemnification by reason of any adjudication of liability of the Indemnitee to the Company, unless and only to the extent that the Court of Chancery of the State of Delaware or the court in which such Proceeding was brought shall determine upon application that, despite the adjudication of liability but in view of all the circumstances of the case, the Indemnitee is entitled to indemnification for such expense, liability, and loss as such court shall deem proper.</w:t>
      </w:r>
    </w:p>
    <w:p>
      <w:pPr>
        <w:spacing w:after="0" w:line="78" w:lineRule="exact"/>
        <w:rPr>
          <w:rFonts w:ascii="Arial" w:cs="Arial" w:eastAsia="Arial" w:hAnsi="Arial"/>
          <w:sz w:val="17"/>
          <w:szCs w:val="17"/>
          <w:color w:val="auto"/>
        </w:rPr>
      </w:pPr>
    </w:p>
    <w:p>
      <w:pPr>
        <w:ind w:firstLine="436"/>
        <w:spacing w:after="0" w:line="255" w:lineRule="auto"/>
        <w:tabs>
          <w:tab w:leader="none" w:pos="620" w:val="left"/>
        </w:tabs>
        <w:numPr>
          <w:ilvl w:val="0"/>
          <w:numId w:val="61"/>
        </w:numPr>
        <w:rPr>
          <w:rFonts w:ascii="Arial" w:cs="Arial" w:eastAsia="Arial" w:hAnsi="Arial"/>
          <w:sz w:val="18"/>
          <w:szCs w:val="18"/>
          <w:color w:val="auto"/>
        </w:rPr>
      </w:pPr>
      <w:r>
        <w:rPr>
          <w:rFonts w:ascii="Arial" w:cs="Arial" w:eastAsia="Arial" w:hAnsi="Arial"/>
          <w:sz w:val="18"/>
          <w:szCs w:val="18"/>
          <w:u w:val="single" w:color="auto"/>
          <w:color w:val="auto"/>
        </w:rPr>
        <w:t>Indemnification for Costs, Charges, and Expenses of Successful Party</w:t>
      </w:r>
      <w:r>
        <w:rPr>
          <w:rFonts w:ascii="Arial" w:cs="Arial" w:eastAsia="Arial" w:hAnsi="Arial"/>
          <w:sz w:val="18"/>
          <w:szCs w:val="18"/>
          <w:color w:val="auto"/>
        </w:rPr>
        <w:t>. Notwithstanding any limitations of Sections 3(c), 3(d), 4, and 5 above, to the extent that the Indemnitee has been successful, on the merits or otherwise, in whole or in part, in defense of any Proceeding, or in defense of any claim, issue, or matter therein, including, without limitation, the dismissal of any action without prejudice, or if it is ultimately determined, by final judicial decision of a court of competent jurisdiction from which there is no further right to appeal, that the Indemnitee is otherwise entitled to be indemnified against Expenses, the Indemnitee shall be indemnified against all Expenses actually and reasonably incurred by the Indemnitee in connection therewith.</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58" w:name="page59"/>
    <w:bookmarkEnd w:id="58"/>
    <w:p>
      <w:pPr>
        <w:ind w:left="4" w:right="200" w:firstLine="436"/>
        <w:spacing w:after="0" w:line="255" w:lineRule="auto"/>
        <w:tabs>
          <w:tab w:leader="none" w:pos="624" w:val="left"/>
        </w:tabs>
        <w:numPr>
          <w:ilvl w:val="1"/>
          <w:numId w:val="6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Partial Indemnification</w:t>
      </w:r>
      <w:r>
        <w:rPr>
          <w:rFonts w:ascii="Arial" w:cs="Arial" w:eastAsia="Arial" w:hAnsi="Arial"/>
          <w:sz w:val="18"/>
          <w:szCs w:val="18"/>
          <w:color w:val="auto"/>
        </w:rPr>
        <w:t>. If the Indemnitee is entitled under any provision of this Agreement to indemnification by the Company for some or a portion of the expense, liability, and loss (including judgments, fines, ERISA excise taxes, penalties, amounts paid in settlement by or on behalf of the Indemnitee, and Expenses) actually and reasonably incurred in connection with any Proceeding, or in connection with any judicial proceeding or arbitration pursuant to Section 11 to enforce rights under this Agreement, but not, however, for all of the total amount thereof, the Company shall nevertheless indemnify the Indemnitee for the portion of such expense, liability, and loss actually and reasonably incurred to which the Indemnitee is entitled.</w:t>
      </w:r>
    </w:p>
    <w:p>
      <w:pPr>
        <w:spacing w:after="0" w:line="84" w:lineRule="exact"/>
        <w:rPr>
          <w:rFonts w:ascii="Arial" w:cs="Arial" w:eastAsia="Arial" w:hAnsi="Arial"/>
          <w:sz w:val="18"/>
          <w:szCs w:val="18"/>
          <w:color w:val="auto"/>
        </w:rPr>
      </w:pPr>
    </w:p>
    <w:p>
      <w:pPr>
        <w:ind w:left="4" w:right="60" w:firstLine="436"/>
        <w:spacing w:after="0" w:line="284" w:lineRule="auto"/>
        <w:tabs>
          <w:tab w:leader="none" w:pos="624" w:val="left"/>
        </w:tabs>
        <w:numPr>
          <w:ilvl w:val="1"/>
          <w:numId w:val="62"/>
        </w:numPr>
        <w:rPr>
          <w:rFonts w:ascii="Arial" w:cs="Arial" w:eastAsia="Arial" w:hAnsi="Arial"/>
          <w:sz w:val="16"/>
          <w:szCs w:val="16"/>
          <w:color w:val="auto"/>
        </w:rPr>
      </w:pPr>
      <w:r>
        <w:rPr>
          <w:rFonts w:ascii="Arial" w:cs="Arial" w:eastAsia="Arial" w:hAnsi="Arial"/>
          <w:sz w:val="16"/>
          <w:szCs w:val="16"/>
          <w:u w:val="single" w:color="auto"/>
          <w:color w:val="auto"/>
        </w:rPr>
        <w:t>Determination of Entitlement to Indemnification</w:t>
      </w:r>
      <w:r>
        <w:rPr>
          <w:rFonts w:ascii="Arial" w:cs="Arial" w:eastAsia="Arial" w:hAnsi="Arial"/>
          <w:sz w:val="16"/>
          <w:szCs w:val="16"/>
          <w:color w:val="auto"/>
        </w:rPr>
        <w:t>. To receive indemnification under this Agreement, the Indemnitee shall submit a written request to the Secretary of the Company. Such request shall include documentation or information that is necessary for such determination and is reasonably available to the Indemnitee. Upon receipt by the Secretary of the Company of a written request by the Indemnitee for indemnification, the entitlement of the Indemnitee to indemnification, to the extent not required pursuant to the terms of Section 6 of this Agreement, shall be determined by the following person or persons who shall be empowered to make such determination (as selected by the Board of Directors, except with respect to Section 9(e) below): (a) the Board of Directors of the Company by a majority vote of Disinterested Directors, whether or not such majority constitutes a quorum; (b) a committee of Disinterested Directors designated by a majority vote of such directors, whether or not such majority constitutes a quorum;</w:t>
      </w:r>
    </w:p>
    <w:p>
      <w:pPr>
        <w:spacing w:after="0" w:line="2" w:lineRule="exact"/>
        <w:rPr>
          <w:rFonts w:ascii="Arial" w:cs="Arial" w:eastAsia="Arial" w:hAnsi="Arial"/>
          <w:sz w:val="16"/>
          <w:szCs w:val="16"/>
          <w:color w:val="auto"/>
        </w:rPr>
      </w:pPr>
    </w:p>
    <w:p>
      <w:pPr>
        <w:ind w:left="4" w:right="40" w:hanging="4"/>
        <w:spacing w:after="0" w:line="267" w:lineRule="auto"/>
        <w:tabs>
          <w:tab w:leader="none" w:pos="249" w:val="left"/>
        </w:tabs>
        <w:numPr>
          <w:ilvl w:val="0"/>
          <w:numId w:val="63"/>
        </w:numPr>
        <w:rPr>
          <w:rFonts w:ascii="Arial" w:cs="Arial" w:eastAsia="Arial" w:hAnsi="Arial"/>
          <w:sz w:val="17"/>
          <w:szCs w:val="17"/>
          <w:color w:val="auto"/>
        </w:rPr>
      </w:pPr>
      <w:r>
        <w:rPr>
          <w:rFonts w:ascii="Arial" w:cs="Arial" w:eastAsia="Arial" w:hAnsi="Arial"/>
          <w:sz w:val="17"/>
          <w:szCs w:val="17"/>
          <w:color w:val="auto"/>
        </w:rPr>
        <w:t>if there are no Disinterested Directors, or if the Disinterested Directors so direct, by Independent Counsel in a written opinion to the Board of Directors, a copy of which shall be delivered to the Indemnitee; (d) the stockholders of the Company; or (e) in the event that a Change in Control has occurred, by Independent Counsel in a written opinion to the Board of Directors, a copy of which shall be delivered to the Indemnitee. Such Independent Counsel shall be selected by the Board of Directors and approved by the Indemnitee, except that in the event that a Change in Control has occurred, Independent Counsel shall be selected by the Indemnitee. Upon failure of the Board of Directors so to select such Independent Counsel or upon failure of the Indemnitee so to approve (or so to select, in the event a Change in Control has occurred), such Independent Counsel shall be selected upon application to a court of competent jurisdiction. The determination of entitlement to indemnification shall be made and, unless a contrary determination is made, such indemnification shall be paid in full by the Company not later than 60 calendar days after receipt by the Secretary of the Company of a written request for indemnification. If the person making such determination shall determine that the Indemnitee is entitled to indemnification as to part (but not all) of the application for indemnification, such person shall reasonably prorate such partial indemnification among the claims, issues, or matters at issue at the time of the determination.</w:t>
      </w:r>
    </w:p>
    <w:p>
      <w:pPr>
        <w:spacing w:after="0" w:line="77" w:lineRule="exact"/>
        <w:rPr>
          <w:rFonts w:ascii="Arial" w:cs="Arial" w:eastAsia="Arial" w:hAnsi="Arial"/>
          <w:sz w:val="17"/>
          <w:szCs w:val="17"/>
          <w:color w:val="auto"/>
        </w:rPr>
      </w:pPr>
    </w:p>
    <w:p>
      <w:pPr>
        <w:ind w:left="4" w:firstLine="436"/>
        <w:spacing w:after="0" w:line="291" w:lineRule="auto"/>
        <w:tabs>
          <w:tab w:leader="none" w:pos="624" w:val="left"/>
        </w:tabs>
        <w:numPr>
          <w:ilvl w:val="1"/>
          <w:numId w:val="63"/>
        </w:numPr>
        <w:rPr>
          <w:rFonts w:ascii="Arial" w:cs="Arial" w:eastAsia="Arial" w:hAnsi="Arial"/>
          <w:sz w:val="16"/>
          <w:szCs w:val="16"/>
          <w:color w:val="auto"/>
        </w:rPr>
      </w:pPr>
      <w:r>
        <w:rPr>
          <w:rFonts w:ascii="Arial" w:cs="Arial" w:eastAsia="Arial" w:hAnsi="Arial"/>
          <w:sz w:val="16"/>
          <w:szCs w:val="16"/>
          <w:u w:val="single" w:color="auto"/>
          <w:color w:val="auto"/>
        </w:rPr>
        <w:t>Presumptions and Effect of Certain Proceedings</w:t>
      </w:r>
      <w:r>
        <w:rPr>
          <w:rFonts w:ascii="Arial" w:cs="Arial" w:eastAsia="Arial" w:hAnsi="Arial"/>
          <w:sz w:val="16"/>
          <w:szCs w:val="16"/>
          <w:color w:val="auto"/>
        </w:rPr>
        <w:t>. The Secretary of the Company shall, promptly upon receipt of the Indemnitee’s written request for indemnification, advise in writing the Board of Directors or such other person or persons empowered to make the determination as provided in Section 9 that the Indemnitee has made such request for indemnification. Upon making such request for indemnification, the Indemnitee shall be presumed to be entitled to indemnification hereunder and the Company shall have the burden of proof in making any determination contrary to such presumption. If the person or persons so empowered to make such determination shall have failed to make the requested determination with respect to indemnification within 60 calendar days after receipt by the Secretary of the Company of such request, a requisite determination of entitlement to indemnification shall be deemed to have been made and the Indemnitee shall be absolutely entitled to such</w:t>
      </w:r>
    </w:p>
    <w:p>
      <w:pPr>
        <w:spacing w:after="0" w:line="9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4"/>
          </w:cols>
          <w:pgMar w:left="436" w:top="274" w:right="459" w:bottom="1440" w:gutter="0" w:footer="0" w:header="0"/>
        </w:sectPr>
      </w:pPr>
    </w:p>
    <w:bookmarkStart w:id="59" w:name="page60"/>
    <w:bookmarkEnd w:id="59"/>
    <w:p>
      <w:pPr>
        <w:ind w:right="16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indemnification, absent actual fraud in the request for indemnification. The termination of any Proceeding described in Sections 4 or 5 by judgment, order, settlement, or conviction, or upon a plea of </w:t>
      </w:r>
      <w:r>
        <w:rPr>
          <w:rFonts w:ascii="Arial" w:cs="Arial" w:eastAsia="Arial" w:hAnsi="Arial"/>
          <w:sz w:val="18"/>
          <w:szCs w:val="18"/>
          <w:i w:val="1"/>
          <w:iCs w:val="1"/>
          <w:color w:val="auto"/>
        </w:rPr>
        <w:t>nolo contendere</w:t>
      </w:r>
      <w:r>
        <w:rPr>
          <w:rFonts w:ascii="Arial" w:cs="Arial" w:eastAsia="Arial" w:hAnsi="Arial"/>
          <w:sz w:val="18"/>
          <w:szCs w:val="18"/>
          <w:color w:val="auto"/>
        </w:rPr>
        <w:t xml:space="preserve"> or its equivalent, shall not, of itself (a) create a presumption that the Indemnitee did not act in good faith and in a manner the Indemnitee reasonably believed to be in or not opposed to the best interests of the Company, and with respect to any criminal Proceeding, had reasonable cause to believe his or her conduct was unlawful or (b) otherwise adversely affect the rights of the Indemnitee to indemnification except as may be provided herein.</w:t>
      </w:r>
    </w:p>
    <w:p>
      <w:pPr>
        <w:spacing w:after="0" w:line="80" w:lineRule="exact"/>
        <w:rPr>
          <w:sz w:val="20"/>
          <w:szCs w:val="20"/>
          <w:color w:val="auto"/>
        </w:rPr>
      </w:pPr>
    </w:p>
    <w:p>
      <w:pPr>
        <w:ind w:firstLine="436"/>
        <w:spacing w:after="0" w:line="284" w:lineRule="auto"/>
        <w:tabs>
          <w:tab w:leader="none" w:pos="710" w:val="left"/>
        </w:tabs>
        <w:numPr>
          <w:ilvl w:val="0"/>
          <w:numId w:val="64"/>
        </w:numPr>
        <w:rPr>
          <w:rFonts w:ascii="Arial" w:cs="Arial" w:eastAsia="Arial" w:hAnsi="Arial"/>
          <w:sz w:val="16"/>
          <w:szCs w:val="16"/>
          <w:color w:val="auto"/>
        </w:rPr>
      </w:pPr>
      <w:r>
        <w:rPr>
          <w:rFonts w:ascii="Arial" w:cs="Arial" w:eastAsia="Arial" w:hAnsi="Arial"/>
          <w:sz w:val="16"/>
          <w:szCs w:val="16"/>
          <w:u w:val="single" w:color="auto"/>
          <w:color w:val="auto"/>
        </w:rPr>
        <w:t>Remedies of the Indemnitee in Cases of Determination Not to Indemnify or to Advance Expenses; Right to Bring Suit</w:t>
      </w:r>
      <w:r>
        <w:rPr>
          <w:rFonts w:ascii="Arial" w:cs="Arial" w:eastAsia="Arial" w:hAnsi="Arial"/>
          <w:sz w:val="16"/>
          <w:szCs w:val="16"/>
          <w:color w:val="auto"/>
        </w:rPr>
        <w:t>. In the event that a determination is made that the Indemnitee is not entitled to indemnification hereunder or if payment is not timely made following a determination of entitlement to indemnification pursuant to Sections 9 and 10, or if an advancement of Expenses is not timely made pursuant to Section 16, the Indemnitee may at any time thereafter bring suit against the Company seeking an adjudication of entitlement to such indemnification or advancement of Expenses, and any such suit shall be brought in the Court of Chancery of the State of Delaware unless otherwise required by the law of the state in which the Indemnitee primarily resides and works. Alternatively, the Indemnitee at the Indemnitee’s option may seek an award in an arbitration to be conducted by a single arbitrator in the State of Delaware pursuant to the rules of the American Arbitration Association, such award to be made within 60 calendar days following the filing of the demand for arbitration. The Company shall not oppose the Indemnitee’s right to seek any such adjudication or award in arbitration. In any suit or arbitration brought by the Indemnitee to enforce a right to indemnification hereunder (but not in a suit or arbitration brought by the Indemnitee to enforce a right to an advancement of Expenses), it shall be a defense that the Indemnitee has not met any applicable standard of conduct for indemnification set forth in the DGCL, including the standard described in Section 4 or 5, as applicable. Further, in any suit brought by the Company to recover an advancement of Expenses pursuant to the terms of an undertaking, the Company shall be entitled to recover such Expenses upon a final judicial decision of a court of competent jurisdiction from which there is no further right to appeal that the Indemnitee has not met the standard of conduct described above. Neither the failure of the Company (including the Disinterested Directors, a committee of Disinterested Directors, Independent Counsel, or its stockholders) to have made a determination prior to the commencement of such suit or arbitration that indemnification of the Indemnitee is proper in the circumstances because the Indemnitee has met the standard of conduct described above, nor an actual determination by the Company (including the Disinterested Directors, a committee of Disinterested Directors, Independent Counsel, or its stockholders) that the Indemnitee has not met the standard of conduct described above shall create a presumption that the Indemnitee has not met the standard of conduct described above, or, in the case of such a suit brought by the Indemnitee, be a defense to such suit. In any suit brought by the Indemnitee to enforce a right to indemnification or to an advancement of Expenses hereunder, or brought by the Company to recover an advancement of Expenses pursuant to the terms of an undertaking, the burden of proving that the Indemnitee is not entitled to be indemnified, or to such advancement of expenses, under this Section 11 or otherwise shall be on the Company. If a determination is made or deemed to have been made pursuant to the terms of Section 9 or 10 that the Indemnitee is entitled to indemnification, the Company shall be bound by such determination and is precluded from asserting that such determination has not been made or that the procedure by which such determination was made is not valid, binding, and enforceable. The Company further agrees to stipulate in any court or before any arbitrator pursuant to this Section 11 that the</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60" w:name="page61"/>
    <w:bookmarkEnd w:id="60"/>
    <w:p>
      <w:pPr>
        <w:ind w:right="14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Company is bound by all the provisions of this Agreement and is precluded from making any assertions to the contrary. If the court or arbitrator shall determine that the Indemnitee is entitled to any indemnification or advancement of Expenses hereunder, the Company shall pay all Expenses actually and reasonably incurred by the Indemnitee in connection with such adjudication or award in arbitration (including, but not limited to, any appellate proceedings) to the fullest extent permitted by law, and in any suit brought by the Company to recover an advancement of Expenses pursuant to the terms of an undertaking, the Company shall pay all Expenses actually and reasonably incurred by the Indemnitee in connection with such suit to the extent the Indemnitee has been successful, on the merits or otherwise, in whole or in part, in defense of such suit, to the fullest extent permitted by law.</w:t>
      </w:r>
    </w:p>
    <w:p>
      <w:pPr>
        <w:spacing w:after="0" w:line="56" w:lineRule="exact"/>
        <w:rPr>
          <w:sz w:val="20"/>
          <w:szCs w:val="20"/>
          <w:color w:val="auto"/>
        </w:rPr>
      </w:pPr>
    </w:p>
    <w:p>
      <w:pPr>
        <w:jc w:val="both"/>
        <w:ind w:firstLine="436"/>
        <w:spacing w:after="0" w:line="286" w:lineRule="auto"/>
        <w:tabs>
          <w:tab w:leader="none" w:pos="703" w:val="left"/>
        </w:tabs>
        <w:numPr>
          <w:ilvl w:val="0"/>
          <w:numId w:val="65"/>
        </w:numPr>
        <w:rPr>
          <w:rFonts w:ascii="Arial" w:cs="Arial" w:eastAsia="Arial" w:hAnsi="Arial"/>
          <w:sz w:val="17"/>
          <w:szCs w:val="17"/>
          <w:color w:val="auto"/>
        </w:rPr>
      </w:pPr>
      <w:r>
        <w:rPr>
          <w:rFonts w:ascii="Arial" w:cs="Arial" w:eastAsia="Arial" w:hAnsi="Arial"/>
          <w:sz w:val="17"/>
          <w:szCs w:val="17"/>
          <w:u w:val="single" w:color="auto"/>
          <w:color w:val="auto"/>
        </w:rPr>
        <w:t>Non-Exclusivity of Rights</w:t>
      </w:r>
      <w:r>
        <w:rPr>
          <w:rFonts w:ascii="Arial" w:cs="Arial" w:eastAsia="Arial" w:hAnsi="Arial"/>
          <w:sz w:val="17"/>
          <w:szCs w:val="17"/>
          <w:color w:val="auto"/>
        </w:rPr>
        <w:t>. The rights to indemnification and to the advancement of Expenses provided by this Agreement shall not be deemed exclusive of any other right that the Indemnitee may now or hereafter acquire under any applicable law, agreement, vote of stockholders or Disinterested Directors, provisions of a charter or bylaws (including the Certificate of Incorporation or Bylaws of the Company), or otherwise.</w:t>
      </w:r>
    </w:p>
    <w:p>
      <w:pPr>
        <w:spacing w:after="0" w:line="57" w:lineRule="exact"/>
        <w:rPr>
          <w:rFonts w:ascii="Arial" w:cs="Arial" w:eastAsia="Arial" w:hAnsi="Arial"/>
          <w:sz w:val="17"/>
          <w:szCs w:val="17"/>
          <w:color w:val="auto"/>
        </w:rPr>
      </w:pPr>
    </w:p>
    <w:p>
      <w:pPr>
        <w:ind w:right="20" w:firstLine="436"/>
        <w:spacing w:after="0" w:line="257" w:lineRule="auto"/>
        <w:tabs>
          <w:tab w:leader="none" w:pos="710" w:val="left"/>
        </w:tabs>
        <w:numPr>
          <w:ilvl w:val="0"/>
          <w:numId w:val="65"/>
        </w:numPr>
        <w:rPr>
          <w:rFonts w:ascii="Arial" w:cs="Arial" w:eastAsia="Arial" w:hAnsi="Arial"/>
          <w:sz w:val="18"/>
          <w:szCs w:val="18"/>
          <w:color w:val="auto"/>
        </w:rPr>
      </w:pPr>
      <w:r>
        <w:rPr>
          <w:rFonts w:ascii="Arial" w:cs="Arial" w:eastAsia="Arial" w:hAnsi="Arial"/>
          <w:sz w:val="18"/>
          <w:szCs w:val="18"/>
          <w:u w:val="single" w:color="auto"/>
          <w:color w:val="auto"/>
        </w:rPr>
        <w:t>Expenses to Enforce Agreement</w:t>
      </w:r>
      <w:r>
        <w:rPr>
          <w:rFonts w:ascii="Arial" w:cs="Arial" w:eastAsia="Arial" w:hAnsi="Arial"/>
          <w:sz w:val="18"/>
          <w:szCs w:val="18"/>
          <w:color w:val="auto"/>
        </w:rPr>
        <w:t>. In the event that the Indemnitee is subject to or intervenes in any action, suit, or proceeding in which the validity or enforceability of this Agreement is at issue or seeks an adjudication or award in arbitration to enforce the Indemnitee’s rights under, or to recover damages for breach of, this Agreement, the Indemnitee, if the Indemnitee prevails in whole or in part in such action, suit, or proceeding, shall be entitled to recover from the Company and shall be indemnified by the Company against any Expenses actually and reasonably incurred by the Indemnitee in connection therewith.</w:t>
      </w:r>
    </w:p>
    <w:p>
      <w:pPr>
        <w:spacing w:after="0" w:line="79" w:lineRule="exact"/>
        <w:rPr>
          <w:rFonts w:ascii="Arial" w:cs="Arial" w:eastAsia="Arial" w:hAnsi="Arial"/>
          <w:sz w:val="18"/>
          <w:szCs w:val="18"/>
          <w:color w:val="auto"/>
        </w:rPr>
      </w:pPr>
    </w:p>
    <w:p>
      <w:pPr>
        <w:jc w:val="both"/>
        <w:ind w:right="120" w:firstLine="436"/>
        <w:spacing w:after="0" w:line="284" w:lineRule="auto"/>
        <w:tabs>
          <w:tab w:leader="none" w:pos="710" w:val="left"/>
        </w:tabs>
        <w:numPr>
          <w:ilvl w:val="0"/>
          <w:numId w:val="65"/>
        </w:numPr>
        <w:rPr>
          <w:rFonts w:ascii="Arial" w:cs="Arial" w:eastAsia="Arial" w:hAnsi="Arial"/>
          <w:sz w:val="16"/>
          <w:szCs w:val="16"/>
          <w:color w:val="auto"/>
        </w:rPr>
      </w:pPr>
      <w:r>
        <w:rPr>
          <w:rFonts w:ascii="Arial" w:cs="Arial" w:eastAsia="Arial" w:hAnsi="Arial"/>
          <w:sz w:val="16"/>
          <w:szCs w:val="16"/>
          <w:u w:val="single" w:color="auto"/>
          <w:color w:val="auto"/>
        </w:rPr>
        <w:t>Continuation of Indemnity</w:t>
      </w:r>
      <w:r>
        <w:rPr>
          <w:rFonts w:ascii="Arial" w:cs="Arial" w:eastAsia="Arial" w:hAnsi="Arial"/>
          <w:sz w:val="16"/>
          <w:szCs w:val="16"/>
          <w:color w:val="auto"/>
        </w:rPr>
        <w:t>. All agreements and obligations of the Company contained herein shall continue during the period the Indemnitee is a director, officer, employee, agent, or trustee of the Company or while a director, officer, employee, agent, or trustee is serving at the request of the Company as a director, officer, employee, agent, or trustee of another corporation or of a partnership, joint venture, trust, or other enterprise, including service with respect to an employee benefit plan, and shall continue thereafter with respect to any possible claims based on the fact that the Indemnitee was a director, officer, employee, agent, or trustee of the Company or was serving at the request of the Company as a director, officer, employee, agent, or trustee of another corporation or of a partnership, joint venture, trust, or other enterprise, including service with respect to an employee benefit plan.</w:t>
      </w:r>
    </w:p>
    <w:p>
      <w:pPr>
        <w:spacing w:after="0" w:line="4" w:lineRule="exact"/>
        <w:rPr>
          <w:rFonts w:ascii="Arial" w:cs="Arial" w:eastAsia="Arial" w:hAnsi="Arial"/>
          <w:sz w:val="16"/>
          <w:szCs w:val="16"/>
          <w:color w:val="auto"/>
        </w:rPr>
      </w:pPr>
    </w:p>
    <w:p>
      <w:pPr>
        <w:ind w:right="20"/>
        <w:spacing w:after="0" w:line="290" w:lineRule="auto"/>
        <w:rPr>
          <w:rFonts w:ascii="Arial" w:cs="Arial" w:eastAsia="Arial" w:hAnsi="Arial"/>
          <w:sz w:val="16"/>
          <w:szCs w:val="16"/>
          <w:color w:val="auto"/>
        </w:rPr>
      </w:pPr>
      <w:r>
        <w:rPr>
          <w:rFonts w:ascii="Arial" w:cs="Arial" w:eastAsia="Arial" w:hAnsi="Arial"/>
          <w:sz w:val="17"/>
          <w:szCs w:val="17"/>
          <w:color w:val="auto"/>
        </w:rPr>
        <w:t>This Agreement shall be binding upon all successors and assigns of the Company (including any transferee of all or substantially all of its assets and any successor by merger or operation of law) and shall inure to the benefit of the Indemnitee’s heirs, executors, and administrators.</w:t>
      </w:r>
    </w:p>
    <w:p>
      <w:pPr>
        <w:spacing w:after="0" w:line="53" w:lineRule="exact"/>
        <w:rPr>
          <w:rFonts w:ascii="Arial" w:cs="Arial" w:eastAsia="Arial" w:hAnsi="Arial"/>
          <w:sz w:val="16"/>
          <w:szCs w:val="16"/>
          <w:color w:val="auto"/>
        </w:rPr>
      </w:pPr>
    </w:p>
    <w:p>
      <w:pPr>
        <w:ind w:right="180" w:firstLine="436"/>
        <w:spacing w:after="0" w:line="257" w:lineRule="auto"/>
        <w:tabs>
          <w:tab w:leader="none" w:pos="710" w:val="left"/>
        </w:tabs>
        <w:numPr>
          <w:ilvl w:val="0"/>
          <w:numId w:val="65"/>
        </w:numPr>
        <w:rPr>
          <w:rFonts w:ascii="Arial" w:cs="Arial" w:eastAsia="Arial" w:hAnsi="Arial"/>
          <w:sz w:val="18"/>
          <w:szCs w:val="18"/>
          <w:color w:val="auto"/>
        </w:rPr>
      </w:pPr>
      <w:r>
        <w:rPr>
          <w:rFonts w:ascii="Arial" w:cs="Arial" w:eastAsia="Arial" w:hAnsi="Arial"/>
          <w:sz w:val="18"/>
          <w:szCs w:val="18"/>
          <w:u w:val="single" w:color="auto"/>
          <w:color w:val="auto"/>
        </w:rPr>
        <w:t>Notification and Defense of Proceeding</w:t>
      </w:r>
      <w:r>
        <w:rPr>
          <w:rFonts w:ascii="Arial" w:cs="Arial" w:eastAsia="Arial" w:hAnsi="Arial"/>
          <w:sz w:val="18"/>
          <w:szCs w:val="18"/>
          <w:color w:val="auto"/>
        </w:rPr>
        <w:t>. Promptly after receipt by the Indemnitee of notice of any Proceeding, the Indemnitee shall, if a request for indemnification or an advancement of Expenses in respect thereof is to be made against the Company under this Agreement, notify the Company in writing of the commencement thereof; but the omission so to notify the Company shall not relieve it from any liability that it may have to the Indemnitee. Notwithstanding any other provision of this Agreement, with respect to any such Proceeding of which the Indemnitee notifies the Company:</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61" w:name="page62"/>
    <w:bookmarkEnd w:id="61"/>
    <w:p>
      <w:pPr>
        <w:ind w:left="1240" w:hanging="253"/>
        <w:spacing w:after="0"/>
        <w:tabs>
          <w:tab w:leader="none" w:pos="1240" w:val="left"/>
        </w:tabs>
        <w:numPr>
          <w:ilvl w:val="1"/>
          <w:numId w:val="6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shall be entitled to participate therein at its own expense;</w:t>
      </w:r>
    </w:p>
    <w:p>
      <w:pPr>
        <w:spacing w:after="0" w:line="117" w:lineRule="exact"/>
        <w:rPr>
          <w:rFonts w:ascii="Arial" w:cs="Arial" w:eastAsia="Arial" w:hAnsi="Arial"/>
          <w:sz w:val="18"/>
          <w:szCs w:val="18"/>
          <w:color w:val="auto"/>
        </w:rPr>
      </w:pPr>
    </w:p>
    <w:p>
      <w:pPr>
        <w:ind w:firstLine="987"/>
        <w:spacing w:after="0" w:line="287" w:lineRule="auto"/>
        <w:tabs>
          <w:tab w:leader="none" w:pos="1246" w:val="left"/>
        </w:tabs>
        <w:numPr>
          <w:ilvl w:val="1"/>
          <w:numId w:val="66"/>
        </w:numPr>
        <w:rPr>
          <w:rFonts w:ascii="Arial" w:cs="Arial" w:eastAsia="Arial" w:hAnsi="Arial"/>
          <w:sz w:val="16"/>
          <w:szCs w:val="16"/>
          <w:color w:val="auto"/>
        </w:rPr>
      </w:pPr>
      <w:r>
        <w:rPr>
          <w:rFonts w:ascii="Arial" w:cs="Arial" w:eastAsia="Arial" w:hAnsi="Arial"/>
          <w:sz w:val="16"/>
          <w:szCs w:val="16"/>
          <w:color w:val="auto"/>
        </w:rPr>
        <w:t>Except as otherwise provided in this Section 15(b), to the extent that it may wish, the Company, jointly with any other indemnifying party similarly notified, shall be entitled to assume the defense thereof, with counsel satisfactory to the Indemnitee. After notice from the Company to the Indemnitee of its election so to assume the defense thereof, the Company shall not be liable to the Indemnitee under this Agreement for any expenses of counsel subsequently incurred by the Indemnitee in connection with the defense thereof except as otherwise provided below. The Indemnitee shall have the right to employ the Indemnitee’s own counsel in such Proceeding, but the fees and expenses of such counsel incurred after notice from the Company of its assumption of the defense thereof shall be at the expense of the Indemnitee unless (i) the employment of counsel by the Indemnitee has been authorized by the Company, (ii) the Indemnitee shall have reasonably concluded that there may be a conflict of interest between the Company and the Indemnitee in the conduct of the defense of such Proceeding, or (iii) the Company shall not within 60 calendar days of receipt of notice from the Indemnitee in fact have employed counsel to assume the defense of the Proceeding, in each of which cases the fees and expenses of the Indemnitee’s counsel shall be at the expense of the Company. The Company shall not be entitled to assume the defense of any Proceeding brought by or on behalf of the Company or as to which the Indemnitee shall have made the conclusion provided for in (ii) above; and</w:t>
      </w:r>
    </w:p>
    <w:p>
      <w:pPr>
        <w:spacing w:after="0" w:line="63" w:lineRule="exact"/>
        <w:rPr>
          <w:rFonts w:ascii="Arial" w:cs="Arial" w:eastAsia="Arial" w:hAnsi="Arial"/>
          <w:sz w:val="16"/>
          <w:szCs w:val="16"/>
          <w:color w:val="auto"/>
        </w:rPr>
      </w:pPr>
    </w:p>
    <w:p>
      <w:pPr>
        <w:ind w:right="60" w:firstLine="987"/>
        <w:spacing w:after="0" w:line="293" w:lineRule="auto"/>
        <w:tabs>
          <w:tab w:leader="none" w:pos="1236" w:val="left"/>
        </w:tabs>
        <w:numPr>
          <w:ilvl w:val="1"/>
          <w:numId w:val="66"/>
        </w:numPr>
        <w:rPr>
          <w:rFonts w:ascii="Arial" w:cs="Arial" w:eastAsia="Arial" w:hAnsi="Arial"/>
          <w:sz w:val="16"/>
          <w:szCs w:val="16"/>
          <w:color w:val="auto"/>
        </w:rPr>
      </w:pPr>
      <w:r>
        <w:rPr>
          <w:rFonts w:ascii="Arial" w:cs="Arial" w:eastAsia="Arial" w:hAnsi="Arial"/>
          <w:sz w:val="16"/>
          <w:szCs w:val="16"/>
          <w:color w:val="auto"/>
        </w:rPr>
        <w:t>Notwithstanding any other provision of this Agreement, the Company shall not be liable to indemnify the Indemnitee under this Agreement for any amounts paid in settlement of any Proceeding effected without the Company’s written consent, or for any judicial or other award, if the Company was not given an opportunity, in accordance with this Section 15, to participate in the defense of such Proceeding. The Company shall not settle any Proceeding in any manner that would impose any penalty or limitation on or disclosure obligation with respect to the Indemnitee, or that would directly or indirectly constitute or impose any admission or acknowledgment of fault or culpability with respect to the Indemnitee, without the Indemnitee’s written consent. Neither the Company nor the Indemnitee shall unreasonably withhold its consent to any proposed settlement.</w:t>
      </w:r>
    </w:p>
    <w:p>
      <w:pPr>
        <w:spacing w:after="0" w:line="56" w:lineRule="exact"/>
        <w:rPr>
          <w:rFonts w:ascii="Arial" w:cs="Arial" w:eastAsia="Arial" w:hAnsi="Arial"/>
          <w:sz w:val="16"/>
          <w:szCs w:val="16"/>
          <w:color w:val="auto"/>
        </w:rPr>
      </w:pPr>
    </w:p>
    <w:p>
      <w:pPr>
        <w:ind w:right="20" w:firstLine="436"/>
        <w:spacing w:after="0" w:line="268" w:lineRule="auto"/>
        <w:tabs>
          <w:tab w:leader="none" w:pos="710" w:val="left"/>
        </w:tabs>
        <w:numPr>
          <w:ilvl w:val="0"/>
          <w:numId w:val="67"/>
        </w:numPr>
        <w:rPr>
          <w:rFonts w:ascii="Arial" w:cs="Arial" w:eastAsia="Arial" w:hAnsi="Arial"/>
          <w:sz w:val="17"/>
          <w:szCs w:val="17"/>
          <w:color w:val="auto"/>
        </w:rPr>
      </w:pPr>
      <w:r>
        <w:rPr>
          <w:rFonts w:ascii="Arial" w:cs="Arial" w:eastAsia="Arial" w:hAnsi="Arial"/>
          <w:sz w:val="17"/>
          <w:szCs w:val="17"/>
          <w:u w:val="single" w:color="auto"/>
          <w:color w:val="auto"/>
        </w:rPr>
        <w:t>Advancement of Expenses</w:t>
      </w:r>
      <w:r>
        <w:rPr>
          <w:rFonts w:ascii="Arial" w:cs="Arial" w:eastAsia="Arial" w:hAnsi="Arial"/>
          <w:sz w:val="17"/>
          <w:szCs w:val="17"/>
          <w:color w:val="auto"/>
        </w:rPr>
        <w:t>. All Expenses incurred by the Indemnitee in defending any Proceeding described in Section 4 or 5 shall be paid by the Company in advance of the final disposition of such Proceeding at the request of the Indemnitee. The Indemnitee’s right to advancement shall not be subject to the satisfaction of any standard of conduct and advances shall be made without regard to the Indemnitee’s ultimate entitlement to indemnification under the provisions of this Agreement or otherwise. To receive an advancement of Expenses under this Agreement, the Indemnitee shall submit a written request to the Secretary of the Company. Such request shall reasonably evidence the Expenses incurred by the Indemnitee and shall include or be accompanied by an undertaking, by or on behalf of the Indemnitee, to repay all amounts so advanced if it shall ultimately be determined, by final judicial decision of a court of competent jurisdiction from which there is no further right to appeal, that the Indemnitee is not entitled to be indemnified for such Expenses by the Company as provided by this Agreement or otherwise. The Indemnitee’s undertaking to repay any such amounts is not required to be secured. Each such advancement of Expenses shall be made within 20 calendar days after the receipt by the Secretary of the Company of such written request. The Indemnitee’s entitlement to Expenses under this Agreement shall include those incurred in connection with any action, suit, or proceeding by the Indemnitee seeking an adjudication or award in arbitration pursuant to Section 11 of this Agreement (including the enforcement of this provision) to the extent the court or arbitrator shall determine that the Indemnitee is entitled to an advancement of Expenses hereunder.</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62" w:name="page63"/>
    <w:bookmarkEnd w:id="62"/>
    <w:p>
      <w:pPr>
        <w:ind w:firstLine="436"/>
        <w:spacing w:after="0" w:line="288" w:lineRule="auto"/>
        <w:tabs>
          <w:tab w:leader="none" w:pos="710" w:val="left"/>
        </w:tabs>
        <w:numPr>
          <w:ilvl w:val="0"/>
          <w:numId w:val="68"/>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Severability; Prior Indemnification Agreements</w:t>
      </w:r>
      <w:r>
        <w:rPr>
          <w:rFonts w:ascii="Arial" w:cs="Arial" w:eastAsia="Arial" w:hAnsi="Arial"/>
          <w:sz w:val="16"/>
          <w:szCs w:val="16"/>
          <w:color w:val="auto"/>
        </w:rPr>
        <w:t>. If any provision or provisions of this Agreement shall be held to be invalid, illegal, or unenforceable as applied to any person or entity or circumstance for any reason whatsoever, then, to the fullest extent permitted by law (a) the validity, legality, and enforceability of such provision in any other circumstance and of the remaining provisions of this Agreement (including, without limitation, all portions of any paragraphs of this Agreement containing any such provision held to be invalid, illegal, or unenforceable, that are not by themselves invalid, illegal, or unenforceable) and the application of such provision to other persons or entities or circumstances shall not in any way be affected or impaired thereby, and (b) to the fullest extent possible, the provisions of this Agreement (including, without limitation, all portions of any paragraph of this Agreement containing any such provision held to be invalid, illegal, or unenforceable, that are not themselves invalid, illegal, or unenforceable) shall be construed so as to give effect to the intent of the parties that the Company provide protection to the Indemnitee to the fullest extent set forth in this Agreement. This Agreement shall supersede and replace any prior indemnification agreements entered into by and between either the Company or Marvell Technology Group Ltd and the Indemnitee and any such prior agreements shall be terminated upon execution of this Agreement.</w:t>
      </w:r>
    </w:p>
    <w:p>
      <w:pPr>
        <w:spacing w:after="0" w:line="60" w:lineRule="exact"/>
        <w:rPr>
          <w:rFonts w:ascii="Arial" w:cs="Arial" w:eastAsia="Arial" w:hAnsi="Arial"/>
          <w:sz w:val="16"/>
          <w:szCs w:val="16"/>
          <w:color w:val="auto"/>
        </w:rPr>
      </w:pPr>
    </w:p>
    <w:p>
      <w:pPr>
        <w:ind w:right="60" w:firstLine="436"/>
        <w:spacing w:after="0" w:line="263" w:lineRule="auto"/>
        <w:tabs>
          <w:tab w:leader="none" w:pos="710" w:val="left"/>
        </w:tabs>
        <w:numPr>
          <w:ilvl w:val="0"/>
          <w:numId w:val="68"/>
        </w:numPr>
        <w:rPr>
          <w:rFonts w:ascii="Arial" w:cs="Arial" w:eastAsia="Arial" w:hAnsi="Arial"/>
          <w:sz w:val="18"/>
          <w:szCs w:val="18"/>
          <w:color w:val="auto"/>
        </w:rPr>
      </w:pPr>
      <w:r>
        <w:rPr>
          <w:rFonts w:ascii="Arial" w:cs="Arial" w:eastAsia="Arial" w:hAnsi="Arial"/>
          <w:sz w:val="18"/>
          <w:szCs w:val="18"/>
          <w:u w:val="single" w:color="auto"/>
          <w:color w:val="auto"/>
        </w:rPr>
        <w:t>Headings; References; Pronouns</w:t>
      </w:r>
      <w:r>
        <w:rPr>
          <w:rFonts w:ascii="Arial" w:cs="Arial" w:eastAsia="Arial" w:hAnsi="Arial"/>
          <w:sz w:val="18"/>
          <w:szCs w:val="18"/>
          <w:color w:val="auto"/>
        </w:rPr>
        <w:t>. The headings of the sections of this Agreement are inserted for convenience only and shall not be deemed to constitute part of this Agreement or to affect the construction thereof. References herein to section numbers are to sections of this Agreement. All pronouns and any variations thereof shall be deemed to refer to the singular or plural as appropriate.</w:t>
      </w:r>
    </w:p>
    <w:p>
      <w:pPr>
        <w:spacing w:after="0" w:line="75" w:lineRule="exact"/>
        <w:rPr>
          <w:rFonts w:ascii="Arial" w:cs="Arial" w:eastAsia="Arial" w:hAnsi="Arial"/>
          <w:sz w:val="18"/>
          <w:szCs w:val="18"/>
          <w:color w:val="auto"/>
        </w:rPr>
      </w:pPr>
    </w:p>
    <w:p>
      <w:pPr>
        <w:ind w:left="700" w:hanging="264"/>
        <w:spacing w:after="0"/>
        <w:tabs>
          <w:tab w:leader="none" w:pos="700" w:val="left"/>
        </w:tabs>
        <w:numPr>
          <w:ilvl w:val="0"/>
          <w:numId w:val="68"/>
        </w:numPr>
        <w:rPr>
          <w:rFonts w:ascii="Arial" w:cs="Arial" w:eastAsia="Arial" w:hAnsi="Arial"/>
          <w:sz w:val="18"/>
          <w:szCs w:val="18"/>
          <w:color w:val="auto"/>
        </w:rPr>
      </w:pPr>
      <w:r>
        <w:rPr>
          <w:rFonts w:ascii="Arial" w:cs="Arial" w:eastAsia="Arial" w:hAnsi="Arial"/>
          <w:sz w:val="18"/>
          <w:szCs w:val="18"/>
          <w:u w:val="single" w:color="auto"/>
          <w:color w:val="auto"/>
        </w:rPr>
        <w:t>Other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360" w:firstLine="987"/>
        <w:spacing w:after="0" w:line="259" w:lineRule="auto"/>
        <w:tabs>
          <w:tab w:leader="none" w:pos="1236" w:val="left"/>
        </w:tabs>
        <w:numPr>
          <w:ilvl w:val="1"/>
          <w:numId w:val="68"/>
        </w:numPr>
        <w:rPr>
          <w:rFonts w:ascii="Arial" w:cs="Arial" w:eastAsia="Arial" w:hAnsi="Arial"/>
          <w:sz w:val="18"/>
          <w:szCs w:val="18"/>
          <w:color w:val="auto"/>
        </w:rPr>
      </w:pPr>
      <w:r>
        <w:rPr>
          <w:rFonts w:ascii="Arial" w:cs="Arial" w:eastAsia="Arial" w:hAnsi="Arial"/>
          <w:sz w:val="18"/>
          <w:szCs w:val="18"/>
          <w:color w:val="auto"/>
        </w:rPr>
        <w:t>This Agreement and all disputes or controversies arising out of or related to this Agreement shall be governed by, and construed in accordance with, the internal laws of the State of Delaware, without regard to the laws of any other jurisdiction that might be applied because of conflicts of laws principles of the State of Delaware, unless otherwise required by the law of the state in which the Indemnitee primarily resides and works.</w:t>
      </w:r>
    </w:p>
    <w:p>
      <w:pPr>
        <w:spacing w:after="0" w:line="78" w:lineRule="exact"/>
        <w:rPr>
          <w:rFonts w:ascii="Arial" w:cs="Arial" w:eastAsia="Arial" w:hAnsi="Arial"/>
          <w:sz w:val="18"/>
          <w:szCs w:val="18"/>
          <w:color w:val="auto"/>
        </w:rPr>
      </w:pPr>
    </w:p>
    <w:p>
      <w:pPr>
        <w:ind w:right="120" w:firstLine="987"/>
        <w:spacing w:after="0" w:line="308" w:lineRule="auto"/>
        <w:tabs>
          <w:tab w:leader="none" w:pos="1246" w:val="left"/>
        </w:tabs>
        <w:numPr>
          <w:ilvl w:val="1"/>
          <w:numId w:val="68"/>
        </w:numPr>
        <w:rPr>
          <w:rFonts w:ascii="Arial" w:cs="Arial" w:eastAsia="Arial" w:hAnsi="Arial"/>
          <w:sz w:val="17"/>
          <w:szCs w:val="17"/>
          <w:color w:val="auto"/>
        </w:rPr>
      </w:pPr>
      <w:r>
        <w:rPr>
          <w:rFonts w:ascii="Arial" w:cs="Arial" w:eastAsia="Arial" w:hAnsi="Arial"/>
          <w:sz w:val="17"/>
          <w:szCs w:val="17"/>
          <w:color w:val="auto"/>
        </w:rPr>
        <w:t>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38" w:lineRule="exact"/>
        <w:rPr>
          <w:rFonts w:ascii="Arial" w:cs="Arial" w:eastAsia="Arial" w:hAnsi="Arial"/>
          <w:sz w:val="17"/>
          <w:szCs w:val="17"/>
          <w:color w:val="auto"/>
        </w:rPr>
      </w:pPr>
    </w:p>
    <w:p>
      <w:pPr>
        <w:ind w:right="140" w:firstLine="987"/>
        <w:spacing w:after="0" w:line="259" w:lineRule="auto"/>
        <w:tabs>
          <w:tab w:leader="none" w:pos="1236" w:val="left"/>
        </w:tabs>
        <w:numPr>
          <w:ilvl w:val="1"/>
          <w:numId w:val="68"/>
        </w:numPr>
        <w:rPr>
          <w:rFonts w:ascii="Arial" w:cs="Arial" w:eastAsia="Arial" w:hAnsi="Arial"/>
          <w:sz w:val="18"/>
          <w:szCs w:val="18"/>
          <w:color w:val="auto"/>
        </w:rPr>
      </w:pPr>
      <w:r>
        <w:rPr>
          <w:rFonts w:ascii="Arial" w:cs="Arial" w:eastAsia="Arial" w:hAnsi="Arial"/>
          <w:sz w:val="18"/>
          <w:szCs w:val="18"/>
          <w:color w:val="auto"/>
        </w:rPr>
        <w:t>This Agreement shall not be deemed an employment contract between the Company and any Indemnitee who is an officer of the Company, and, if the Indemnitee is an officer of the Company, the Indemnitee specifically acknowledges that the Indemnitee may be discharged at any time for any reason, with or without cause, and with or without severance compensation, except as may be otherwise provided in a separate written contract between the Indemnitee and the Company.</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63" w:name="page64"/>
    <w:bookmarkEnd w:id="63"/>
    <w:p>
      <w:pPr>
        <w:ind w:left="-40" w:firstLine="987"/>
        <w:spacing w:after="0" w:line="259" w:lineRule="auto"/>
        <w:tabs>
          <w:tab w:leader="none" w:pos="1206" w:val="left"/>
        </w:tabs>
        <w:numPr>
          <w:ilvl w:val="0"/>
          <w:numId w:val="6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event of payment under this Agreement, the Company shall be subrogated to the extent of such payment to all of the rights of recovery of the Indemnitee (excluding insurance obtained on the Indemnitee’s own behalf), and the Indemnitee shall execute all papers required and shall do everything that may be necessary to secure such rights, including the execution of such documents necessary to enable the Company effectively to bring suit to enforce such rights.</w:t>
      </w:r>
    </w:p>
    <w:p>
      <w:pPr>
        <w:spacing w:after="0" w:line="78" w:lineRule="exact"/>
        <w:rPr>
          <w:rFonts w:ascii="Arial" w:cs="Arial" w:eastAsia="Arial" w:hAnsi="Arial"/>
          <w:sz w:val="18"/>
          <w:szCs w:val="18"/>
          <w:color w:val="auto"/>
        </w:rPr>
      </w:pPr>
    </w:p>
    <w:p>
      <w:pPr>
        <w:ind w:left="-40" w:firstLine="987"/>
        <w:spacing w:after="0" w:line="257" w:lineRule="auto"/>
        <w:tabs>
          <w:tab w:leader="none" w:pos="1196" w:val="left"/>
        </w:tabs>
        <w:numPr>
          <w:ilvl w:val="0"/>
          <w:numId w:val="69"/>
        </w:numPr>
        <w:rPr>
          <w:rFonts w:ascii="Arial" w:cs="Arial" w:eastAsia="Arial" w:hAnsi="Arial"/>
          <w:sz w:val="18"/>
          <w:szCs w:val="18"/>
          <w:color w:val="auto"/>
        </w:rPr>
      </w:pPr>
      <w:r>
        <w:rPr>
          <w:rFonts w:ascii="Arial" w:cs="Arial" w:eastAsia="Arial" w:hAnsi="Arial"/>
          <w:sz w:val="18"/>
          <w:szCs w:val="18"/>
          <w:color w:val="auto"/>
        </w:rPr>
        <w:t>This Agreement may not be amended, modified, or supplemented in any manner, whether by course of conduct or otherwise, except by an instrument in writing specifically designated as an amendment hereto, signed on behalf of each party. No failure or delay of either party in exercising any right or remedy hereunder shall operate as a waiver thereof, and no single or partial exercise of any such right or power, or any abandonment or discontinuance of steps to enforce such right or power, or any course of conduct, shall preclude any other or further exercise thereof or the exercise of any other right or power.</w:t>
      </w:r>
    </w:p>
    <w:p>
      <w:pPr>
        <w:spacing w:after="0" w:line="18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remainder of this page is intentionally left blank.]</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20"/>
          </w:cols>
          <w:pgMar w:left="480" w:top="274" w:right="499" w:bottom="1440" w:gutter="0" w:footer="0" w:header="0"/>
        </w:sectPr>
      </w:pPr>
    </w:p>
    <w:bookmarkStart w:id="64" w:name="page65"/>
    <w:bookmarkEnd w:id="64"/>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Company and the Indemnitee have caused this Agreement to be executed as of the date first written above.</w:t>
      </w:r>
    </w:p>
    <w:p>
      <w:pPr>
        <w:spacing w:after="0" w:line="27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6">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3918585</wp:posOffset>
            </wp:positionH>
            <wp:positionV relativeFrom="paragraph">
              <wp:posOffset>280035</wp:posOffset>
            </wp:positionV>
            <wp:extent cx="2794635"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3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Indemnitee</w:t>
      </w:r>
    </w:p>
    <w:p>
      <w:pPr>
        <w:spacing w:after="0" w:line="200" w:lineRule="exact"/>
        <w:rPr>
          <w:sz w:val="20"/>
          <w:szCs w:val="20"/>
          <w:color w:val="auto"/>
        </w:rPr>
      </w:pPr>
    </w:p>
    <w:p>
      <w:pPr>
        <w:spacing w:after="0" w:line="20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w:t>
      </w:r>
      <w:r>
        <w:rPr>
          <w:rFonts w:ascii="Arial" w:cs="Arial" w:eastAsia="Arial" w:hAnsi="Arial"/>
          <w:sz w:val="14"/>
          <w:szCs w:val="14"/>
          <w:color w:val="auto"/>
        </w:rPr>
        <w:t>IGNATURE</w:t>
      </w:r>
      <w:r>
        <w:rPr>
          <w:rFonts w:ascii="Arial" w:cs="Arial" w:eastAsia="Arial" w:hAnsi="Arial"/>
          <w:sz w:val="18"/>
          <w:szCs w:val="18"/>
          <w:color w:val="auto"/>
        </w:rPr>
        <w:t xml:space="preserve"> P</w:t>
      </w:r>
      <w:r>
        <w:rPr>
          <w:rFonts w:ascii="Arial" w:cs="Arial" w:eastAsia="Arial" w:hAnsi="Arial"/>
          <w:sz w:val="14"/>
          <w:szCs w:val="14"/>
          <w:color w:val="auto"/>
        </w:rPr>
        <w:t>AGE TO</w:t>
      </w:r>
      <w:r>
        <w:rPr>
          <w:rFonts w:ascii="Arial" w:cs="Arial" w:eastAsia="Arial" w:hAnsi="Arial"/>
          <w:sz w:val="18"/>
          <w:szCs w:val="18"/>
          <w:color w:val="auto"/>
        </w:rPr>
        <w:t xml:space="preserve"> I</w:t>
      </w:r>
      <w:r>
        <w:rPr>
          <w:rFonts w:ascii="Arial" w:cs="Arial" w:eastAsia="Arial" w:hAnsi="Arial"/>
          <w:sz w:val="14"/>
          <w:szCs w:val="14"/>
          <w:color w:val="auto"/>
        </w:rPr>
        <w:t>NDEMNIFICATION</w:t>
      </w:r>
      <w:r>
        <w:rPr>
          <w:rFonts w:ascii="Arial" w:cs="Arial" w:eastAsia="Arial" w:hAnsi="Arial"/>
          <w:sz w:val="18"/>
          <w:szCs w:val="18"/>
          <w:color w:val="auto"/>
        </w:rPr>
        <w:t xml:space="preserve"> A</w:t>
      </w:r>
      <w:r>
        <w:rPr>
          <w:rFonts w:ascii="Arial" w:cs="Arial" w:eastAsia="Arial" w:hAnsi="Arial"/>
          <w:sz w:val="14"/>
          <w:szCs w:val="14"/>
          <w:color w:val="auto"/>
        </w:rPr>
        <w:t>GREEMENT</w:t>
      </w:r>
    </w:p>
    <w:p>
      <w:pPr>
        <w:sectPr>
          <w:pgSz w:w="11900" w:h="16838" w:orient="portrait"/>
          <w:cols w:equalWidth="0" w:num="1">
            <w:col w:w="9960"/>
          </w:cols>
          <w:pgMar w:left="880" w:top="274" w:right="1059" w:bottom="1440" w:gutter="0" w:footer="0" w:header="0"/>
        </w:sectPr>
      </w:pPr>
    </w:p>
    <w:bookmarkStart w:id="65" w:name="page66"/>
    <w:bookmarkEnd w:id="65"/>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Completes Acquisition of Inphi</w:t>
      </w:r>
    </w:p>
    <w:p>
      <w:pPr>
        <w:spacing w:after="0" w:line="229" w:lineRule="exact"/>
        <w:rPr>
          <w:sz w:val="20"/>
          <w:szCs w:val="20"/>
          <w:color w:val="auto"/>
        </w:rPr>
      </w:pPr>
    </w:p>
    <w:p>
      <w:pPr>
        <w:ind w:right="660"/>
        <w:spacing w:after="0" w:line="263" w:lineRule="auto"/>
        <w:rPr>
          <w:sz w:val="20"/>
          <w:szCs w:val="20"/>
          <w:color w:val="auto"/>
        </w:rPr>
      </w:pPr>
      <w:r>
        <w:rPr>
          <w:rFonts w:ascii="Arial" w:cs="Arial" w:eastAsia="Arial" w:hAnsi="Arial"/>
          <w:sz w:val="18"/>
          <w:szCs w:val="18"/>
          <w:color w:val="auto"/>
        </w:rPr>
        <w:t>SANTA CLARA, California, April 20, 2021 /PRNewswire/: Marvell Technology, Inc. (NASDAQ: MRVL), a leader in data infrastructure semiconductor solutions today announced the completion of its acquisition of Inphi Corporation. The combination creates a U.S. semiconductor powerhouse positioned for end-to-end technology leadership in data infrastructure.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The combined company, Marvell Technology, Inc. (“Marvell”), is a Delaware corporation domiciled in the United States.</w:t>
      </w:r>
    </w:p>
    <w:p>
      <w:pPr>
        <w:spacing w:after="0" w:line="225" w:lineRule="exact"/>
        <w:rPr>
          <w:sz w:val="20"/>
          <w:szCs w:val="20"/>
          <w:color w:val="auto"/>
        </w:rPr>
      </w:pPr>
    </w:p>
    <w:p>
      <w:pPr>
        <w:ind w:right="40"/>
        <w:spacing w:after="0" w:line="301" w:lineRule="auto"/>
        <w:rPr>
          <w:sz w:val="20"/>
          <w:szCs w:val="20"/>
          <w:color w:val="auto"/>
        </w:rPr>
      </w:pPr>
      <w:r>
        <w:rPr>
          <w:rFonts w:ascii="Arial" w:cs="Arial" w:eastAsia="Arial" w:hAnsi="Arial"/>
          <w:sz w:val="16"/>
          <w:szCs w:val="16"/>
          <w:color w:val="auto"/>
        </w:rPr>
        <w:t>“I am excited to welcome the Inphi team to Marvell and look forward to realizing the tremendous value creation potential of this combination for our customers, employees and shareholders. Together we will have the portfolio, capabilities, and scale to expand Marvell’s leadership in its key growth end markets of 5G, Cloud and Automotive,” said Matt Murphy, president and CEO of Marvell. “I am also pleased that we are now organized as a U.S. company and we look forward to continuing to drive innovation in semiconductor technology critical to the nation’s data economy.”</w:t>
      </w:r>
    </w:p>
    <w:p>
      <w:pPr>
        <w:spacing w:after="0" w:line="2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Appointment of New Director to Marvell’s Board of Directors</w:t>
      </w:r>
    </w:p>
    <w:p>
      <w:pPr>
        <w:spacing w:after="0" w:line="121" w:lineRule="exact"/>
        <w:rPr>
          <w:sz w:val="20"/>
          <w:szCs w:val="20"/>
          <w:color w:val="auto"/>
        </w:rPr>
      </w:pPr>
    </w:p>
    <w:p>
      <w:pPr>
        <w:ind w:right="800"/>
        <w:spacing w:after="0" w:line="277" w:lineRule="auto"/>
        <w:rPr>
          <w:sz w:val="20"/>
          <w:szCs w:val="20"/>
          <w:color w:val="auto"/>
        </w:rPr>
      </w:pPr>
      <w:r>
        <w:rPr>
          <w:rFonts w:ascii="Arial" w:cs="Arial" w:eastAsia="Arial" w:hAnsi="Arial"/>
          <w:sz w:val="18"/>
          <w:szCs w:val="18"/>
          <w:color w:val="auto"/>
        </w:rPr>
        <w:t>Marvell also announced that Dr. Ford Tamer has been appointed to the Board of Directors of Marvell, effective immediately upon close of the acquisition.</w:t>
      </w:r>
    </w:p>
    <w:p>
      <w:pPr>
        <w:spacing w:after="0" w:line="170" w:lineRule="exact"/>
        <w:rPr>
          <w:sz w:val="20"/>
          <w:szCs w:val="20"/>
          <w:color w:val="auto"/>
        </w:rPr>
      </w:pPr>
    </w:p>
    <w:p>
      <w:pPr>
        <w:ind w:right="220"/>
        <w:spacing w:after="0" w:line="263" w:lineRule="auto"/>
        <w:rPr>
          <w:sz w:val="20"/>
          <w:szCs w:val="20"/>
          <w:color w:val="auto"/>
        </w:rPr>
      </w:pPr>
      <w:r>
        <w:rPr>
          <w:rFonts w:ascii="Arial" w:cs="Arial" w:eastAsia="Arial" w:hAnsi="Arial"/>
          <w:sz w:val="18"/>
          <w:szCs w:val="18"/>
          <w:color w:val="auto"/>
        </w:rPr>
        <w:t>Dr. Ford Tamer served as Inphi’s President and Chief Executive Officer for more than nine years. Under Dr. Tamer’s stewardship, Inphi became the trusted market leader for electro-optics solutions for cloud and telecom operators, increasing revenue from these customers more than 20 times during his tenure, to a run rate of about $750 million.</w:t>
      </w:r>
    </w:p>
    <w:p>
      <w:pPr>
        <w:spacing w:after="0" w:line="184"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Prior to Inphi, Dr. Tamer served as CEO of Telegent Systems. Previous to this, he was Senior Vice President and General Manager of Broadcom’s Infrastructure Networking Group, which he grew 5-fold to $1.2 billion in revenue within five years, making that business the uncontested leader in infrastructure silicon solutions. He also served as co-founder and CEO of Agere Inc., which pioneered Network Processors (now at Intel as the Ixia product line). After Agere was acquired by Lucent Microelectronics, Dr. Tamer became Vice President at Agere Systems, a spin-off from Lucent. Earlier in his career, Dr. Tamer co-founded, operated and assisted in the growth of system management software, artificial intelligence, and renewable energy businesses.</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Dr. Tamer holds an M.S. and Ph.D. in Engineering from MIT.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Contribution from Inphi to Marvell’s First Quarter of Fiscal 2022</w:t>
      </w:r>
    </w:p>
    <w:p>
      <w:pPr>
        <w:spacing w:after="0" w:line="121" w:lineRule="exact"/>
        <w:rPr>
          <w:sz w:val="20"/>
          <w:szCs w:val="20"/>
          <w:color w:val="auto"/>
        </w:rPr>
      </w:pPr>
    </w:p>
    <w:p>
      <w:pPr>
        <w:spacing w:after="0"/>
        <w:rPr>
          <w:sz w:val="20"/>
          <w:szCs w:val="20"/>
          <w:color w:val="auto"/>
        </w:rPr>
      </w:pPr>
      <w:r>
        <w:rPr>
          <w:rFonts w:ascii="Arial" w:cs="Arial" w:eastAsia="Arial" w:hAnsi="Arial"/>
          <w:sz w:val="17"/>
          <w:szCs w:val="17"/>
          <w:color w:val="auto"/>
        </w:rPr>
        <w:t>During its fiscal first quarter 2022 earnings conference call, Marvell will provide an update on Inphi’s contribution to its first fiscal quarter results.</w:t>
      </w:r>
    </w:p>
    <w:p>
      <w:pPr>
        <w:sectPr>
          <w:pgSz w:w="11900" w:h="16838" w:orient="portrait"/>
          <w:cols w:equalWidth="0" w:num="1">
            <w:col w:w="11020"/>
          </w:cols>
          <w:pgMar w:left="440" w:top="121" w:right="439" w:bottom="1440" w:gutter="0" w:footer="0" w:header="0"/>
        </w:sectPr>
      </w:pPr>
    </w:p>
    <w:bookmarkStart w:id="66" w:name="page67"/>
    <w:bookmarkEnd w:id="6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First Fiscal Quarter 2022 Earnings Conference Call</w:t>
      </w:r>
    </w:p>
    <w:p>
      <w:pPr>
        <w:spacing w:after="0" w:line="121" w:lineRule="exact"/>
        <w:rPr>
          <w:sz w:val="20"/>
          <w:szCs w:val="20"/>
          <w:color w:val="auto"/>
        </w:rPr>
      </w:pPr>
    </w:p>
    <w:p>
      <w:pPr>
        <w:jc w:val="both"/>
        <w:spacing w:after="0" w:line="311" w:lineRule="auto"/>
        <w:rPr>
          <w:sz w:val="20"/>
          <w:szCs w:val="20"/>
          <w:color w:val="auto"/>
        </w:rPr>
      </w:pPr>
      <w:r>
        <w:rPr>
          <w:rFonts w:ascii="Arial" w:cs="Arial" w:eastAsia="Arial" w:hAnsi="Arial"/>
          <w:sz w:val="16"/>
          <w:szCs w:val="16"/>
          <w:color w:val="auto"/>
        </w:rPr>
        <w:t>Marvell will conduct a conference call on Monday, June 7, 2021 at 1:45 p.m. Pacific Time to discuss results for the first quarter of fiscal 2022. Interested parties may join the conference call by dialing 1-888-317-6003 or 1-412-317-6061, pass-code 9153389. The call will be webcast and can be accessed at the Marvell Investor Relations website at http://investor.marvell.com/ with a replay available following the call until Monday, June 14, 2021.</w:t>
      </w:r>
    </w:p>
    <w:p>
      <w:pPr>
        <w:spacing w:after="0" w:line="2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ectPr>
          <w:pgSz w:w="11900" w:h="16838" w:orient="portrait"/>
          <w:cols w:equalWidth="0" w:num="1">
            <w:col w:w="11000"/>
          </w:cols>
          <w:pgMar w:left="440" w:top="270" w:right="459" w:bottom="1440" w:gutter="0" w:footer="0" w:header="0"/>
        </w:sectPr>
      </w:pPr>
    </w:p>
    <w:bookmarkStart w:id="67" w:name="page68"/>
    <w:bookmarkEnd w:id="6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This press release contains certain forward-looking statements within the meaning of Section 27A of the Securities Act of 1933, as amended, and Section 21E of the Securities Exchange Act of 1934, as amended, including statements regarding the benefits of our acquisition of Inphi.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our failure to realize the anticipated benefits of the transaction, including as a result of our ability to integrate the businesses of Marvell and Inphi or due to unexpected costs, liabilities or delays related to such integration; our ability to retain and hire key personnel; potential adverse reactions or changes to business relationships resulting from the completion of the transaction; risks associated with third party contracts containing consent and/or other provisions that may be triggered by the transaction; the impact of public health crises, such as pandemics (including coronavirus (COVID-19)) and any related company or government policies and actions intended to protect the health and safety of individuals or government policies or actions intended to maintain the functioning of national or global economies and markets; legislative, regulatory and economic developments affecting our business; general economic and market developments and conditions including disruptions in our supply chain or in the supply chains of our customers or suppliers; the evolving legal, regulatory and tax regimes under which we operate; unpredictability and severity of catastrophic events, including, but not limited to, acts of terrorism or outbreak of war or hostilities, as well as our response to any of the aforementioned factors. The foregoing list of factors is not exhaustive. You should carefully consider the foregoing factors as well as other risks associated with the transaction and the combined company as described in the “Risk Factors” section of the joint proxy statement/prospectus filed with the U.S. Securities and Exchange Commission (“SEC”) in connection with the transaction, and risks and uncertainties that affect our business as described in the “Risk Factors” section of Marvell Technology Group Ltd.’s most recent Annual Report on Form 10-K and other documents filed by us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 We do not give any assurance that we will achieve our expectations.</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577F8E1"/>
    <w:multiLevelType w:val="hybridMultilevel"/>
    <w:lvl w:ilvl="0">
      <w:lvlJc w:val="left"/>
      <w:lvlText w:val="☐"/>
      <w:numFmt w:val="bullet"/>
      <w:start w:val="1"/>
    </w:lvl>
  </w:abstractNum>
  <w:abstractNum w:abstractNumId="1">
    <w:nsid w:val="440BADFC"/>
    <w:multiLevelType w:val="hybridMultilevel"/>
    <w:lvl w:ilvl="0">
      <w:lvlJc w:val="left"/>
      <w:lvlText w:val="•"/>
      <w:numFmt w:val="bullet"/>
      <w:start w:val="1"/>
    </w:lvl>
  </w:abstractNum>
  <w:abstractNum w:abstractNumId="2">
    <w:nsid w:val="5072367"/>
    <w:multiLevelType w:val="hybridMultilevel"/>
    <w:lvl w:ilvl="0">
      <w:lvlJc w:val="left"/>
      <w:lvlText w:val="(%1)"/>
      <w:numFmt w:val="lowerRoman"/>
      <w:start w:val="3"/>
    </w:lvl>
  </w:abstractNum>
  <w:abstractNum w:abstractNumId="3">
    <w:nsid w:val="3804823E"/>
    <w:multiLevelType w:val="hybridMultilevel"/>
    <w:lvl w:ilvl="0">
      <w:lvlJc w:val="left"/>
      <w:lvlText w:val="•"/>
      <w:numFmt w:val="bullet"/>
      <w:start w:val="1"/>
    </w:lvl>
  </w:abstractNum>
  <w:abstractNum w:abstractNumId="4">
    <w:nsid w:val="77465F01"/>
    <w:multiLevelType w:val="hybridMultilevel"/>
    <w:lvl w:ilvl="0">
      <w:lvlJc w:val="left"/>
      <w:lvlText w:val="•"/>
      <w:numFmt w:val="bullet"/>
      <w:start w:val="1"/>
    </w:lvl>
  </w:abstractNum>
  <w:abstractNum w:abstractNumId="5">
    <w:nsid w:val="7724C67E"/>
    <w:multiLevelType w:val="hybridMultilevel"/>
    <w:lvl w:ilvl="0">
      <w:lvlJc w:val="left"/>
      <w:lvlText w:val="(%1)"/>
      <w:numFmt w:val="lowerLetter"/>
      <w:start w:val="1"/>
    </w:lvl>
  </w:abstractNum>
  <w:abstractNum w:abstractNumId="6">
    <w:nsid w:val="5C482A97"/>
    <w:multiLevelType w:val="hybridMultilevel"/>
    <w:lvl w:ilvl="0">
      <w:lvlJc w:val="left"/>
      <w:lvlText w:val="(%1)"/>
      <w:numFmt w:val="lowerLetter"/>
      <w:start w:val="2"/>
    </w:lvl>
  </w:abstractNum>
  <w:abstractNum w:abstractNumId="7">
    <w:nsid w:val="2463B9EA"/>
    <w:multiLevelType w:val="hybridMultilevel"/>
    <w:lvl w:ilvl="0">
      <w:lvlJc w:val="left"/>
      <w:lvlText w:val="(%1)"/>
      <w:numFmt w:val="lowerLetter"/>
      <w:start w:val="4"/>
    </w:lvl>
  </w:abstractNum>
  <w:abstractNum w:abstractNumId="8">
    <w:nsid w:val="5E884ADC"/>
    <w:multiLevelType w:val="hybridMultilevel"/>
    <w:lvl w:ilvl="0">
      <w:lvlJc w:val="left"/>
      <w:lvlText w:val="*"/>
      <w:numFmt w:val="bullet"/>
      <w:start w:val="1"/>
    </w:lvl>
    <w:lvl w:ilvl="1">
      <w:lvlJc w:val="left"/>
      <w:lvlText w:val="%2"/>
      <w:numFmt w:val="decimal"/>
      <w:start w:val="104"/>
    </w:lvl>
  </w:abstractNum>
  <w:abstractNum w:abstractNumId="9">
    <w:nsid w:val="51EAD36B"/>
    <w:multiLevelType w:val="hybridMultilevel"/>
    <w:lvl w:ilvl="0">
      <w:lvlJc w:val="left"/>
      <w:lvlText w:val="%1."/>
      <w:numFmt w:val="decimal"/>
      <w:start w:val="1"/>
    </w:lvl>
  </w:abstractNum>
  <w:abstractNum w:abstractNumId="10">
    <w:nsid w:val="2D517796"/>
    <w:multiLevelType w:val="hybridMultilevel"/>
    <w:lvl w:ilvl="0">
      <w:lvlJc w:val="left"/>
      <w:lvlText w:val="(%1)"/>
      <w:numFmt w:val="lowerLetter"/>
      <w:start w:val="1"/>
    </w:lvl>
  </w:abstractNum>
  <w:abstractNum w:abstractNumId="11">
    <w:nsid w:val="580BD78F"/>
    <w:multiLevelType w:val="hybridMultilevel"/>
    <w:lvl w:ilvl="0">
      <w:lvlJc w:val="left"/>
      <w:lvlText w:val="(%1)"/>
      <w:numFmt w:val="lowerLetter"/>
      <w:start w:val="1"/>
    </w:lvl>
  </w:abstractNum>
  <w:abstractNum w:abstractNumId="12">
    <w:nsid w:val="153EA438"/>
    <w:multiLevelType w:val="hybridMultilevel"/>
    <w:lvl w:ilvl="0">
      <w:lvlJc w:val="left"/>
      <w:lvlText w:val="(%1)"/>
      <w:numFmt w:val="lowerLetter"/>
      <w:start w:val="2"/>
    </w:lvl>
  </w:abstractNum>
  <w:abstractNum w:abstractNumId="13">
    <w:nsid w:val="3855585C"/>
    <w:multiLevelType w:val="hybridMultilevel"/>
    <w:lvl w:ilvl="0">
      <w:lvlJc w:val="left"/>
      <w:lvlText w:val="(%1)"/>
      <w:numFmt w:val="lowerLetter"/>
      <w:start w:val="2"/>
    </w:lvl>
  </w:abstractNum>
  <w:abstractNum w:abstractNumId="14">
    <w:nsid w:val="70A64E2A"/>
    <w:multiLevelType w:val="hybridMultilevel"/>
    <w:lvl w:ilvl="0">
      <w:lvlJc w:val="left"/>
      <w:lvlText w:val="(%1)"/>
      <w:numFmt w:val="lowerLetter"/>
      <w:start w:val="35"/>
    </w:lvl>
  </w:abstractNum>
  <w:abstractNum w:abstractNumId="15">
    <w:nsid w:val="6A2342EC"/>
    <w:multiLevelType w:val="hybridMultilevel"/>
    <w:lvl w:ilvl="0">
      <w:lvlJc w:val="left"/>
      <w:lvlText w:val="(%1)"/>
      <w:numFmt w:val="lowerLetter"/>
      <w:start w:val="1"/>
    </w:lvl>
  </w:abstractNum>
  <w:abstractNum w:abstractNumId="16">
    <w:nsid w:val="2A487CB0"/>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9"/>
    </w:lvl>
  </w:abstractNum>
  <w:abstractNum w:abstractNumId="17">
    <w:nsid w:val="1D4ED43B"/>
    <w:multiLevelType w:val="hybridMultilevel"/>
    <w:lvl w:ilvl="0">
      <w:lvlJc w:val="left"/>
      <w:lvlText w:val="(%1)"/>
      <w:numFmt w:val="upperLetter"/>
      <w:start w:val="1"/>
    </w:lvl>
    <w:lvl w:ilvl="1">
      <w:lvlJc w:val="left"/>
      <w:lvlText w:val="(%2)"/>
      <w:numFmt w:val="lowerLetter"/>
      <w:start w:val="1"/>
    </w:lvl>
    <w:lvl w:ilvl="2">
      <w:lvlJc w:val="left"/>
      <w:lvlText w:val="(%3)"/>
      <w:numFmt w:val="lowerLetter"/>
      <w:start w:val="35"/>
    </w:lvl>
  </w:abstractNum>
  <w:abstractNum w:abstractNumId="18">
    <w:nsid w:val="725A06FB"/>
    <w:multiLevelType w:val="hybridMultilevel"/>
    <w:lvl w:ilvl="0">
      <w:lvlJc w:val="left"/>
      <w:lvlText w:val="(%1)"/>
      <w:numFmt w:val="lowerLetter"/>
      <w:start w:val="35"/>
    </w:lvl>
    <w:lvl w:ilvl="1">
      <w:lvlJc w:val="left"/>
      <w:lvlText w:val="(%2)"/>
      <w:numFmt w:val="lowerLetter"/>
      <w:start w:val="4"/>
    </w:lvl>
  </w:abstractNum>
  <w:abstractNum w:abstractNumId="19">
    <w:nsid w:val="2CD89A32"/>
    <w:multiLevelType w:val="hybridMultilevel"/>
    <w:lvl w:ilvl="0">
      <w:lvlJc w:val="left"/>
      <w:lvlText w:val="(%1)"/>
      <w:numFmt w:val="lowerLetter"/>
      <w:start w:val="6"/>
    </w:lvl>
  </w:abstractNum>
  <w:abstractNum w:abstractNumId="20">
    <w:nsid w:val="57E4CCAF"/>
    <w:multiLevelType w:val="hybridMultilevel"/>
    <w:lvl w:ilvl="0">
      <w:lvlJc w:val="left"/>
      <w:lvlText w:val="(%1)"/>
      <w:numFmt w:val="lowerLetter"/>
      <w:start w:val="1"/>
    </w:lvl>
  </w:abstractNum>
  <w:abstractNum w:abstractNumId="21">
    <w:nsid w:val="7A6D8D3C"/>
    <w:multiLevelType w:val="hybridMultilevel"/>
    <w:lvl w:ilvl="0">
      <w:lvlJc w:val="left"/>
      <w:lvlText w:val="(%1)"/>
      <w:numFmt w:val="lowerLetter"/>
      <w:start w:val="3"/>
    </w:lvl>
  </w:abstractNum>
  <w:abstractNum w:abstractNumId="22">
    <w:nsid w:val="4B588F54"/>
    <w:multiLevelType w:val="hybridMultilevel"/>
    <w:lvl w:ilvl="0">
      <w:lvlJc w:val="left"/>
      <w:lvlText w:val="(%1)"/>
      <w:numFmt w:val="lowerLetter"/>
      <w:start w:val="5"/>
    </w:lvl>
  </w:abstractNum>
  <w:abstractNum w:abstractNumId="23">
    <w:nsid w:val="542289EC"/>
    <w:multiLevelType w:val="hybridMultilevel"/>
    <w:lvl w:ilvl="0">
      <w:lvlJc w:val="left"/>
      <w:lvlText w:val="(%1)"/>
      <w:numFmt w:val="lowerLetter"/>
      <w:start w:val="1"/>
    </w:lvl>
  </w:abstractNum>
  <w:abstractNum w:abstractNumId="24">
    <w:nsid w:val="6DE91B18"/>
    <w:multiLevelType w:val="hybridMultilevel"/>
    <w:lvl w:ilvl="0">
      <w:lvlJc w:val="left"/>
      <w:lvlText w:val="%1"/>
      <w:numFmt w:val="lowerRoman"/>
      <w:start w:val="1"/>
    </w:lvl>
    <w:lvl w:ilvl="1">
      <w:lvlJc w:val="left"/>
      <w:lvlText w:val="(%2)"/>
      <w:numFmt w:val="lowerLetter"/>
      <w:start w:val="2"/>
    </w:lvl>
  </w:abstractNum>
  <w:abstractNum w:abstractNumId="25">
    <w:nsid w:val="38437FDB"/>
    <w:multiLevelType w:val="hybridMultilevel"/>
    <w:lvl w:ilvl="0">
      <w:lvlJc w:val="left"/>
      <w:lvlText w:val="(%1)"/>
      <w:numFmt w:val="lowerRoman"/>
      <w:start w:val="6"/>
    </w:lvl>
    <w:lvl w:ilvl="1">
      <w:lvlJc w:val="left"/>
      <w:lvlText w:val="%2"/>
      <w:numFmt w:val="lowerLetter"/>
      <w:start w:val="1"/>
    </w:lvl>
  </w:abstractNum>
  <w:abstractNum w:abstractNumId="26">
    <w:nsid w:val="7644A45C"/>
    <w:multiLevelType w:val="hybridMultilevel"/>
    <w:lvl w:ilvl="0">
      <w:lvlJc w:val="left"/>
      <w:lvlText w:val="(%1)"/>
      <w:numFmt w:val="lowerLetter"/>
      <w:start w:val="1"/>
    </w:lvl>
  </w:abstractNum>
  <w:abstractNum w:abstractNumId="27">
    <w:nsid w:val="32FFF902"/>
    <w:multiLevelType w:val="hybridMultilevel"/>
    <w:lvl w:ilvl="0">
      <w:lvlJc w:val="left"/>
      <w:lvlText w:val="(%1)"/>
      <w:numFmt w:val="lowerLetter"/>
      <w:start w:val="3"/>
    </w:lvl>
  </w:abstractNum>
  <w:abstractNum w:abstractNumId="28">
    <w:nsid w:val="684A481A"/>
    <w:multiLevelType w:val="hybridMultilevel"/>
    <w:lvl w:ilvl="0">
      <w:lvlJc w:val="left"/>
      <w:lvlText w:val="(%1)"/>
      <w:numFmt w:val="lowerLetter"/>
      <w:start w:val="1"/>
    </w:lvl>
    <w:lvl w:ilvl="1">
      <w:lvlJc w:val="left"/>
      <w:lvlText w:val="(%2)"/>
      <w:numFmt w:val="lowerRoman"/>
      <w:start w:val="1"/>
    </w:lvl>
  </w:abstractNum>
  <w:abstractNum w:abstractNumId="29">
    <w:nsid w:val="579478FE"/>
    <w:multiLevelType w:val="hybridMultilevel"/>
    <w:lvl w:ilvl="0">
      <w:lvlJc w:val="left"/>
      <w:lvlText w:val="(%1)"/>
      <w:numFmt w:val="lowerLetter"/>
      <w:start w:val="3"/>
    </w:lvl>
  </w:abstractNum>
  <w:abstractNum w:abstractNumId="30">
    <w:nsid w:val="749ABB43"/>
    <w:multiLevelType w:val="hybridMultilevel"/>
    <w:lvl w:ilvl="0">
      <w:lvlJc w:val="left"/>
      <w:lvlText w:val="(%1)"/>
      <w:numFmt w:val="lowerLetter"/>
      <w:start w:val="1"/>
    </w:lvl>
    <w:lvl w:ilvl="1">
      <w:lvlJc w:val="left"/>
      <w:lvlText w:val="(%2)"/>
      <w:numFmt w:val="lowerRoman"/>
      <w:start w:val="1"/>
    </w:lvl>
  </w:abstractNum>
  <w:abstractNum w:abstractNumId="31">
    <w:nsid w:val="3DC240FB"/>
    <w:multiLevelType w:val="hybridMultilevel"/>
    <w:lvl w:ilvl="0">
      <w:lvlJc w:val="left"/>
      <w:lvlText w:val="(%1)"/>
      <w:numFmt w:val="upperLetter"/>
      <w:start w:val="1"/>
    </w:lvl>
    <w:lvl w:ilvl="1">
      <w:lvlJc w:val="left"/>
      <w:lvlText w:val="(%2)"/>
      <w:numFmt w:val="decimal"/>
      <w:start w:val="1"/>
    </w:lvl>
  </w:abstractNum>
  <w:abstractNum w:abstractNumId="32">
    <w:nsid w:val="1BA026FA"/>
    <w:multiLevelType w:val="hybridMultilevel"/>
    <w:lvl w:ilvl="0">
      <w:lvlJc w:val="left"/>
      <w:lvlText w:val="(%1)"/>
      <w:numFmt w:val="upperLetter"/>
      <w:start w:val="4"/>
    </w:lvl>
    <w:lvl w:ilvl="1">
      <w:lvlJc w:val="left"/>
      <w:lvlText w:val="(%2)"/>
      <w:numFmt w:val="decimal"/>
      <w:start w:val="1"/>
    </w:lvl>
  </w:abstractNum>
  <w:abstractNum w:abstractNumId="33">
    <w:nsid w:val="79A1DEAA"/>
    <w:multiLevelType w:val="hybridMultilevel"/>
    <w:lvl w:ilvl="0">
      <w:lvlJc w:val="left"/>
      <w:lvlText w:val="%1"/>
      <w:numFmt w:val="lowerLetter"/>
      <w:start w:val="1"/>
    </w:lvl>
    <w:lvl w:ilvl="1">
      <w:lvlJc w:val="left"/>
      <w:lvlText w:val="(%2)"/>
      <w:numFmt w:val="lowerRoman"/>
      <w:start w:val="3"/>
    </w:lvl>
  </w:abstractNum>
  <w:abstractNum w:abstractNumId="34">
    <w:nsid w:val="75C6C33A"/>
    <w:multiLevelType w:val="hybridMultilevel"/>
    <w:lvl w:ilvl="0">
      <w:lvlJc w:val="left"/>
      <w:lvlText w:val="(%1)"/>
      <w:numFmt w:val="lowerLetter"/>
      <w:start w:val="2"/>
    </w:lvl>
    <w:lvl w:ilvl="1">
      <w:lvlJc w:val="left"/>
      <w:lvlText w:val="%2"/>
      <w:numFmt w:val="lowerRoman"/>
      <w:start w:val="1"/>
    </w:lvl>
  </w:abstractNum>
  <w:abstractNum w:abstractNumId="35">
    <w:nsid w:val="12E685FB"/>
    <w:multiLevelType w:val="hybridMultilevel"/>
    <w:lvl w:ilvl="0">
      <w:lvlJc w:val="left"/>
      <w:lvlText w:val="(%1)"/>
      <w:numFmt w:val="lowerLetter"/>
      <w:start w:val="3"/>
    </w:lvl>
    <w:lvl w:ilvl="1">
      <w:lvlJc w:val="left"/>
      <w:lvlText w:val="(%2)"/>
      <w:numFmt w:val="lowerLetter"/>
      <w:start w:val="9"/>
    </w:lvl>
  </w:abstractNum>
  <w:abstractNum w:abstractNumId="36">
    <w:nsid w:val="70C6A529"/>
    <w:multiLevelType w:val="hybridMultilevel"/>
    <w:lvl w:ilvl="0">
      <w:lvlJc w:val="left"/>
      <w:lvlText w:val="(%1)"/>
      <w:numFmt w:val="lowerRoman"/>
      <w:start w:val="2"/>
    </w:lvl>
  </w:abstractNum>
  <w:abstractNum w:abstractNumId="37">
    <w:nsid w:val="520EEDD1"/>
    <w:multiLevelType w:val="hybridMultilevel"/>
    <w:lvl w:ilvl="0">
      <w:lvlJc w:val="left"/>
      <w:lvlText w:val="(%1)"/>
      <w:numFmt w:val="lowerLetter"/>
      <w:start w:val="1"/>
    </w:lvl>
    <w:lvl w:ilvl="1">
      <w:lvlJc w:val="left"/>
      <w:lvlText w:val="(%2)"/>
      <w:numFmt w:val="lowerRoman"/>
      <w:start w:val="1"/>
    </w:lvl>
  </w:abstractNum>
  <w:abstractNum w:abstractNumId="38">
    <w:nsid w:val="374A3FE6"/>
    <w:multiLevelType w:val="hybridMultilevel"/>
    <w:lvl w:ilvl="0">
      <w:lvlJc w:val="left"/>
      <w:lvlText w:val="(%1)"/>
      <w:numFmt w:val="lowerRoman"/>
      <w:start w:val="2"/>
    </w:lvl>
    <w:lvl w:ilvl="1">
      <w:lvlJc w:val="left"/>
      <w:lvlText w:val="(%2)"/>
      <w:numFmt w:val="upperLetter"/>
      <w:start w:val="1"/>
    </w:lvl>
  </w:abstractNum>
  <w:abstractNum w:abstractNumId="39">
    <w:nsid w:val="4F4EF005"/>
    <w:multiLevelType w:val="hybridMultilevel"/>
    <w:lvl w:ilvl="0">
      <w:lvlJc w:val="left"/>
      <w:lvlText w:val="(%1)"/>
      <w:numFmt w:val="lowerRoman"/>
      <w:start w:val="3"/>
    </w:lvl>
    <w:lvl w:ilvl="1">
      <w:lvlJc w:val="left"/>
      <w:lvlText w:val="(%2)"/>
      <w:numFmt w:val="upperLetter"/>
      <w:start w:val="1"/>
    </w:lvl>
  </w:abstractNum>
  <w:abstractNum w:abstractNumId="40">
    <w:nsid w:val="23F9C13C"/>
    <w:multiLevelType w:val="hybridMultilevel"/>
    <w:lvl w:ilvl="0">
      <w:lvlJc w:val="left"/>
      <w:lvlText w:val="(%1)"/>
      <w:numFmt w:val="lowerRoman"/>
      <w:start w:val="1"/>
    </w:lvl>
    <w:lvl w:ilvl="1">
      <w:lvlJc w:val="left"/>
      <w:lvlText w:val="(%2)"/>
      <w:numFmt w:val="lowerRoman"/>
      <w:start w:val="3"/>
    </w:lvl>
    <w:lvl w:ilvl="2">
      <w:lvlJc w:val="left"/>
      <w:lvlText w:val="(%3)"/>
      <w:numFmt w:val="upperLetter"/>
      <w:start w:val="2"/>
    </w:lvl>
  </w:abstractNum>
  <w:abstractNum w:abstractNumId="41">
    <w:nsid w:val="649BB77C"/>
    <w:multiLevelType w:val="hybridMultilevel"/>
    <w:lvl w:ilvl="0">
      <w:lvlJc w:val="left"/>
      <w:lvlText w:val="%1"/>
      <w:numFmt w:val="lowerRoman"/>
      <w:start w:val="1"/>
    </w:lvl>
    <w:lvl w:ilvl="1">
      <w:lvlJc w:val="left"/>
      <w:lvlText w:val="%2"/>
      <w:numFmt w:val="lowerRoman"/>
      <w:start w:val="1"/>
    </w:lvl>
    <w:lvl w:ilvl="2">
      <w:lvlJc w:val="left"/>
      <w:lvlText w:val="(%3)"/>
      <w:numFmt w:val="upperLetter"/>
      <w:start w:val="1"/>
    </w:lvl>
  </w:abstractNum>
  <w:abstractNum w:abstractNumId="42">
    <w:nsid w:val="275AC794"/>
    <w:multiLevelType w:val="hybridMultilevel"/>
    <w:lvl w:ilvl="0">
      <w:lvlJc w:val="left"/>
      <w:lvlText w:val="(%1)"/>
      <w:numFmt w:val="lowerLetter"/>
      <w:start w:val="3"/>
    </w:lvl>
    <w:lvl w:ilvl="1">
      <w:lvlJc w:val="left"/>
      <w:lvlText w:val="(%2)"/>
      <w:numFmt w:val="lowerRoman"/>
      <w:start w:val="1"/>
    </w:lvl>
    <w:lvl w:ilvl="2">
      <w:lvlJc w:val="left"/>
      <w:lvlText w:val="(%3)"/>
      <w:numFmt w:val="upperLetter"/>
      <w:start w:val="1"/>
    </w:lvl>
    <w:lvl w:ilvl="3">
      <w:lvlJc w:val="left"/>
      <w:lvlText w:val="(%4)"/>
      <w:numFmt w:val="decimal"/>
      <w:start w:val="1"/>
    </w:lvl>
  </w:abstractNum>
  <w:abstractNum w:abstractNumId="43">
    <w:nsid w:val="39386575"/>
    <w:multiLevelType w:val="hybridMultilevel"/>
    <w:lvl w:ilvl="0">
      <w:lvlJc w:val="left"/>
      <w:lvlText w:val="%1"/>
      <w:numFmt w:val="lowerRoman"/>
      <w:start w:val="1"/>
    </w:lvl>
    <w:lvl w:ilvl="1">
      <w:lvlJc w:val="left"/>
      <w:lvlText w:val="%2"/>
      <w:numFmt w:val="upperLetter"/>
      <w:start w:val="1"/>
    </w:lvl>
    <w:lvl w:ilvl="2">
      <w:lvlJc w:val="left"/>
      <w:lvlText w:val="(%3)"/>
      <w:numFmt w:val="decimal"/>
      <w:start w:val="3"/>
    </w:lvl>
  </w:abstractNum>
  <w:abstractNum w:abstractNumId="44">
    <w:nsid w:val="1CF10FD8"/>
    <w:multiLevelType w:val="hybridMultilevel"/>
    <w:lvl w:ilvl="0">
      <w:lvlJc w:val="left"/>
      <w:lvlText w:val="%1"/>
      <w:numFmt w:val="lowerRoman"/>
      <w:start w:val="1"/>
    </w:lvl>
    <w:lvl w:ilvl="1">
      <w:lvlJc w:val="left"/>
      <w:lvlText w:val="(%2)"/>
      <w:numFmt w:val="upperLetter"/>
      <w:start w:val="4"/>
    </w:lvl>
    <w:lvl w:ilvl="2">
      <w:lvlJc w:val="left"/>
      <w:lvlText w:val="%3"/>
      <w:numFmt w:val="decimal"/>
      <w:start w:val="1"/>
    </w:lvl>
  </w:abstractNum>
  <w:abstractNum w:abstractNumId="45">
    <w:nsid w:val="180115BE"/>
    <w:multiLevelType w:val="hybridMultilevel"/>
    <w:lvl w:ilvl="0">
      <w:lvlJc w:val="left"/>
      <w:lvlText w:val="(%1)"/>
      <w:numFmt w:val="lowerRoman"/>
      <w:start w:val="2"/>
    </w:lvl>
    <w:lvl w:ilvl="1">
      <w:lvlJc w:val="left"/>
      <w:lvlText w:val="%2"/>
      <w:numFmt w:val="upperLetter"/>
      <w:start w:val="1"/>
    </w:lvl>
    <w:lvl w:ilvl="2">
      <w:lvlJc w:val="left"/>
      <w:lvlText w:val="%3"/>
      <w:numFmt w:val="decimal"/>
      <w:start w:val="1"/>
    </w:lvl>
  </w:abstractNum>
  <w:abstractNum w:abstractNumId="46">
    <w:nsid w:val="235BA861"/>
    <w:multiLevelType w:val="hybridMultilevel"/>
    <w:lvl w:ilvl="0">
      <w:lvlJc w:val="left"/>
      <w:lvlText w:val="(%1)"/>
      <w:numFmt w:val="lowerRoman"/>
      <w:start w:val="3"/>
    </w:lvl>
    <w:lvl w:ilvl="1">
      <w:lvlJc w:val="left"/>
      <w:lvlText w:val="(%2)"/>
      <w:numFmt w:val="upperLetter"/>
      <w:start w:val="1"/>
    </w:lvl>
  </w:abstractNum>
  <w:abstractNum w:abstractNumId="47">
    <w:nsid w:val="47398C89"/>
    <w:multiLevelType w:val="hybridMultilevel"/>
    <w:lvl w:ilvl="0">
      <w:lvlJc w:val="left"/>
      <w:lvlText w:val="(%1)"/>
      <w:numFmt w:val="lowerRoman"/>
      <w:start w:val="4"/>
    </w:lvl>
  </w:abstractNum>
  <w:abstractNum w:abstractNumId="48">
    <w:nsid w:val="354FE9F9"/>
    <w:multiLevelType w:val="hybridMultilevel"/>
    <w:lvl w:ilvl="0">
      <w:lvlJc w:val="left"/>
      <w:lvlText w:val="(%1)"/>
      <w:numFmt w:val="lowerLetter"/>
      <w:start w:val="4"/>
    </w:lvl>
    <w:lvl w:ilvl="1">
      <w:lvlJc w:val="left"/>
      <w:lvlText w:val="(%2)"/>
      <w:numFmt w:val="lowerRoman"/>
      <w:start w:val="1"/>
    </w:lvl>
    <w:lvl w:ilvl="2">
      <w:lvlJc w:val="left"/>
      <w:lvlText w:val="(%3)"/>
      <w:numFmt w:val="upperLetter"/>
      <w:start w:val="1"/>
    </w:lvl>
  </w:abstractNum>
  <w:abstractNum w:abstractNumId="49">
    <w:nsid w:val="15B5AF5C"/>
    <w:multiLevelType w:val="hybridMultilevel"/>
    <w:lvl w:ilvl="0">
      <w:lvlJc w:val="left"/>
      <w:lvlText w:val="(%1)"/>
      <w:numFmt w:val="lowerRoman"/>
      <w:start w:val="3"/>
    </w:lvl>
  </w:abstractNum>
  <w:abstractNum w:abstractNumId="50">
    <w:nsid w:val="741226BB"/>
    <w:multiLevelType w:val="hybridMultilevel"/>
    <w:lvl w:ilvl="0">
      <w:lvlJc w:val="left"/>
      <w:lvlText w:val="(%1)"/>
      <w:numFmt w:val="lowerLetter"/>
      <w:start w:val="1"/>
    </w:lvl>
  </w:abstractNum>
  <w:abstractNum w:abstractNumId="51">
    <w:nsid w:val="D34B6A8"/>
    <w:multiLevelType w:val="hybridMultilevel"/>
    <w:lvl w:ilvl="0">
      <w:lvlJc w:val="left"/>
      <w:lvlText w:val="(%1)"/>
      <w:numFmt w:val="lowerLetter"/>
      <w:start w:val="1"/>
    </w:lvl>
  </w:abstractNum>
  <w:abstractNum w:abstractNumId="52">
    <w:nsid w:val="10233C99"/>
    <w:multiLevelType w:val="hybridMultilevel"/>
    <w:lvl w:ilvl="0">
      <w:lvlJc w:val="left"/>
      <w:lvlText w:val="(%1)"/>
      <w:numFmt w:val="lowerLetter"/>
      <w:start w:val="1"/>
    </w:lvl>
  </w:abstractNum>
  <w:abstractNum w:abstractNumId="53">
    <w:nsid w:val="3F6AB60F"/>
    <w:multiLevelType w:val="hybridMultilevel"/>
    <w:lvl w:ilvl="0">
      <w:lvlJc w:val="left"/>
      <w:lvlText w:val="(%1)"/>
      <w:numFmt w:val="lowerLetter"/>
      <w:start w:val="1"/>
    </w:lvl>
  </w:abstractNum>
  <w:abstractNum w:abstractNumId="54">
    <w:nsid w:val="61574095"/>
    <w:multiLevelType w:val="hybridMultilevel"/>
    <w:lvl w:ilvl="0">
      <w:lvlJc w:val="left"/>
      <w:lvlText w:val="(%1)"/>
      <w:numFmt w:val="lowerLetter"/>
      <w:start w:val="4"/>
    </w:lvl>
  </w:abstractNum>
  <w:abstractNum w:abstractNumId="55">
    <w:nsid w:val="7E0C57B1"/>
    <w:multiLevelType w:val="hybridMultilevel"/>
    <w:lvl w:ilvl="0">
      <w:lvlJc w:val="left"/>
      <w:lvlText w:val="(%1)"/>
      <w:numFmt w:val="lowerLetter"/>
      <w:start w:val="1"/>
    </w:lvl>
  </w:abstractNum>
  <w:abstractNum w:abstractNumId="56">
    <w:nsid w:val="77AE35EB"/>
    <w:multiLevelType w:val="hybridMultilevel"/>
    <w:lvl w:ilvl="0">
      <w:lvlJc w:val="left"/>
      <w:lvlText w:val="(%1)"/>
      <w:numFmt w:val="lowerLetter"/>
      <w:start w:val="1"/>
    </w:lvl>
  </w:abstractNum>
  <w:abstractNum w:abstractNumId="57">
    <w:nsid w:val="579BE4F1"/>
    <w:multiLevelType w:val="hybridMultilevel"/>
    <w:lvl w:ilvl="0">
      <w:lvlJc w:val="left"/>
      <w:lvlText w:val="(%1)"/>
      <w:numFmt w:val="lowerLetter"/>
      <w:start w:val="1"/>
    </w:lvl>
  </w:abstractNum>
  <w:abstractNum w:abstractNumId="58">
    <w:nsid w:val="310C50B3"/>
    <w:multiLevelType w:val="hybridMultilevel"/>
    <w:lvl w:ilvl="0">
      <w:lvlJc w:val="left"/>
      <w:lvlText w:val="%1."/>
      <w:numFmt w:val="decimal"/>
      <w:start w:val="1"/>
    </w:lvl>
    <w:lvl w:ilvl="1">
      <w:lvlJc w:val="left"/>
      <w:lvlText w:val="(%2)"/>
      <w:numFmt w:val="lowerLetter"/>
      <w:start w:val="1"/>
    </w:lvl>
  </w:abstractNum>
  <w:abstractNum w:abstractNumId="59">
    <w:nsid w:val="5FF87E05"/>
    <w:multiLevelType w:val="hybridMultilevel"/>
    <w:lvl w:ilvl="0">
      <w:lvlJc w:val="left"/>
      <w:lvlText w:val="%1."/>
      <w:numFmt w:val="decimal"/>
      <w:start w:val="2"/>
    </w:lvl>
    <w:lvl w:ilvl="1">
      <w:lvlJc w:val="left"/>
      <w:lvlText w:val="(%2)"/>
      <w:numFmt w:val="lowerLetter"/>
      <w:start w:val="1"/>
    </w:lvl>
  </w:abstractNum>
  <w:abstractNum w:abstractNumId="60">
    <w:nsid w:val="2F305DEF"/>
    <w:multiLevelType w:val="hybridMultilevel"/>
    <w:lvl w:ilvl="0">
      <w:lvlJc w:val="left"/>
      <w:lvlText w:val="%1."/>
      <w:numFmt w:val="decimal"/>
      <w:start w:val="5"/>
    </w:lvl>
  </w:abstractNum>
  <w:abstractNum w:abstractNumId="61">
    <w:nsid w:val="25A70BF7"/>
    <w:multiLevelType w:val="hybridMultilevel"/>
    <w:lvl w:ilvl="0">
      <w:lvlJc w:val="left"/>
      <w:lvlText w:val="%1"/>
      <w:numFmt w:val="lowerLetter"/>
      <w:start w:val="1"/>
    </w:lvl>
    <w:lvl w:ilvl="1">
      <w:lvlJc w:val="left"/>
      <w:lvlText w:val="%2."/>
      <w:numFmt w:val="decimal"/>
      <w:start w:val="7"/>
    </w:lvl>
  </w:abstractNum>
  <w:abstractNum w:abstractNumId="62">
    <w:nsid w:val="1DBABF00"/>
    <w:multiLevelType w:val="hybridMultilevel"/>
    <w:lvl w:ilvl="0">
      <w:lvlJc w:val="left"/>
      <w:lvlText w:val="(%1)"/>
      <w:numFmt w:val="lowerLetter"/>
      <w:start w:val="3"/>
    </w:lvl>
    <w:lvl w:ilvl="1">
      <w:lvlJc w:val="left"/>
      <w:lvlText w:val="%2."/>
      <w:numFmt w:val="decimal"/>
      <w:start w:val="9"/>
    </w:lvl>
  </w:abstractNum>
  <w:abstractNum w:abstractNumId="63">
    <w:nsid w:val="4AD084E9"/>
    <w:multiLevelType w:val="hybridMultilevel"/>
    <w:lvl w:ilvl="0">
      <w:lvlJc w:val="left"/>
      <w:lvlText w:val="%1."/>
      <w:numFmt w:val="decimal"/>
      <w:start w:val="10"/>
    </w:lvl>
  </w:abstractNum>
  <w:abstractNum w:abstractNumId="64">
    <w:nsid w:val="1F48EAA1"/>
    <w:multiLevelType w:val="hybridMultilevel"/>
    <w:lvl w:ilvl="0">
      <w:lvlJc w:val="left"/>
      <w:lvlText w:val="%1."/>
      <w:numFmt w:val="decimal"/>
      <w:start w:val="11"/>
    </w:lvl>
  </w:abstractNum>
  <w:abstractNum w:abstractNumId="65">
    <w:nsid w:val="1381823A"/>
    <w:multiLevelType w:val="hybridMultilevel"/>
    <w:lvl w:ilvl="0">
      <w:lvlJc w:val="left"/>
      <w:lvlText w:val="%1"/>
      <w:numFmt w:val="decimal"/>
      <w:start w:val="1"/>
    </w:lvl>
    <w:lvl w:ilvl="1">
      <w:lvlJc w:val="left"/>
      <w:lvlText w:val="(%2)"/>
      <w:numFmt w:val="lowerLetter"/>
      <w:start w:val="1"/>
    </w:lvl>
  </w:abstractNum>
  <w:abstractNum w:abstractNumId="66">
    <w:nsid w:val="5DB70AE5"/>
    <w:multiLevelType w:val="hybridMultilevel"/>
    <w:lvl w:ilvl="0">
      <w:lvlJc w:val="left"/>
      <w:lvlText w:val="%1."/>
      <w:numFmt w:val="decimal"/>
      <w:start w:val="15"/>
    </w:lvl>
    <w:lvl w:ilvl="1">
      <w:lvlJc w:val="left"/>
      <w:lvlText w:val="%2"/>
      <w:numFmt w:val="lowerLetter"/>
      <w:start w:val="1"/>
    </w:lvl>
  </w:abstractNum>
  <w:abstractNum w:abstractNumId="67">
    <w:nsid w:val="100F8FCA"/>
    <w:multiLevelType w:val="hybridMultilevel"/>
    <w:lvl w:ilvl="0">
      <w:lvlJc w:val="left"/>
      <w:lvlText w:val="%1."/>
      <w:numFmt w:val="decimal"/>
      <w:start w:val="16"/>
    </w:lvl>
    <w:lvl w:ilvl="1">
      <w:lvlJc w:val="left"/>
      <w:lvlText w:val="(%2)"/>
      <w:numFmt w:val="lowerLetter"/>
      <w:start w:val="1"/>
    </w:lvl>
  </w:abstractNum>
  <w:abstractNum w:abstractNumId="68">
    <w:nsid w:val="6590700B"/>
    <w:multiLevelType w:val="hybridMultilevel"/>
    <w:lvl w:ilvl="0">
      <w:lvlJc w:val="left"/>
      <w:lvlText w:val="(%1)"/>
      <w:numFmt w:val="lowerLetter"/>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46" Type="http://schemas.openxmlformats.org/officeDocument/2006/relationships/image" Target="media/image34.png"/><Relationship Id="rId47" Type="http://schemas.openxmlformats.org/officeDocument/2006/relationships/image" Target="media/image35.png"/><Relationship Id="rId48" Type="http://schemas.openxmlformats.org/officeDocument/2006/relationships/image" Target="media/image36.png"/><Relationship Id="rId49" Type="http://schemas.openxmlformats.org/officeDocument/2006/relationships/image" Target="media/image37.png"/><Relationship Id="rId50" Type="http://schemas.openxmlformats.org/officeDocument/2006/relationships/image" Target="media/image38.png"/><Relationship Id="rId51" Type="http://schemas.openxmlformats.org/officeDocument/2006/relationships/image" Target="media/image39.png"/><Relationship Id="rId52" Type="http://schemas.openxmlformats.org/officeDocument/2006/relationships/image" Target="media/image40.png"/><Relationship Id="rId53" Type="http://schemas.openxmlformats.org/officeDocument/2006/relationships/image" Target="media/image41.png"/><Relationship Id="rId54" Type="http://schemas.openxmlformats.org/officeDocument/2006/relationships/image" Target="media/image42.png"/><Relationship Id="rId55" Type="http://schemas.openxmlformats.org/officeDocument/2006/relationships/image" Target="media/image43.png"/><Relationship Id="rId56" Type="http://schemas.openxmlformats.org/officeDocument/2006/relationships/image" Target="media/image44.png"/><Relationship Id="rId57" Type="http://schemas.openxmlformats.org/officeDocument/2006/relationships/image" Target="media/image45.png"/><Relationship Id="rId58" Type="http://schemas.openxmlformats.org/officeDocument/2006/relationships/image" Target="media/image46.png"/><Relationship Id="rId59" Type="http://schemas.openxmlformats.org/officeDocument/2006/relationships/image" Target="media/image47.png"/><Relationship Id="rId60" Type="http://schemas.openxmlformats.org/officeDocument/2006/relationships/image" Target="media/image48.png"/><Relationship Id="rId61" Type="http://schemas.openxmlformats.org/officeDocument/2006/relationships/image" Target="media/image49.png"/><Relationship Id="rId62" Type="http://schemas.openxmlformats.org/officeDocument/2006/relationships/image" Target="media/image50.png"/><Relationship Id="rId63" Type="http://schemas.openxmlformats.org/officeDocument/2006/relationships/image" Target="media/image51.png"/><Relationship Id="rId64" Type="http://schemas.openxmlformats.org/officeDocument/2006/relationships/image" Target="media/image52.png"/><Relationship Id="rId65" Type="http://schemas.openxmlformats.org/officeDocument/2006/relationships/image" Target="media/image53.png"/><Relationship Id="rId66" Type="http://schemas.openxmlformats.org/officeDocument/2006/relationships/image" Target="media/image54.png"/><Relationship Id="rId67" Type="http://schemas.openxmlformats.org/officeDocument/2006/relationships/image" Target="media/image55.png"/><Relationship Id="rId68" Type="http://schemas.openxmlformats.org/officeDocument/2006/relationships/image" Target="media/image56.png"/><Relationship Id="rId69" Type="http://schemas.openxmlformats.org/officeDocument/2006/relationships/image" Target="media/image57.png"/><Relationship Id="rId70" Type="http://schemas.openxmlformats.org/officeDocument/2006/relationships/image" Target="media/image58.png"/><Relationship Id="rId71" Type="http://schemas.openxmlformats.org/officeDocument/2006/relationships/image" Target="media/image59.png"/><Relationship Id="rId72" Type="http://schemas.openxmlformats.org/officeDocument/2006/relationships/image" Target="media/image60.png"/><Relationship Id="rId73" Type="http://schemas.openxmlformats.org/officeDocument/2006/relationships/image" Target="media/image61.png"/><Relationship Id="rId74" Type="http://schemas.openxmlformats.org/officeDocument/2006/relationships/image" Target="media/image62.png"/><Relationship Id="rId75" Type="http://schemas.openxmlformats.org/officeDocument/2006/relationships/image" Target="media/image63.png"/><Relationship Id="rId76" Type="http://schemas.openxmlformats.org/officeDocument/2006/relationships/image" Target="media/image64.png"/><Relationship Id="rId77" Type="http://schemas.openxmlformats.org/officeDocument/2006/relationships/image" Target="media/image65.png"/><Relationship Id="rId78" Type="http://schemas.openxmlformats.org/officeDocument/2006/relationships/image" Target="media/image66.png"/><Relationship Id="rId79" Type="http://schemas.openxmlformats.org/officeDocument/2006/relationships/image" Target="media/image67.png"/><Relationship Id="rId80" Type="http://schemas.openxmlformats.org/officeDocument/2006/relationships/image" Target="media/image68.png"/><Relationship Id="rId81" Type="http://schemas.openxmlformats.org/officeDocument/2006/relationships/image" Target="media/image69.png"/><Relationship Id="rId82" Type="http://schemas.openxmlformats.org/officeDocument/2006/relationships/image" Target="media/image70.png"/><Relationship Id="rId83" Type="http://schemas.openxmlformats.org/officeDocument/2006/relationships/image" Target="media/image71.png"/><Relationship Id="rId84" Type="http://schemas.openxmlformats.org/officeDocument/2006/relationships/image" Target="media/image72.png"/><Relationship Id="rId85" Type="http://schemas.openxmlformats.org/officeDocument/2006/relationships/image" Target="media/image73.png"/><Relationship Id="rId86" Type="http://schemas.openxmlformats.org/officeDocument/2006/relationships/image" Target="media/image74.png"/><Relationship Id="rId87" Type="http://schemas.openxmlformats.org/officeDocument/2006/relationships/image" Target="media/image75.png"/><Relationship Id="rId88" Type="http://schemas.openxmlformats.org/officeDocument/2006/relationships/image" Target="media/image76.png"/><Relationship Id="rId89" Type="http://schemas.openxmlformats.org/officeDocument/2006/relationships/image" Target="media/image77.png"/><Relationship Id="rId20" Type="http://schemas.openxmlformats.org/officeDocument/2006/relationships/hyperlink" Target="http://www.sec.gov/ix?doc=/Archives/edgar/data/1058057/000119312520312706/d84972d8k.htm" TargetMode="External"/><Relationship Id="rId26" Type="http://schemas.openxmlformats.org/officeDocument/2006/relationships/hyperlink" Target="http://www.sec.gov/Archives/edgar/data/1058057/000119312520282762/d42915dex21.htm" TargetMode="External"/><Relationship Id="rId27" Type="http://schemas.openxmlformats.org/officeDocument/2006/relationships/hyperlink" Target="http://www.sec.gov/Archives/edgar/data/1058057/000119312520312706/d84972dex101.htm" TargetMode="External"/><Relationship Id="rId28" Type="http://schemas.openxmlformats.org/officeDocument/2006/relationships/hyperlink" Target="http://www.sec.gov/Archives/edgar/data/1058057/000119312520312706/d84972dex102.htm" TargetMode="External"/><Relationship Id="rId29" Type="http://schemas.openxmlformats.org/officeDocument/2006/relationships/hyperlink" Target="http://www.sec.gov/Archives/edgar/data/1058057/000119312520312706/d84972dex103.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2021-04-20T15:44:09Z</dcterms:created>
  <dcterms:modified xsi:type="dcterms:W3CDTF">2021-04-20T15:44:09Z</dcterms:modified>
</cp:coreProperties>
</file>