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7045960" cy="4639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5960" cy="463994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Knight Marachel</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520" w:type="dxa"/>
            <w:vAlign w:val="bottom"/>
          </w:tcPr>
          <w:p>
            <w:pPr>
              <w:ind w:left="8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tcPr>
          <w:p>
            <w:pPr>
              <w:ind w:left="7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520" w:type="dxa"/>
            <w:vAlign w:val="bottom"/>
          </w:tcPr>
          <w:p>
            <w:pPr>
              <w:spacing w:after="0"/>
              <w:rPr>
                <w:sz w:val="11"/>
                <w:szCs w:val="11"/>
                <w:color w:val="auto"/>
              </w:rPr>
            </w:pPr>
          </w:p>
        </w:tc>
        <w:tc>
          <w:tcPr>
            <w:tcW w:w="1800" w:type="dxa"/>
            <w:vAlign w:val="bottom"/>
          </w:tcPr>
          <w:p>
            <w:pPr>
              <w:ind w:left="7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80"/>
              <w:spacing w:after="0" w:line="128" w:lineRule="exact"/>
              <w:rPr>
                <w:sz w:val="20"/>
                <w:szCs w:val="20"/>
                <w:color w:val="auto"/>
              </w:rPr>
            </w:pPr>
            <w:r>
              <w:rPr>
                <w:rFonts w:ascii="Arial" w:cs="Arial" w:eastAsia="Arial" w:hAnsi="Arial"/>
                <w:sz w:val="12"/>
                <w:szCs w:val="12"/>
                <w:b w:val="1"/>
                <w:bCs w:val="1"/>
                <w:color w:val="auto"/>
                <w:w w:val="99"/>
              </w:rPr>
              <w:t>Transaction</w:t>
            </w:r>
          </w:p>
        </w:tc>
        <w:tc>
          <w:tcPr>
            <w:tcW w:w="192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Disposed Of (D) (Instr. 3, 4 and</w:t>
            </w:r>
          </w:p>
        </w:tc>
        <w:tc>
          <w:tcPr>
            <w:tcW w:w="11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520" w:type="dxa"/>
            <w:vAlign w:val="bottom"/>
          </w:tcPr>
          <w:p>
            <w:pPr>
              <w:spacing w:after="0"/>
              <w:rPr>
                <w:sz w:val="11"/>
                <w:szCs w:val="11"/>
                <w:color w:val="auto"/>
              </w:rPr>
            </w:pPr>
          </w:p>
        </w:tc>
        <w:tc>
          <w:tcPr>
            <w:tcW w:w="1800" w:type="dxa"/>
            <w:vAlign w:val="bottom"/>
          </w:tcPr>
          <w:p>
            <w:pPr>
              <w:ind w:left="78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5)</w:t>
            </w: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520" w:type="dxa"/>
            <w:vAlign w:val="bottom"/>
          </w:tcPr>
          <w:p>
            <w:pPr>
              <w:spacing w:after="0"/>
              <w:rPr>
                <w:sz w:val="6"/>
                <w:szCs w:val="6"/>
                <w:color w:val="auto"/>
              </w:rPr>
            </w:pPr>
          </w:p>
        </w:tc>
        <w:tc>
          <w:tcPr>
            <w:tcW w:w="1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520" w:type="dxa"/>
            <w:vAlign w:val="bottom"/>
          </w:tcPr>
          <w:p>
            <w:pPr>
              <w:spacing w:after="0"/>
              <w:rPr>
                <w:sz w:val="3"/>
                <w:szCs w:val="3"/>
                <w:color w:val="auto"/>
              </w:rPr>
            </w:pPr>
          </w:p>
        </w:tc>
        <w:tc>
          <w:tcPr>
            <w:tcW w:w="1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20" w:type="dxa"/>
            <w:vAlign w:val="bottom"/>
          </w:tcPr>
          <w:p>
            <w:pPr>
              <w:spacing w:after="0"/>
              <w:rPr>
                <w:sz w:val="7"/>
                <w:szCs w:val="7"/>
                <w:color w:val="auto"/>
              </w:rPr>
            </w:pPr>
          </w:p>
        </w:tc>
        <w:tc>
          <w:tcPr>
            <w:tcW w:w="1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58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7"/>
                <w:szCs w:val="7"/>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520" w:type="dxa"/>
            <w:vAlign w:val="bottom"/>
          </w:tcPr>
          <w:p>
            <w:pPr>
              <w:spacing w:after="0"/>
              <w:rPr>
                <w:sz w:val="5"/>
                <w:szCs w:val="5"/>
                <w:color w:val="auto"/>
              </w:rPr>
            </w:pPr>
          </w:p>
        </w:tc>
        <w:tc>
          <w:tcPr>
            <w:tcW w:w="1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52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61" w:lineRule="exact"/>
        <w:rPr>
          <w:sz w:val="20"/>
          <w:szCs w:val="20"/>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0" w:lineRule="exact"/>
        <w:rPr>
          <w:sz w:val="20"/>
          <w:szCs w:val="20"/>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1"/>
                <w:szCs w:val="11"/>
                <w:color w:val="auto"/>
              </w:rPr>
            </w:pP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260"/>
              <w:spacing w:after="0"/>
              <w:rPr>
                <w:sz w:val="20"/>
                <w:szCs w:val="20"/>
                <w:color w:val="auto"/>
              </w:rPr>
            </w:pPr>
            <w:r>
              <w:rPr>
                <w:rFonts w:ascii="Arial" w:cs="Arial" w:eastAsia="Arial" w:hAnsi="Arial"/>
                <w:sz w:val="11"/>
                <w:szCs w:val="11"/>
                <w:color w:val="008000"/>
              </w:rPr>
              <w:t>(1)(2)</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jc w:val="right"/>
              <w:ind w:right="243"/>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6,431</w:t>
            </w:r>
          </w:p>
        </w:tc>
        <w:tc>
          <w:tcPr>
            <w:tcW w:w="700" w:type="dxa"/>
            <w:vAlign w:val="bottom"/>
            <w:vMerge w:val="restart"/>
          </w:tcPr>
          <w:p>
            <w:pPr>
              <w:ind w:left="300"/>
              <w:spacing w:after="0"/>
              <w:rPr>
                <w:sz w:val="20"/>
                <w:szCs w:val="20"/>
                <w:color w:val="auto"/>
              </w:rPr>
            </w:pPr>
            <w:r>
              <w:rPr>
                <w:rFonts w:ascii="Arial" w:cs="Arial" w:eastAsia="Arial" w:hAnsi="Arial"/>
                <w:sz w:val="11"/>
                <w:szCs w:val="11"/>
                <w:color w:val="008000"/>
              </w:rPr>
              <w:t>(2)</w:t>
            </w: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right"/>
              <w:ind w:right="18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80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ind w:left="380"/>
              <w:spacing w:after="0" w:line="126" w:lineRule="exact"/>
              <w:rPr>
                <w:sz w:val="20"/>
                <w:szCs w:val="20"/>
                <w:color w:val="auto"/>
              </w:rPr>
            </w:pPr>
            <w:r>
              <w:rPr>
                <w:rFonts w:ascii="Arial" w:cs="Arial" w:eastAsia="Arial" w:hAnsi="Arial"/>
                <w:sz w:val="13"/>
                <w:szCs w:val="13"/>
                <w:color w:val="0000FF"/>
              </w:rPr>
              <w:t>6,431</w:t>
            </w:r>
          </w:p>
        </w:tc>
        <w:tc>
          <w:tcPr>
            <w:tcW w:w="80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940" w:type="dxa"/>
            <w:vAlign w:val="bottom"/>
          </w:tcPr>
          <w:p>
            <w:pPr>
              <w:ind w:left="440"/>
              <w:spacing w:after="0" w:line="126" w:lineRule="exact"/>
              <w:rPr>
                <w:sz w:val="20"/>
                <w:szCs w:val="20"/>
                <w:color w:val="auto"/>
              </w:rPr>
            </w:pPr>
            <w:r>
              <w:rPr>
                <w:rFonts w:ascii="Arial" w:cs="Arial" w:eastAsia="Arial" w:hAnsi="Arial"/>
                <w:sz w:val="13"/>
                <w:szCs w:val="13"/>
                <w:color w:val="0000FF"/>
              </w:rPr>
              <w:t>0</w:t>
            </w:r>
          </w:p>
        </w:tc>
        <w:tc>
          <w:tcPr>
            <w:tcW w:w="74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14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common share of Marvell, par value $0.002 per share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30,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Arial" w:cs="Arial" w:eastAsia="Arial" w:hAnsi="Arial"/>
                <w:sz w:val="17"/>
                <w:szCs w:val="17"/>
                <w:color w:val="0000FF"/>
              </w:rPr>
              <w:t>/s/ Marachel Knight,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1980" w:type="dxa"/>
            <w:vAlign w:val="bottom"/>
            <w:tcBorders>
              <w:top w:val="single" w:sz="8" w:color="auto"/>
              <w:bottom w:val="single" w:sz="8" w:color="auto"/>
            </w:tcBorders>
            <w:gridSpan w:val="2"/>
            <w:vMerge w:val="restart"/>
          </w:tcPr>
          <w:p>
            <w:pPr>
              <w:spacing w:after="0" w:line="188" w:lineRule="exact"/>
              <w:rPr>
                <w:sz w:val="20"/>
                <w:szCs w:val="20"/>
                <w:color w:val="auto"/>
              </w:rPr>
            </w:pPr>
            <w:r>
              <w:rPr>
                <w:rFonts w:ascii="Arial" w:cs="Arial" w:eastAsia="Arial" w:hAnsi="Arial"/>
                <w:sz w:val="17"/>
                <w:szCs w:val="17"/>
                <w:color w:val="0000FF"/>
                <w:w w:val="95"/>
              </w:rPr>
              <w:t>Walters as Attorney-in-Fact</w:t>
            </w:r>
          </w:p>
        </w:tc>
        <w:tc>
          <w:tcPr>
            <w:tcW w:w="22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1980" w:type="dxa"/>
            <w:vAlign w:val="bottom"/>
            <w:gridSpan w:val="2"/>
            <w:vMerge w:val="continue"/>
          </w:tcPr>
          <w:p>
            <w:pPr>
              <w:spacing w:after="0"/>
              <w:rPr>
                <w:sz w:val="7"/>
                <w:szCs w:val="7"/>
                <w:color w:val="auto"/>
              </w:rPr>
            </w:pPr>
          </w:p>
        </w:tc>
        <w:tc>
          <w:tcPr>
            <w:tcW w:w="2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81983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2021-04-20T16:55:00Z</dcterms:created>
  <dcterms:modified xsi:type="dcterms:W3CDTF">2021-04-20T16:55:00Z</dcterms:modified>
</cp:coreProperties>
</file>