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20"/>
        <w:spacing w:after="0" w:line="239" w:lineRule="auto"/>
        <w:rPr>
          <w:sz w:val="20"/>
          <w:szCs w:val="20"/>
          <w:color w:val="auto"/>
        </w:rPr>
      </w:pPr>
      <w:r>
        <w:rPr>
          <w:rFonts w:ascii="Arial" w:cs="Arial" w:eastAsia="Arial" w:hAnsi="Arial"/>
          <w:sz w:val="22"/>
          <w:szCs w:val="22"/>
          <w:b w:val="1"/>
          <w:bCs w:val="1"/>
          <w:color w:val="auto"/>
        </w:rPr>
        <w:t>CERTIFICATION AND NOTICE OF TERMINATION OF REGISTRATION UNDER SECTION 12(g) OF THE SECURITIES EXCHANGE ACT OF 1934 OR SUSPENSION OF DUTY TO FILE REPORTS UNDER SECTIONS 13 AND 15(d) OF THE SECURITIES EXCHANGE ACT OF 1934.</w:t>
      </w:r>
    </w:p>
    <w:p>
      <w:pPr>
        <w:spacing w:after="0" w:line="18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240030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6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294-8000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Common Shares, $0.002 par value per share</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(Title of each class of securities covered by this Form)</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None</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(Title of all other classes of securities for which a duty to file reports under section 13(a) or 15(d) remains)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spacing w:after="0"/>
        <w:rPr>
          <w:sz w:val="20"/>
          <w:szCs w:val="20"/>
          <w:color w:val="auto"/>
        </w:rPr>
      </w:pPr>
      <w:r>
        <w:rPr>
          <w:rFonts w:ascii="Arial" w:cs="Arial" w:eastAsia="Arial" w:hAnsi="Arial"/>
          <w:sz w:val="18"/>
          <w:szCs w:val="18"/>
          <w:color w:val="auto"/>
        </w:rPr>
        <w:t>Please place an X in the box(es) to designate the appropriate rule provision(s) relied upon to terminate or suspend the duty to file reports:</w:t>
      </w:r>
    </w:p>
    <w:p>
      <w:pPr>
        <w:spacing w:after="0" w:line="219" w:lineRule="exact"/>
        <w:rPr>
          <w:sz w:val="24"/>
          <w:szCs w:val="24"/>
          <w:color w:val="auto"/>
        </w:rPr>
      </w:pPr>
    </w:p>
    <w:tbl>
      <w:tblPr>
        <w:tblLayout w:type="fixed"/>
        <w:tblInd w:w="0" w:type="dxa"/>
        <w:tblCellMar>
          <w:top w:w="0" w:type="dxa"/>
          <w:left w:w="0" w:type="dxa"/>
          <w:bottom w:w="0" w:type="dxa"/>
          <w:right w:w="0" w:type="dxa"/>
        </w:tblCellMar>
      </w:tblPr>
      <w:tr>
        <w:trPr>
          <w:trHeight w:val="216"/>
        </w:trPr>
        <w:tc>
          <w:tcPr>
            <w:tcW w:w="6320" w:type="dxa"/>
            <w:vAlign w:val="bottom"/>
          </w:tcPr>
          <w:p>
            <w:pPr>
              <w:ind w:left="4400"/>
              <w:spacing w:after="0"/>
              <w:rPr>
                <w:sz w:val="20"/>
                <w:szCs w:val="20"/>
                <w:color w:val="auto"/>
              </w:rPr>
            </w:pPr>
            <w:r>
              <w:rPr>
                <w:rFonts w:ascii="Arial" w:cs="Arial" w:eastAsia="Arial" w:hAnsi="Arial"/>
                <w:sz w:val="18"/>
                <w:szCs w:val="18"/>
                <w:color w:val="auto"/>
              </w:rPr>
              <w:t>Rule 12g-4(a)(1)</w:t>
            </w:r>
          </w:p>
        </w:tc>
        <w:tc>
          <w:tcPr>
            <w:tcW w:w="4700" w:type="dxa"/>
            <w:vAlign w:val="bottom"/>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16"/>
        </w:trPr>
        <w:tc>
          <w:tcPr>
            <w:tcW w:w="6320" w:type="dxa"/>
            <w:vAlign w:val="bottom"/>
          </w:tcPr>
          <w:p>
            <w:pPr>
              <w:ind w:left="4400"/>
              <w:spacing w:after="0"/>
              <w:rPr>
                <w:sz w:val="20"/>
                <w:szCs w:val="20"/>
                <w:color w:val="auto"/>
              </w:rPr>
            </w:pPr>
            <w:r>
              <w:rPr>
                <w:rFonts w:ascii="Arial" w:cs="Arial" w:eastAsia="Arial" w:hAnsi="Arial"/>
                <w:sz w:val="18"/>
                <w:szCs w:val="18"/>
                <w:color w:val="auto"/>
              </w:rPr>
              <w:t>Rule 12g-4(a)(2)</w:t>
            </w:r>
          </w:p>
        </w:tc>
        <w:tc>
          <w:tcPr>
            <w:tcW w:w="4700" w:type="dxa"/>
            <w:vAlign w:val="bottom"/>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16"/>
        </w:trPr>
        <w:tc>
          <w:tcPr>
            <w:tcW w:w="6320" w:type="dxa"/>
            <w:vAlign w:val="bottom"/>
          </w:tcPr>
          <w:p>
            <w:pPr>
              <w:ind w:left="4400"/>
              <w:spacing w:after="0"/>
              <w:rPr>
                <w:sz w:val="20"/>
                <w:szCs w:val="20"/>
                <w:color w:val="auto"/>
              </w:rPr>
            </w:pPr>
            <w:r>
              <w:rPr>
                <w:rFonts w:ascii="Arial" w:cs="Arial" w:eastAsia="Arial" w:hAnsi="Arial"/>
                <w:sz w:val="18"/>
                <w:szCs w:val="18"/>
                <w:color w:val="auto"/>
              </w:rPr>
              <w:t>Rule 12h-3(b)(1)(i)</w:t>
            </w:r>
          </w:p>
        </w:tc>
        <w:tc>
          <w:tcPr>
            <w:tcW w:w="4700" w:type="dxa"/>
            <w:vAlign w:val="bottom"/>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16"/>
        </w:trPr>
        <w:tc>
          <w:tcPr>
            <w:tcW w:w="6320" w:type="dxa"/>
            <w:vAlign w:val="bottom"/>
          </w:tcPr>
          <w:p>
            <w:pPr>
              <w:ind w:left="4400"/>
              <w:spacing w:after="0"/>
              <w:rPr>
                <w:sz w:val="20"/>
                <w:szCs w:val="20"/>
                <w:color w:val="auto"/>
              </w:rPr>
            </w:pPr>
            <w:r>
              <w:rPr>
                <w:rFonts w:ascii="Arial" w:cs="Arial" w:eastAsia="Arial" w:hAnsi="Arial"/>
                <w:sz w:val="18"/>
                <w:szCs w:val="18"/>
                <w:color w:val="auto"/>
              </w:rPr>
              <w:t>Rule 12h-3(b)(1)(ii)</w:t>
            </w:r>
          </w:p>
        </w:tc>
        <w:tc>
          <w:tcPr>
            <w:tcW w:w="4700" w:type="dxa"/>
            <w:vAlign w:val="bottom"/>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16"/>
        </w:trPr>
        <w:tc>
          <w:tcPr>
            <w:tcW w:w="6320" w:type="dxa"/>
            <w:vAlign w:val="bottom"/>
          </w:tcPr>
          <w:p>
            <w:pPr>
              <w:ind w:left="4400"/>
              <w:spacing w:after="0"/>
              <w:rPr>
                <w:sz w:val="20"/>
                <w:szCs w:val="20"/>
                <w:color w:val="auto"/>
              </w:rPr>
            </w:pPr>
            <w:r>
              <w:rPr>
                <w:rFonts w:ascii="Arial" w:cs="Arial" w:eastAsia="Arial" w:hAnsi="Arial"/>
                <w:sz w:val="18"/>
                <w:szCs w:val="18"/>
                <w:color w:val="auto"/>
              </w:rPr>
              <w:t>Rule 15d-6</w:t>
            </w:r>
          </w:p>
        </w:tc>
        <w:tc>
          <w:tcPr>
            <w:tcW w:w="4700" w:type="dxa"/>
            <w:vAlign w:val="bottom"/>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283"/>
        </w:trPr>
        <w:tc>
          <w:tcPr>
            <w:tcW w:w="6320" w:type="dxa"/>
            <w:vAlign w:val="bottom"/>
          </w:tcPr>
          <w:p>
            <w:pPr>
              <w:ind w:left="4400"/>
              <w:spacing w:after="0"/>
              <w:rPr>
                <w:sz w:val="20"/>
                <w:szCs w:val="20"/>
                <w:color w:val="auto"/>
              </w:rPr>
            </w:pPr>
            <w:r>
              <w:rPr>
                <w:rFonts w:ascii="Arial" w:cs="Arial" w:eastAsia="Arial" w:hAnsi="Arial"/>
                <w:sz w:val="18"/>
                <w:szCs w:val="18"/>
                <w:color w:val="auto"/>
              </w:rPr>
              <w:t>Rule 15d-22(b)</w:t>
            </w:r>
          </w:p>
        </w:tc>
        <w:tc>
          <w:tcPr>
            <w:tcW w:w="4700" w:type="dxa"/>
            <w:vAlign w:val="bottom"/>
          </w:tcPr>
          <w:p>
            <w:pPr>
              <w:ind w:left="120"/>
              <w:spacing w:after="0" w:line="181" w:lineRule="exact"/>
              <w:rPr>
                <w:sz w:val="20"/>
                <w:szCs w:val="20"/>
                <w:color w:val="auto"/>
              </w:rPr>
            </w:pPr>
            <w:r>
              <w:rPr>
                <w:rFonts w:ascii="MS PGothic" w:cs="MS PGothic" w:eastAsia="MS PGothic" w:hAnsi="MS PGothic"/>
                <w:sz w:val="18"/>
                <w:szCs w:val="18"/>
                <w:color w:val="auto"/>
              </w:rPr>
              <w:t>☐</w:t>
            </w:r>
          </w:p>
        </w:tc>
      </w:tr>
      <w:tr>
        <w:trPr>
          <w:trHeight w:val="412"/>
        </w:trPr>
        <w:tc>
          <w:tcPr>
            <w:tcW w:w="6320" w:type="dxa"/>
            <w:vAlign w:val="bottom"/>
          </w:tcPr>
          <w:p>
            <w:pPr>
              <w:spacing w:after="0"/>
              <w:rPr>
                <w:sz w:val="20"/>
                <w:szCs w:val="20"/>
                <w:color w:val="auto"/>
              </w:rPr>
            </w:pPr>
            <w:r>
              <w:rPr>
                <w:rFonts w:ascii="Arial" w:cs="Arial" w:eastAsia="Arial" w:hAnsi="Arial"/>
                <w:sz w:val="18"/>
                <w:szCs w:val="18"/>
                <w:color w:val="auto"/>
                <w:w w:val="92"/>
              </w:rPr>
              <w:t>Approximate number of holders of record as of the certification or notice date: one (1)</w:t>
            </w:r>
          </w:p>
        </w:tc>
        <w:tc>
          <w:tcPr>
            <w:tcW w:w="4700" w:type="dxa"/>
            <w:vAlign w:val="bottom"/>
          </w:tcPr>
          <w:p>
            <w:pPr>
              <w:spacing w:after="0"/>
              <w:rPr>
                <w:sz w:val="24"/>
                <w:szCs w:val="24"/>
                <w:color w:val="auto"/>
              </w:rPr>
            </w:pPr>
          </w:p>
        </w:tc>
      </w:tr>
      <w:tr>
        <w:trPr>
          <w:trHeight w:val="230"/>
        </w:trPr>
        <w:tc>
          <w:tcPr>
            <w:tcW w:w="6320" w:type="dxa"/>
            <w:vAlign w:val="bottom"/>
            <w:tcBorders>
              <w:bottom w:val="single" w:sz="8" w:color="auto"/>
            </w:tcBorders>
          </w:tcPr>
          <w:p>
            <w:pPr>
              <w:spacing w:after="0"/>
              <w:rPr>
                <w:sz w:val="19"/>
                <w:szCs w:val="19"/>
                <w:color w:val="auto"/>
              </w:rPr>
            </w:pPr>
          </w:p>
        </w:tc>
        <w:tc>
          <w:tcPr>
            <w:tcW w:w="4700" w:type="dxa"/>
            <w:vAlign w:val="bottom"/>
            <w:tcBorders>
              <w:bottom w:val="single" w:sz="8" w:color="auto"/>
            </w:tcBorders>
          </w:tcPr>
          <w:p>
            <w:pPr>
              <w:spacing w:after="0"/>
              <w:rPr>
                <w:sz w:val="19"/>
                <w:szCs w:val="19"/>
                <w:color w:val="auto"/>
              </w:rPr>
            </w:pPr>
          </w:p>
        </w:tc>
      </w:tr>
      <w:tr>
        <w:trPr>
          <w:trHeight w:val="48"/>
        </w:trPr>
        <w:tc>
          <w:tcPr>
            <w:tcW w:w="6320" w:type="dxa"/>
            <w:vAlign w:val="bottom"/>
            <w:tcBorders>
              <w:bottom w:val="single" w:sz="8" w:color="auto"/>
            </w:tcBorders>
          </w:tcPr>
          <w:p>
            <w:pPr>
              <w:spacing w:after="0"/>
              <w:rPr>
                <w:sz w:val="4"/>
                <w:szCs w:val="4"/>
                <w:color w:val="auto"/>
              </w:rPr>
            </w:pPr>
          </w:p>
        </w:tc>
        <w:tc>
          <w:tcPr>
            <w:tcW w:w="47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368" w:right="439" w:bottom="1440" w:gutter="0" w:footer="0" w:header="0"/>
        </w:sectPr>
      </w:pPr>
    </w:p>
    <w:bookmarkStart w:id="1" w:name="page2"/>
    <w:bookmarkEnd w:id="1"/>
    <w:p>
      <w:pPr>
        <w:ind w:left="4"/>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Pursuant to the requirements of the Securities Exchange Act of 1934, Marvell Technology Group Ltd. has caused this certification/notice to be signed on its behalf by the undersigned duly authorized person.</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Dated: April 21, 2021</w:t>
      </w:r>
    </w:p>
    <w:p>
      <w:pPr>
        <w:spacing w:after="0" w:line="252" w:lineRule="exact"/>
        <w:rPr>
          <w:sz w:val="20"/>
          <w:szCs w:val="20"/>
          <w:color w:val="auto"/>
        </w:rPr>
      </w:pPr>
    </w:p>
    <w:p>
      <w:pPr>
        <w:ind w:left="6624"/>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4"/>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4431665</wp:posOffset>
            </wp:positionH>
            <wp:positionV relativeFrom="paragraph">
              <wp:posOffset>14605</wp:posOffset>
            </wp:positionV>
            <wp:extent cx="25628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2" w:lineRule="exact"/>
        <w:rPr>
          <w:sz w:val="20"/>
          <w:szCs w:val="20"/>
          <w:color w:val="auto"/>
        </w:rPr>
      </w:pPr>
    </w:p>
    <w:p>
      <w:pPr>
        <w:ind w:left="6984"/>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84"/>
        <w:spacing w:after="0"/>
        <w:rPr>
          <w:sz w:val="20"/>
          <w:szCs w:val="20"/>
          <w:color w:val="auto"/>
        </w:rPr>
      </w:pPr>
      <w:r>
        <w:rPr>
          <w:rFonts w:ascii="Arial" w:cs="Arial" w:eastAsia="Arial" w:hAnsi="Arial"/>
          <w:sz w:val="18"/>
          <w:szCs w:val="18"/>
          <w:b w:val="1"/>
          <w:bCs w:val="1"/>
          <w:i w:val="1"/>
          <w:iCs w:val="1"/>
          <w:color w:val="auto"/>
        </w:rPr>
        <w:t>Authorized Signatory</w:t>
      </w:r>
    </w:p>
    <w:p>
      <w:pPr>
        <w:spacing w:after="0" w:line="251" w:lineRule="exact"/>
        <w:rPr>
          <w:sz w:val="20"/>
          <w:szCs w:val="20"/>
          <w:color w:val="auto"/>
        </w:rPr>
      </w:pPr>
    </w:p>
    <w:p>
      <w:pPr>
        <w:ind w:left="424" w:hanging="424"/>
        <w:spacing w:after="0" w:line="290" w:lineRule="auto"/>
        <w:tabs>
          <w:tab w:leader="none" w:pos="424" w:val="left"/>
        </w:tabs>
        <w:numPr>
          <w:ilvl w:val="0"/>
          <w:numId w:val="1"/>
        </w:numPr>
        <w:rPr>
          <w:rFonts w:ascii="Arial" w:cs="Arial" w:eastAsia="Arial" w:hAnsi="Arial"/>
          <w:sz w:val="16"/>
          <w:szCs w:val="16"/>
          <w:color w:val="auto"/>
        </w:rPr>
      </w:pPr>
      <w:r>
        <w:rPr>
          <w:rFonts w:ascii="Arial" w:cs="Arial" w:eastAsia="Arial" w:hAnsi="Arial"/>
          <w:sz w:val="16"/>
          <w:szCs w:val="16"/>
          <w:color w:val="auto"/>
        </w:rPr>
        <w:t>On October 29, 2020, Marvell Technology Group Ltd.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entered into an Agreement and Plan of Merger and Reorganization (the “Merger Agreement”), providing for the acquisition of Inphi by Marvell. Pursuant to the Merger Agreement,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On April, 20, 2021, upon the consummation of the Mergers, each of Marvell and Inphi became wholly owned subsidiaries of MTI.</w:t>
      </w:r>
    </w:p>
    <w:sectPr>
      <w:pgSz w:w="11900" w:h="16838" w:orient="portrait"/>
      <w:cols w:equalWidth="0" w:num="1">
        <w:col w:w="11004"/>
      </w:cols>
      <w:pgMar w:left="436"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2021-04-21T16:12:09Z</dcterms:created>
  <dcterms:modified xsi:type="dcterms:W3CDTF">2021-04-21T16:12:09Z</dcterms:modified>
</cp:coreProperties>
</file>