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47517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4751705"/>
                    </a:xfrm>
                    <a:prstGeom prst="rect">
                      <a:avLst/>
                    </a:prstGeom>
                    <a:noFill/>
                  </pic:spPr>
                </pic:pic>
              </a:graphicData>
            </a:graphic>
          </wp:anchor>
        </w:drawing>
      </w:r>
    </w:p>
    <w:p>
      <w:pPr>
        <w:sectPr>
          <w:pgSz w:w="11900" w:h="16838" w:orient="portrait"/>
          <w:cols w:equalWidth="0" w:num="1">
            <w:col w:w="10940"/>
          </w:cols>
          <w:pgMar w:left="480" w:top="236" w:right="479" w:bottom="436"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spacing w:after="0" w:line="256" w:lineRule="exact"/>
              <w:rPr>
                <w:rFonts w:ascii="Arial" w:cs="Arial" w:eastAsia="Arial" w:hAnsi="Arial"/>
                <w:sz w:val="24"/>
                <w:szCs w:val="24"/>
                <w:color w:val="0000EE"/>
              </w:rPr>
            </w:pPr>
            <w:hyperlink r:id="rId10">
              <w:r>
                <w:rPr>
                  <w:rFonts w:ascii="Arial" w:cs="Arial" w:eastAsia="Arial" w:hAnsi="Arial"/>
                  <w:sz w:val="24"/>
                  <w:szCs w:val="24"/>
                  <w:color w:val="0000EE"/>
                </w:rPr>
                <w:t>Brown Tudor</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1280" w:type="dxa"/>
            <w:vAlign w:val="bottom"/>
            <w:tcBorders>
              <w:top w:val="single" w:sz="8" w:color="0000EE"/>
              <w:bottom w:val="single" w:sz="8" w:color="9A9A9A"/>
            </w:tcBorders>
          </w:tcPr>
          <w:p>
            <w:pPr>
              <w:spacing w:after="0"/>
              <w:rPr>
                <w:sz w:val="17"/>
                <w:szCs w:val="17"/>
                <w:color w:val="auto"/>
              </w:rPr>
            </w:pPr>
          </w:p>
        </w:tc>
        <w:tc>
          <w:tcPr>
            <w:tcW w:w="150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04/20/2021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2"/>
          <w:szCs w:val="22"/>
          <w:color w:val="0000EE"/>
        </w:rPr>
      </w:pPr>
      <w:hyperlink r:id="rId11">
        <w:r>
          <w:rPr>
            <w:rFonts w:ascii="Arial" w:cs="Arial" w:eastAsia="Arial" w:hAnsi="Arial"/>
            <w:sz w:val="22"/>
            <w:szCs w:val="22"/>
            <w:u w:val="single" w:color="auto"/>
            <w:color w:val="0000EE"/>
          </w:rPr>
          <w:t>Marvell Technology, Inc.</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65" w:lineRule="exact"/>
        <w:rPr>
          <w:sz w:val="24"/>
          <w:szCs w:val="24"/>
          <w:color w:val="auto"/>
        </w:rPr>
      </w:pPr>
    </w:p>
    <w:p>
      <w:pPr>
        <w:sectPr>
          <w:pgSz w:w="11900" w:h="16838" w:orient="portrait"/>
          <w:cols w:equalWidth="0" w:num="2">
            <w:col w:w="4720" w:space="280"/>
            <w:col w:w="5940"/>
          </w:cols>
          <w:pgMar w:left="480" w:top="236" w:right="479" w:bottom="436"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ind w:left="183"/>
        <w:spacing w:after="0"/>
        <w:tabs>
          <w:tab w:leader="none" w:pos="502" w:val="left"/>
          <w:tab w:leader="none" w:pos="2042" w:val="left"/>
        </w:tabs>
        <w:rPr>
          <w:sz w:val="20"/>
          <w:szCs w:val="20"/>
          <w:color w:val="auto"/>
        </w:rPr>
      </w:pPr>
      <w:r>
        <w:rPr>
          <w:rFonts w:ascii="Arial" w:cs="Arial" w:eastAsia="Arial" w:hAnsi="Arial"/>
          <w:sz w:val="20"/>
          <w:szCs w:val="20"/>
          <w:color w:val="0000FF"/>
        </w:rPr>
        <w:t>X</w:t>
      </w:r>
      <w:r>
        <w:rPr>
          <w:sz w:val="20"/>
          <w:szCs w:val="20"/>
          <w:color w:val="auto"/>
        </w:rPr>
        <w:tab/>
      </w:r>
      <w:r>
        <w:rPr>
          <w:rFonts w:ascii="Arial" w:cs="Arial" w:eastAsia="Arial" w:hAnsi="Arial"/>
          <w:sz w:val="15"/>
          <w:szCs w:val="15"/>
          <w:color w:val="auto"/>
        </w:rPr>
        <w:t>Director</w:t>
      </w:r>
      <w:r>
        <w:rPr>
          <w:sz w:val="20"/>
          <w:szCs w:val="20"/>
          <w:color w:val="auto"/>
        </w:rPr>
        <w:tab/>
      </w:r>
      <w:r>
        <w:rPr>
          <w:rFonts w:ascii="Arial" w:cs="Arial" w:eastAsia="Arial" w:hAnsi="Arial"/>
          <w:sz w:val="15"/>
          <w:szCs w:val="15"/>
          <w:color w:val="auto"/>
        </w:rPr>
        <w:t>10% Owner</w:t>
      </w:r>
    </w:p>
    <w:p>
      <w:pPr>
        <w:spacing w:after="0" w:line="122" w:lineRule="exact"/>
        <w:rPr>
          <w:sz w:val="24"/>
          <w:szCs w:val="24"/>
          <w:color w:val="auto"/>
        </w:rPr>
      </w:pPr>
    </w:p>
    <w:p>
      <w:pPr>
        <w:jc w:val="right"/>
        <w:spacing w:after="0"/>
        <w:tabs>
          <w:tab w:leader="none" w:pos="920" w:val="left"/>
        </w:tabs>
        <w:rPr>
          <w:sz w:val="20"/>
          <w:szCs w:val="20"/>
          <w:color w:val="auto"/>
        </w:rPr>
      </w:pPr>
      <w:r>
        <w:rPr>
          <w:rFonts w:ascii="Arial" w:cs="Arial" w:eastAsia="Arial" w:hAnsi="Arial"/>
          <w:sz w:val="15"/>
          <w:szCs w:val="15"/>
          <w:color w:val="auto"/>
        </w:rPr>
        <w:t>Officer (give</w:t>
      </w:r>
      <w:r>
        <w:rPr>
          <w:sz w:val="20"/>
          <w:szCs w:val="20"/>
          <w:color w:val="auto"/>
        </w:rPr>
        <w:tab/>
      </w:r>
      <w:r>
        <w:rPr>
          <w:rFonts w:ascii="Arial" w:cs="Arial" w:eastAsia="Arial" w:hAnsi="Arial"/>
          <w:sz w:val="15"/>
          <w:szCs w:val="15"/>
          <w:color w:val="auto"/>
        </w:rPr>
        <w:t>Other (specify</w:t>
      </w:r>
    </w:p>
    <w:p>
      <w:pPr>
        <w:ind w:left="523"/>
        <w:spacing w:after="0"/>
        <w:tabs>
          <w:tab w:leader="none" w:pos="2042" w:val="left"/>
        </w:tabs>
        <w:rPr>
          <w:sz w:val="20"/>
          <w:szCs w:val="20"/>
          <w:color w:val="auto"/>
        </w:rPr>
      </w:pPr>
      <w:r>
        <w:rPr>
          <w:rFonts w:ascii="Arial" w:cs="Arial" w:eastAsia="Arial" w:hAnsi="Arial"/>
          <w:sz w:val="15"/>
          <w:szCs w:val="15"/>
          <w:color w:val="auto"/>
        </w:rPr>
        <w:t>title below)</w:t>
      </w:r>
      <w:r>
        <w:rPr>
          <w:sz w:val="20"/>
          <w:szCs w:val="20"/>
          <w:color w:val="auto"/>
        </w:rPr>
        <w:tab/>
      </w:r>
      <w:r>
        <w:rPr>
          <w:rFonts w:ascii="Arial" w:cs="Arial" w:eastAsia="Arial" w:hAnsi="Arial"/>
          <w:sz w:val="15"/>
          <w:szCs w:val="15"/>
          <w:color w:val="auto"/>
        </w:rPr>
        <w:t>below)</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838" w:orient="portrait"/>
          <w:cols w:equalWidth="0" w:num="3">
            <w:col w:w="4277" w:space="720"/>
            <w:col w:w="3003" w:space="269"/>
            <w:col w:w="2671"/>
          </w:cols>
          <w:pgMar w:left="480" w:top="236" w:right="479" w:bottom="436"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20" w:type="dxa"/>
        <w:tblCellMar>
          <w:top w:w="0" w:type="dxa"/>
          <w:left w:w="0" w:type="dxa"/>
          <w:bottom w:w="0" w:type="dxa"/>
          <w:right w:w="0" w:type="dxa"/>
        </w:tblCellMar>
      </w:tblPr>
      <w:tr>
        <w:trPr>
          <w:trHeight w:val="172"/>
        </w:trPr>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60" w:type="dxa"/>
            <w:vAlign w:val="bottom"/>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60" w:type="dxa"/>
            <w:vAlign w:val="bottom"/>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r>
      <w:tr>
        <w:trPr>
          <w:trHeight w:val="198"/>
        </w:trPr>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r>
      <w:tr>
        <w:trPr>
          <w:trHeight w:val="56"/>
        </w:trPr>
        <w:tc>
          <w:tcPr>
            <w:tcW w:w="3420" w:type="dxa"/>
            <w:vAlign w:val="bottom"/>
            <w:tcBorders>
              <w:bottom w:val="single" w:sz="8" w:color="2C2C2C"/>
            </w:tcBorders>
          </w:tcPr>
          <w:p>
            <w:pPr>
              <w:spacing w:after="0"/>
              <w:rPr>
                <w:sz w:val="4"/>
                <w:szCs w:val="4"/>
                <w:color w:val="auto"/>
              </w:rPr>
            </w:pPr>
          </w:p>
        </w:tc>
        <w:tc>
          <w:tcPr>
            <w:tcW w:w="340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2860" w:type="dxa"/>
            <w:vAlign w:val="bottom"/>
            <w:tcBorders>
              <w:bottom w:val="single" w:sz="8" w:color="2C2C2C"/>
            </w:tcBorders>
          </w:tcPr>
          <w:p>
            <w:pPr>
              <w:spacing w:after="0"/>
              <w:rPr>
                <w:sz w:val="4"/>
                <w:szCs w:val="4"/>
                <w:color w:val="auto"/>
              </w:rPr>
            </w:pPr>
          </w:p>
        </w:tc>
      </w:tr>
    </w:tbl>
    <w:p>
      <w:pPr>
        <w:spacing w:after="0" w:line="50" w:lineRule="exact"/>
        <w:rPr>
          <w:sz w:val="24"/>
          <w:szCs w:val="24"/>
          <w:color w:val="auto"/>
        </w:rPr>
      </w:pPr>
    </w:p>
    <w:tbl>
      <w:tblPr>
        <w:tblLayout w:type="fixed"/>
        <w:tblInd w:w="0" w:type="dxa"/>
        <w:tblCellMar>
          <w:top w:w="0" w:type="dxa"/>
          <w:left w:w="0" w:type="dxa"/>
          <w:bottom w:w="0" w:type="dxa"/>
          <w:right w:w="0" w:type="dxa"/>
        </w:tblCellMar>
      </w:tblPr>
      <w:tr>
        <w:trPr>
          <w:trHeight w:val="365"/>
        </w:trPr>
        <w:tc>
          <w:tcPr>
            <w:tcW w:w="20" w:type="dxa"/>
            <w:vAlign w:val="bottom"/>
            <w:tcBorders>
              <w:bottom w:val="single" w:sz="8" w:color="2C2C2C"/>
            </w:tcBorders>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32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tcPr>
          <w:p>
            <w:pPr>
              <w:ind w:left="480"/>
              <w:spacing w:after="0"/>
              <w:rPr>
                <w:sz w:val="20"/>
                <w:szCs w:val="20"/>
                <w:color w:val="auto"/>
              </w:rPr>
            </w:pPr>
            <w:r>
              <w:rPr>
                <w:rFonts w:ascii="Arial" w:cs="Arial" w:eastAsia="Arial" w:hAnsi="Arial"/>
                <w:sz w:val="20"/>
                <w:szCs w:val="20"/>
                <w:color w:val="0000FF"/>
              </w:rPr>
              <w:t>19,239</w:t>
            </w:r>
            <w:r>
              <w:rPr>
                <w:rFonts w:ascii="Arial" w:cs="Arial" w:eastAsia="Arial" w:hAnsi="Arial"/>
                <w:sz w:val="25"/>
                <w:szCs w:val="25"/>
                <w:color w:val="008000"/>
                <w:vertAlign w:val="superscript"/>
              </w:rPr>
              <w:t>(1)(2)</w:t>
            </w:r>
          </w:p>
        </w:tc>
        <w:tc>
          <w:tcPr>
            <w:tcW w:w="880" w:type="dxa"/>
            <w:vAlign w:val="bottom"/>
            <w:tcBorders>
              <w:bottom w:val="single" w:sz="8" w:color="2C2C2C"/>
            </w:tcBorders>
            <w:gridSpan w:val="2"/>
          </w:tcPr>
          <w:p>
            <w:pPr>
              <w:ind w:left="720"/>
              <w:spacing w:after="0"/>
              <w:rPr>
                <w:sz w:val="20"/>
                <w:szCs w:val="20"/>
                <w:color w:val="auto"/>
              </w:rPr>
            </w:pPr>
            <w:r>
              <w:rPr>
                <w:rFonts w:ascii="Arial" w:cs="Arial" w:eastAsia="Arial" w:hAnsi="Arial"/>
                <w:sz w:val="20"/>
                <w:szCs w:val="20"/>
                <w:color w:val="0000FF"/>
                <w:w w:val="96"/>
              </w:rPr>
              <w:t>D</w:t>
            </w:r>
          </w:p>
        </w:tc>
        <w:tc>
          <w:tcPr>
            <w:tcW w:w="94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146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20" w:type="dxa"/>
            <w:vAlign w:val="bottom"/>
            <w:tcBorders>
              <w:top w:val="single" w:sz="8" w:color="808080"/>
            </w:tcBorders>
          </w:tcPr>
          <w:p>
            <w:pPr>
              <w:spacing w:after="0"/>
              <w:rPr>
                <w:sz w:val="22"/>
                <w:szCs w:val="22"/>
                <w:color w:val="auto"/>
              </w:rPr>
            </w:pPr>
          </w:p>
        </w:tc>
        <w:tc>
          <w:tcPr>
            <w:tcW w:w="2760" w:type="dxa"/>
            <w:vAlign w:val="bottom"/>
            <w:tcBorders>
              <w:top w:val="single" w:sz="8" w:color="2C2C2C"/>
            </w:tcBorders>
          </w:tcPr>
          <w:p>
            <w:pPr>
              <w:spacing w:after="0"/>
              <w:rPr>
                <w:sz w:val="22"/>
                <w:szCs w:val="22"/>
                <w:color w:val="auto"/>
              </w:rPr>
            </w:pPr>
          </w:p>
        </w:tc>
        <w:tc>
          <w:tcPr>
            <w:tcW w:w="320" w:type="dxa"/>
            <w:vAlign w:val="bottom"/>
            <w:tcBorders>
              <w:top w:val="single" w:sz="8" w:color="2C2C2C"/>
            </w:tcBorders>
          </w:tcPr>
          <w:p>
            <w:pPr>
              <w:spacing w:after="0"/>
              <w:rPr>
                <w:sz w:val="22"/>
                <w:szCs w:val="22"/>
                <w:color w:val="auto"/>
              </w:rPr>
            </w:pPr>
          </w:p>
        </w:tc>
        <w:tc>
          <w:tcPr>
            <w:tcW w:w="5420" w:type="dxa"/>
            <w:vAlign w:val="bottom"/>
            <w:tcBorders>
              <w:top w:val="single" w:sz="8" w:color="2C2C2C"/>
            </w:tcBorders>
            <w:gridSpan w:val="6"/>
          </w:tcPr>
          <w:p>
            <w:pPr>
              <w:ind w:left="80"/>
              <w:spacing w:after="0"/>
              <w:rPr>
                <w:sz w:val="20"/>
                <w:szCs w:val="20"/>
                <w:color w:val="auto"/>
              </w:rPr>
            </w:pPr>
            <w:r>
              <w:rPr>
                <w:rFonts w:ascii="Arial" w:cs="Arial" w:eastAsia="Arial" w:hAnsi="Arial"/>
                <w:sz w:val="20"/>
                <w:szCs w:val="20"/>
                <w:b w:val="1"/>
                <w:bCs w:val="1"/>
                <w:color w:val="auto"/>
              </w:rPr>
              <w:t>Table II - Derivative Securities Beneficially Owned</w:t>
            </w:r>
          </w:p>
        </w:tc>
        <w:tc>
          <w:tcPr>
            <w:tcW w:w="940" w:type="dxa"/>
            <w:vAlign w:val="bottom"/>
            <w:tcBorders>
              <w:top w:val="single" w:sz="8" w:color="2C2C2C"/>
            </w:tcBorders>
          </w:tcPr>
          <w:p>
            <w:pPr>
              <w:spacing w:after="0"/>
              <w:rPr>
                <w:sz w:val="22"/>
                <w:szCs w:val="22"/>
                <w:color w:val="auto"/>
              </w:rPr>
            </w:pPr>
          </w:p>
        </w:tc>
        <w:tc>
          <w:tcPr>
            <w:tcW w:w="146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2760" w:type="dxa"/>
            <w:vAlign w:val="bottom"/>
          </w:tcPr>
          <w:p>
            <w:pPr>
              <w:spacing w:after="0"/>
              <w:rPr>
                <w:sz w:val="22"/>
                <w:szCs w:val="22"/>
                <w:color w:val="auto"/>
              </w:rPr>
            </w:pPr>
          </w:p>
        </w:tc>
        <w:tc>
          <w:tcPr>
            <w:tcW w:w="5740" w:type="dxa"/>
            <w:vAlign w:val="bottom"/>
            <w:gridSpan w:val="7"/>
          </w:tcPr>
          <w:p>
            <w:pPr>
              <w:spacing w:after="0"/>
              <w:rPr>
                <w:sz w:val="20"/>
                <w:szCs w:val="20"/>
                <w:color w:val="auto"/>
              </w:rPr>
            </w:pPr>
            <w:r>
              <w:rPr>
                <w:rFonts w:ascii="Arial" w:cs="Arial" w:eastAsia="Arial" w:hAnsi="Arial"/>
                <w:sz w:val="20"/>
                <w:szCs w:val="20"/>
                <w:b w:val="1"/>
                <w:bCs w:val="1"/>
                <w:color w:val="auto"/>
              </w:rPr>
              <w:t>(e.g., puts, calls, warrants, options, convertible securities)</w:t>
            </w:r>
          </w:p>
        </w:tc>
        <w:tc>
          <w:tcPr>
            <w:tcW w:w="94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gridSpan w:val="2"/>
          </w:tcPr>
          <w:p>
            <w:pPr>
              <w:spacing w:after="0"/>
              <w:rPr>
                <w:sz w:val="4"/>
                <w:szCs w:val="4"/>
                <w:color w:val="auto"/>
              </w:rPr>
            </w:pPr>
          </w:p>
        </w:tc>
        <w:tc>
          <w:tcPr>
            <w:tcW w:w="258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2760" w:type="dxa"/>
            <w:vAlign w:val="bottom"/>
          </w:tcPr>
          <w:p>
            <w:pPr>
              <w:ind w:left="80"/>
              <w:spacing w:after="0"/>
              <w:rPr>
                <w:sz w:val="20"/>
                <w:szCs w:val="20"/>
                <w:color w:val="auto"/>
              </w:rPr>
            </w:pPr>
            <w:r>
              <w:rPr>
                <w:rFonts w:ascii="Arial" w:cs="Arial" w:eastAsia="Arial" w:hAnsi="Arial"/>
                <w:sz w:val="15"/>
                <w:szCs w:val="15"/>
                <w:b w:val="1"/>
                <w:bCs w:val="1"/>
                <w:color w:val="auto"/>
                <w:w w:val="99"/>
              </w:rPr>
              <w:t>1. Title of Derivative Security (Instr. 4)</w:t>
            </w:r>
          </w:p>
        </w:tc>
        <w:tc>
          <w:tcPr>
            <w:tcW w:w="320" w:type="dxa"/>
            <w:vAlign w:val="bottom"/>
          </w:tcPr>
          <w:p>
            <w:pPr>
              <w:spacing w:after="0"/>
              <w:rPr>
                <w:sz w:val="17"/>
                <w:szCs w:val="17"/>
                <w:color w:val="auto"/>
              </w:rPr>
            </w:pPr>
          </w:p>
        </w:tc>
        <w:tc>
          <w:tcPr>
            <w:tcW w:w="1860" w:type="dxa"/>
            <w:vAlign w:val="bottom"/>
            <w:gridSpan w:val="2"/>
          </w:tcPr>
          <w:p>
            <w:pPr>
              <w:ind w:left="60"/>
              <w:spacing w:after="0"/>
              <w:rPr>
                <w:sz w:val="20"/>
                <w:szCs w:val="20"/>
                <w:color w:val="auto"/>
              </w:rPr>
            </w:pPr>
            <w:r>
              <w:rPr>
                <w:rFonts w:ascii="Arial" w:cs="Arial" w:eastAsia="Arial" w:hAnsi="Arial"/>
                <w:sz w:val="15"/>
                <w:szCs w:val="15"/>
                <w:b w:val="1"/>
                <w:bCs w:val="1"/>
                <w:color w:val="auto"/>
              </w:rPr>
              <w:t>2. Date Exercisable and</w:t>
            </w:r>
          </w:p>
        </w:tc>
        <w:tc>
          <w:tcPr>
            <w:tcW w:w="2620" w:type="dxa"/>
            <w:vAlign w:val="bottom"/>
            <w:gridSpan w:val="3"/>
          </w:tcPr>
          <w:p>
            <w:pPr>
              <w:ind w:left="80"/>
              <w:spacing w:after="0"/>
              <w:rPr>
                <w:sz w:val="20"/>
                <w:szCs w:val="20"/>
                <w:color w:val="auto"/>
              </w:rPr>
            </w:pPr>
            <w:r>
              <w:rPr>
                <w:rFonts w:ascii="Arial" w:cs="Arial" w:eastAsia="Arial" w:hAnsi="Arial"/>
                <w:sz w:val="15"/>
                <w:szCs w:val="15"/>
                <w:b w:val="1"/>
                <w:bCs w:val="1"/>
                <w:color w:val="auto"/>
              </w:rPr>
              <w:t>3. Title and Amount of Securities</w:t>
            </w:r>
          </w:p>
        </w:tc>
        <w:tc>
          <w:tcPr>
            <w:tcW w:w="940" w:type="dxa"/>
            <w:vAlign w:val="bottom"/>
          </w:tcPr>
          <w:p>
            <w:pPr>
              <w:ind w:left="20"/>
              <w:spacing w:after="0"/>
              <w:rPr>
                <w:sz w:val="20"/>
                <w:szCs w:val="20"/>
                <w:color w:val="auto"/>
              </w:rPr>
            </w:pPr>
            <w:r>
              <w:rPr>
                <w:rFonts w:ascii="Arial" w:cs="Arial" w:eastAsia="Arial" w:hAnsi="Arial"/>
                <w:sz w:val="15"/>
                <w:szCs w:val="15"/>
                <w:b w:val="1"/>
                <w:bCs w:val="1"/>
                <w:color w:val="auto"/>
              </w:rPr>
              <w:t>4.</w:t>
            </w:r>
          </w:p>
        </w:tc>
        <w:tc>
          <w:tcPr>
            <w:tcW w:w="94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480" w:type="dxa"/>
            <w:vAlign w:val="bottom"/>
            <w:gridSpan w:val="2"/>
          </w:tcPr>
          <w:p>
            <w:pPr>
              <w:ind w:left="6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Expiration Date</w:t>
            </w:r>
          </w:p>
        </w:tc>
        <w:tc>
          <w:tcPr>
            <w:tcW w:w="2620" w:type="dxa"/>
            <w:vAlign w:val="bottom"/>
            <w:gridSpan w:val="3"/>
          </w:tcPr>
          <w:p>
            <w:pPr>
              <w:ind w:left="8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40" w:type="dxa"/>
            <w:vAlign w:val="bottom"/>
          </w:tcPr>
          <w:p>
            <w:pPr>
              <w:ind w:left="2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48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Indirect Beneficial</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(Month/Day/Year)</w:t>
            </w:r>
          </w:p>
        </w:tc>
        <w:tc>
          <w:tcPr>
            <w:tcW w:w="17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(Instr. 4)</w:t>
            </w:r>
          </w:p>
        </w:tc>
        <w:tc>
          <w:tcPr>
            <w:tcW w:w="8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40" w:type="dxa"/>
            <w:vAlign w:val="bottom"/>
          </w:tcPr>
          <w:p>
            <w:pPr>
              <w:ind w:left="2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48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760" w:type="dxa"/>
            <w:vAlign w:val="bottom"/>
          </w:tcPr>
          <w:p>
            <w:pPr>
              <w:spacing w:after="0"/>
              <w:rPr>
                <w:sz w:val="7"/>
                <w:szCs w:val="7"/>
                <w:color w:val="auto"/>
              </w:rPr>
            </w:pPr>
          </w:p>
        </w:tc>
        <w:tc>
          <w:tcPr>
            <w:tcW w:w="32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tcPr>
          <w:p>
            <w:pPr>
              <w:spacing w:after="0"/>
              <w:rPr>
                <w:sz w:val="7"/>
                <w:szCs w:val="7"/>
                <w:color w:val="auto"/>
              </w:rPr>
            </w:pPr>
          </w:p>
        </w:tc>
        <w:tc>
          <w:tcPr>
            <w:tcW w:w="40" w:type="dxa"/>
            <w:vAlign w:val="bottom"/>
          </w:tcPr>
          <w:p>
            <w:pPr>
              <w:spacing w:after="0"/>
              <w:rPr>
                <w:sz w:val="7"/>
                <w:szCs w:val="7"/>
                <w:color w:val="auto"/>
              </w:rPr>
            </w:pPr>
          </w:p>
        </w:tc>
        <w:tc>
          <w:tcPr>
            <w:tcW w:w="940" w:type="dxa"/>
            <w:vAlign w:val="bottom"/>
            <w:vMerge w:val="restart"/>
          </w:tcPr>
          <w:p>
            <w:pPr>
              <w:ind w:left="2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460" w:type="dxa"/>
            <w:vAlign w:val="bottom"/>
            <w:vMerge w:val="restart"/>
          </w:tcPr>
          <w:p>
            <w:pPr>
              <w:ind w:left="60"/>
              <w:spacing w:after="0" w:line="165" w:lineRule="exact"/>
              <w:rPr>
                <w:sz w:val="20"/>
                <w:szCs w:val="20"/>
                <w:color w:val="auto"/>
              </w:rPr>
            </w:pPr>
            <w:r>
              <w:rPr>
                <w:rFonts w:ascii="Arial" w:cs="Arial" w:eastAsia="Arial" w:hAnsi="Arial"/>
                <w:sz w:val="15"/>
                <w:szCs w:val="15"/>
                <w:b w:val="1"/>
                <w:bCs w:val="1"/>
                <w:color w:val="auto"/>
              </w:rPr>
              <w:t>5)</w:t>
            </w: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Pr>
          <w:p>
            <w:pPr>
              <w:spacing w:after="0"/>
              <w:rPr>
                <w:sz w:val="4"/>
                <w:szCs w:val="4"/>
                <w:color w:val="auto"/>
              </w:rPr>
            </w:pPr>
          </w:p>
        </w:tc>
        <w:tc>
          <w:tcPr>
            <w:tcW w:w="320" w:type="dxa"/>
            <w:vAlign w:val="bottom"/>
          </w:tcPr>
          <w:p>
            <w:pPr>
              <w:spacing w:after="0"/>
              <w:rPr>
                <w:sz w:val="4"/>
                <w:szCs w:val="4"/>
                <w:color w:val="auto"/>
              </w:rPr>
            </w:pPr>
          </w:p>
        </w:tc>
        <w:tc>
          <w:tcPr>
            <w:tcW w:w="980" w:type="dxa"/>
            <w:vAlign w:val="bottom"/>
          </w:tcPr>
          <w:p>
            <w:pPr>
              <w:spacing w:after="0"/>
              <w:rPr>
                <w:sz w:val="4"/>
                <w:szCs w:val="4"/>
                <w:color w:val="auto"/>
              </w:rPr>
            </w:pPr>
          </w:p>
        </w:tc>
        <w:tc>
          <w:tcPr>
            <w:tcW w:w="880" w:type="dxa"/>
            <w:vAlign w:val="bottom"/>
          </w:tcPr>
          <w:p>
            <w:pPr>
              <w:spacing w:after="0"/>
              <w:rPr>
                <w:sz w:val="4"/>
                <w:szCs w:val="4"/>
                <w:color w:val="auto"/>
              </w:rPr>
            </w:pPr>
          </w:p>
        </w:tc>
        <w:tc>
          <w:tcPr>
            <w:tcW w:w="1740" w:type="dxa"/>
            <w:vAlign w:val="bottom"/>
          </w:tcPr>
          <w:p>
            <w:pPr>
              <w:spacing w:after="0"/>
              <w:rPr>
                <w:sz w:val="4"/>
                <w:szCs w:val="4"/>
                <w:color w:val="auto"/>
              </w:rPr>
            </w:pPr>
          </w:p>
        </w:tc>
        <w:tc>
          <w:tcPr>
            <w:tcW w:w="880" w:type="dxa"/>
            <w:vAlign w:val="bottom"/>
            <w:gridSpan w:val="2"/>
            <w:vMerge w:val="restart"/>
          </w:tcPr>
          <w:p>
            <w:pPr>
              <w:ind w:left="180"/>
              <w:spacing w:after="0"/>
              <w:rPr>
                <w:sz w:val="20"/>
                <w:szCs w:val="20"/>
                <w:color w:val="auto"/>
              </w:rPr>
            </w:pPr>
            <w:r>
              <w:rPr>
                <w:rFonts w:ascii="Arial" w:cs="Arial" w:eastAsia="Arial" w:hAnsi="Arial"/>
                <w:sz w:val="15"/>
                <w:szCs w:val="15"/>
                <w:b w:val="1"/>
                <w:bCs w:val="1"/>
                <w:color w:val="auto"/>
              </w:rPr>
              <w:t>Amount</w:t>
            </w:r>
          </w:p>
        </w:tc>
        <w:tc>
          <w:tcPr>
            <w:tcW w:w="940" w:type="dxa"/>
            <w:vAlign w:val="bottom"/>
            <w:vMerge w:val="continue"/>
          </w:tcPr>
          <w:p>
            <w:pPr>
              <w:spacing w:after="0"/>
              <w:rPr>
                <w:sz w:val="4"/>
                <w:szCs w:val="4"/>
                <w:color w:val="auto"/>
              </w:rPr>
            </w:pPr>
          </w:p>
        </w:tc>
        <w:tc>
          <w:tcPr>
            <w:tcW w:w="940" w:type="dxa"/>
            <w:vAlign w:val="bottom"/>
            <w:vMerge w:val="continue"/>
          </w:tcPr>
          <w:p>
            <w:pPr>
              <w:spacing w:after="0"/>
              <w:rPr>
                <w:sz w:val="4"/>
                <w:szCs w:val="4"/>
                <w:color w:val="auto"/>
              </w:rPr>
            </w:pPr>
          </w:p>
        </w:tc>
        <w:tc>
          <w:tcPr>
            <w:tcW w:w="1460" w:type="dxa"/>
            <w:vAlign w:val="bottom"/>
            <w:vMerge w:val="continue"/>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27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880" w:type="dxa"/>
            <w:vAlign w:val="bottom"/>
            <w:gridSpan w:val="2"/>
            <w:vMerge w:val="continue"/>
          </w:tcPr>
          <w:p>
            <w:pPr>
              <w:spacing w:after="0"/>
              <w:rPr>
                <w:sz w:val="13"/>
                <w:szCs w:val="13"/>
                <w:color w:val="auto"/>
              </w:rPr>
            </w:pPr>
          </w:p>
        </w:tc>
        <w:tc>
          <w:tcPr>
            <w:tcW w:w="940" w:type="dxa"/>
            <w:vAlign w:val="bottom"/>
          </w:tcPr>
          <w:p>
            <w:pPr>
              <w:ind w:left="20"/>
              <w:spacing w:after="0" w:line="154" w:lineRule="exact"/>
              <w:rPr>
                <w:sz w:val="20"/>
                <w:szCs w:val="20"/>
                <w:color w:val="auto"/>
              </w:rPr>
            </w:pPr>
            <w:r>
              <w:rPr>
                <w:rFonts w:ascii="Arial" w:cs="Arial" w:eastAsia="Arial" w:hAnsi="Arial"/>
                <w:sz w:val="15"/>
                <w:szCs w:val="15"/>
                <w:b w:val="1"/>
                <w:bCs w:val="1"/>
                <w:color w:val="auto"/>
              </w:rPr>
              <w:t>Derivative</w:t>
            </w:r>
          </w:p>
        </w:tc>
        <w:tc>
          <w:tcPr>
            <w:tcW w:w="9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or Indirect</w:t>
            </w:r>
          </w:p>
        </w:tc>
        <w:tc>
          <w:tcPr>
            <w:tcW w:w="14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880" w:type="dxa"/>
            <w:vAlign w:val="bottom"/>
            <w:gridSpan w:val="2"/>
          </w:tcPr>
          <w:p>
            <w:pPr>
              <w:ind w:left="180"/>
              <w:spacing w:after="0" w:line="165" w:lineRule="exact"/>
              <w:rPr>
                <w:sz w:val="20"/>
                <w:szCs w:val="20"/>
                <w:color w:val="auto"/>
              </w:rPr>
            </w:pPr>
            <w:r>
              <w:rPr>
                <w:rFonts w:ascii="Arial" w:cs="Arial" w:eastAsia="Arial" w:hAnsi="Arial"/>
                <w:sz w:val="15"/>
                <w:szCs w:val="15"/>
                <w:b w:val="1"/>
                <w:bCs w:val="1"/>
                <w:color w:val="auto"/>
              </w:rPr>
              <w:t>or</w:t>
            </w:r>
          </w:p>
        </w:tc>
        <w:tc>
          <w:tcPr>
            <w:tcW w:w="940" w:type="dxa"/>
            <w:vAlign w:val="bottom"/>
          </w:tcPr>
          <w:p>
            <w:pPr>
              <w:ind w:left="2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880" w:type="dxa"/>
            <w:vAlign w:val="bottom"/>
            <w:gridSpan w:val="2"/>
          </w:tcPr>
          <w:p>
            <w:pPr>
              <w:ind w:left="180"/>
              <w:spacing w:after="0" w:line="161" w:lineRule="exact"/>
              <w:rPr>
                <w:sz w:val="20"/>
                <w:szCs w:val="20"/>
                <w:color w:val="auto"/>
              </w:rPr>
            </w:pPr>
            <w:r>
              <w:rPr>
                <w:rFonts w:ascii="Arial" w:cs="Arial" w:eastAsia="Arial" w:hAnsi="Arial"/>
                <w:sz w:val="15"/>
                <w:szCs w:val="15"/>
                <w:b w:val="1"/>
                <w:bCs w:val="1"/>
                <w:color w:val="auto"/>
              </w:rPr>
              <w:t>Number</w:t>
            </w:r>
          </w:p>
        </w:tc>
        <w:tc>
          <w:tcPr>
            <w:tcW w:w="9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Date</w:t>
            </w:r>
          </w:p>
        </w:tc>
        <w:tc>
          <w:tcPr>
            <w:tcW w:w="8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Expiration</w:t>
            </w:r>
          </w:p>
        </w:tc>
        <w:tc>
          <w:tcPr>
            <w:tcW w:w="1740" w:type="dxa"/>
            <w:vAlign w:val="bottom"/>
          </w:tcPr>
          <w:p>
            <w:pPr>
              <w:spacing w:after="0"/>
              <w:rPr>
                <w:sz w:val="14"/>
                <w:szCs w:val="14"/>
                <w:color w:val="auto"/>
              </w:rPr>
            </w:pPr>
          </w:p>
        </w:tc>
        <w:tc>
          <w:tcPr>
            <w:tcW w:w="880" w:type="dxa"/>
            <w:vAlign w:val="bottom"/>
            <w:gridSpan w:val="2"/>
          </w:tcPr>
          <w:p>
            <w:pPr>
              <w:ind w:left="180"/>
              <w:spacing w:after="0" w:line="165" w:lineRule="exact"/>
              <w:rPr>
                <w:sz w:val="20"/>
                <w:szCs w:val="20"/>
                <w:color w:val="auto"/>
              </w:rPr>
            </w:pPr>
            <w:r>
              <w:rPr>
                <w:rFonts w:ascii="Arial" w:cs="Arial" w:eastAsia="Arial" w:hAnsi="Arial"/>
                <w:sz w:val="15"/>
                <w:szCs w:val="15"/>
                <w:b w:val="1"/>
                <w:bCs w:val="1"/>
                <w:color w:val="auto"/>
              </w:rPr>
              <w:t>of</w:t>
            </w:r>
          </w:p>
        </w:tc>
        <w:tc>
          <w:tcPr>
            <w:tcW w:w="9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27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980" w:type="dxa"/>
            <w:vAlign w:val="bottom"/>
          </w:tcPr>
          <w:p>
            <w:pPr>
              <w:ind w:left="60"/>
              <w:spacing w:after="0"/>
              <w:rPr>
                <w:sz w:val="20"/>
                <w:szCs w:val="20"/>
                <w:color w:val="auto"/>
              </w:rPr>
            </w:pPr>
            <w:r>
              <w:rPr>
                <w:rFonts w:ascii="Arial" w:cs="Arial" w:eastAsia="Arial" w:hAnsi="Arial"/>
                <w:sz w:val="15"/>
                <w:szCs w:val="15"/>
                <w:b w:val="1"/>
                <w:bCs w:val="1"/>
                <w:color w:val="auto"/>
              </w:rPr>
              <w:t>Exercisable</w:t>
            </w:r>
          </w:p>
        </w:tc>
        <w:tc>
          <w:tcPr>
            <w:tcW w:w="88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740" w:type="dxa"/>
            <w:vAlign w:val="bottom"/>
          </w:tcPr>
          <w:p>
            <w:pPr>
              <w:ind w:left="80"/>
              <w:spacing w:after="0"/>
              <w:rPr>
                <w:sz w:val="20"/>
                <w:szCs w:val="20"/>
                <w:color w:val="auto"/>
              </w:rPr>
            </w:pPr>
            <w:r>
              <w:rPr>
                <w:rFonts w:ascii="Arial" w:cs="Arial" w:eastAsia="Arial" w:hAnsi="Arial"/>
                <w:sz w:val="15"/>
                <w:szCs w:val="15"/>
                <w:b w:val="1"/>
                <w:bCs w:val="1"/>
                <w:color w:val="auto"/>
              </w:rPr>
              <w:t>Title</w:t>
            </w:r>
          </w:p>
        </w:tc>
        <w:tc>
          <w:tcPr>
            <w:tcW w:w="880" w:type="dxa"/>
            <w:vAlign w:val="bottom"/>
            <w:gridSpan w:val="2"/>
          </w:tcPr>
          <w:p>
            <w:pPr>
              <w:ind w:left="180"/>
              <w:spacing w:after="0"/>
              <w:rPr>
                <w:sz w:val="20"/>
                <w:szCs w:val="20"/>
                <w:color w:val="auto"/>
              </w:rPr>
            </w:pPr>
            <w:r>
              <w:rPr>
                <w:rFonts w:ascii="Arial" w:cs="Arial" w:eastAsia="Arial" w:hAnsi="Arial"/>
                <w:sz w:val="15"/>
                <w:szCs w:val="15"/>
                <w:b w:val="1"/>
                <w:bCs w:val="1"/>
                <w:color w:val="auto"/>
              </w:rPr>
              <w:t>Shares</w:t>
            </w:r>
          </w:p>
        </w:tc>
        <w:tc>
          <w:tcPr>
            <w:tcW w:w="94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1300" w:type="dxa"/>
            <w:vAlign w:val="bottom"/>
            <w:gridSpan w:val="2"/>
          </w:tcPr>
          <w:p>
            <w:pPr>
              <w:jc w:val="right"/>
              <w:ind w:right="341"/>
              <w:spacing w:after="0"/>
              <w:rPr>
                <w:sz w:val="20"/>
                <w:szCs w:val="20"/>
                <w:color w:val="auto"/>
              </w:rPr>
            </w:pPr>
            <w:r>
              <w:rPr>
                <w:rFonts w:ascii="Arial" w:cs="Arial" w:eastAsia="Arial" w:hAnsi="Arial"/>
                <w:sz w:val="13"/>
                <w:szCs w:val="13"/>
                <w:color w:val="008000"/>
              </w:rPr>
              <w:t>(3)</w:t>
            </w:r>
          </w:p>
        </w:tc>
        <w:tc>
          <w:tcPr>
            <w:tcW w:w="880" w:type="dxa"/>
            <w:vAlign w:val="bottom"/>
          </w:tcPr>
          <w:p>
            <w:pPr>
              <w:jc w:val="right"/>
              <w:ind w:right="289"/>
              <w:spacing w:after="0"/>
              <w:rPr>
                <w:sz w:val="20"/>
                <w:szCs w:val="20"/>
                <w:color w:val="auto"/>
              </w:rPr>
            </w:pPr>
            <w:r>
              <w:rPr>
                <w:rFonts w:ascii="Arial" w:cs="Arial" w:eastAsia="Arial" w:hAnsi="Arial"/>
                <w:sz w:val="13"/>
                <w:szCs w:val="13"/>
                <w:color w:val="008000"/>
              </w:rPr>
              <w:t>(3)</w:t>
            </w:r>
          </w:p>
        </w:tc>
        <w:tc>
          <w:tcPr>
            <w:tcW w:w="1740" w:type="dxa"/>
            <w:vAlign w:val="bottom"/>
          </w:tcPr>
          <w:p>
            <w:pPr>
              <w:ind w:left="320"/>
              <w:spacing w:after="0"/>
              <w:rPr>
                <w:sz w:val="20"/>
                <w:szCs w:val="20"/>
                <w:color w:val="auto"/>
              </w:rPr>
            </w:pPr>
            <w:r>
              <w:rPr>
                <w:rFonts w:ascii="Arial" w:cs="Arial" w:eastAsia="Arial" w:hAnsi="Arial"/>
                <w:sz w:val="20"/>
                <w:szCs w:val="20"/>
                <w:color w:val="0000FF"/>
              </w:rPr>
              <w:t>Common Stock</w:t>
            </w:r>
          </w:p>
        </w:tc>
        <w:tc>
          <w:tcPr>
            <w:tcW w:w="840" w:type="dxa"/>
            <w:vAlign w:val="bottom"/>
          </w:tcPr>
          <w:p>
            <w:pPr>
              <w:ind w:left="260"/>
              <w:spacing w:after="0"/>
              <w:rPr>
                <w:sz w:val="20"/>
                <w:szCs w:val="20"/>
                <w:color w:val="auto"/>
              </w:rPr>
            </w:pPr>
            <w:r>
              <w:rPr>
                <w:rFonts w:ascii="Arial" w:cs="Arial" w:eastAsia="Arial" w:hAnsi="Arial"/>
                <w:sz w:val="20"/>
                <w:szCs w:val="20"/>
                <w:color w:val="0000FF"/>
              </w:rPr>
              <w:t>6,651</w:t>
            </w:r>
          </w:p>
        </w:tc>
        <w:tc>
          <w:tcPr>
            <w:tcW w:w="40" w:type="dxa"/>
            <w:vAlign w:val="bottom"/>
          </w:tcPr>
          <w:p>
            <w:pPr>
              <w:spacing w:after="0"/>
              <w:rPr>
                <w:sz w:val="24"/>
                <w:szCs w:val="24"/>
                <w:color w:val="auto"/>
              </w:rPr>
            </w:pPr>
          </w:p>
        </w:tc>
        <w:tc>
          <w:tcPr>
            <w:tcW w:w="940" w:type="dxa"/>
            <w:vAlign w:val="bottom"/>
          </w:tcPr>
          <w:p>
            <w:pPr>
              <w:ind w:left="380"/>
              <w:spacing w:after="0"/>
              <w:rPr>
                <w:sz w:val="20"/>
                <w:szCs w:val="20"/>
                <w:color w:val="auto"/>
              </w:rPr>
            </w:pPr>
            <w:r>
              <w:rPr>
                <w:rFonts w:ascii="Arial" w:cs="Arial" w:eastAsia="Arial" w:hAnsi="Arial"/>
                <w:sz w:val="13"/>
                <w:szCs w:val="13"/>
                <w:color w:val="008000"/>
              </w:rPr>
              <w:t>(4)</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Borders>
              <w:bottom w:val="single" w:sz="8" w:color="2C2C2C"/>
            </w:tcBorders>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174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760" w:type="dxa"/>
            <w:vAlign w:val="bottom"/>
          </w:tcPr>
          <w:p>
            <w:pPr>
              <w:ind w:left="20"/>
              <w:spacing w:after="0"/>
              <w:rPr>
                <w:sz w:val="20"/>
                <w:szCs w:val="20"/>
                <w:color w:val="auto"/>
              </w:rPr>
            </w:pPr>
            <w:r>
              <w:rPr>
                <w:rFonts w:ascii="Arial" w:cs="Arial" w:eastAsia="Arial" w:hAnsi="Arial"/>
                <w:sz w:val="15"/>
                <w:szCs w:val="15"/>
                <w:b w:val="1"/>
                <w:bCs w:val="1"/>
                <w:color w:val="auto"/>
              </w:rPr>
              <w:t>Explanation of Responses:</w:t>
            </w:r>
          </w:p>
        </w:tc>
        <w:tc>
          <w:tcPr>
            <w:tcW w:w="3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35" w:lineRule="exact"/>
        <w:rPr>
          <w:sz w:val="24"/>
          <w:szCs w:val="24"/>
          <w:color w:val="auto"/>
        </w:rPr>
      </w:pPr>
    </w:p>
    <w:p>
      <w:pPr>
        <w:ind w:left="40" w:right="80" w:firstLine="5"/>
        <w:spacing w:after="0" w:line="235"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("MTI"), Maui Acquisition Company Ltd, a wholly owned subsidiary of MTI ("Bermuda Merger Sub"), Indigo Acquisition Corp., a wholly owned subsidiary of MTI ("Delaware Merger Sub"), and Inphi Corporation ("Inphi"), Bermuda Merger Sub merged with and into Marvell with Marvell as the surviving corporation and a wholly owned subsidiary of MTI (the "Bermuda Merger"), and Delaware Merger Sub merged with and into Inphi with Inphi as the surviving corporation and a wholly owned subsidiary of MTI (the "Delaware Merger" and, together with the Bermuda Merger, the "Mergers").</w:t>
      </w:r>
    </w:p>
    <w:p>
      <w:pPr>
        <w:spacing w:after="0" w:line="37" w:lineRule="exact"/>
        <w:rPr>
          <w:rFonts w:ascii="Arial" w:cs="Arial" w:eastAsia="Arial" w:hAnsi="Arial"/>
          <w:sz w:val="15"/>
          <w:szCs w:val="15"/>
          <w:color w:val="008000"/>
        </w:rPr>
      </w:pPr>
    </w:p>
    <w:p>
      <w:pPr>
        <w:ind w:left="40" w:right="3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(Continued From Footnote 1) At the effective time of the Bermuda Merger, each common share of Marvell, par value $0.002 per share ("Marvell Share"), was automatically converted into the right to receive one share of MTI common stock, par value $0.002 per share ("MTI Stock").</w:t>
      </w:r>
    </w:p>
    <w:p>
      <w:pPr>
        <w:spacing w:after="0" w:line="26" w:lineRule="exact"/>
        <w:rPr>
          <w:rFonts w:ascii="Arial" w:cs="Arial" w:eastAsia="Arial" w:hAnsi="Arial"/>
          <w:sz w:val="15"/>
          <w:szCs w:val="15"/>
          <w:color w:val="008000"/>
        </w:rPr>
      </w:pPr>
    </w:p>
    <w:p>
      <w:pPr>
        <w:ind w:left="40" w:right="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Vests 100% of shares on the earlier of the next annual general meeting of Marvell or the one year anniversary of the restricted stock unit grant. The restricted stock unit grant was made on July 23, 2020.</w:t>
      </w:r>
    </w:p>
    <w:p>
      <w:pPr>
        <w:spacing w:after="0" w:line="26" w:lineRule="exact"/>
        <w:rPr>
          <w:rFonts w:ascii="Arial" w:cs="Arial" w:eastAsia="Arial" w:hAnsi="Arial"/>
          <w:sz w:val="15"/>
          <w:szCs w:val="15"/>
          <w:color w:val="008000"/>
        </w:rPr>
      </w:pPr>
    </w:p>
    <w:p>
      <w:pPr>
        <w:ind w:left="40" w:right="140" w:firstLine="5"/>
        <w:spacing w:after="0" w:line="267" w:lineRule="auto"/>
        <w:tabs>
          <w:tab w:leader="none" w:pos="190" w:val="left"/>
        </w:tabs>
        <w:numPr>
          <w:ilvl w:val="0"/>
          <w:numId w:val="4"/>
        </w:numPr>
        <w:rPr>
          <w:rFonts w:ascii="Arial" w:cs="Arial" w:eastAsia="Arial" w:hAnsi="Arial"/>
          <w:sz w:val="14"/>
          <w:szCs w:val="14"/>
          <w:color w:val="008000"/>
        </w:rPr>
      </w:pPr>
      <w:r>
        <w:rPr>
          <w:rFonts w:ascii="Arial" w:cs="Arial" w:eastAsia="Arial" w:hAnsi="Arial"/>
          <w:sz w:val="14"/>
          <w:szCs w:val="14"/>
          <w:color w:val="008000"/>
        </w:rPr>
        <w:t>Each restricted stock unit represents a contingent right to receive one Marvell Share upon vesting. At the effective time of the Bermuda Merger, each restricted stock unit related to a Marvell Share was assumed by MTI pursuant to the Merger Agreement and converted into a restricted stock unit relating to a share of MTI Stock, on the same terms and conditions as the original award (including with respect to vesting) that applied to such restricted stock unit immediately prior to the Mergers.</w:t>
      </w:r>
    </w:p>
    <w:p>
      <w:pPr>
        <w:spacing w:after="0" w:line="8" w:lineRule="exact"/>
        <w:rPr>
          <w:sz w:val="24"/>
          <w:szCs w:val="24"/>
          <w:color w:val="auto"/>
        </w:rPr>
      </w:pPr>
    </w:p>
    <w:p>
      <w:pPr>
        <w:ind w:left="40"/>
        <w:spacing w:after="0"/>
        <w:rPr>
          <w:sz w:val="20"/>
          <w:szCs w:val="20"/>
          <w:color w:val="auto"/>
        </w:rPr>
      </w:pPr>
      <w:r>
        <w:rPr>
          <w:rFonts w:ascii="Arial" w:cs="Arial" w:eastAsia="Arial" w:hAnsi="Arial"/>
          <w:sz w:val="20"/>
          <w:szCs w:val="20"/>
          <w:b w:val="1"/>
          <w:bCs w:val="1"/>
          <w:color w:val="auto"/>
        </w:rPr>
        <w:t>Remarks:</w:t>
      </w:r>
    </w:p>
    <w:p>
      <w:pPr>
        <w:spacing w:after="0" w:line="65" w:lineRule="exact"/>
        <w:rPr>
          <w:sz w:val="24"/>
          <w:szCs w:val="24"/>
          <w:color w:val="auto"/>
        </w:rPr>
      </w:pPr>
    </w:p>
    <w:p>
      <w:pPr>
        <w:ind w:left="40"/>
        <w:spacing w:after="0"/>
        <w:rPr>
          <w:sz w:val="20"/>
          <w:szCs w:val="20"/>
          <w:color w:val="auto"/>
        </w:rPr>
      </w:pPr>
      <w:r>
        <w:rPr>
          <w:rFonts w:ascii="Arial" w:cs="Arial" w:eastAsia="Arial" w:hAnsi="Arial"/>
          <w:sz w:val="15"/>
          <w:szCs w:val="15"/>
          <w:color w:val="008000"/>
        </w:rPr>
        <w:t>Exhibit 24: Power of Attorney</w:t>
      </w:r>
    </w:p>
    <w:p>
      <w:pPr>
        <w:spacing w:after="0" w:line="58" w:lineRule="exact"/>
        <w:rPr>
          <w:sz w:val="24"/>
          <w:szCs w:val="24"/>
          <w:color w:val="auto"/>
        </w:rPr>
      </w:pPr>
    </w:p>
    <w:tbl>
      <w:tblPr>
        <w:tblLayout w:type="fixed"/>
        <w:tblInd w:w="40" w:type="dxa"/>
        <w:tblCellMar>
          <w:top w:w="0" w:type="dxa"/>
          <w:left w:w="0" w:type="dxa"/>
          <w:bottom w:w="0" w:type="dxa"/>
          <w:right w:w="0" w:type="dxa"/>
        </w:tblCellMar>
      </w:tblPr>
      <w:tr>
        <w:trPr>
          <w:trHeight w:val="230"/>
        </w:trPr>
        <w:tc>
          <w:tcPr>
            <w:tcW w:w="6540" w:type="dxa"/>
            <w:vAlign w:val="bottom"/>
          </w:tcPr>
          <w:p>
            <w:pPr>
              <w:spacing w:after="0"/>
              <w:rPr>
                <w:sz w:val="19"/>
                <w:szCs w:val="19"/>
                <w:color w:val="auto"/>
              </w:rPr>
            </w:pPr>
          </w:p>
        </w:tc>
        <w:tc>
          <w:tcPr>
            <w:tcW w:w="2180" w:type="dxa"/>
            <w:vAlign w:val="bottom"/>
            <w:gridSpan w:val="4"/>
          </w:tcPr>
          <w:p>
            <w:pPr>
              <w:spacing w:after="0"/>
              <w:rPr>
                <w:sz w:val="20"/>
                <w:szCs w:val="20"/>
                <w:color w:val="auto"/>
              </w:rPr>
            </w:pPr>
            <w:r>
              <w:rPr>
                <w:rFonts w:ascii="Arial" w:cs="Arial" w:eastAsia="Arial" w:hAnsi="Arial"/>
                <w:sz w:val="20"/>
                <w:szCs w:val="20"/>
                <w:color w:val="0000FF"/>
                <w:w w:val="98"/>
              </w:rPr>
              <w:t>/s/ Tudor Brown, by Blair</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0"/>
        </w:trPr>
        <w:tc>
          <w:tcPr>
            <w:tcW w:w="6540" w:type="dxa"/>
            <w:vAlign w:val="bottom"/>
          </w:tcPr>
          <w:p>
            <w:pPr>
              <w:spacing w:after="0"/>
              <w:rPr>
                <w:sz w:val="19"/>
                <w:szCs w:val="19"/>
                <w:color w:val="auto"/>
              </w:rPr>
            </w:pPr>
          </w:p>
        </w:tc>
        <w:tc>
          <w:tcPr>
            <w:tcW w:w="1820" w:type="dxa"/>
            <w:vAlign w:val="bottom"/>
            <w:tcBorders>
              <w:top w:val="single" w:sz="8" w:color="auto"/>
              <w:bottom w:val="single" w:sz="8" w:color="auto"/>
            </w:tcBorders>
            <w:gridSpan w:val="2"/>
          </w:tcPr>
          <w:p>
            <w:pPr>
              <w:spacing w:after="0" w:line="220" w:lineRule="exact"/>
              <w:rPr>
                <w:sz w:val="20"/>
                <w:szCs w:val="20"/>
                <w:color w:val="auto"/>
              </w:rPr>
            </w:pPr>
            <w:r>
              <w:rPr>
                <w:rFonts w:ascii="Arial" w:cs="Arial" w:eastAsia="Arial" w:hAnsi="Arial"/>
                <w:sz w:val="20"/>
                <w:szCs w:val="20"/>
                <w:color w:val="0000FF"/>
                <w:w w:val="88"/>
              </w:rPr>
              <w:t>Walters as Attorney-in-</w:t>
            </w:r>
          </w:p>
        </w:tc>
        <w:tc>
          <w:tcPr>
            <w:tcW w:w="180" w:type="dxa"/>
            <w:vAlign w:val="bottom"/>
            <w:tcBorders>
              <w:top w:val="single" w:sz="8" w:color="auto"/>
            </w:tcBorders>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Borders>
              <w:bottom w:val="single" w:sz="8" w:color="auto"/>
            </w:tcBorders>
          </w:tcPr>
          <w:p>
            <w:pPr>
              <w:spacing w:after="0" w:line="220" w:lineRule="exact"/>
              <w:rPr>
                <w:sz w:val="20"/>
                <w:szCs w:val="20"/>
                <w:color w:val="auto"/>
              </w:rPr>
            </w:pPr>
            <w:r>
              <w:rPr>
                <w:rFonts w:ascii="Arial" w:cs="Arial" w:eastAsia="Arial" w:hAnsi="Arial"/>
                <w:sz w:val="20"/>
                <w:szCs w:val="20"/>
                <w:color w:val="0000FF"/>
                <w:w w:val="87"/>
              </w:rPr>
              <w:t>04/21/2021</w:t>
            </w:r>
          </w:p>
        </w:tc>
        <w:tc>
          <w:tcPr>
            <w:tcW w:w="0" w:type="dxa"/>
            <w:vAlign w:val="bottom"/>
          </w:tcPr>
          <w:p>
            <w:pPr>
              <w:spacing w:after="0"/>
              <w:rPr>
                <w:sz w:val="1"/>
                <w:szCs w:val="1"/>
                <w:color w:val="auto"/>
              </w:rPr>
            </w:pPr>
          </w:p>
        </w:tc>
      </w:tr>
      <w:tr>
        <w:trPr>
          <w:trHeight w:val="220"/>
        </w:trPr>
        <w:tc>
          <w:tcPr>
            <w:tcW w:w="6540" w:type="dxa"/>
            <w:vAlign w:val="bottom"/>
          </w:tcPr>
          <w:p>
            <w:pPr>
              <w:spacing w:after="0"/>
              <w:rPr>
                <w:sz w:val="19"/>
                <w:szCs w:val="19"/>
                <w:color w:val="auto"/>
              </w:rPr>
            </w:pPr>
          </w:p>
        </w:tc>
        <w:tc>
          <w:tcPr>
            <w:tcW w:w="2180" w:type="dxa"/>
            <w:vAlign w:val="bottom"/>
            <w:gridSpan w:val="4"/>
          </w:tcPr>
          <w:p>
            <w:pPr>
              <w:spacing w:after="0" w:line="220" w:lineRule="exact"/>
              <w:rPr>
                <w:sz w:val="20"/>
                <w:szCs w:val="20"/>
                <w:color w:val="auto"/>
              </w:rPr>
            </w:pPr>
            <w:r>
              <w:rPr>
                <w:rFonts w:ascii="Arial" w:cs="Arial" w:eastAsia="Arial" w:hAnsi="Arial"/>
                <w:sz w:val="20"/>
                <w:szCs w:val="20"/>
                <w:color w:val="0000FF"/>
              </w:rPr>
              <w:t>Fact</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54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1860" w:type="dxa"/>
            <w:vAlign w:val="bottom"/>
            <w:gridSpan w:val="3"/>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9"/>
        </w:trPr>
        <w:tc>
          <w:tcPr>
            <w:tcW w:w="6540" w:type="dxa"/>
            <w:vAlign w:val="bottom"/>
          </w:tcPr>
          <w:p>
            <w:pPr>
              <w:spacing w:after="0"/>
              <w:rPr>
                <w:sz w:val="21"/>
                <w:szCs w:val="21"/>
                <w:color w:val="auto"/>
              </w:rPr>
            </w:pPr>
          </w:p>
        </w:tc>
        <w:tc>
          <w:tcPr>
            <w:tcW w:w="2180" w:type="dxa"/>
            <w:vAlign w:val="bottom"/>
            <w:gridSpan w:val="4"/>
          </w:tcPr>
          <w:p>
            <w:pPr>
              <w:spacing w:after="0"/>
              <w:rPr>
                <w:sz w:val="20"/>
                <w:szCs w:val="20"/>
                <w:color w:val="auto"/>
              </w:rPr>
            </w:pPr>
            <w:r>
              <w:rPr>
                <w:rFonts w:ascii="Arial" w:cs="Arial" w:eastAsia="Arial" w:hAnsi="Arial"/>
                <w:sz w:val="15"/>
                <w:szCs w:val="15"/>
                <w:color w:val="auto"/>
              </w:rPr>
              <w:t>** Signature of Reporting</w:t>
            </w:r>
          </w:p>
        </w:tc>
        <w:tc>
          <w:tcPr>
            <w:tcW w:w="900" w:type="dxa"/>
            <w:vAlign w:val="bottom"/>
            <w:vMerge w:val="restart"/>
          </w:tcPr>
          <w:p>
            <w:pPr>
              <w:spacing w:after="0"/>
              <w:rPr>
                <w:sz w:val="20"/>
                <w:szCs w:val="20"/>
                <w:color w:val="auto"/>
              </w:rPr>
            </w:pPr>
            <w:r>
              <w:rPr>
                <w:rFonts w:ascii="Arial" w:cs="Arial" w:eastAsia="Arial" w:hAnsi="Arial"/>
                <w:sz w:val="15"/>
                <w:szCs w:val="15"/>
                <w:color w:val="auto"/>
              </w:rPr>
              <w:t>Date</w:t>
            </w: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2180" w:type="dxa"/>
            <w:vAlign w:val="bottom"/>
            <w:gridSpan w:val="4"/>
            <w:vMerge w:val="restart"/>
          </w:tcPr>
          <w:p>
            <w:pPr>
              <w:spacing w:after="0"/>
              <w:rPr>
                <w:sz w:val="20"/>
                <w:szCs w:val="20"/>
                <w:color w:val="auto"/>
              </w:rPr>
            </w:pPr>
            <w:r>
              <w:rPr>
                <w:rFonts w:ascii="Arial" w:cs="Arial" w:eastAsia="Arial" w:hAnsi="Arial"/>
                <w:sz w:val="15"/>
                <w:szCs w:val="15"/>
                <w:color w:val="auto"/>
              </w:rPr>
              <w:t>Person</w:t>
            </w:r>
          </w:p>
        </w:tc>
        <w:tc>
          <w:tcPr>
            <w:tcW w:w="90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2180" w:type="dxa"/>
            <w:vAlign w:val="bottom"/>
            <w:gridSpan w:val="4"/>
            <w:vMerge w:val="continue"/>
          </w:tcPr>
          <w:p>
            <w:pPr>
              <w:spacing w:after="0"/>
              <w:rPr>
                <w:sz w:val="7"/>
                <w:szCs w:val="7"/>
                <w:color w:val="auto"/>
              </w:rPr>
            </w:pPr>
          </w:p>
        </w:tc>
        <w:tc>
          <w:tcPr>
            <w:tcW w:w="9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720" w:type="dxa"/>
            <w:vAlign w:val="bottom"/>
            <w:gridSpan w:val="5"/>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720" w:type="dxa"/>
            <w:vAlign w:val="bottom"/>
            <w:gridSpan w:val="5"/>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4"/>
          <w:szCs w:val="24"/>
          <w:color w:val="auto"/>
        </w:rPr>
      </w:pPr>
    </w:p>
    <w:p>
      <w:pPr>
        <w:jc w:val="both"/>
        <w:ind w:left="40" w:right="2240" w:firstLine="5"/>
        <w:spacing w:after="0" w:line="334" w:lineRule="auto"/>
        <w:tabs>
          <w:tab w:leader="none" w:pos="199" w:val="left"/>
        </w:tabs>
        <w:numPr>
          <w:ilvl w:val="0"/>
          <w:numId w:val="5"/>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ind w:left="40" w:right="80"/>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940"/>
          </w:cols>
          <w:pgMar w:left="480" w:top="236" w:right="479" w:bottom="436" w:gutter="0" w:footer="0" w:header="0"/>
          <w:type w:val="continuous"/>
        </w:sectPr>
      </w:pPr>
    </w:p>
    <w:bookmarkStart w:id="1" w:name="page2"/>
    <w:bookmarkEnd w:id="1"/>
    <w:p>
      <w:pPr>
        <w:jc w:val="center"/>
        <w:ind w:right="259"/>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839" w:firstLine="468"/>
        <w:spacing w:after="0" w:line="268" w:lineRule="auto"/>
        <w:rPr>
          <w:sz w:val="20"/>
          <w:szCs w:val="20"/>
          <w:color w:val="auto"/>
        </w:rPr>
      </w:pPr>
      <w:r>
        <w:rPr>
          <w:rFonts w:ascii="Courier New" w:cs="Courier New" w:eastAsia="Courier New" w:hAnsi="Courier New"/>
          <w:sz w:val="18"/>
          <w:szCs w:val="18"/>
          <w:color w:val="auto"/>
        </w:rPr>
        <w:t>Know all by these presents, that the undersigned hereby makes, constitutes and appoints each of Mitchell Gaynor, Blair Walters and Gina Christopher, or either of them acting singly, and with full power of substitution and re-substitution, the undersigned's true and lawful attorney-in-fact (each of such persons and their substitutes being referred to herein as the "Attorney-in-Fact"), with full power to act for the undersigned and in the undersigned's name, place and stead, in any and all capacities, to:</w:t>
      </w:r>
    </w:p>
    <w:p>
      <w:pPr>
        <w:spacing w:after="0" w:line="207" w:lineRule="exact"/>
        <w:rPr>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Securities and Exchange Commission ("SEC") a Form ID, including amendments thereto, and any other documents necessary or appropriate to obtain codes and passwords enabling the undersigned to make electronic filings with the SEC of reports required or considered by the Attorney-in-Fact to be advisable under Section 13 or Section 16 of the Securities Exchange Act of 1934 (the "Exchange Act") or any rule or regulation of the SEC;</w:t>
      </w:r>
    </w:p>
    <w:p>
      <w:pPr>
        <w:spacing w:after="0" w:line="234" w:lineRule="exact"/>
        <w:rPr>
          <w:rFonts w:ascii="Courier New" w:cs="Courier New" w:eastAsia="Courier New" w:hAnsi="Courier New"/>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 Marvell Technology, Inc. (the "Company"), and/or any national securities exchange on which the Company's securities are listed any and all reports (including any amendments thereto) the undersigned is required to file with the SEC, or which the Attorney-in-Fact considers it advisable to file with the SEC, under Section 13 or Section 16 of the Exchange Act or any rule or regulation thereunder, or under Rule 144 under the Securities Act of 1933 ("Rule 144"), with respect to the any security of the Company, including Forms 3, 4 and 5, Schedules 13D and 13G, and Forms 144; and</w:t>
      </w:r>
    </w:p>
    <w:p>
      <w:pPr>
        <w:spacing w:after="0" w:line="237" w:lineRule="exact"/>
        <w:rPr>
          <w:rFonts w:ascii="Courier New" w:cs="Courier New" w:eastAsia="Courier New" w:hAnsi="Courier New"/>
          <w:sz w:val="20"/>
          <w:szCs w:val="20"/>
          <w:color w:val="auto"/>
        </w:rPr>
      </w:pPr>
    </w:p>
    <w:p>
      <w:pPr>
        <w:ind w:left="940" w:right="73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Obtain, as the undersigned's representative and on the undersigned's behalf, information regarding transactions in the Company's equity securities from any third party, including the Company and any brokers, dealers, employee benefit plan administrators and trustees, and the undersigned hereby authorizes any such third party to release any such information to the Attorney-in-Fact.</w:t>
      </w:r>
    </w:p>
    <w:p>
      <w:pPr>
        <w:spacing w:after="0" w:line="227" w:lineRule="exact"/>
        <w:rPr>
          <w:sz w:val="20"/>
          <w:szCs w:val="20"/>
          <w:color w:val="auto"/>
        </w:rPr>
      </w:pPr>
    </w:p>
    <w:p>
      <w:pPr>
        <w:ind w:left="460"/>
        <w:spacing w:after="0"/>
        <w:rPr>
          <w:sz w:val="20"/>
          <w:szCs w:val="20"/>
          <w:color w:val="auto"/>
        </w:rPr>
      </w:pPr>
      <w:r>
        <w:rPr>
          <w:rFonts w:ascii="Courier New" w:cs="Courier New" w:eastAsia="Courier New" w:hAnsi="Courier New"/>
          <w:sz w:val="20"/>
          <w:szCs w:val="20"/>
          <w:color w:val="auto"/>
        </w:rPr>
        <w:t>The undersigned acknowledges that:</w:t>
      </w:r>
    </w:p>
    <w:p>
      <w:pPr>
        <w:spacing w:after="0" w:line="230" w:lineRule="exact"/>
        <w:rPr>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authorizes, but does not require, the Attorney-in-Fact to act in his or her discretion on information provided to such Attorney-in-Fact without independent verification of such information;</w:t>
      </w:r>
    </w:p>
    <w:p>
      <w:pPr>
        <w:spacing w:after="0" w:line="230" w:lineRule="exact"/>
        <w:rPr>
          <w:rFonts w:ascii="Courier New" w:cs="Courier New" w:eastAsia="Courier New" w:hAnsi="Courier New"/>
          <w:sz w:val="20"/>
          <w:szCs w:val="20"/>
          <w:color w:val="auto"/>
        </w:rPr>
      </w:pPr>
    </w:p>
    <w:p>
      <w:pPr>
        <w:ind w:left="1640" w:right="619" w:hanging="469"/>
        <w:spacing w:after="0" w:line="271" w:lineRule="auto"/>
        <w:tabs>
          <w:tab w:leader="none" w:pos="16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or executed by the Attorney-in-Fact on behalf of the undersigned pursuant to this Power of Attorney will be in such form and will contain such information as the Attorney-in-Fact, in his or her discretion, deems necessary or desirable;</w:t>
      </w:r>
    </w:p>
    <w:p>
      <w:pPr>
        <w:spacing w:after="0" w:line="204" w:lineRule="exact"/>
        <w:rPr>
          <w:rFonts w:ascii="Courier New" w:cs="Courier New" w:eastAsia="Courier New" w:hAnsi="Courier New"/>
          <w:sz w:val="18"/>
          <w:szCs w:val="18"/>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Neither the Company nor the Attorney-in-Fact assumes any liability for the undersigned's responsibility to comply with the requirements of Section 13 or Section 16 of the Exchange Act or Rule 144, any liability of the undersigned for any failure to comply with such requirements, or any liability of the undersigned for disgorgement of profits under Section 16(b) of the Exchange Act; and</w:t>
      </w:r>
    </w:p>
    <w:p>
      <w:pPr>
        <w:spacing w:after="0" w:line="234" w:lineRule="exact"/>
        <w:rPr>
          <w:rFonts w:ascii="Courier New" w:cs="Courier New" w:eastAsia="Courier New" w:hAnsi="Courier New"/>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does not relieve the undersigned from responsibility for compliance with the undersigned's obligations under Section 13 or Section 16 of the Exchange Act, including, without limitation, the reporting requirements under Section 13 or Section 16 of the Exchange Act.</w:t>
      </w:r>
    </w:p>
    <w:p>
      <w:pPr>
        <w:spacing w:after="0" w:line="232"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The undersigned hereby grants to the Attorney-in-Fact full power and authority to do and perform each and every act and thing requisite, necessary or advisable to be done in connection with the foregoing, as fully, to all intents and purposes, as the undersigned might or could do in person, hereby ratifying and confirming all that the Attorney-in-Fact, or his or her substitute or substitutes, shall lawfully do or cause to be done by authority of this Power of Attorney.</w:t>
      </w:r>
    </w:p>
    <w:p>
      <w:pPr>
        <w:spacing w:after="0" w:line="235" w:lineRule="exact"/>
        <w:rPr>
          <w:sz w:val="20"/>
          <w:szCs w:val="20"/>
          <w:color w:val="auto"/>
        </w:rPr>
      </w:pPr>
    </w:p>
    <w:p>
      <w:pPr>
        <w:ind w:right="619" w:firstLine="468"/>
        <w:spacing w:after="0" w:line="271"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4 or 5 or Schedules 13D or 13G or Forms 144 with respect to the undersigned's holdings of and transactions in securities of the Company, unless earlier revoked by the undersigned in a signed</w:t>
      </w:r>
    </w:p>
    <w:p>
      <w:pPr>
        <w:sectPr>
          <w:pgSz w:w="11900" w:h="16838" w:orient="portrait"/>
          <w:cols w:equalWidth="0" w:num="1">
            <w:col w:w="9979"/>
          </w:cols>
          <w:pgMar w:left="480" w:top="136" w:right="1440" w:bottom="0" w:gutter="0" w:footer="0" w:header="0"/>
        </w:sectPr>
      </w:pPr>
    </w:p>
    <w:bookmarkStart w:id="2" w:name="page3"/>
    <w:bookmarkEnd w:id="2"/>
    <w:p>
      <w:pPr>
        <w:ind w:right="739"/>
        <w:spacing w:after="0" w:line="236" w:lineRule="auto"/>
        <w:rPr>
          <w:sz w:val="20"/>
          <w:szCs w:val="20"/>
          <w:color w:val="auto"/>
        </w:rPr>
      </w:pPr>
      <w:r>
        <w:rPr>
          <w:rFonts w:ascii="Courier New" w:cs="Courier New" w:eastAsia="Courier New" w:hAnsi="Courier New"/>
          <w:sz w:val="20"/>
          <w:szCs w:val="20"/>
          <w:color w:val="auto"/>
        </w:rPr>
        <w:t>writing delivered to the Attorney-in-Fact. This Power of Attorney revokes all previous powers of attorney with respect to the subject matter of this Power of Attorney.</w:t>
      </w:r>
    </w:p>
    <w:p>
      <w:pPr>
        <w:spacing w:after="0" w:line="232" w:lineRule="exact"/>
        <w:rPr>
          <w:sz w:val="20"/>
          <w:szCs w:val="20"/>
          <w:color w:val="auto"/>
        </w:rPr>
      </w:pPr>
    </w:p>
    <w:p>
      <w:pPr>
        <w:ind w:right="839" w:firstLine="468"/>
        <w:spacing w:after="0" w:line="236" w:lineRule="auto"/>
        <w:rPr>
          <w:sz w:val="20"/>
          <w:szCs w:val="20"/>
          <w:color w:val="auto"/>
        </w:rPr>
      </w:pPr>
      <w:r>
        <w:rPr>
          <w:rFonts w:ascii="Courier New" w:cs="Courier New" w:eastAsia="Courier New" w:hAnsi="Courier New"/>
          <w:sz w:val="20"/>
          <w:szCs w:val="20"/>
          <w:color w:val="auto"/>
        </w:rPr>
        <w:t>IN WITNESS WHEREOF, the undersigned has executed this Power of Attorney as of April 16, 2021.</w:t>
      </w:r>
    </w:p>
    <w:p>
      <w:pPr>
        <w:spacing w:after="0" w:line="200" w:lineRule="exact"/>
        <w:rPr>
          <w:sz w:val="20"/>
          <w:szCs w:val="20"/>
          <w:color w:val="auto"/>
        </w:rPr>
      </w:pPr>
    </w:p>
    <w:p>
      <w:pPr>
        <w:spacing w:after="0" w:line="249" w:lineRule="exact"/>
        <w:rPr>
          <w:sz w:val="20"/>
          <w:szCs w:val="20"/>
          <w:color w:val="auto"/>
        </w:rPr>
      </w:pPr>
    </w:p>
    <w:p>
      <w:pPr>
        <w:ind w:left="3040"/>
        <w:spacing w:after="0"/>
        <w:rPr>
          <w:sz w:val="20"/>
          <w:szCs w:val="20"/>
          <w:color w:val="auto"/>
        </w:rPr>
      </w:pPr>
      <w:r>
        <w:rPr>
          <w:rFonts w:ascii="Courier New" w:cs="Courier New" w:eastAsia="Courier New" w:hAnsi="Courier New"/>
          <w:sz w:val="20"/>
          <w:szCs w:val="20"/>
          <w:color w:val="auto"/>
        </w:rPr>
        <w:t>/s/ Tudor Brown</w:t>
      </w:r>
    </w:p>
    <w:p>
      <w:pPr>
        <w:ind w:left="2920"/>
        <w:spacing w:after="0" w:line="238" w:lineRule="auto"/>
        <w:rPr>
          <w:sz w:val="20"/>
          <w:szCs w:val="20"/>
          <w:color w:val="auto"/>
        </w:rPr>
      </w:pPr>
      <w:r>
        <w:rPr>
          <w:rFonts w:ascii="Courier New" w:cs="Courier New" w:eastAsia="Courier New" w:hAnsi="Courier New"/>
          <w:sz w:val="20"/>
          <w:szCs w:val="20"/>
          <w:color w:val="auto"/>
        </w:rPr>
        <w:t>---------------------------------</w:t>
      </w:r>
    </w:p>
    <w:p>
      <w:pPr>
        <w:ind w:left="3040"/>
        <w:spacing w:after="0" w:line="238" w:lineRule="auto"/>
        <w:rPr>
          <w:sz w:val="20"/>
          <w:szCs w:val="20"/>
          <w:color w:val="auto"/>
        </w:rPr>
      </w:pPr>
      <w:r>
        <w:rPr>
          <w:rFonts w:ascii="Courier New" w:cs="Courier New" w:eastAsia="Courier New" w:hAnsi="Courier New"/>
          <w:sz w:val="20"/>
          <w:szCs w:val="20"/>
          <w:color w:val="auto"/>
        </w:rPr>
        <w:t>Name: Tudor Brown</w:t>
      </w:r>
    </w:p>
    <w:sectPr>
      <w:pgSz w:w="11900" w:h="16838" w:orient="portrait"/>
      <w:cols w:equalWidth="0" w:num="1">
        <w:col w:w="9979"/>
      </w:cols>
      <w:pgMar w:left="48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decimal"/>
      <w:start w:val="4"/>
    </w:lvl>
  </w:abstractNum>
  <w:abstractNum w:abstractNumId="1">
    <w:nsid w:val="238E1F29"/>
    <w:multiLevelType w:val="hybridMultilevel"/>
    <w:lvl w:ilvl="0">
      <w:lvlJc w:val="left"/>
      <w:lvlText w:val="%1."/>
      <w:numFmt w:val="decimal"/>
      <w:start w:val="5"/>
    </w:lvl>
  </w:abstractNum>
  <w:abstractNum w:abstractNumId="2">
    <w:nsid w:val="46E87CCD"/>
    <w:multiLevelType w:val="hybridMultilevel"/>
    <w:lvl w:ilvl="0">
      <w:lvlJc w:val="left"/>
      <w:lvlText w:val="X"/>
      <w:numFmt w:val="bullet"/>
      <w:start w:val="1"/>
    </w:lvl>
  </w:abstractNum>
  <w:abstractNum w:abstractNumId="3">
    <w:nsid w:val="3D1B58BA"/>
    <w:multiLevelType w:val="hybridMultilevel"/>
    <w:lvl w:ilvl="0">
      <w:lvlJc w:val="left"/>
      <w:lvlText w:val="%1."/>
      <w:numFmt w:val="decimal"/>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decimal"/>
      <w:start w:val="1"/>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www.sec.gov/cgi-bin/browse-edgar?action=getcompany&amp;CIK=0001577816"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2021-04-21T19:07:36Z</dcterms:created>
  <dcterms:modified xsi:type="dcterms:W3CDTF">2021-04-21T19:07:36Z</dcterms:modified>
</cp:coreProperties>
</file>