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7517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751705"/>
                    </a:xfrm>
                    <a:prstGeom prst="rect">
                      <a:avLst/>
                    </a:prstGeom>
                    <a:noFill/>
                  </pic:spPr>
                </pic:pic>
              </a:graphicData>
            </a:graphic>
          </wp:anchor>
        </w:drawing>
      </w:r>
    </w:p>
    <w:p>
      <w:pPr>
        <w:sectPr>
          <w:pgSz w:w="11900" w:h="16838" w:orient="portrait"/>
          <w:cols w:equalWidth="0" w:num="1">
            <w:col w:w="10940"/>
          </w:cols>
          <w:pgMar w:left="480" w:top="236" w:right="479" w:bottom="436"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Buss Brad W</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280" w:type="dxa"/>
            <w:vAlign w:val="bottom"/>
            <w:tcBorders>
              <w:top w:val="single" w:sz="8" w:color="0000EE"/>
              <w:bottom w:val="single" w:sz="8" w:color="9A9A9A"/>
            </w:tcBorders>
          </w:tcPr>
          <w:p>
            <w:pPr>
              <w:spacing w:after="0"/>
              <w:rPr>
                <w:sz w:val="17"/>
                <w:szCs w:val="17"/>
                <w:color w:val="auto"/>
              </w:rPr>
            </w:pPr>
          </w:p>
        </w:tc>
        <w:tc>
          <w:tcPr>
            <w:tcW w:w="150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436"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12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436"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365"/>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Common Stock</w:t>
            </w:r>
          </w:p>
        </w:tc>
        <w:tc>
          <w:tcPr>
            <w:tcW w:w="32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tcPr>
          <w:p>
            <w:pPr>
              <w:ind w:left="480"/>
              <w:spacing w:after="0"/>
              <w:rPr>
                <w:sz w:val="20"/>
                <w:szCs w:val="20"/>
                <w:color w:val="auto"/>
              </w:rPr>
            </w:pPr>
            <w:r>
              <w:rPr>
                <w:rFonts w:ascii="Arial" w:cs="Arial" w:eastAsia="Arial" w:hAnsi="Arial"/>
                <w:sz w:val="20"/>
                <w:szCs w:val="20"/>
                <w:color w:val="0000FF"/>
              </w:rPr>
              <w:t>64,218</w:t>
            </w:r>
            <w:r>
              <w:rPr>
                <w:rFonts w:ascii="Arial" w:cs="Arial" w:eastAsia="Arial" w:hAnsi="Arial"/>
                <w:sz w:val="25"/>
                <w:szCs w:val="25"/>
                <w:color w:val="008000"/>
                <w:vertAlign w:val="superscript"/>
              </w:rPr>
              <w:t>(1)(2)</w:t>
            </w:r>
          </w:p>
        </w:tc>
        <w:tc>
          <w:tcPr>
            <w:tcW w:w="880" w:type="dxa"/>
            <w:vAlign w:val="bottom"/>
            <w:tcBorders>
              <w:bottom w:val="single" w:sz="8" w:color="2C2C2C"/>
            </w:tcBorders>
            <w:gridSpan w:val="2"/>
          </w:tcPr>
          <w:p>
            <w:pPr>
              <w:ind w:left="720"/>
              <w:spacing w:after="0"/>
              <w:rPr>
                <w:sz w:val="20"/>
                <w:szCs w:val="20"/>
                <w:color w:val="auto"/>
              </w:rPr>
            </w:pPr>
            <w:r>
              <w:rPr>
                <w:rFonts w:ascii="Arial" w:cs="Arial" w:eastAsia="Arial" w:hAnsi="Arial"/>
                <w:sz w:val="20"/>
                <w:szCs w:val="20"/>
                <w:color w:val="0000FF"/>
                <w:w w:val="96"/>
              </w:rPr>
              <w:t>D</w:t>
            </w:r>
          </w:p>
        </w:tc>
        <w:tc>
          <w:tcPr>
            <w:tcW w:w="94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320" w:type="dxa"/>
            <w:vAlign w:val="bottom"/>
            <w:tcBorders>
              <w:top w:val="single" w:sz="8" w:color="2C2C2C"/>
            </w:tcBorders>
          </w:tcPr>
          <w:p>
            <w:pPr>
              <w:spacing w:after="0"/>
              <w:rPr>
                <w:sz w:val="22"/>
                <w:szCs w:val="22"/>
                <w:color w:val="auto"/>
              </w:rPr>
            </w:pPr>
          </w:p>
        </w:tc>
        <w:tc>
          <w:tcPr>
            <w:tcW w:w="5420" w:type="dxa"/>
            <w:vAlign w:val="bottom"/>
            <w:tcBorders>
              <w:top w:val="single" w:sz="8" w:color="2C2C2C"/>
            </w:tcBorders>
            <w:gridSpan w:val="6"/>
          </w:tcPr>
          <w:p>
            <w:pPr>
              <w:ind w:left="8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6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40" w:type="dxa"/>
            <w:vAlign w:val="bottom"/>
            <w:gridSpan w:val="7"/>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258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320" w:type="dxa"/>
            <w:vAlign w:val="bottom"/>
          </w:tcPr>
          <w:p>
            <w:pPr>
              <w:spacing w:after="0"/>
              <w:rPr>
                <w:sz w:val="17"/>
                <w:szCs w:val="17"/>
                <w:color w:val="auto"/>
              </w:rPr>
            </w:pPr>
          </w:p>
        </w:tc>
        <w:tc>
          <w:tcPr>
            <w:tcW w:w="1860" w:type="dxa"/>
            <w:vAlign w:val="bottom"/>
            <w:gridSpan w:val="2"/>
          </w:tcPr>
          <w:p>
            <w:pPr>
              <w:ind w:left="60"/>
              <w:spacing w:after="0"/>
              <w:rPr>
                <w:sz w:val="20"/>
                <w:szCs w:val="20"/>
                <w:color w:val="auto"/>
              </w:rPr>
            </w:pPr>
            <w:r>
              <w:rPr>
                <w:rFonts w:ascii="Arial" w:cs="Arial" w:eastAsia="Arial" w:hAnsi="Arial"/>
                <w:sz w:val="15"/>
                <w:szCs w:val="15"/>
                <w:b w:val="1"/>
                <w:bCs w:val="1"/>
                <w:color w:val="auto"/>
              </w:rPr>
              <w:t>2. Date Exercisable and</w:t>
            </w:r>
          </w:p>
        </w:tc>
        <w:tc>
          <w:tcPr>
            <w:tcW w:w="2620" w:type="dxa"/>
            <w:vAlign w:val="bottom"/>
            <w:gridSpan w:val="3"/>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40" w:type="dxa"/>
            <w:vAlign w:val="bottom"/>
          </w:tcPr>
          <w:p>
            <w:pPr>
              <w:ind w:left="2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6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Expiration Date</w:t>
            </w:r>
          </w:p>
        </w:tc>
        <w:tc>
          <w:tcPr>
            <w:tcW w:w="2620" w:type="dxa"/>
            <w:vAlign w:val="bottom"/>
            <w:gridSpan w:val="3"/>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(Month/Day/Year)</w:t>
            </w:r>
          </w:p>
        </w:tc>
        <w:tc>
          <w:tcPr>
            <w:tcW w:w="17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8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32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40" w:type="dxa"/>
            <w:vAlign w:val="bottom"/>
          </w:tcPr>
          <w:p>
            <w:pPr>
              <w:spacing w:after="0"/>
              <w:rPr>
                <w:sz w:val="7"/>
                <w:szCs w:val="7"/>
                <w:color w:val="auto"/>
              </w:rPr>
            </w:pPr>
          </w:p>
        </w:tc>
        <w:tc>
          <w:tcPr>
            <w:tcW w:w="940" w:type="dxa"/>
            <w:vAlign w:val="bottom"/>
            <w:vMerge w:val="restart"/>
          </w:tcPr>
          <w:p>
            <w:pPr>
              <w:ind w:left="2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98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40" w:type="dxa"/>
            <w:vAlign w:val="bottom"/>
          </w:tcPr>
          <w:p>
            <w:pPr>
              <w:spacing w:after="0"/>
              <w:rPr>
                <w:sz w:val="4"/>
                <w:szCs w:val="4"/>
                <w:color w:val="auto"/>
              </w:rPr>
            </w:pPr>
          </w:p>
        </w:tc>
        <w:tc>
          <w:tcPr>
            <w:tcW w:w="880" w:type="dxa"/>
            <w:vAlign w:val="bottom"/>
            <w:gridSpan w:val="2"/>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4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880" w:type="dxa"/>
            <w:vAlign w:val="bottom"/>
            <w:gridSpan w:val="2"/>
            <w:vMerge w:val="continue"/>
          </w:tcPr>
          <w:p>
            <w:pPr>
              <w:spacing w:after="0"/>
              <w:rPr>
                <w:sz w:val="13"/>
                <w:szCs w:val="13"/>
                <w:color w:val="auto"/>
              </w:rPr>
            </w:pPr>
          </w:p>
        </w:tc>
        <w:tc>
          <w:tcPr>
            <w:tcW w:w="940" w:type="dxa"/>
            <w:vAlign w:val="bottom"/>
          </w:tcPr>
          <w:p>
            <w:pPr>
              <w:ind w:left="2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40" w:type="dxa"/>
            <w:vAlign w:val="bottom"/>
          </w:tcPr>
          <w:p>
            <w:pPr>
              <w:ind w:left="2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80" w:type="dxa"/>
            <w:vAlign w:val="bottom"/>
            <w:gridSpan w:val="2"/>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740" w:type="dxa"/>
            <w:vAlign w:val="bottom"/>
          </w:tcPr>
          <w:p>
            <w:pPr>
              <w:spacing w:after="0"/>
              <w:rPr>
                <w:sz w:val="14"/>
                <w:szCs w:val="14"/>
                <w:color w:val="auto"/>
              </w:rPr>
            </w:pPr>
          </w:p>
        </w:tc>
        <w:tc>
          <w:tcPr>
            <w:tcW w:w="880" w:type="dxa"/>
            <w:vAlign w:val="bottom"/>
            <w:gridSpan w:val="2"/>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4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880" w:type="dxa"/>
            <w:vAlign w:val="bottom"/>
            <w:gridSpan w:val="2"/>
          </w:tcPr>
          <w:p>
            <w:pPr>
              <w:ind w:left="180"/>
              <w:spacing w:after="0"/>
              <w:rPr>
                <w:sz w:val="20"/>
                <w:szCs w:val="20"/>
                <w:color w:val="auto"/>
              </w:rPr>
            </w:pPr>
            <w:r>
              <w:rPr>
                <w:rFonts w:ascii="Arial" w:cs="Arial" w:eastAsia="Arial" w:hAnsi="Arial"/>
                <w:sz w:val="15"/>
                <w:szCs w:val="15"/>
                <w:b w:val="1"/>
                <w:bCs w:val="1"/>
                <w:color w:val="auto"/>
              </w:rPr>
              <w:t>Shares</w:t>
            </w:r>
          </w:p>
        </w:tc>
        <w:tc>
          <w:tcPr>
            <w:tcW w:w="9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1300" w:type="dxa"/>
            <w:vAlign w:val="bottom"/>
            <w:gridSpan w:val="2"/>
          </w:tcPr>
          <w:p>
            <w:pPr>
              <w:jc w:val="right"/>
              <w:ind w:right="341"/>
              <w:spacing w:after="0"/>
              <w:rPr>
                <w:sz w:val="20"/>
                <w:szCs w:val="20"/>
                <w:color w:val="auto"/>
              </w:rPr>
            </w:pPr>
            <w:r>
              <w:rPr>
                <w:rFonts w:ascii="Arial" w:cs="Arial" w:eastAsia="Arial" w:hAnsi="Arial"/>
                <w:sz w:val="13"/>
                <w:szCs w:val="13"/>
                <w:color w:val="008000"/>
              </w:rPr>
              <w:t>(3)</w:t>
            </w:r>
          </w:p>
        </w:tc>
        <w:tc>
          <w:tcPr>
            <w:tcW w:w="880" w:type="dxa"/>
            <w:vAlign w:val="bottom"/>
          </w:tcPr>
          <w:p>
            <w:pPr>
              <w:jc w:val="right"/>
              <w:ind w:right="289"/>
              <w:spacing w:after="0"/>
              <w:rPr>
                <w:sz w:val="20"/>
                <w:szCs w:val="20"/>
                <w:color w:val="auto"/>
              </w:rPr>
            </w:pPr>
            <w:r>
              <w:rPr>
                <w:rFonts w:ascii="Arial" w:cs="Arial" w:eastAsia="Arial" w:hAnsi="Arial"/>
                <w:sz w:val="13"/>
                <w:szCs w:val="13"/>
                <w:color w:val="008000"/>
              </w:rPr>
              <w:t>(3)</w:t>
            </w:r>
          </w:p>
        </w:tc>
        <w:tc>
          <w:tcPr>
            <w:tcW w:w="174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ind w:left="260"/>
              <w:spacing w:after="0"/>
              <w:rPr>
                <w:sz w:val="20"/>
                <w:szCs w:val="20"/>
                <w:color w:val="auto"/>
              </w:rPr>
            </w:pPr>
            <w:r>
              <w:rPr>
                <w:rFonts w:ascii="Arial" w:cs="Arial" w:eastAsia="Arial" w:hAnsi="Arial"/>
                <w:sz w:val="20"/>
                <w:szCs w:val="20"/>
                <w:color w:val="0000FF"/>
              </w:rPr>
              <w:t>6,651</w:t>
            </w:r>
          </w:p>
        </w:tc>
        <w:tc>
          <w:tcPr>
            <w:tcW w:w="40" w:type="dxa"/>
            <w:vAlign w:val="bottom"/>
          </w:tcPr>
          <w:p>
            <w:pPr>
              <w:spacing w:after="0"/>
              <w:rPr>
                <w:sz w:val="24"/>
                <w:szCs w:val="24"/>
                <w:color w:val="auto"/>
              </w:rPr>
            </w:pPr>
          </w:p>
        </w:tc>
        <w:tc>
          <w:tcPr>
            <w:tcW w:w="940" w:type="dxa"/>
            <w:vAlign w:val="bottom"/>
          </w:tcPr>
          <w:p>
            <w:pPr>
              <w:ind w:left="380"/>
              <w:spacing w:after="0"/>
              <w:rPr>
                <w:sz w:val="20"/>
                <w:szCs w:val="20"/>
                <w:color w:val="auto"/>
              </w:rPr>
            </w:pPr>
            <w:r>
              <w:rPr>
                <w:rFonts w:ascii="Arial" w:cs="Arial" w:eastAsia="Arial" w:hAnsi="Arial"/>
                <w:sz w:val="13"/>
                <w:szCs w:val="13"/>
                <w:color w:val="008000"/>
              </w:rPr>
              <w:t>(4)</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7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76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3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80" w:firstLine="5"/>
        <w:spacing w:after="0" w:line="235"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7" w:lineRule="exact"/>
        <w:rPr>
          <w:rFonts w:ascii="Arial" w:cs="Arial" w:eastAsia="Arial" w:hAnsi="Arial"/>
          <w:sz w:val="15"/>
          <w:szCs w:val="15"/>
          <w:color w:val="008000"/>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(Continued From Footnote 1) At the effective time of the Bermuda Merger, each common share of Marvell, par value $0.002 per share ("Marvell Share"), was automatically converted into the right to receive one share of MTI common stock, par value $0.002 per share ("MTI Stock").</w:t>
      </w:r>
    </w:p>
    <w:p>
      <w:pPr>
        <w:spacing w:after="0" w:line="26" w:lineRule="exact"/>
        <w:rPr>
          <w:rFonts w:ascii="Arial" w:cs="Arial" w:eastAsia="Arial" w:hAnsi="Arial"/>
          <w:sz w:val="15"/>
          <w:szCs w:val="15"/>
          <w:color w:val="008000"/>
        </w:rPr>
      </w:pPr>
    </w:p>
    <w:p>
      <w:pPr>
        <w:ind w:left="40" w:right="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Vests 100% of shares on the earlier of the next annual general meeting of Marvell or the one year anniversary of the restricted stock unit grant. The restricted stock unit grant was made on July 23, 2020.</w:t>
      </w:r>
    </w:p>
    <w:p>
      <w:pPr>
        <w:spacing w:after="0" w:line="26" w:lineRule="exact"/>
        <w:rPr>
          <w:rFonts w:ascii="Arial" w:cs="Arial" w:eastAsia="Arial" w:hAnsi="Arial"/>
          <w:sz w:val="15"/>
          <w:szCs w:val="15"/>
          <w:color w:val="008000"/>
        </w:rPr>
      </w:pPr>
    </w:p>
    <w:p>
      <w:pPr>
        <w:ind w:left="40" w:right="100" w:firstLine="5"/>
        <w:spacing w:after="0" w:line="267" w:lineRule="auto"/>
        <w:tabs>
          <w:tab w:leader="none" w:pos="19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Each restricted stock unit previously represented a contingent right to receive one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w:t>
      </w:r>
    </w:p>
    <w:p>
      <w:pPr>
        <w:spacing w:after="0" w:line="8"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pacing w:after="0" w:line="58" w:lineRule="exact"/>
        <w:rPr>
          <w:sz w:val="24"/>
          <w:szCs w:val="24"/>
          <w:color w:val="auto"/>
        </w:rPr>
      </w:pPr>
    </w:p>
    <w:tbl>
      <w:tblPr>
        <w:tblLayout w:type="fixed"/>
        <w:tblInd w:w="4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2180" w:type="dxa"/>
            <w:vAlign w:val="bottom"/>
            <w:gridSpan w:val="4"/>
          </w:tcPr>
          <w:p>
            <w:pPr>
              <w:spacing w:after="0"/>
              <w:rPr>
                <w:sz w:val="20"/>
                <w:szCs w:val="20"/>
                <w:color w:val="auto"/>
              </w:rPr>
            </w:pPr>
            <w:r>
              <w:rPr>
                <w:rFonts w:ascii="Arial" w:cs="Arial" w:eastAsia="Arial" w:hAnsi="Arial"/>
                <w:sz w:val="20"/>
                <w:szCs w:val="20"/>
                <w:color w:val="0000FF"/>
                <w:w w:val="95"/>
              </w:rPr>
              <w:t>/s/ Brad W. Buss, by Blair</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1820" w:type="dxa"/>
            <w:vAlign w:val="bottom"/>
            <w:tcBorders>
              <w:top w:val="single" w:sz="8" w:color="auto"/>
              <w:bottom w:val="single" w:sz="8" w:color="auto"/>
            </w:tcBorders>
            <w:gridSpan w:val="2"/>
          </w:tcPr>
          <w:p>
            <w:pPr>
              <w:spacing w:after="0" w:line="220" w:lineRule="exact"/>
              <w:rPr>
                <w:sz w:val="20"/>
                <w:szCs w:val="20"/>
                <w:color w:val="auto"/>
              </w:rPr>
            </w:pPr>
            <w:r>
              <w:rPr>
                <w:rFonts w:ascii="Arial" w:cs="Arial" w:eastAsia="Arial" w:hAnsi="Arial"/>
                <w:sz w:val="20"/>
                <w:szCs w:val="20"/>
                <w:color w:val="0000FF"/>
                <w:w w:val="88"/>
              </w:rPr>
              <w:t>Walters as Attorney-in-</w:t>
            </w:r>
          </w:p>
        </w:tc>
        <w:tc>
          <w:tcPr>
            <w:tcW w:w="20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900" w:type="dxa"/>
            <w:vAlign w:val="bottom"/>
            <w:tcBorders>
              <w:bottom w:val="single" w:sz="8" w:color="auto"/>
            </w:tcBorders>
          </w:tcPr>
          <w:p>
            <w:pPr>
              <w:spacing w:after="0" w:line="220" w:lineRule="exact"/>
              <w:rPr>
                <w:sz w:val="20"/>
                <w:szCs w:val="20"/>
                <w:color w:val="auto"/>
              </w:rPr>
            </w:pPr>
            <w:r>
              <w:rPr>
                <w:rFonts w:ascii="Arial" w:cs="Arial" w:eastAsia="Arial" w:hAnsi="Arial"/>
                <w:sz w:val="20"/>
                <w:szCs w:val="20"/>
                <w:color w:val="0000FF"/>
                <w:w w:val="87"/>
              </w:rPr>
              <w:t>04/21/2021</w:t>
            </w:r>
          </w:p>
        </w:tc>
        <w:tc>
          <w:tcPr>
            <w:tcW w:w="0" w:type="dxa"/>
            <w:vAlign w:val="bottom"/>
          </w:tcPr>
          <w:p>
            <w:pPr>
              <w:spacing w:after="0"/>
              <w:rPr>
                <w:sz w:val="1"/>
                <w:szCs w:val="1"/>
                <w:color w:val="auto"/>
              </w:rPr>
            </w:pPr>
          </w:p>
        </w:tc>
      </w:tr>
      <w:tr>
        <w:trPr>
          <w:trHeight w:val="220"/>
        </w:trPr>
        <w:tc>
          <w:tcPr>
            <w:tcW w:w="6540" w:type="dxa"/>
            <w:vAlign w:val="bottom"/>
          </w:tcPr>
          <w:p>
            <w:pPr>
              <w:spacing w:after="0"/>
              <w:rPr>
                <w:sz w:val="19"/>
                <w:szCs w:val="19"/>
                <w:color w:val="auto"/>
              </w:rPr>
            </w:pPr>
          </w:p>
        </w:tc>
        <w:tc>
          <w:tcPr>
            <w:tcW w:w="2180" w:type="dxa"/>
            <w:vAlign w:val="bottom"/>
            <w:gridSpan w:val="4"/>
          </w:tcPr>
          <w:p>
            <w:pPr>
              <w:spacing w:after="0" w:line="220" w:lineRule="exact"/>
              <w:rPr>
                <w:sz w:val="20"/>
                <w:szCs w:val="20"/>
                <w:color w:val="auto"/>
              </w:rPr>
            </w:pPr>
            <w:r>
              <w:rPr>
                <w:rFonts w:ascii="Arial" w:cs="Arial" w:eastAsia="Arial" w:hAnsi="Arial"/>
                <w:sz w:val="20"/>
                <w:szCs w:val="20"/>
                <w:color w:val="0000FF"/>
              </w:rPr>
              <w:t>Fact</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860" w:type="dxa"/>
            <w:vAlign w:val="bottom"/>
            <w:gridSpan w:val="3"/>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6540" w:type="dxa"/>
            <w:vAlign w:val="bottom"/>
          </w:tcPr>
          <w:p>
            <w:pPr>
              <w:spacing w:after="0"/>
              <w:rPr>
                <w:sz w:val="21"/>
                <w:szCs w:val="21"/>
                <w:color w:val="auto"/>
              </w:rPr>
            </w:pPr>
          </w:p>
        </w:tc>
        <w:tc>
          <w:tcPr>
            <w:tcW w:w="2180" w:type="dxa"/>
            <w:vAlign w:val="bottom"/>
            <w:gridSpan w:val="4"/>
          </w:tcPr>
          <w:p>
            <w:pPr>
              <w:spacing w:after="0"/>
              <w:rPr>
                <w:sz w:val="20"/>
                <w:szCs w:val="20"/>
                <w:color w:val="auto"/>
              </w:rPr>
            </w:pPr>
            <w:r>
              <w:rPr>
                <w:rFonts w:ascii="Arial" w:cs="Arial" w:eastAsia="Arial" w:hAnsi="Arial"/>
                <w:sz w:val="15"/>
                <w:szCs w:val="15"/>
                <w:color w:val="auto"/>
              </w:rPr>
              <w:t>** Signature of Reporting</w:t>
            </w:r>
          </w:p>
        </w:tc>
        <w:tc>
          <w:tcPr>
            <w:tcW w:w="900" w:type="dxa"/>
            <w:vAlign w:val="bottom"/>
            <w:vMerge w:val="restart"/>
          </w:tcPr>
          <w:p>
            <w:pPr>
              <w:spacing w:after="0"/>
              <w:rPr>
                <w:sz w:val="20"/>
                <w:szCs w:val="20"/>
                <w:color w:val="auto"/>
              </w:rPr>
            </w:pPr>
            <w:r>
              <w:rPr>
                <w:rFonts w:ascii="Arial" w:cs="Arial" w:eastAsia="Arial" w:hAnsi="Arial"/>
                <w:sz w:val="15"/>
                <w:szCs w:val="15"/>
                <w:color w:val="auto"/>
              </w:rPr>
              <w:t>Date</w:t>
            </w: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4"/>
            <w:vMerge w:val="restart"/>
          </w:tcPr>
          <w:p>
            <w:pPr>
              <w:spacing w:after="0"/>
              <w:rPr>
                <w:sz w:val="20"/>
                <w:szCs w:val="20"/>
                <w:color w:val="auto"/>
              </w:rPr>
            </w:pPr>
            <w:r>
              <w:rPr>
                <w:rFonts w:ascii="Arial" w:cs="Arial" w:eastAsia="Arial" w:hAnsi="Arial"/>
                <w:sz w:val="15"/>
                <w:szCs w:val="15"/>
                <w:color w:val="auto"/>
              </w:rPr>
              <w:t>Person</w:t>
            </w:r>
          </w:p>
        </w:tc>
        <w:tc>
          <w:tcPr>
            <w:tcW w:w="9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4"/>
            <w:vMerge w:val="continue"/>
          </w:tcPr>
          <w:p>
            <w:pPr>
              <w:spacing w:after="0"/>
              <w:rPr>
                <w:sz w:val="7"/>
                <w:szCs w:val="7"/>
                <w:color w:val="auto"/>
              </w:rPr>
            </w:pP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720" w:type="dxa"/>
            <w:vAlign w:val="bottom"/>
            <w:gridSpan w:val="5"/>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720" w:type="dxa"/>
            <w:vAlign w:val="bottom"/>
            <w:gridSpan w:val="5"/>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436" w:gutter="0" w:footer="0" w:header="0"/>
          <w:type w:val="continuous"/>
        </w:sectPr>
      </w:pPr>
    </w:p>
    <w:bookmarkStart w:id="1" w:name="page2"/>
    <w:bookmarkEnd w:id="1"/>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2" w:name="page3"/>
    <w:bookmarkEnd w:id="2"/>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Brad Buss</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Brad Buss</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sec.gov/cgi-bin/browse-edgar?action=getcompany&amp;CIK=0001336664"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2021-04-21T19:11:18Z</dcterms:created>
  <dcterms:modified xsi:type="dcterms:W3CDTF">2021-04-21T19:11:18Z</dcterms:modified>
</cp:coreProperties>
</file>