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Meintjes Willem A</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840" w:type="dxa"/>
            <w:vAlign w:val="bottom"/>
            <w:tcBorders>
              <w:top w:val="single" w:sz="8" w:color="0000EE"/>
              <w:bottom w:val="single" w:sz="8" w:color="9A9A9A"/>
            </w:tcBorders>
          </w:tcPr>
          <w:p>
            <w:pPr>
              <w:spacing w:after="0"/>
              <w:rPr>
                <w:sz w:val="17"/>
                <w:szCs w:val="17"/>
                <w:color w:val="auto"/>
              </w:rPr>
            </w:pPr>
          </w:p>
        </w:tc>
        <w:tc>
          <w:tcPr>
            <w:tcW w:w="94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343"/>
        <w:spacing w:after="0"/>
        <w:rPr>
          <w:sz w:val="20"/>
          <w:szCs w:val="20"/>
          <w:color w:val="auto"/>
        </w:rPr>
      </w:pPr>
      <w:r>
        <w:rPr>
          <w:rFonts w:ascii="Arial" w:cs="Arial" w:eastAsia="Arial" w:hAnsi="Arial"/>
          <w:sz w:val="18"/>
          <w:szCs w:val="18"/>
          <w:color w:val="0000FF"/>
        </w:rPr>
        <w:t>SVP, Chief Accounting Officer</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tcPr>
          <w:p>
            <w:pPr>
              <w:ind w:left="460"/>
              <w:spacing w:after="0"/>
              <w:rPr>
                <w:sz w:val="20"/>
                <w:szCs w:val="20"/>
                <w:color w:val="auto"/>
              </w:rPr>
            </w:pPr>
            <w:r>
              <w:rPr>
                <w:rFonts w:ascii="Arial" w:cs="Arial" w:eastAsia="Arial" w:hAnsi="Arial"/>
                <w:sz w:val="20"/>
                <w:szCs w:val="20"/>
                <w:color w:val="0000FF"/>
              </w:rPr>
              <w:t>43,564</w:t>
            </w:r>
            <w:r>
              <w:rPr>
                <w:rFonts w:ascii="Arial" w:cs="Arial" w:eastAsia="Arial" w:hAnsi="Arial"/>
                <w:sz w:val="25"/>
                <w:szCs w:val="25"/>
                <w:color w:val="008000"/>
                <w:vertAlign w:val="superscript"/>
              </w:rPr>
              <w:t>(1)(2)</w:t>
            </w:r>
          </w:p>
        </w:tc>
        <w:tc>
          <w:tcPr>
            <w:tcW w:w="90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4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2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2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5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2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10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2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20" w:type="dxa"/>
            <w:vAlign w:val="bottom"/>
          </w:tcPr>
          <w:p>
            <w:pPr>
              <w:spacing w:after="0"/>
              <w:rPr>
                <w:sz w:val="4"/>
                <w:szCs w:val="4"/>
                <w:color w:val="auto"/>
              </w:rPr>
            </w:pPr>
          </w:p>
        </w:tc>
        <w:tc>
          <w:tcPr>
            <w:tcW w:w="900" w:type="dxa"/>
            <w:vAlign w:val="bottom"/>
            <w:gridSpan w:val="2"/>
            <w:vMerge w:val="restart"/>
          </w:tcPr>
          <w:p>
            <w:pPr>
              <w:ind w:left="20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2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90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2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900" w:type="dxa"/>
            <w:vAlign w:val="bottom"/>
            <w:gridSpan w:val="2"/>
          </w:tcPr>
          <w:p>
            <w:pPr>
              <w:ind w:left="20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2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900" w:type="dxa"/>
            <w:vAlign w:val="bottom"/>
            <w:gridSpan w:val="2"/>
          </w:tcPr>
          <w:p>
            <w:pPr>
              <w:ind w:left="20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w w:val="98"/>
              </w:rPr>
              <w:t>Expiration</w:t>
            </w:r>
          </w:p>
        </w:tc>
        <w:tc>
          <w:tcPr>
            <w:tcW w:w="1720" w:type="dxa"/>
            <w:vAlign w:val="bottom"/>
          </w:tcPr>
          <w:p>
            <w:pPr>
              <w:spacing w:after="0"/>
              <w:rPr>
                <w:sz w:val="14"/>
                <w:szCs w:val="14"/>
                <w:color w:val="auto"/>
              </w:rPr>
            </w:pPr>
          </w:p>
        </w:tc>
        <w:tc>
          <w:tcPr>
            <w:tcW w:w="900" w:type="dxa"/>
            <w:vAlign w:val="bottom"/>
            <w:gridSpan w:val="2"/>
          </w:tcPr>
          <w:p>
            <w:pPr>
              <w:ind w:left="20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2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900" w:type="dxa"/>
            <w:vAlign w:val="bottom"/>
            <w:gridSpan w:val="2"/>
          </w:tcPr>
          <w:p>
            <w:pPr>
              <w:ind w:left="20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ind w:left="420"/>
              <w:spacing w:after="0"/>
              <w:rPr>
                <w:sz w:val="20"/>
                <w:szCs w:val="20"/>
                <w:color w:val="auto"/>
              </w:rPr>
            </w:pPr>
            <w:r>
              <w:rPr>
                <w:rFonts w:ascii="Arial" w:cs="Arial" w:eastAsia="Arial" w:hAnsi="Arial"/>
                <w:sz w:val="13"/>
                <w:szCs w:val="13"/>
                <w:color w:val="008000"/>
              </w:rPr>
              <w:t>(3)</w:t>
            </w:r>
          </w:p>
        </w:tc>
        <w:tc>
          <w:tcPr>
            <w:tcW w:w="880" w:type="dxa"/>
            <w:vAlign w:val="bottom"/>
          </w:tcPr>
          <w:p>
            <w:pPr>
              <w:jc w:val="center"/>
              <w:spacing w:after="0"/>
              <w:rPr>
                <w:sz w:val="20"/>
                <w:szCs w:val="20"/>
                <w:color w:val="auto"/>
              </w:rPr>
            </w:pPr>
            <w:r>
              <w:rPr>
                <w:rFonts w:ascii="Arial" w:cs="Arial" w:eastAsia="Arial" w:hAnsi="Arial"/>
                <w:sz w:val="13"/>
                <w:szCs w:val="13"/>
                <w:color w:val="008000"/>
              </w:rPr>
              <w:t>(3)</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4"/>
              <w:spacing w:after="0"/>
              <w:rPr>
                <w:sz w:val="20"/>
                <w:szCs w:val="20"/>
                <w:color w:val="auto"/>
              </w:rPr>
            </w:pPr>
            <w:r>
              <w:rPr>
                <w:rFonts w:ascii="Arial" w:cs="Arial" w:eastAsia="Arial" w:hAnsi="Arial"/>
                <w:sz w:val="20"/>
                <w:szCs w:val="20"/>
                <w:color w:val="0000FF"/>
                <w:w w:val="87"/>
              </w:rPr>
              <w:t>4,534</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ind w:left="420"/>
              <w:spacing w:after="0"/>
              <w:rPr>
                <w:sz w:val="20"/>
                <w:szCs w:val="20"/>
                <w:color w:val="auto"/>
              </w:rPr>
            </w:pPr>
            <w:r>
              <w:rPr>
                <w:rFonts w:ascii="Arial" w:cs="Arial" w:eastAsia="Arial" w:hAnsi="Arial"/>
                <w:sz w:val="13"/>
                <w:szCs w:val="13"/>
                <w:color w:val="008000"/>
              </w:rPr>
              <w:t>(5)</w:t>
            </w:r>
          </w:p>
        </w:tc>
        <w:tc>
          <w:tcPr>
            <w:tcW w:w="880" w:type="dxa"/>
            <w:vAlign w:val="bottom"/>
          </w:tcPr>
          <w:p>
            <w:pPr>
              <w:jc w:val="center"/>
              <w:spacing w:after="0"/>
              <w:rPr>
                <w:sz w:val="20"/>
                <w:szCs w:val="20"/>
                <w:color w:val="auto"/>
              </w:rPr>
            </w:pPr>
            <w:r>
              <w:rPr>
                <w:rFonts w:ascii="Arial" w:cs="Arial" w:eastAsia="Arial" w:hAnsi="Arial"/>
                <w:sz w:val="13"/>
                <w:szCs w:val="13"/>
                <w:color w:val="008000"/>
              </w:rPr>
              <w:t>(5)</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4"/>
              <w:spacing w:after="0"/>
              <w:rPr>
                <w:sz w:val="20"/>
                <w:szCs w:val="20"/>
                <w:color w:val="auto"/>
              </w:rPr>
            </w:pPr>
            <w:r>
              <w:rPr>
                <w:rFonts w:ascii="Arial" w:cs="Arial" w:eastAsia="Arial" w:hAnsi="Arial"/>
                <w:sz w:val="20"/>
                <w:szCs w:val="20"/>
                <w:color w:val="0000FF"/>
                <w:w w:val="87"/>
              </w:rPr>
              <w:t>9,278</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20" w:type="dxa"/>
            <w:vAlign w:val="bottom"/>
          </w:tcPr>
          <w:p>
            <w:pPr>
              <w:spacing w:after="0"/>
              <w:rPr>
                <w:sz w:val="24"/>
                <w:szCs w:val="24"/>
                <w:color w:val="auto"/>
              </w:rPr>
            </w:pPr>
          </w:p>
        </w:tc>
        <w:tc>
          <w:tcPr>
            <w:tcW w:w="1000" w:type="dxa"/>
            <w:vAlign w:val="bottom"/>
          </w:tcPr>
          <w:p>
            <w:pPr>
              <w:ind w:left="420"/>
              <w:spacing w:after="0"/>
              <w:rPr>
                <w:sz w:val="20"/>
                <w:szCs w:val="20"/>
                <w:color w:val="auto"/>
              </w:rPr>
            </w:pPr>
            <w:r>
              <w:rPr>
                <w:rFonts w:ascii="Arial" w:cs="Arial" w:eastAsia="Arial" w:hAnsi="Arial"/>
                <w:sz w:val="13"/>
                <w:szCs w:val="13"/>
                <w:color w:val="008000"/>
              </w:rPr>
              <w:t>(6)</w:t>
            </w:r>
          </w:p>
        </w:tc>
        <w:tc>
          <w:tcPr>
            <w:tcW w:w="880" w:type="dxa"/>
            <w:vAlign w:val="bottom"/>
          </w:tcPr>
          <w:p>
            <w:pPr>
              <w:jc w:val="center"/>
              <w:spacing w:after="0"/>
              <w:rPr>
                <w:sz w:val="20"/>
                <w:szCs w:val="20"/>
                <w:color w:val="auto"/>
              </w:rPr>
            </w:pPr>
            <w:r>
              <w:rPr>
                <w:rFonts w:ascii="Arial" w:cs="Arial" w:eastAsia="Arial" w:hAnsi="Arial"/>
                <w:sz w:val="13"/>
                <w:szCs w:val="13"/>
                <w:color w:val="008000"/>
              </w:rPr>
              <w:t>(6)</w:t>
            </w:r>
          </w:p>
        </w:tc>
        <w:tc>
          <w:tcPr>
            <w:tcW w:w="172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jc w:val="center"/>
              <w:ind w:left="34"/>
              <w:spacing w:after="0"/>
              <w:rPr>
                <w:sz w:val="20"/>
                <w:szCs w:val="20"/>
                <w:color w:val="auto"/>
              </w:rPr>
            </w:pPr>
            <w:r>
              <w:rPr>
                <w:rFonts w:ascii="Arial" w:cs="Arial" w:eastAsia="Arial" w:hAnsi="Arial"/>
                <w:sz w:val="20"/>
                <w:szCs w:val="20"/>
                <w:color w:val="0000FF"/>
                <w:w w:val="87"/>
              </w:rPr>
              <w:t>6,458</w:t>
            </w:r>
          </w:p>
        </w:tc>
        <w:tc>
          <w:tcPr>
            <w:tcW w:w="6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92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80" w:type="dxa"/>
            <w:vAlign w:val="bottom"/>
            <w:tcBorders>
              <w:bottom w:val="single" w:sz="8" w:color="2C2C2C"/>
            </w:tcBorders>
            <w:gridSpan w:val="2"/>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2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8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1000" w:type="dxa"/>
            <w:vAlign w:val="bottom"/>
            <w:vMerge w:val="restart"/>
          </w:tcPr>
          <w:p>
            <w:pPr>
              <w:ind w:left="420"/>
              <w:spacing w:after="0"/>
              <w:rPr>
                <w:sz w:val="20"/>
                <w:szCs w:val="20"/>
                <w:color w:val="auto"/>
              </w:rPr>
            </w:pPr>
            <w:r>
              <w:rPr>
                <w:rFonts w:ascii="Arial" w:cs="Arial" w:eastAsia="Arial" w:hAnsi="Arial"/>
                <w:sz w:val="13"/>
                <w:szCs w:val="13"/>
                <w:color w:val="008000"/>
              </w:rPr>
              <w:t>(7)</w:t>
            </w:r>
          </w:p>
        </w:tc>
        <w:tc>
          <w:tcPr>
            <w:tcW w:w="880" w:type="dxa"/>
            <w:vAlign w:val="bottom"/>
            <w:vMerge w:val="restart"/>
          </w:tcPr>
          <w:p>
            <w:pPr>
              <w:jc w:val="center"/>
              <w:spacing w:after="0"/>
              <w:rPr>
                <w:sz w:val="20"/>
                <w:szCs w:val="20"/>
                <w:color w:val="auto"/>
              </w:rPr>
            </w:pPr>
            <w:r>
              <w:rPr>
                <w:rFonts w:ascii="Arial" w:cs="Arial" w:eastAsia="Arial" w:hAnsi="Arial"/>
                <w:sz w:val="13"/>
                <w:szCs w:val="13"/>
                <w:color w:val="008000"/>
              </w:rPr>
              <w:t>(7)</w:t>
            </w:r>
          </w:p>
        </w:tc>
        <w:tc>
          <w:tcPr>
            <w:tcW w:w="1720" w:type="dxa"/>
            <w:vAlign w:val="bottom"/>
            <w:vMerge w:val="restart"/>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vMerge w:val="restart"/>
          </w:tcPr>
          <w:p>
            <w:pPr>
              <w:jc w:val="center"/>
              <w:ind w:left="54"/>
              <w:spacing w:after="0"/>
              <w:rPr>
                <w:sz w:val="20"/>
                <w:szCs w:val="20"/>
                <w:color w:val="auto"/>
              </w:rPr>
            </w:pPr>
            <w:r>
              <w:rPr>
                <w:rFonts w:ascii="Arial" w:cs="Arial" w:eastAsia="Arial" w:hAnsi="Arial"/>
                <w:sz w:val="20"/>
                <w:szCs w:val="20"/>
                <w:color w:val="0000FF"/>
                <w:w w:val="88"/>
              </w:rPr>
              <w:t>79,928</w:t>
            </w:r>
          </w:p>
        </w:tc>
        <w:tc>
          <w:tcPr>
            <w:tcW w:w="6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87"/>
              </w:rPr>
              <w:t>(4)(7)</w:t>
            </w:r>
          </w:p>
        </w:tc>
        <w:tc>
          <w:tcPr>
            <w:tcW w:w="92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2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1720" w:type="dxa"/>
            <w:vAlign w:val="bottom"/>
            <w:vMerge w:val="continue"/>
          </w:tcPr>
          <w:p>
            <w:pPr>
              <w:spacing w:after="0"/>
              <w:rPr>
                <w:sz w:val="11"/>
                <w:szCs w:val="11"/>
                <w:color w:val="auto"/>
              </w:rPr>
            </w:pPr>
          </w:p>
        </w:tc>
        <w:tc>
          <w:tcPr>
            <w:tcW w:w="8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20" w:type="dxa"/>
            <w:vAlign w:val="bottom"/>
            <w:vMerge w:val="continue"/>
          </w:tcPr>
          <w:p>
            <w:pPr>
              <w:spacing w:after="0"/>
              <w:rPr>
                <w:sz w:val="11"/>
                <w:szCs w:val="11"/>
                <w:color w:val="auto"/>
              </w:rPr>
            </w:pPr>
          </w:p>
        </w:tc>
        <w:tc>
          <w:tcPr>
            <w:tcW w:w="14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2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14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84" w:lineRule="exact"/>
        <w:rPr>
          <w:sz w:val="24"/>
          <w:szCs w:val="24"/>
          <w:color w:val="auto"/>
        </w:rPr>
      </w:pPr>
    </w:p>
    <w:p>
      <w:pPr>
        <w:ind w:left="6580"/>
        <w:spacing w:after="0"/>
        <w:rPr>
          <w:sz w:val="20"/>
          <w:szCs w:val="20"/>
          <w:color w:val="auto"/>
        </w:rPr>
      </w:pPr>
      <w:r>
        <w:rPr>
          <w:rFonts w:ascii="Arial" w:cs="Arial" w:eastAsia="Arial" w:hAnsi="Arial"/>
          <w:sz w:val="18"/>
          <w:szCs w:val="18"/>
          <w:color w:val="0000FF"/>
        </w:rPr>
        <w:t>/s/ Willem A. Meintjes, by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-635</wp:posOffset>
            </wp:positionV>
            <wp:extent cx="195580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spacing w:after="0" w:line="21"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Blair Walters as Attorney-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30048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300480" cy="9525"/>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920" w:type="dxa"/>
            <w:vAlign w:val="bottom"/>
            <w:gridSpan w:val="2"/>
          </w:tcPr>
          <w:p>
            <w:pPr>
              <w:spacing w:after="0"/>
              <w:rPr>
                <w:sz w:val="20"/>
                <w:szCs w:val="20"/>
                <w:color w:val="auto"/>
              </w:rPr>
            </w:pPr>
            <w:r>
              <w:rPr>
                <w:rFonts w:ascii="Arial" w:cs="Arial" w:eastAsia="Arial" w:hAnsi="Arial"/>
                <w:sz w:val="20"/>
                <w:szCs w:val="20"/>
                <w:color w:val="0000FF"/>
              </w:rPr>
              <w:t>in-Fact</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92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 - 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15,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Willem A. Meintjes</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Willem A. Meintjes</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0" Type="http://schemas.openxmlformats.org/officeDocument/2006/relationships/hyperlink" Target="http://www.sec.gov/cgi-bin/browse-edgar?action=getcompany&amp;CIK=0001635800"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2021-04-21T19:23:01Z</dcterms:created>
  <dcterms:modified xsi:type="dcterms:W3CDTF">2021-04-21T19:23:01Z</dcterms:modified>
</cp:coreProperties>
</file>