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2476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24764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jc w:val="cente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jc w:val="center"/>
              <w:ind w:right="100"/>
              <w:spacing w:after="0" w:line="256" w:lineRule="exact"/>
              <w:rPr>
                <w:rFonts w:ascii="Arial" w:cs="Arial" w:eastAsia="Arial" w:hAnsi="Arial"/>
                <w:sz w:val="24"/>
                <w:szCs w:val="24"/>
                <w:color w:val="0000EE"/>
                <w:w w:val="98"/>
              </w:rPr>
            </w:pPr>
            <w:hyperlink r:id="rId10">
              <w:r>
                <w:rPr>
                  <w:rFonts w:ascii="Arial" w:cs="Arial" w:eastAsia="Arial" w:hAnsi="Arial"/>
                  <w:sz w:val="24"/>
                  <w:szCs w:val="24"/>
                  <w:color w:val="0000EE"/>
                  <w:w w:val="98"/>
                </w:rPr>
                <w:t>STRACHAN MICHAEL G</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680" w:type="dxa"/>
            <w:vAlign w:val="bottom"/>
            <w:tcBorders>
              <w:top w:val="single" w:sz="8" w:color="0000EE"/>
              <w:bottom w:val="single" w:sz="8" w:color="9A9A9A"/>
            </w:tcBorders>
          </w:tcPr>
          <w:p>
            <w:pPr>
              <w:spacing w:after="0"/>
              <w:rPr>
                <w:sz w:val="17"/>
                <w:szCs w:val="17"/>
                <w:color w:val="auto"/>
              </w:rPr>
            </w:pPr>
          </w:p>
        </w:tc>
        <w:tc>
          <w:tcPr>
            <w:tcW w:w="1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29" w:lineRule="exact"/>
        <w:rPr>
          <w:sz w:val="24"/>
          <w:szCs w:val="24"/>
          <w:color w:val="auto"/>
        </w:rPr>
      </w:pP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7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c>
          <w:tcPr>
            <w:tcW w:w="20" w:type="dxa"/>
            <w:vAlign w:val="bottom"/>
          </w:tcPr>
          <w:p>
            <w:pPr>
              <w:spacing w:after="0"/>
              <w:rPr>
                <w:sz w:val="14"/>
                <w:szCs w:val="14"/>
                <w:color w:val="auto"/>
              </w:rPr>
            </w:pP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c>
          <w:tcPr>
            <w:tcW w:w="20" w:type="dxa"/>
            <w:vAlign w:val="bottom"/>
          </w:tcPr>
          <w:p>
            <w:pPr>
              <w:spacing w:after="0"/>
              <w:rPr>
                <w:sz w:val="14"/>
                <w:szCs w:val="14"/>
                <w:color w:val="auto"/>
              </w:rPr>
            </w:pP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56"/>
        </w:trPr>
        <w:tc>
          <w:tcPr>
            <w:tcW w:w="20" w:type="dxa"/>
            <w:vAlign w:val="bottom"/>
          </w:tcPr>
          <w:p>
            <w:pPr>
              <w:spacing w:after="0"/>
              <w:rPr>
                <w:sz w:val="4"/>
                <w:szCs w:val="4"/>
                <w:color w:val="auto"/>
              </w:rPr>
            </w:pPr>
          </w:p>
        </w:tc>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r>
      <w:tr>
        <w:trPr>
          <w:trHeight w:val="370"/>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rPr>
                <w:sz w:val="20"/>
                <w:szCs w:val="20"/>
                <w:color w:val="auto"/>
              </w:rPr>
            </w:pPr>
            <w:r>
              <w:rPr>
                <w:rFonts w:ascii="Arial" w:cs="Arial" w:eastAsia="Arial" w:hAnsi="Arial"/>
                <w:sz w:val="20"/>
                <w:szCs w:val="20"/>
                <w:color w:val="0000FF"/>
                <w:w w:val="82"/>
              </w:rPr>
              <w:t>27,957</w:t>
            </w:r>
            <w:r>
              <w:rPr>
                <w:rFonts w:ascii="Arial" w:cs="Arial" w:eastAsia="Arial" w:hAnsi="Arial"/>
                <w:sz w:val="25"/>
                <w:szCs w:val="25"/>
                <w:color w:val="008000"/>
                <w:w w:val="82"/>
                <w:vertAlign w:val="superscript"/>
              </w:rPr>
              <w:t>(1)(2)</w:t>
            </w:r>
          </w:p>
        </w:tc>
        <w:tc>
          <w:tcPr>
            <w:tcW w:w="1220" w:type="dxa"/>
            <w:vAlign w:val="bottom"/>
            <w:tcBorders>
              <w:bottom w:val="single" w:sz="8" w:color="2C2C2C"/>
            </w:tcBorders>
          </w:tcPr>
          <w:p>
            <w:pPr>
              <w:ind w:left="620"/>
              <w:spacing w:after="0"/>
              <w:rPr>
                <w:sz w:val="20"/>
                <w:szCs w:val="20"/>
                <w:color w:val="auto"/>
              </w:rPr>
            </w:pPr>
            <w:r>
              <w:rPr>
                <w:rFonts w:ascii="Arial" w:cs="Arial" w:eastAsia="Arial" w:hAnsi="Arial"/>
                <w:sz w:val="20"/>
                <w:szCs w:val="20"/>
                <w:color w:val="0000FF"/>
              </w:rPr>
              <w:t>I</w:t>
            </w:r>
          </w:p>
        </w:tc>
        <w:tc>
          <w:tcPr>
            <w:tcW w:w="2860" w:type="dxa"/>
            <w:vAlign w:val="bottom"/>
            <w:tcBorders>
              <w:bottom w:val="single" w:sz="8" w:color="2C2C2C"/>
            </w:tcBorders>
          </w:tcPr>
          <w:p>
            <w:pPr>
              <w:ind w:left="100"/>
              <w:spacing w:after="0"/>
              <w:rPr>
                <w:sz w:val="20"/>
                <w:szCs w:val="20"/>
                <w:color w:val="auto"/>
              </w:rPr>
            </w:pPr>
            <w:r>
              <w:rPr>
                <w:rFonts w:ascii="Arial" w:cs="Arial" w:eastAsia="Arial" w:hAnsi="Arial"/>
                <w:sz w:val="20"/>
                <w:szCs w:val="20"/>
                <w:color w:val="0000FF"/>
              </w:rPr>
              <w:t>By Trust</w:t>
            </w:r>
            <w:r>
              <w:rPr>
                <w:rFonts w:ascii="Arial" w:cs="Arial" w:eastAsia="Arial" w:hAnsi="Arial"/>
                <w:sz w:val="25"/>
                <w:szCs w:val="25"/>
                <w:color w:val="008000"/>
                <w:vertAlign w:val="superscript"/>
              </w:rPr>
              <w:t>(3)</w:t>
            </w:r>
          </w:p>
        </w:tc>
        <w:tc>
          <w:tcPr>
            <w:tcW w:w="20" w:type="dxa"/>
            <w:vAlign w:val="bottom"/>
          </w:tcPr>
          <w:p>
            <w:pPr>
              <w:spacing w:after="0"/>
              <w:rPr>
                <w:sz w:val="24"/>
                <w:szCs w:val="24"/>
                <w:color w:val="auto"/>
              </w:rPr>
            </w:pPr>
          </w:p>
        </w:tc>
      </w:tr>
      <w:tr>
        <w:trPr>
          <w:trHeight w:val="370"/>
        </w:trPr>
        <w:tc>
          <w:tcPr>
            <w:tcW w:w="20" w:type="dxa"/>
            <w:vAlign w:val="bottom"/>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rPr>
                <w:sz w:val="20"/>
                <w:szCs w:val="20"/>
                <w:color w:val="auto"/>
              </w:rPr>
            </w:pPr>
            <w:r>
              <w:rPr>
                <w:rFonts w:ascii="Arial" w:cs="Arial" w:eastAsia="Arial" w:hAnsi="Arial"/>
                <w:sz w:val="20"/>
                <w:szCs w:val="20"/>
                <w:color w:val="0000FF"/>
                <w:w w:val="82"/>
              </w:rPr>
              <w:t>12,860</w:t>
            </w:r>
            <w:r>
              <w:rPr>
                <w:rFonts w:ascii="Arial" w:cs="Arial" w:eastAsia="Arial" w:hAnsi="Arial"/>
                <w:sz w:val="25"/>
                <w:szCs w:val="25"/>
                <w:color w:val="008000"/>
                <w:w w:val="82"/>
                <w:vertAlign w:val="superscript"/>
              </w:rPr>
              <w:t>(1)(2)</w:t>
            </w:r>
          </w:p>
        </w:tc>
        <w:tc>
          <w:tcPr>
            <w:tcW w:w="1220" w:type="dxa"/>
            <w:vAlign w:val="bottom"/>
            <w:tcBorders>
              <w:bottom w:val="single" w:sz="8" w:color="2C2C2C"/>
            </w:tcBorders>
          </w:tcPr>
          <w:p>
            <w:pPr>
              <w:ind w:left="620"/>
              <w:spacing w:after="0"/>
              <w:rPr>
                <w:sz w:val="20"/>
                <w:szCs w:val="20"/>
                <w:color w:val="auto"/>
              </w:rPr>
            </w:pPr>
            <w:r>
              <w:rPr>
                <w:rFonts w:ascii="Arial" w:cs="Arial" w:eastAsia="Arial" w:hAnsi="Arial"/>
                <w:sz w:val="20"/>
                <w:szCs w:val="20"/>
                <w:color w:val="0000FF"/>
              </w:rPr>
              <w:t>I</w:t>
            </w:r>
          </w:p>
        </w:tc>
        <w:tc>
          <w:tcPr>
            <w:tcW w:w="2860" w:type="dxa"/>
            <w:vAlign w:val="bottom"/>
            <w:tcBorders>
              <w:bottom w:val="single" w:sz="8" w:color="2C2C2C"/>
            </w:tcBorders>
          </w:tcPr>
          <w:p>
            <w:pPr>
              <w:ind w:left="100"/>
              <w:spacing w:after="0"/>
              <w:rPr>
                <w:sz w:val="20"/>
                <w:szCs w:val="20"/>
                <w:color w:val="auto"/>
              </w:rPr>
            </w:pPr>
            <w:r>
              <w:rPr>
                <w:rFonts w:ascii="Arial" w:cs="Arial" w:eastAsia="Arial" w:hAnsi="Arial"/>
                <w:sz w:val="20"/>
                <w:szCs w:val="20"/>
                <w:color w:val="0000FF"/>
              </w:rPr>
              <w:t>By IRA</w:t>
            </w:r>
            <w:r>
              <w:rPr>
                <w:rFonts w:ascii="Arial" w:cs="Arial" w:eastAsia="Arial" w:hAnsi="Arial"/>
                <w:sz w:val="25"/>
                <w:szCs w:val="25"/>
                <w:color w:val="008000"/>
                <w:vertAlign w:val="superscript"/>
              </w:rPr>
              <w:t>(4)</w:t>
            </w:r>
          </w:p>
        </w:tc>
        <w:tc>
          <w:tcPr>
            <w:tcW w:w="20" w:type="dxa"/>
            <w:vAlign w:val="bottom"/>
          </w:tcPr>
          <w:p>
            <w:pPr>
              <w:spacing w:after="0"/>
              <w:rPr>
                <w:sz w:val="24"/>
                <w:szCs w:val="24"/>
                <w:color w:val="auto"/>
              </w:rPr>
            </w:pPr>
          </w:p>
        </w:tc>
      </w:tr>
      <w:tr>
        <w:trPr>
          <w:trHeight w:val="395"/>
        </w:trPr>
        <w:tc>
          <w:tcPr>
            <w:tcW w:w="20" w:type="dxa"/>
            <w:vAlign w:val="bottom"/>
            <w:tcBorders>
              <w:bottom w:val="single" w:sz="8" w:color="2C2C2C"/>
            </w:tcBorders>
          </w:tcPr>
          <w:p>
            <w:pPr>
              <w:spacing w:after="0"/>
              <w:rPr>
                <w:sz w:val="24"/>
                <w:szCs w:val="24"/>
                <w:color w:val="auto"/>
              </w:rPr>
            </w:pPr>
          </w:p>
        </w:tc>
        <w:tc>
          <w:tcPr>
            <w:tcW w:w="342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400" w:type="dxa"/>
            <w:vAlign w:val="bottom"/>
            <w:tcBorders>
              <w:bottom w:val="single" w:sz="8" w:color="2C2C2C"/>
            </w:tcBorders>
          </w:tcPr>
          <w:p>
            <w:pPr>
              <w:jc w:val="center"/>
              <w:ind w:left="1360"/>
              <w:spacing w:after="0" w:line="359" w:lineRule="exact"/>
              <w:rPr>
                <w:sz w:val="20"/>
                <w:szCs w:val="20"/>
                <w:color w:val="auto"/>
              </w:rPr>
            </w:pPr>
            <w:r>
              <w:rPr>
                <w:rFonts w:ascii="Arial" w:cs="Arial" w:eastAsia="Arial" w:hAnsi="Arial"/>
                <w:sz w:val="39"/>
                <w:szCs w:val="39"/>
                <w:color w:val="0000FF"/>
                <w:w w:val="74"/>
                <w:vertAlign w:val="subscript"/>
              </w:rPr>
              <w:t>7,830</w:t>
            </w:r>
            <w:r>
              <w:rPr>
                <w:rFonts w:ascii="Arial" w:cs="Arial" w:eastAsia="Arial" w:hAnsi="Arial"/>
                <w:sz w:val="13"/>
                <w:szCs w:val="13"/>
                <w:color w:val="008000"/>
                <w:w w:val="74"/>
              </w:rPr>
              <w:t>(1)(2)</w:t>
            </w:r>
          </w:p>
        </w:tc>
        <w:tc>
          <w:tcPr>
            <w:tcW w:w="1220" w:type="dxa"/>
            <w:vAlign w:val="bottom"/>
            <w:tcBorders>
              <w:bottom w:val="single" w:sz="8" w:color="2C2C2C"/>
            </w:tcBorders>
          </w:tcPr>
          <w:p>
            <w:pPr>
              <w:ind w:left="620"/>
              <w:spacing w:after="0"/>
              <w:rPr>
                <w:sz w:val="20"/>
                <w:szCs w:val="20"/>
                <w:color w:val="auto"/>
              </w:rPr>
            </w:pPr>
            <w:r>
              <w:rPr>
                <w:rFonts w:ascii="Arial" w:cs="Arial" w:eastAsia="Arial" w:hAnsi="Arial"/>
                <w:sz w:val="20"/>
                <w:szCs w:val="20"/>
                <w:color w:val="0000FF"/>
              </w:rPr>
              <w:t>I</w:t>
            </w:r>
          </w:p>
        </w:tc>
        <w:tc>
          <w:tcPr>
            <w:tcW w:w="2860" w:type="dxa"/>
            <w:vAlign w:val="bottom"/>
            <w:tcBorders>
              <w:bottom w:val="single" w:sz="8" w:color="2C2C2C"/>
            </w:tcBorders>
          </w:tcPr>
          <w:p>
            <w:pPr>
              <w:ind w:left="100"/>
              <w:spacing w:after="0"/>
              <w:rPr>
                <w:sz w:val="20"/>
                <w:szCs w:val="20"/>
                <w:color w:val="auto"/>
              </w:rPr>
            </w:pPr>
            <w:r>
              <w:rPr>
                <w:rFonts w:ascii="Arial" w:cs="Arial" w:eastAsia="Arial" w:hAnsi="Arial"/>
                <w:sz w:val="20"/>
                <w:szCs w:val="20"/>
                <w:color w:val="0000FF"/>
              </w:rPr>
              <w:t>By Spouse IRA</w:t>
            </w:r>
            <w:r>
              <w:rPr>
                <w:rFonts w:ascii="Arial" w:cs="Arial" w:eastAsia="Arial" w:hAnsi="Arial"/>
                <w:sz w:val="25"/>
                <w:szCs w:val="25"/>
                <w:color w:val="008000"/>
                <w:vertAlign w:val="superscript"/>
              </w:rPr>
              <w:t>(5)</w:t>
            </w:r>
          </w:p>
        </w:tc>
        <w:tc>
          <w:tcPr>
            <w:tcW w:w="20" w:type="dxa"/>
            <w:vAlign w:val="bottom"/>
            <w:tcBorders>
              <w:bottom w:val="single" w:sz="8" w:color="2C2C2C"/>
            </w:tcBorders>
          </w:tcPr>
          <w:p>
            <w:pPr>
              <w:spacing w:after="0"/>
              <w:rPr>
                <w:sz w:val="24"/>
                <w:szCs w:val="24"/>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080" w:type="dxa"/>
            <w:vAlign w:val="bottom"/>
          </w:tcPr>
          <w:p>
            <w:pPr>
              <w:ind w:left="80"/>
              <w:spacing w:after="0"/>
              <w:rPr>
                <w:sz w:val="20"/>
                <w:szCs w:val="20"/>
                <w:color w:val="auto"/>
              </w:rPr>
            </w:pPr>
            <w:r>
              <w:rPr>
                <w:rFonts w:ascii="Arial" w:cs="Arial" w:eastAsia="Arial" w:hAnsi="Arial"/>
                <w:sz w:val="15"/>
                <w:szCs w:val="15"/>
                <w:b w:val="1"/>
                <w:bCs w:val="1"/>
                <w:color w:val="auto"/>
              </w:rPr>
              <w:t>1. Title of Derivative Security (Instr. 4)</w:t>
            </w: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58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5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308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98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4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308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40" w:type="dxa"/>
            <w:vAlign w:val="bottom"/>
            <w:vMerge w:val="continue"/>
          </w:tcPr>
          <w:p>
            <w:pPr>
              <w:spacing w:after="0"/>
              <w:rPr>
                <w:sz w:val="13"/>
                <w:szCs w:val="13"/>
                <w:color w:val="auto"/>
              </w:rPr>
            </w:pPr>
          </w:p>
        </w:tc>
        <w:tc>
          <w:tcPr>
            <w:tcW w:w="980" w:type="dxa"/>
            <w:vAlign w:val="bottom"/>
          </w:tcPr>
          <w:p>
            <w:pPr>
              <w:ind w:left="6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4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308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(6)</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980" w:type="dxa"/>
            <w:vAlign w:val="bottom"/>
          </w:tcPr>
          <w:p>
            <w:pPr>
              <w:ind w:left="420"/>
              <w:spacing w:after="0"/>
              <w:rPr>
                <w:sz w:val="20"/>
                <w:szCs w:val="20"/>
                <w:color w:val="auto"/>
              </w:rPr>
            </w:pPr>
            <w:r>
              <w:rPr>
                <w:rFonts w:ascii="Arial" w:cs="Arial" w:eastAsia="Arial" w:hAnsi="Arial"/>
                <w:sz w:val="13"/>
                <w:szCs w:val="13"/>
                <w:color w:val="008000"/>
              </w:rPr>
              <w:t>(7)</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308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08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Shares held under the Strachan Revocable Trust DTD 1/26/01, a trust of which the Reporting Person is a trustee and beneficiary.</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Shares held under the MSSB C/F IRA Standard Michael G. Strachan.</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Shares held under the MSSB C/F IRA Standard Patricia K. Strachan.</w:t>
      </w:r>
    </w:p>
    <w:p>
      <w:pPr>
        <w:spacing w:after="0" w:line="52"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58"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2180" w:type="dxa"/>
            <w:vAlign w:val="bottom"/>
            <w:gridSpan w:val="4"/>
          </w:tcPr>
          <w:p>
            <w:pPr>
              <w:spacing w:after="0"/>
              <w:rPr>
                <w:sz w:val="20"/>
                <w:szCs w:val="20"/>
                <w:color w:val="auto"/>
              </w:rPr>
            </w:pPr>
            <w:r>
              <w:rPr>
                <w:rFonts w:ascii="Arial" w:cs="Arial" w:eastAsia="Arial" w:hAnsi="Arial"/>
                <w:sz w:val="20"/>
                <w:szCs w:val="20"/>
                <w:color w:val="0000FF"/>
              </w:rPr>
              <w:t>/s/ Michael G. Strachan,</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480" w:type="dxa"/>
            <w:vAlign w:val="bottom"/>
            <w:tcBorders>
              <w:top w:val="single" w:sz="8" w:color="auto"/>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7"/>
              </w:rPr>
              <w:t>by Blair Walters as</w:t>
            </w:r>
          </w:p>
        </w:tc>
        <w:tc>
          <w:tcPr>
            <w:tcW w:w="400" w:type="dxa"/>
            <w:vAlign w:val="bottom"/>
            <w:tcBorders>
              <w:top w:val="single" w:sz="8" w:color="auto"/>
            </w:tcBorders>
          </w:tcPr>
          <w:p>
            <w:pPr>
              <w:spacing w:after="0"/>
              <w:rPr>
                <w:sz w:val="19"/>
                <w:szCs w:val="19"/>
                <w:color w:val="auto"/>
              </w:rPr>
            </w:pPr>
          </w:p>
        </w:tc>
        <w:tc>
          <w:tcPr>
            <w:tcW w:w="300" w:type="dxa"/>
            <w:vAlign w:val="bottom"/>
          </w:tcPr>
          <w:p>
            <w:pPr>
              <w:spacing w:after="0"/>
              <w:rPr>
                <w:sz w:val="19"/>
                <w:szCs w:val="19"/>
                <w:color w:val="auto"/>
              </w:rPr>
            </w:pPr>
          </w:p>
        </w:tc>
        <w:tc>
          <w:tcPr>
            <w:tcW w:w="900" w:type="dxa"/>
            <w:vAlign w:val="bottom"/>
            <w:tcBorders>
              <w:bottom w:val="single" w:sz="8" w:color="auto"/>
            </w:tcBorders>
          </w:tcPr>
          <w:p>
            <w:pPr>
              <w:spacing w:after="0" w:line="220" w:lineRule="exact"/>
              <w:rPr>
                <w:sz w:val="20"/>
                <w:szCs w:val="20"/>
                <w:color w:val="auto"/>
              </w:rPr>
            </w:pPr>
            <w:r>
              <w:rPr>
                <w:rFonts w:ascii="Arial" w:cs="Arial" w:eastAsia="Arial" w:hAnsi="Arial"/>
                <w:sz w:val="20"/>
                <w:szCs w:val="20"/>
                <w:color w:val="0000FF"/>
                <w:w w:val="87"/>
              </w:rPr>
              <w:t>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2180" w:type="dxa"/>
            <w:vAlign w:val="bottom"/>
            <w:gridSpan w:val="4"/>
          </w:tcPr>
          <w:p>
            <w:pPr>
              <w:spacing w:after="0" w:line="220" w:lineRule="exact"/>
              <w:rPr>
                <w:sz w:val="20"/>
                <w:szCs w:val="20"/>
                <w:color w:val="auto"/>
              </w:rPr>
            </w:pPr>
            <w:r>
              <w:rPr>
                <w:rFonts w:ascii="Arial" w:cs="Arial" w:eastAsia="Arial" w:hAnsi="Arial"/>
                <w:sz w:val="20"/>
                <w:szCs w:val="20"/>
                <w:color w:val="0000FF"/>
              </w:rPr>
              <w:t>Attorney-in-Fact</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880" w:type="dxa"/>
            <w:vAlign w:val="bottom"/>
            <w:gridSpan w:val="3"/>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2180" w:type="dxa"/>
            <w:vAlign w:val="bottom"/>
            <w:gridSpan w:val="4"/>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ind w:left="40"/>
        <w:spacing w:after="0"/>
        <w:rPr>
          <w:sz w:val="20"/>
          <w:szCs w:val="20"/>
          <w:color w:val="auto"/>
        </w:rPr>
      </w:pPr>
      <w:r>
        <w:rPr>
          <w:rFonts w:ascii="Arial" w:cs="Arial" w:eastAsia="Arial" w:hAnsi="Arial"/>
          <w:sz w:val="15"/>
          <w:szCs w:val="15"/>
          <w:color w:val="auto"/>
        </w:rPr>
        <w:t xml:space="preserve">** Intentional misstatements or omissions of facts constitute Federal Criminal Violations </w:t>
      </w:r>
      <w:r>
        <w:rPr>
          <w:rFonts w:ascii="Arial" w:cs="Arial" w:eastAsia="Arial" w:hAnsi="Arial"/>
          <w:sz w:val="15"/>
          <w:szCs w:val="15"/>
          <w:i w:val="1"/>
          <w:iCs w:val="1"/>
          <w:color w:val="auto"/>
        </w:rPr>
        <w:t>See</w:t>
      </w:r>
      <w:r>
        <w:rPr>
          <w:rFonts w:ascii="Arial" w:cs="Arial" w:eastAsia="Arial" w:hAnsi="Arial"/>
          <w:sz w:val="15"/>
          <w:szCs w:val="15"/>
          <w:color w:val="auto"/>
        </w:rPr>
        <w:t xml:space="preserve"> 18 U.S.C. 1001 and 15 U.S.C. 78ff(a).</w:t>
      </w:r>
    </w:p>
    <w:p>
      <w:pPr>
        <w:sectPr>
          <w:pgSz w:w="11900" w:h="16838" w:orient="portrait"/>
          <w:cols w:equalWidth="0" w:num="1">
            <w:col w:w="10940"/>
          </w:cols>
          <w:pgMar w:left="480" w:top="236" w:right="479" w:bottom="0" w:gutter="0" w:footer="0" w:header="0"/>
          <w:type w:val="continuous"/>
        </w:sectPr>
      </w:pPr>
    </w:p>
    <w:bookmarkStart w:id="1" w:name="page2"/>
    <w:bookmarkEnd w:id="1"/>
    <w:p>
      <w:pPr>
        <w:spacing w:after="0"/>
        <w:rPr>
          <w:sz w:val="20"/>
          <w:szCs w:val="20"/>
          <w:color w:val="auto"/>
        </w:rPr>
      </w:pPr>
      <w:r>
        <w:rPr>
          <w:rFonts w:ascii="Arial" w:cs="Arial" w:eastAsia="Arial" w:hAnsi="Arial"/>
          <w:sz w:val="15"/>
          <w:szCs w:val="15"/>
          <w:color w:val="auto"/>
        </w:rPr>
        <w:t xml:space="preserve">Note: File three copies of this Form, one of which must be manually signed. If space is insufficient,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6 for procedure.</w:t>
      </w:r>
    </w:p>
    <w:p>
      <w:pPr>
        <w:spacing w:after="0" w:line="50" w:lineRule="exact"/>
        <w:rPr>
          <w:sz w:val="20"/>
          <w:szCs w:val="20"/>
          <w:color w:val="auto"/>
        </w:rPr>
      </w:pP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24"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Michael Strachan</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Michael Strachan</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1."/>
      <w:numFmt w:val="decimal"/>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455727"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2021-04-21T19:24:56Z</dcterms:created>
  <dcterms:modified xsi:type="dcterms:W3CDTF">2021-04-21T19:24:56Z</dcterms:modified>
</cp:coreProperties>
</file>