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(Date of earliest event reported): April 30,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4" w:space="720"/>
            <w:col w:w="288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4" w:space="720"/>
            <w:col w:w="2760" w:space="720"/>
            <w:col w:w="2340"/>
          </w:cols>
          <w:pgMar w:left="436" w:top="368" w:right="439" w:bottom="1440" w:gutter="0" w:footer="0" w:header="0"/>
          <w:type w:val="continuous"/>
        </w:sectPr>
      </w:pPr>
    </w:p>
    <w:p>
      <w:pPr>
        <w:spacing w:after="0" w:line="5"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(Address of principal executive offices, including zip code)</w:t>
      </w:r>
    </w:p>
    <w:p>
      <w:pPr>
        <w:spacing w:after="0" w:line="192" w:lineRule="exact"/>
        <w:rPr>
          <w:sz w:val="24"/>
          <w:szCs w:val="24"/>
          <w:color w:val="auto"/>
        </w:rPr>
      </w:pPr>
    </w:p>
    <w:p>
      <w:pPr>
        <w:jc w:val="center"/>
        <w:ind w:right="16"/>
        <w:spacing w:after="0"/>
        <w:rPr>
          <w:sz w:val="20"/>
          <w:szCs w:val="20"/>
          <w:color w:val="auto"/>
        </w:rPr>
      </w:pPr>
      <w:r>
        <w:rPr>
          <w:rFonts w:ascii="Arial" w:cs="Arial" w:eastAsia="Arial" w:hAnsi="Arial"/>
          <w:sz w:val="16"/>
          <w:szCs w:val="16"/>
          <w:b w:val="1"/>
          <w:bCs w:val="1"/>
          <w:color w:val="auto"/>
        </w:rPr>
        <w:t>Registrant’s telephone number, including area code: (302) 295-4840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263525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left="4"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8804"/>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ind w:right="300"/>
        <w:spacing w:after="0" w:line="301" w:lineRule="auto"/>
        <w:rPr>
          <w:sz w:val="20"/>
          <w:szCs w:val="20"/>
          <w:color w:val="auto"/>
        </w:rPr>
      </w:pPr>
      <w:r>
        <w:rPr>
          <w:rFonts w:ascii="Arial" w:cs="Arial" w:eastAsia="Arial" w:hAnsi="Arial"/>
          <w:sz w:val="16"/>
          <w:szCs w:val="16"/>
          <w:color w:val="auto"/>
        </w:rPr>
        <w:t>On May 4, 2021, Marvell Technology, Inc. (“MTI”) completed its previously announced private exchange offers to certain eligible holders (the “Exchange Offers”) for any and all outstanding 4.200% Senior Notes due 2023 and 4.875% Senior Notes due 2028 (together, the “Marvell Notes”) issued by Marvell Technology Group Ltd. (“Marvell”) for up to an aggregate principal amount of $1.0 billion of new 4.200% Senior Notes due 2023 (the “2023 Notes”) and 4.875% Senior Notes due 2028 (the “2028 Notes” and, together with the 2023 Notes, the “Notes”) issued by MTI.</w:t>
      </w:r>
    </w:p>
    <w:p>
      <w:pPr>
        <w:spacing w:after="0" w:line="157" w:lineRule="exact"/>
        <w:rPr>
          <w:sz w:val="20"/>
          <w:szCs w:val="20"/>
          <w:color w:val="auto"/>
        </w:rPr>
      </w:pPr>
    </w:p>
    <w:p>
      <w:pPr>
        <w:ind w:right="180"/>
        <w:spacing w:after="0" w:line="311" w:lineRule="auto"/>
        <w:rPr>
          <w:sz w:val="20"/>
          <w:szCs w:val="20"/>
          <w:color w:val="auto"/>
        </w:rPr>
      </w:pPr>
      <w:r>
        <w:rPr>
          <w:rFonts w:ascii="Arial" w:cs="Arial" w:eastAsia="Arial" w:hAnsi="Arial"/>
          <w:sz w:val="16"/>
          <w:szCs w:val="16"/>
          <w:color w:val="auto"/>
        </w:rPr>
        <w:t>Upon completion of the Exchange Offers, MTI issued $433,817,000 in aggregate principal amount of 2023 Notes and $479,394,000 in aggregate principal amount of 2028 Notes pursuant to a Second Supplemental Indenture, dated as of May 4, 2021 (the “Second Supplemental Indenture”), to the Indenture, dated as of April 12, 2021 (the “Base Indenture”), between MTI and U.S. Bank National Association, as trustee (the “Trustee”).</w:t>
      </w:r>
    </w:p>
    <w:p>
      <w:pPr>
        <w:spacing w:after="0" w:line="149" w:lineRule="exact"/>
        <w:rPr>
          <w:sz w:val="20"/>
          <w:szCs w:val="20"/>
          <w:color w:val="auto"/>
        </w:rPr>
      </w:pPr>
    </w:p>
    <w:p>
      <w:pPr>
        <w:jc w:val="both"/>
        <w:ind w:right="80"/>
        <w:spacing w:after="0" w:line="286" w:lineRule="auto"/>
        <w:rPr>
          <w:sz w:val="20"/>
          <w:szCs w:val="20"/>
          <w:color w:val="auto"/>
        </w:rPr>
      </w:pPr>
      <w:r>
        <w:rPr>
          <w:rFonts w:ascii="Arial" w:cs="Arial" w:eastAsia="Arial" w:hAnsi="Arial"/>
          <w:sz w:val="17"/>
          <w:szCs w:val="17"/>
          <w:color w:val="auto"/>
        </w:rPr>
        <w:t>The Notes will accrue interest from December 22, 2020. Interest on the Notes will be payable semi-annually in arrears on June 22 and December 22 of each year, beginning on June 22, 2021. The 2023 Notes will accrue interest at a rate of 4.200% per year and the 2028 Notes will accrue interest at a rate of 4.875% per year. The 2023 Notes will mature on June 22, 2023 and the 2028 Notes will mature on June 22, 2028.</w:t>
      </w:r>
    </w:p>
    <w:p>
      <w:pPr>
        <w:spacing w:after="0" w:line="165" w:lineRule="exact"/>
        <w:rPr>
          <w:sz w:val="20"/>
          <w:szCs w:val="20"/>
          <w:color w:val="auto"/>
        </w:rPr>
      </w:pPr>
    </w:p>
    <w:p>
      <w:pPr>
        <w:jc w:val="both"/>
        <w:ind w:right="60"/>
        <w:spacing w:after="0" w:line="272" w:lineRule="auto"/>
        <w:rPr>
          <w:sz w:val="20"/>
          <w:szCs w:val="20"/>
          <w:color w:val="auto"/>
        </w:rPr>
      </w:pPr>
      <w:r>
        <w:rPr>
          <w:rFonts w:ascii="Arial" w:cs="Arial" w:eastAsia="Arial" w:hAnsi="Arial"/>
          <w:sz w:val="17"/>
          <w:szCs w:val="17"/>
          <w:color w:val="auto"/>
        </w:rPr>
        <w:t>MTI may redeem the Notes at its option at any time in whole or from time to time in part prior to May 22, 2023 (the “2023 Par Call Date”), in the case of the 2023 Notes, and March 22, 2028 (the “2028 Par Call Date” and, together with the 2023 Par Call Date, the “Par Call Dates” and each, a “Par Call Date”), in the case of the 2028 Notes, at a redemption price equal to the greater of (i) 100% of the aggregate principal amount of the applicable series of Notes to be redeemed and (ii) the sum of the present values of the remaining scheduled payments of such series of Notes, discounted to the redemption date on a semi-annual basis (assuming a 360-day year consisting of twelve 30-day months) using a discount rate equal to the treasury rate (as defined in the Second Supplemental Indenture) plus 25 basis points (in the case of the 2023 Notes), or 30 basis points (in the case of the 2028 Notes), plus in each case, accrued and unpaid interest thereon to, but excluding, the redemption date.</w:t>
      </w:r>
    </w:p>
    <w:p>
      <w:pPr>
        <w:spacing w:after="0" w:line="177" w:lineRule="exact"/>
        <w:rPr>
          <w:sz w:val="20"/>
          <w:szCs w:val="20"/>
          <w:color w:val="auto"/>
        </w:rPr>
      </w:pPr>
    </w:p>
    <w:p>
      <w:pPr>
        <w:jc w:val="both"/>
        <w:ind w:right="140"/>
        <w:spacing w:after="0" w:line="263" w:lineRule="auto"/>
        <w:rPr>
          <w:sz w:val="20"/>
          <w:szCs w:val="20"/>
          <w:color w:val="auto"/>
        </w:rPr>
      </w:pPr>
      <w:r>
        <w:rPr>
          <w:rFonts w:ascii="Arial" w:cs="Arial" w:eastAsia="Arial" w:hAnsi="Arial"/>
          <w:sz w:val="18"/>
          <w:szCs w:val="18"/>
          <w:color w:val="auto"/>
        </w:rPr>
        <w:t>MTI may redeem the Notes at its option at any time in whole or from time to time in part on or after the applicable Par Call Date at a redemption price equal to 100% of the aggregate principal amount of the applicable Notes being redeemed, plus in each case, accrued and unpaid interest thereon to, but excluding, the redemption date.</w:t>
      </w:r>
    </w:p>
    <w:p>
      <w:pPr>
        <w:spacing w:after="0" w:line="184" w:lineRule="exact"/>
        <w:rPr>
          <w:sz w:val="20"/>
          <w:szCs w:val="20"/>
          <w:color w:val="auto"/>
        </w:rPr>
      </w:pPr>
    </w:p>
    <w:p>
      <w:pPr>
        <w:spacing w:after="0" w:line="286" w:lineRule="auto"/>
        <w:rPr>
          <w:sz w:val="20"/>
          <w:szCs w:val="20"/>
          <w:color w:val="auto"/>
        </w:rPr>
      </w:pPr>
      <w:r>
        <w:rPr>
          <w:rFonts w:ascii="Arial" w:cs="Arial" w:eastAsia="Arial" w:hAnsi="Arial"/>
          <w:sz w:val="17"/>
          <w:szCs w:val="17"/>
          <w:color w:val="auto"/>
        </w:rPr>
        <w:t>The foregoing description is qualified in its entirety by the full text of the Base Indenture and the Second Supplemental Indenture, copies of which are attached hereto as Exhibits 4.1 and 4.2, respectively. The terms of the Base Indenture and the Second Supplemental Indenture, including the forms of the 2023 Notes and the 2028 Notes attached hereto as Exhibits 4.3 and 4.4, respectively, are incorporated by reference herein.</w:t>
      </w:r>
    </w:p>
    <w:p>
      <w:pPr>
        <w:spacing w:after="0" w:line="310"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2.03.</w:t>
      </w:r>
      <w:r>
        <w:rPr>
          <w:sz w:val="20"/>
          <w:szCs w:val="20"/>
          <w:color w:val="auto"/>
        </w:rPr>
        <w:tab/>
      </w:r>
      <w:r>
        <w:rPr>
          <w:rFonts w:ascii="Arial" w:cs="Arial" w:eastAsia="Arial" w:hAnsi="Arial"/>
          <w:sz w:val="16"/>
          <w:szCs w:val="16"/>
          <w:b w:val="1"/>
          <w:bCs w:val="1"/>
          <w:color w:val="auto"/>
        </w:rPr>
        <w:t>Creation of a Direct Financial Obligation or an Obligation under an Off-Balance Sheet Arrangement of a Registrant.</w:t>
      </w:r>
    </w:p>
    <w:p>
      <w:pPr>
        <w:spacing w:after="0" w:line="121"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The information set forth in Item 1.01 above with respect to the Second Supplemental Indenture and the issuance of the Notes by MTI is incorporated by reference into this Item 2.03.</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color w:val="auto"/>
        </w:rPr>
        <w:t>On May 3, 2021, MTI issued a press release announcing the expiration and final results of the Exchange Offers and Consent Solicitations. A copy of the press release is filed pursuant to this Item 8.01 as Exhibit 99.1 to this Current Report on Form 8-K and incorporated by reference herein in its entirety.</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Statements Regarding Forward-Looking Statements</w:t>
      </w:r>
    </w:p>
    <w:p>
      <w:pPr>
        <w:spacing w:after="0" w:line="121"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This Current Report on Form 8-K contains certain forward-looking statements.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w:t>
      </w:r>
    </w:p>
    <w:p>
      <w:pPr>
        <w:sectPr>
          <w:pgSz w:w="11900" w:h="16838" w:orient="portrait"/>
          <w:cols w:equalWidth="0" w:num="1">
            <w:col w:w="11000"/>
          </w:cols>
          <w:pgMar w:left="440" w:top="297" w:right="459" w:bottom="1440" w:gutter="0" w:footer="0" w:header="0"/>
        </w:sectPr>
      </w:pPr>
    </w:p>
    <w:bookmarkStart w:id="2" w:name="page3"/>
    <w:bookmarkEnd w:id="2"/>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that are based on current expectations and assumptions and, as a result, are subject to risks and uncertainties. Many factors could cause actual future events to differ materially from the forward-looking statements in this press release, including but not limited to: our failure to realize the anticipated benefits of the transaction, including as a result of our ability to integrate the businesses of Marvell and Inphi Corporation or due to unexpected costs, liabilities or delays related to such integration; our ability to retain and hire key personnel; potential adverse reactions or changes to business relationships resulting from the completion of the transaction; risks associated with third party contracts containing consent and/or other provisions that may be triggered by the transaction; the impact of public health crises, such as pandemics (including coronavirus (COVID-19)) and any related company or government policies and actions intended to protect the health and safety of individuals or government policies or actions intended to maintain the functioning of national or global economies and markets; legislative, regulatory and economic developments affecting our business; general economic and market developments and conditions including disruptions in our supply chain or in the supply chains of our customers or suppliers; the evolving legal, regulatory and tax regimes under which we operate; unpredictability and severity of catastrophic events, including, but not limited to, acts of terrorism or outbreak of war or hostilities, as well as our response to any of the aforementioned factors. The foregoing list of factors is not exhaustive. You should carefully consider the foregoing factors as well as other risks associated with the transaction and the combined company as described in the “Risk Factors” section of the joint proxy statement/prospectus filed with the U.S. Securities and Exchange Commission (“SEC”) in connection with the transaction, and risks and uncertainties that affect our business as described in the “Risk Factors” section of Marvell’s most recent Annual Report on Form 10-K and other documents filed by MTI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 We do not give any assurance that we will achieve our expectations.</w:t>
      </w:r>
    </w:p>
    <w:p>
      <w:pPr>
        <w:spacing w:after="0" w:line="200" w:lineRule="exact"/>
        <w:rPr>
          <w:sz w:val="20"/>
          <w:szCs w:val="20"/>
          <w:color w:val="auto"/>
        </w:rPr>
      </w:pPr>
    </w:p>
    <w:p>
      <w:pPr>
        <w:spacing w:after="0" w:line="332"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(d) Exhibits</w:t>
      </w:r>
    </w:p>
    <w:p>
      <w:pPr>
        <w:spacing w:after="0" w:line="256" w:lineRule="exact"/>
        <w:rPr>
          <w:sz w:val="20"/>
          <w:szCs w:val="20"/>
          <w:color w:val="auto"/>
        </w:rPr>
      </w:pPr>
    </w:p>
    <w:p>
      <w:pPr>
        <w:ind w:left="1040" w:right="500" w:hanging="517"/>
        <w:spacing w:after="0" w:line="263" w:lineRule="auto"/>
        <w:tabs>
          <w:tab w:leader="none" w:pos="1020" w:val="left"/>
        </w:tabs>
        <w:rPr>
          <w:rFonts w:ascii="Arial" w:cs="Arial" w:eastAsia="Arial" w:hAnsi="Arial"/>
          <w:sz w:val="18"/>
          <w:szCs w:val="18"/>
          <w:u w:val="single" w:color="auto"/>
          <w:color w:val="0000EE"/>
        </w:rPr>
      </w:pPr>
      <w:r>
        <w:rPr>
          <w:rFonts w:ascii="Arial" w:cs="Arial" w:eastAsia="Arial" w:hAnsi="Arial"/>
          <w:sz w:val="18"/>
          <w:szCs w:val="18"/>
          <w:color w:val="auto"/>
        </w:rPr>
        <w:t>4.1</w:t>
      </w:r>
      <w:r>
        <w:rPr>
          <w:sz w:val="20"/>
          <w:szCs w:val="20"/>
          <w:color w:val="auto"/>
        </w:rPr>
        <w:tab/>
      </w:r>
      <w:hyperlink r:id="rId19">
        <w:r>
          <w:rPr>
            <w:rFonts w:ascii="Arial" w:cs="Arial" w:eastAsia="Arial" w:hAnsi="Arial"/>
            <w:sz w:val="18"/>
            <w:szCs w:val="18"/>
            <w:u w:val="single" w:color="auto"/>
            <w:color w:val="0000EE"/>
          </w:rPr>
          <w:t>Base Indenture, dated as of April 12, 2021, between Marvell Technology, Inc. and U.S. Bank National Association, as trustee</w:t>
        </w:r>
      </w:hyperlink>
      <w:r>
        <w:rPr>
          <w:rFonts w:ascii="Arial" w:cs="Arial" w:eastAsia="Arial" w:hAnsi="Arial"/>
          <w:sz w:val="18"/>
          <w:szCs w:val="18"/>
          <w:u w:val="single" w:color="auto"/>
          <w:color w:val="0000EE"/>
        </w:rPr>
        <w:t xml:space="preserve"> </w:t>
      </w:r>
      <w:hyperlink r:id="rId19">
        <w:r>
          <w:rPr>
            <w:rFonts w:ascii="Arial" w:cs="Arial" w:eastAsia="Arial" w:hAnsi="Arial"/>
            <w:sz w:val="18"/>
            <w:szCs w:val="18"/>
            <w:u w:val="single" w:color="auto"/>
            <w:color w:val="0000EE"/>
          </w:rPr>
          <w:t>(incorporated by reference to Exhibit 4.1 to Marvell Technology Group Ltd.’s Current Report on Form 8-K filed on April 12, 2021,</w:t>
        </w:r>
      </w:hyperlink>
      <w:r>
        <w:rPr>
          <w:rFonts w:ascii="Arial" w:cs="Arial" w:eastAsia="Arial" w:hAnsi="Arial"/>
          <w:sz w:val="18"/>
          <w:szCs w:val="18"/>
          <w:u w:val="single" w:color="auto"/>
          <w:color w:val="0000EE"/>
        </w:rPr>
        <w:t xml:space="preserve"> </w:t>
      </w:r>
      <w:hyperlink r:id="rId19">
        <w:r>
          <w:rPr>
            <w:rFonts w:ascii="Arial" w:cs="Arial" w:eastAsia="Arial" w:hAnsi="Arial"/>
            <w:sz w:val="18"/>
            <w:szCs w:val="18"/>
            <w:u w:val="single" w:color="auto"/>
            <w:color w:val="0000EE"/>
          </w:rPr>
          <w:t>File No. 001-30877)</w:t>
        </w:r>
      </w:hyperlink>
    </w:p>
    <w:p>
      <w:pPr>
        <w:spacing w:after="0" w:line="76" w:lineRule="exact"/>
        <w:rPr>
          <w:rFonts w:ascii="Arial" w:cs="Arial" w:eastAsia="Arial" w:hAnsi="Arial"/>
          <w:sz w:val="18"/>
          <w:szCs w:val="18"/>
          <w:u w:val="single" w:color="auto"/>
          <w:color w:val="0000EE"/>
        </w:rPr>
      </w:pPr>
    </w:p>
    <w:p>
      <w:pPr>
        <w:ind w:left="1040" w:right="580" w:hanging="517"/>
        <w:spacing w:after="0" w:line="277" w:lineRule="auto"/>
        <w:tabs>
          <w:tab w:leader="none" w:pos="1020" w:val="left"/>
        </w:tabs>
        <w:rPr>
          <w:rFonts w:ascii="Arial" w:cs="Arial" w:eastAsia="Arial" w:hAnsi="Arial"/>
          <w:sz w:val="18"/>
          <w:szCs w:val="18"/>
          <w:u w:val="single" w:color="auto"/>
          <w:color w:val="0000EE"/>
        </w:rPr>
      </w:pPr>
      <w:r>
        <w:rPr>
          <w:rFonts w:ascii="Arial" w:cs="Arial" w:eastAsia="Arial" w:hAnsi="Arial"/>
          <w:sz w:val="18"/>
          <w:szCs w:val="18"/>
          <w:color w:val="auto"/>
        </w:rPr>
        <w:t>4.2</w:t>
      </w:r>
      <w:r>
        <w:rPr>
          <w:sz w:val="20"/>
          <w:szCs w:val="20"/>
          <w:color w:val="auto"/>
        </w:rPr>
        <w:tab/>
      </w:r>
      <w:hyperlink w:anchor="page5">
        <w:r>
          <w:rPr>
            <w:rFonts w:ascii="Arial" w:cs="Arial" w:eastAsia="Arial" w:hAnsi="Arial"/>
            <w:sz w:val="18"/>
            <w:szCs w:val="18"/>
            <w:u w:val="single" w:color="auto"/>
            <w:color w:val="0000EE"/>
          </w:rPr>
          <w:t>Second Supplemental Indenture, dated as of May 4, 2021, between Marvell Technology, Inc. and U.S. Bank National Association,</w:t>
        </w:r>
      </w:hyperlink>
      <w:r>
        <w:rPr>
          <w:rFonts w:ascii="Arial" w:cs="Arial" w:eastAsia="Arial" w:hAnsi="Arial"/>
          <w:sz w:val="18"/>
          <w:szCs w:val="18"/>
          <w:u w:val="single" w:color="auto"/>
          <w:color w:val="0000EE"/>
        </w:rPr>
        <w:t xml:space="preserve"> </w:t>
      </w:r>
      <w:hyperlink w:anchor="page5">
        <w:r>
          <w:rPr>
            <w:rFonts w:ascii="Arial" w:cs="Arial" w:eastAsia="Arial" w:hAnsi="Arial"/>
            <w:sz w:val="18"/>
            <w:szCs w:val="18"/>
            <w:u w:val="single" w:color="auto"/>
            <w:color w:val="0000EE"/>
          </w:rPr>
          <w:t>as trustee</w:t>
        </w:r>
      </w:hyperlink>
    </w:p>
    <w:p>
      <w:pPr>
        <w:spacing w:after="0" w:line="62" w:lineRule="exact"/>
        <w:rPr>
          <w:sz w:val="20"/>
          <w:szCs w:val="20"/>
          <w:color w:val="auto"/>
        </w:rPr>
      </w:pPr>
    </w:p>
    <w:p>
      <w:pPr>
        <w:ind w:left="540"/>
        <w:spacing w:after="0"/>
        <w:tabs>
          <w:tab w:leader="none" w:pos="1020" w:val="left"/>
        </w:tabs>
        <w:rPr>
          <w:rFonts w:ascii="Arial" w:cs="Arial" w:eastAsia="Arial" w:hAnsi="Arial"/>
          <w:sz w:val="16"/>
          <w:szCs w:val="16"/>
          <w:u w:val="single" w:color="auto"/>
          <w:color w:val="0000EE"/>
        </w:rPr>
      </w:pPr>
      <w:r>
        <w:rPr>
          <w:rFonts w:ascii="Arial" w:cs="Arial" w:eastAsia="Arial" w:hAnsi="Arial"/>
          <w:sz w:val="18"/>
          <w:szCs w:val="18"/>
          <w:color w:val="auto"/>
        </w:rPr>
        <w:t>4.3</w:t>
      </w:r>
      <w:r>
        <w:rPr>
          <w:sz w:val="20"/>
          <w:szCs w:val="20"/>
          <w:color w:val="auto"/>
        </w:rPr>
        <w:tab/>
      </w:r>
      <w:hyperlink w:anchor="page5">
        <w:r>
          <w:rPr>
            <w:rFonts w:ascii="Arial" w:cs="Arial" w:eastAsia="Arial" w:hAnsi="Arial"/>
            <w:sz w:val="16"/>
            <w:szCs w:val="16"/>
            <w:u w:val="single" w:color="auto"/>
            <w:color w:val="0000EE"/>
          </w:rPr>
          <w:t>Form of $433,817,000 4.200% Senior Notes due 2023 (included as Exhibit A to Exhibit 4.2)</w:t>
        </w:r>
      </w:hyperlink>
    </w:p>
    <w:p>
      <w:pPr>
        <w:spacing w:after="0" w:line="117" w:lineRule="exact"/>
        <w:rPr>
          <w:sz w:val="20"/>
          <w:szCs w:val="20"/>
          <w:color w:val="auto"/>
        </w:rPr>
      </w:pPr>
    </w:p>
    <w:p>
      <w:pPr>
        <w:ind w:left="540"/>
        <w:spacing w:after="0"/>
        <w:tabs>
          <w:tab w:leader="none" w:pos="1020" w:val="left"/>
        </w:tabs>
        <w:rPr>
          <w:rFonts w:ascii="Arial" w:cs="Arial" w:eastAsia="Arial" w:hAnsi="Arial"/>
          <w:sz w:val="16"/>
          <w:szCs w:val="16"/>
          <w:u w:val="single" w:color="auto"/>
          <w:color w:val="0000EE"/>
        </w:rPr>
      </w:pPr>
      <w:r>
        <w:rPr>
          <w:rFonts w:ascii="Arial" w:cs="Arial" w:eastAsia="Arial" w:hAnsi="Arial"/>
          <w:sz w:val="18"/>
          <w:szCs w:val="18"/>
          <w:color w:val="auto"/>
        </w:rPr>
        <w:t>4.4</w:t>
      </w:r>
      <w:r>
        <w:rPr>
          <w:sz w:val="20"/>
          <w:szCs w:val="20"/>
          <w:color w:val="auto"/>
        </w:rPr>
        <w:tab/>
      </w:r>
      <w:hyperlink w:anchor="page5">
        <w:r>
          <w:rPr>
            <w:rFonts w:ascii="Arial" w:cs="Arial" w:eastAsia="Arial" w:hAnsi="Arial"/>
            <w:sz w:val="16"/>
            <w:szCs w:val="16"/>
            <w:u w:val="single" w:color="auto"/>
            <w:color w:val="0000EE"/>
          </w:rPr>
          <w:t>Form of $479,394,000 4.875% Senior Notes due 2028 (included as Exhibit B to Exhibit 4.2)</w:t>
        </w:r>
      </w:hyperlink>
    </w:p>
    <w:p>
      <w:pPr>
        <w:spacing w:after="0" w:line="117" w:lineRule="exact"/>
        <w:rPr>
          <w:sz w:val="20"/>
          <w:szCs w:val="20"/>
          <w:color w:val="auto"/>
        </w:rPr>
      </w:pPr>
    </w:p>
    <w:p>
      <w:pPr>
        <w:ind w:left="440"/>
        <w:spacing w:after="0"/>
        <w:tabs>
          <w:tab w:leader="none" w:pos="1020" w:val="left"/>
        </w:tabs>
        <w:rPr>
          <w:rFonts w:ascii="Arial" w:cs="Arial" w:eastAsia="Arial" w:hAnsi="Arial"/>
          <w:sz w:val="15"/>
          <w:szCs w:val="15"/>
          <w:u w:val="single" w:color="auto"/>
          <w:color w:val="0000EE"/>
        </w:rPr>
      </w:pPr>
      <w:r>
        <w:rPr>
          <w:rFonts w:ascii="Arial" w:cs="Arial" w:eastAsia="Arial" w:hAnsi="Arial"/>
          <w:sz w:val="18"/>
          <w:szCs w:val="18"/>
          <w:color w:val="auto"/>
        </w:rPr>
        <w:t>99.1</w:t>
      </w:r>
      <w:r>
        <w:rPr>
          <w:sz w:val="20"/>
          <w:szCs w:val="20"/>
          <w:color w:val="auto"/>
        </w:rPr>
        <w:tab/>
      </w:r>
      <w:hyperlink w:anchor="page62">
        <w:r>
          <w:rPr>
            <w:rFonts w:ascii="Arial" w:cs="Arial" w:eastAsia="Arial" w:hAnsi="Arial"/>
            <w:sz w:val="15"/>
            <w:szCs w:val="15"/>
            <w:u w:val="single" w:color="auto"/>
            <w:color w:val="0000EE"/>
          </w:rPr>
          <w:t>Press Release dated May 3, 2021</w:t>
        </w:r>
      </w:hyperlink>
    </w:p>
    <w:p>
      <w:pPr>
        <w:spacing w:after="0" w:line="117" w:lineRule="exact"/>
        <w:rPr>
          <w:sz w:val="20"/>
          <w:szCs w:val="20"/>
          <w:color w:val="auto"/>
        </w:rPr>
      </w:pPr>
    </w:p>
    <w:p>
      <w:pPr>
        <w:ind w:left="480"/>
        <w:spacing w:after="0"/>
        <w:tabs>
          <w:tab w:leader="none" w:pos="1020" w:val="left"/>
        </w:tabs>
        <w:rPr>
          <w:sz w:val="20"/>
          <w:szCs w:val="20"/>
          <w:color w:val="auto"/>
        </w:rPr>
      </w:pPr>
      <w:r>
        <w:rPr>
          <w:rFonts w:ascii="Arial" w:cs="Arial" w:eastAsia="Arial" w:hAnsi="Arial"/>
          <w:sz w:val="18"/>
          <w:szCs w:val="18"/>
          <w:color w:val="auto"/>
        </w:rPr>
        <w:t>104</w:t>
        <w:tab/>
        <w:t>Cover Page Interactive Data File (the cover page XBRL tags are embedded within the Inline XBRL document)</w:t>
      </w:r>
    </w:p>
    <w:p>
      <w:pPr>
        <w:sectPr>
          <w:pgSz w:w="11900" w:h="16838" w:orient="portrait"/>
          <w:cols w:equalWidth="0" w:num="1">
            <w:col w:w="11000"/>
          </w:cols>
          <w:pgMar w:left="440" w:top="301" w:right="459" w:bottom="1440" w:gutter="0" w:footer="0" w:header="0"/>
        </w:sectPr>
      </w:pPr>
    </w:p>
    <w:bookmarkStart w:id="3" w:name="page4"/>
    <w:bookmarkEnd w:id="3"/>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May 4,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98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940"/>
          </w:cols>
          <w:pgMar w:left="440" w:top="297" w:right="51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4.2</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i w:val="1"/>
          <w:iCs w:val="1"/>
          <w:color w:val="auto"/>
        </w:rPr>
        <w:t>as Issuer</w:t>
      </w:r>
      <w:r>
        <w:rPr>
          <w:rFonts w:ascii="Arial" w:cs="Arial" w:eastAsia="Arial" w:hAnsi="Arial"/>
          <w:sz w:val="18"/>
          <w:szCs w:val="18"/>
          <w:color w:val="auto"/>
        </w:rPr>
        <w:t>,</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i w:val="1"/>
          <w:iCs w:val="1"/>
          <w:color w:val="auto"/>
        </w:rPr>
        <w:t>as Trustee</w:t>
      </w:r>
    </w:p>
    <w:p>
      <w:pPr>
        <w:spacing w:after="0" w:line="207"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4.200% Senior Notes due 2023</w:t>
      </w:r>
    </w:p>
    <w:p>
      <w:pPr>
        <w:spacing w:after="0" w:line="27"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4.875% Senior Notes due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228600</wp:posOffset>
            </wp:positionV>
            <wp:extent cx="147447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51" w:lineRule="exact"/>
        <w:rPr>
          <w:sz w:val="20"/>
          <w:szCs w:val="20"/>
          <w:color w:val="auto"/>
        </w:rPr>
      </w:pPr>
    </w:p>
    <w:p>
      <w:pPr>
        <w:jc w:val="center"/>
        <w:ind w:right="1000"/>
        <w:spacing w:after="0"/>
        <w:rPr>
          <w:sz w:val="20"/>
          <w:szCs w:val="20"/>
          <w:color w:val="auto"/>
        </w:rPr>
      </w:pPr>
      <w:r>
        <w:rPr>
          <w:rFonts w:ascii="Arial" w:cs="Arial" w:eastAsia="Arial" w:hAnsi="Arial"/>
          <w:sz w:val="17"/>
          <w:szCs w:val="17"/>
          <w:b w:val="1"/>
          <w:bCs w:val="1"/>
          <w:color w:val="auto"/>
        </w:rPr>
        <w:t>SECOND SUPPLEMENTAL INDENTURE</w:t>
      </w:r>
    </w:p>
    <w:p>
      <w:pPr>
        <w:spacing w:after="0" w:line="241"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i w:val="1"/>
          <w:iCs w:val="1"/>
          <w:color w:val="auto"/>
        </w:rPr>
        <w:t>Dated as of May 4, 2021</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to the</w:t>
      </w:r>
    </w:p>
    <w:p>
      <w:pPr>
        <w:spacing w:after="0" w:line="221"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INDENTURE</w:t>
      </w:r>
    </w:p>
    <w:p>
      <w:pPr>
        <w:spacing w:after="0" w:line="229" w:lineRule="exact"/>
        <w:rPr>
          <w:sz w:val="20"/>
          <w:szCs w:val="20"/>
          <w:color w:val="auto"/>
        </w:rPr>
      </w:pPr>
    </w:p>
    <w:p>
      <w:pPr>
        <w:ind w:left="3540"/>
        <w:spacing w:after="0"/>
        <w:rPr>
          <w:sz w:val="20"/>
          <w:szCs w:val="20"/>
          <w:color w:val="auto"/>
        </w:rPr>
      </w:pPr>
      <w:r>
        <w:rPr>
          <w:rFonts w:ascii="Arial" w:cs="Arial" w:eastAsia="Arial" w:hAnsi="Arial"/>
          <w:sz w:val="18"/>
          <w:szCs w:val="18"/>
          <w:b w:val="1"/>
          <w:bCs w:val="1"/>
          <w:i w:val="1"/>
          <w:iCs w:val="1"/>
          <w:color w:val="auto"/>
        </w:rPr>
        <w:t>Dated as of April 12,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246380</wp:posOffset>
            </wp:positionV>
            <wp:extent cx="147447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0020"/>
          </w:cols>
          <w:pgMar w:left="1440" w:top="121" w:right="43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34"/>
        </w:trPr>
        <w:tc>
          <w:tcPr>
            <w:tcW w:w="1000" w:type="dxa"/>
            <w:vAlign w:val="bottom"/>
          </w:tcPr>
          <w:p>
            <w:pPr>
              <w:spacing w:after="0"/>
              <w:rPr>
                <w:sz w:val="20"/>
                <w:szCs w:val="20"/>
                <w:color w:val="auto"/>
              </w:rPr>
            </w:pPr>
          </w:p>
        </w:tc>
        <w:tc>
          <w:tcPr>
            <w:tcW w:w="8320" w:type="dxa"/>
            <w:vAlign w:val="bottom"/>
          </w:tcPr>
          <w:p>
            <w:pPr>
              <w:ind w:left="3540"/>
              <w:spacing w:after="0"/>
              <w:rPr>
                <w:sz w:val="20"/>
                <w:szCs w:val="20"/>
                <w:color w:val="auto"/>
              </w:rPr>
            </w:pPr>
            <w:r>
              <w:rPr>
                <w:rFonts w:ascii="Arial" w:cs="Arial" w:eastAsia="Arial" w:hAnsi="Arial"/>
                <w:sz w:val="18"/>
                <w:szCs w:val="18"/>
                <w:b w:val="1"/>
                <w:bCs w:val="1"/>
                <w:color w:val="auto"/>
              </w:rPr>
              <w:t>TABLE OF CONTENTS</w:t>
            </w:r>
          </w:p>
        </w:tc>
        <w:tc>
          <w:tcPr>
            <w:tcW w:w="1640" w:type="dxa"/>
            <w:vAlign w:val="bottom"/>
          </w:tcPr>
          <w:p>
            <w:pPr>
              <w:spacing w:after="0"/>
              <w:rPr>
                <w:sz w:val="20"/>
                <w:szCs w:val="20"/>
                <w:color w:val="auto"/>
              </w:rPr>
            </w:pPr>
          </w:p>
        </w:tc>
      </w:tr>
      <w:tr>
        <w:trPr>
          <w:trHeight w:val="459"/>
        </w:trPr>
        <w:tc>
          <w:tcPr>
            <w:tcW w:w="9320" w:type="dxa"/>
            <w:vAlign w:val="bottom"/>
            <w:gridSpan w:val="2"/>
          </w:tcPr>
          <w:p>
            <w:pPr>
              <w:spacing w:after="0"/>
              <w:rPr>
                <w:sz w:val="20"/>
                <w:szCs w:val="20"/>
                <w:color w:val="auto"/>
              </w:rPr>
            </w:pPr>
            <w:r>
              <w:rPr>
                <w:rFonts w:ascii="Arial" w:cs="Arial" w:eastAsia="Arial" w:hAnsi="Arial"/>
                <w:sz w:val="18"/>
                <w:szCs w:val="18"/>
                <w:b w:val="1"/>
                <w:bCs w:val="1"/>
                <w:color w:val="auto"/>
              </w:rPr>
              <w:t>ARTICLE I DEFINITIONS AND OTHER PROVISIONS OF GENERAL APPLICATION</w:t>
            </w:r>
          </w:p>
        </w:tc>
        <w:tc>
          <w:tcPr>
            <w:tcW w:w="1640" w:type="dxa"/>
            <w:vAlign w:val="bottom"/>
          </w:tcPr>
          <w:p>
            <w:pPr>
              <w:jc w:val="right"/>
              <w:spacing w:after="0"/>
              <w:rPr>
                <w:sz w:val="20"/>
                <w:szCs w:val="20"/>
                <w:color w:val="auto"/>
              </w:rPr>
            </w:pPr>
            <w:r>
              <w:rPr>
                <w:rFonts w:ascii="Arial" w:cs="Arial" w:eastAsia="Arial" w:hAnsi="Arial"/>
                <w:sz w:val="18"/>
                <w:szCs w:val="18"/>
                <w:b w:val="1"/>
                <w:bCs w:val="1"/>
                <w:color w:val="auto"/>
              </w:rPr>
              <w:t>1</w:t>
            </w:r>
          </w:p>
        </w:tc>
      </w:tr>
      <w:tr>
        <w:trPr>
          <w:trHeight w:val="31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i w:val="1"/>
                <w:iCs w:val="1"/>
                <w:color w:val="auto"/>
              </w:rPr>
              <w:t>Definitions</w:t>
            </w:r>
          </w:p>
        </w:tc>
        <w:tc>
          <w:tcPr>
            <w:tcW w:w="164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3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i w:val="1"/>
                <w:iCs w:val="1"/>
                <w:color w:val="auto"/>
              </w:rPr>
              <w:t>Relationship with Base Indenture</w:t>
            </w:r>
          </w:p>
        </w:tc>
        <w:tc>
          <w:tcPr>
            <w:tcW w:w="164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324"/>
        </w:trPr>
        <w:tc>
          <w:tcPr>
            <w:tcW w:w="9320" w:type="dxa"/>
            <w:vAlign w:val="bottom"/>
            <w:gridSpan w:val="2"/>
          </w:tcPr>
          <w:p>
            <w:pPr>
              <w:spacing w:after="0"/>
              <w:rPr>
                <w:sz w:val="20"/>
                <w:szCs w:val="20"/>
                <w:color w:val="auto"/>
              </w:rPr>
            </w:pPr>
            <w:r>
              <w:rPr>
                <w:rFonts w:ascii="Arial" w:cs="Arial" w:eastAsia="Arial" w:hAnsi="Arial"/>
                <w:sz w:val="18"/>
                <w:szCs w:val="18"/>
                <w:b w:val="1"/>
                <w:bCs w:val="1"/>
                <w:color w:val="auto"/>
              </w:rPr>
              <w:t>ARTICLE II FORM OF NOTES</w:t>
            </w:r>
          </w:p>
        </w:tc>
        <w:tc>
          <w:tcPr>
            <w:tcW w:w="1640" w:type="dxa"/>
            <w:vAlign w:val="bottom"/>
          </w:tcPr>
          <w:p>
            <w:pPr>
              <w:jc w:val="right"/>
              <w:spacing w:after="0"/>
              <w:rPr>
                <w:sz w:val="20"/>
                <w:szCs w:val="20"/>
                <w:color w:val="auto"/>
              </w:rPr>
            </w:pPr>
            <w:r>
              <w:rPr>
                <w:rFonts w:ascii="Arial" w:cs="Arial" w:eastAsia="Arial" w:hAnsi="Arial"/>
                <w:sz w:val="18"/>
                <w:szCs w:val="18"/>
                <w:b w:val="1"/>
                <w:bCs w:val="1"/>
                <w:color w:val="auto"/>
              </w:rPr>
              <w:t>7</w:t>
            </w:r>
          </w:p>
        </w:tc>
      </w:tr>
      <w:tr>
        <w:trPr>
          <w:trHeight w:val="31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i w:val="1"/>
                <w:iCs w:val="1"/>
                <w:color w:val="auto"/>
              </w:rPr>
              <w:t>Form of Notes</w:t>
            </w:r>
          </w:p>
        </w:tc>
        <w:tc>
          <w:tcPr>
            <w:tcW w:w="164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23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i w:val="1"/>
                <w:iCs w:val="1"/>
                <w:color w:val="auto"/>
              </w:rPr>
              <w:t>Special Transfer Provisions</w:t>
            </w:r>
          </w:p>
        </w:tc>
        <w:tc>
          <w:tcPr>
            <w:tcW w:w="164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324"/>
        </w:trPr>
        <w:tc>
          <w:tcPr>
            <w:tcW w:w="9320" w:type="dxa"/>
            <w:vAlign w:val="bottom"/>
            <w:gridSpan w:val="2"/>
          </w:tcPr>
          <w:p>
            <w:pPr>
              <w:spacing w:after="0"/>
              <w:rPr>
                <w:sz w:val="20"/>
                <w:szCs w:val="20"/>
                <w:color w:val="auto"/>
              </w:rPr>
            </w:pPr>
            <w:r>
              <w:rPr>
                <w:rFonts w:ascii="Arial" w:cs="Arial" w:eastAsia="Arial" w:hAnsi="Arial"/>
                <w:sz w:val="18"/>
                <w:szCs w:val="18"/>
                <w:b w:val="1"/>
                <w:bCs w:val="1"/>
                <w:color w:val="auto"/>
              </w:rPr>
              <w:t>ARTICLE III THE INITIAL NOTES</w:t>
            </w:r>
          </w:p>
        </w:tc>
        <w:tc>
          <w:tcPr>
            <w:tcW w:w="1640" w:type="dxa"/>
            <w:vAlign w:val="bottom"/>
          </w:tcPr>
          <w:p>
            <w:pPr>
              <w:jc w:val="right"/>
              <w:spacing w:after="0"/>
              <w:rPr>
                <w:sz w:val="20"/>
                <w:szCs w:val="20"/>
                <w:color w:val="auto"/>
              </w:rPr>
            </w:pPr>
            <w:r>
              <w:rPr>
                <w:rFonts w:ascii="Arial" w:cs="Arial" w:eastAsia="Arial" w:hAnsi="Arial"/>
                <w:sz w:val="18"/>
                <w:szCs w:val="18"/>
                <w:b w:val="1"/>
                <w:bCs w:val="1"/>
                <w:color w:val="auto"/>
              </w:rPr>
              <w:t>12</w:t>
            </w:r>
          </w:p>
        </w:tc>
      </w:tr>
      <w:tr>
        <w:trPr>
          <w:trHeight w:val="31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i w:val="1"/>
                <w:iCs w:val="1"/>
                <w:color w:val="auto"/>
              </w:rPr>
              <w:t>Amount; Series; Terms</w:t>
            </w:r>
          </w:p>
        </w:tc>
        <w:tc>
          <w:tcPr>
            <w:tcW w:w="164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3.02. </w:t>
            </w:r>
            <w:r>
              <w:rPr>
                <w:rFonts w:ascii="Arial" w:cs="Arial" w:eastAsia="Arial" w:hAnsi="Arial"/>
                <w:sz w:val="18"/>
                <w:szCs w:val="18"/>
                <w:i w:val="1"/>
                <w:iCs w:val="1"/>
                <w:color w:val="auto"/>
              </w:rPr>
              <w:t>Denominations</w:t>
            </w:r>
          </w:p>
        </w:tc>
        <w:tc>
          <w:tcPr>
            <w:tcW w:w="164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i w:val="1"/>
                <w:iCs w:val="1"/>
                <w:color w:val="auto"/>
              </w:rPr>
              <w:t>Additional Notes; Repurchases</w:t>
            </w:r>
          </w:p>
        </w:tc>
        <w:tc>
          <w:tcPr>
            <w:tcW w:w="164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3.04. </w:t>
            </w:r>
            <w:r>
              <w:rPr>
                <w:rFonts w:ascii="Arial" w:cs="Arial" w:eastAsia="Arial" w:hAnsi="Arial"/>
                <w:sz w:val="18"/>
                <w:szCs w:val="18"/>
                <w:i w:val="1"/>
                <w:iCs w:val="1"/>
                <w:color w:val="auto"/>
              </w:rPr>
              <w:t>No Sinking Fund</w:t>
            </w:r>
          </w:p>
        </w:tc>
        <w:tc>
          <w:tcPr>
            <w:tcW w:w="164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i w:val="1"/>
                <w:iCs w:val="1"/>
                <w:color w:val="auto"/>
              </w:rPr>
              <w:t>Satisfaction and Discharge</w:t>
            </w:r>
          </w:p>
        </w:tc>
        <w:tc>
          <w:tcPr>
            <w:tcW w:w="164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3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i w:val="1"/>
                <w:iCs w:val="1"/>
                <w:color w:val="auto"/>
              </w:rPr>
              <w:t>Additional Amounts</w:t>
            </w:r>
          </w:p>
        </w:tc>
        <w:tc>
          <w:tcPr>
            <w:tcW w:w="164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324"/>
        </w:trPr>
        <w:tc>
          <w:tcPr>
            <w:tcW w:w="9320" w:type="dxa"/>
            <w:vAlign w:val="bottom"/>
            <w:gridSpan w:val="2"/>
          </w:tcPr>
          <w:p>
            <w:pPr>
              <w:spacing w:after="0"/>
              <w:rPr>
                <w:sz w:val="20"/>
                <w:szCs w:val="20"/>
                <w:color w:val="auto"/>
              </w:rPr>
            </w:pPr>
            <w:r>
              <w:rPr>
                <w:rFonts w:ascii="Arial" w:cs="Arial" w:eastAsia="Arial" w:hAnsi="Arial"/>
                <w:sz w:val="18"/>
                <w:szCs w:val="18"/>
                <w:b w:val="1"/>
                <w:bCs w:val="1"/>
                <w:color w:val="auto"/>
              </w:rPr>
              <w:t>ARTICLE IV REDEMPTION OF SECURITIES</w:t>
            </w:r>
          </w:p>
        </w:tc>
        <w:tc>
          <w:tcPr>
            <w:tcW w:w="1640" w:type="dxa"/>
            <w:vAlign w:val="bottom"/>
          </w:tcPr>
          <w:p>
            <w:pPr>
              <w:jc w:val="right"/>
              <w:spacing w:after="0"/>
              <w:rPr>
                <w:sz w:val="20"/>
                <w:szCs w:val="20"/>
                <w:color w:val="auto"/>
              </w:rPr>
            </w:pPr>
            <w:r>
              <w:rPr>
                <w:rFonts w:ascii="Arial" w:cs="Arial" w:eastAsia="Arial" w:hAnsi="Arial"/>
                <w:sz w:val="18"/>
                <w:szCs w:val="18"/>
                <w:b w:val="1"/>
                <w:bCs w:val="1"/>
                <w:color w:val="auto"/>
              </w:rPr>
              <w:t>14</w:t>
            </w:r>
          </w:p>
        </w:tc>
      </w:tr>
      <w:tr>
        <w:trPr>
          <w:trHeight w:val="31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i w:val="1"/>
                <w:iCs w:val="1"/>
                <w:color w:val="auto"/>
              </w:rPr>
              <w:t>Optional Redemption</w:t>
            </w:r>
          </w:p>
        </w:tc>
        <w:tc>
          <w:tcPr>
            <w:tcW w:w="164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3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i w:val="1"/>
                <w:iCs w:val="1"/>
                <w:color w:val="auto"/>
              </w:rPr>
              <w:t>Purchase of Notes upon a Change of Control Repurchase Event</w:t>
            </w:r>
          </w:p>
        </w:tc>
        <w:tc>
          <w:tcPr>
            <w:tcW w:w="164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324"/>
        </w:trPr>
        <w:tc>
          <w:tcPr>
            <w:tcW w:w="9320" w:type="dxa"/>
            <w:vAlign w:val="bottom"/>
            <w:gridSpan w:val="2"/>
          </w:tcPr>
          <w:p>
            <w:pPr>
              <w:spacing w:after="0"/>
              <w:rPr>
                <w:sz w:val="20"/>
                <w:szCs w:val="20"/>
                <w:color w:val="auto"/>
              </w:rPr>
            </w:pPr>
            <w:r>
              <w:rPr>
                <w:rFonts w:ascii="Arial" w:cs="Arial" w:eastAsia="Arial" w:hAnsi="Arial"/>
                <w:sz w:val="18"/>
                <w:szCs w:val="18"/>
                <w:b w:val="1"/>
                <w:bCs w:val="1"/>
                <w:color w:val="auto"/>
              </w:rPr>
              <w:t>ARTICLE V COVENANTS AND REMEDIES</w:t>
            </w:r>
          </w:p>
        </w:tc>
        <w:tc>
          <w:tcPr>
            <w:tcW w:w="1640" w:type="dxa"/>
            <w:vAlign w:val="bottom"/>
          </w:tcPr>
          <w:p>
            <w:pPr>
              <w:jc w:val="right"/>
              <w:spacing w:after="0"/>
              <w:rPr>
                <w:sz w:val="20"/>
                <w:szCs w:val="20"/>
                <w:color w:val="auto"/>
              </w:rPr>
            </w:pPr>
            <w:r>
              <w:rPr>
                <w:rFonts w:ascii="Arial" w:cs="Arial" w:eastAsia="Arial" w:hAnsi="Arial"/>
                <w:sz w:val="18"/>
                <w:szCs w:val="18"/>
                <w:b w:val="1"/>
                <w:bCs w:val="1"/>
                <w:color w:val="auto"/>
              </w:rPr>
              <w:t>16</w:t>
            </w:r>
          </w:p>
        </w:tc>
      </w:tr>
      <w:tr>
        <w:trPr>
          <w:trHeight w:val="31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i w:val="1"/>
                <w:iCs w:val="1"/>
                <w:color w:val="auto"/>
              </w:rPr>
              <w:t>Limitation on Liens</w:t>
            </w:r>
          </w:p>
        </w:tc>
        <w:tc>
          <w:tcPr>
            <w:tcW w:w="1640" w:type="dxa"/>
            <w:vAlign w:val="bottom"/>
          </w:tcPr>
          <w:p>
            <w:pPr>
              <w:jc w:val="right"/>
              <w:spacing w:after="0"/>
              <w:rPr>
                <w:sz w:val="20"/>
                <w:szCs w:val="20"/>
                <w:color w:val="auto"/>
              </w:rPr>
            </w:pPr>
            <w:r>
              <w:rPr>
                <w:rFonts w:ascii="Arial" w:cs="Arial" w:eastAsia="Arial" w:hAnsi="Arial"/>
                <w:sz w:val="18"/>
                <w:szCs w:val="18"/>
                <w:color w:val="auto"/>
              </w:rPr>
              <w:t>16</w:t>
            </w:r>
          </w:p>
        </w:tc>
      </w:tr>
      <w:tr>
        <w:trPr>
          <w:trHeight w:val="216"/>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i w:val="1"/>
                <w:iCs w:val="1"/>
                <w:color w:val="auto"/>
              </w:rPr>
              <w:t>Limitation on Sale and Leaseback Transactions</w:t>
            </w:r>
          </w:p>
        </w:tc>
        <w:tc>
          <w:tcPr>
            <w:tcW w:w="164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i w:val="1"/>
                <w:iCs w:val="1"/>
                <w:color w:val="auto"/>
              </w:rPr>
              <w:t>Events of Default</w:t>
            </w:r>
          </w:p>
        </w:tc>
        <w:tc>
          <w:tcPr>
            <w:tcW w:w="164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3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5.04. </w:t>
            </w:r>
            <w:r>
              <w:rPr>
                <w:rFonts w:ascii="Arial" w:cs="Arial" w:eastAsia="Arial" w:hAnsi="Arial"/>
                <w:sz w:val="18"/>
                <w:szCs w:val="18"/>
                <w:i w:val="1"/>
                <w:iCs w:val="1"/>
                <w:color w:val="auto"/>
              </w:rPr>
              <w:t>References in Base Indenture</w:t>
            </w:r>
          </w:p>
        </w:tc>
        <w:tc>
          <w:tcPr>
            <w:tcW w:w="16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324"/>
        </w:trPr>
        <w:tc>
          <w:tcPr>
            <w:tcW w:w="9320" w:type="dxa"/>
            <w:vAlign w:val="bottom"/>
            <w:gridSpan w:val="2"/>
          </w:tcPr>
          <w:p>
            <w:pPr>
              <w:spacing w:after="0"/>
              <w:rPr>
                <w:sz w:val="20"/>
                <w:szCs w:val="20"/>
                <w:color w:val="auto"/>
              </w:rPr>
            </w:pPr>
            <w:r>
              <w:rPr>
                <w:rFonts w:ascii="Arial" w:cs="Arial" w:eastAsia="Arial" w:hAnsi="Arial"/>
                <w:sz w:val="18"/>
                <w:szCs w:val="18"/>
                <w:b w:val="1"/>
                <w:bCs w:val="1"/>
                <w:color w:val="auto"/>
              </w:rPr>
              <w:t>ARTICLE VI DEFEASANCE</w:t>
            </w:r>
          </w:p>
        </w:tc>
        <w:tc>
          <w:tcPr>
            <w:tcW w:w="1640" w:type="dxa"/>
            <w:vAlign w:val="bottom"/>
          </w:tcPr>
          <w:p>
            <w:pPr>
              <w:jc w:val="right"/>
              <w:spacing w:after="0"/>
              <w:rPr>
                <w:sz w:val="20"/>
                <w:szCs w:val="20"/>
                <w:color w:val="auto"/>
              </w:rPr>
            </w:pPr>
            <w:r>
              <w:rPr>
                <w:rFonts w:ascii="Arial" w:cs="Arial" w:eastAsia="Arial" w:hAnsi="Arial"/>
                <w:sz w:val="18"/>
                <w:szCs w:val="18"/>
                <w:b w:val="1"/>
                <w:bCs w:val="1"/>
                <w:color w:val="auto"/>
              </w:rPr>
              <w:t>20</w:t>
            </w:r>
          </w:p>
        </w:tc>
      </w:tr>
      <w:tr>
        <w:trPr>
          <w:trHeight w:val="324"/>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6.01. </w:t>
            </w:r>
            <w:r>
              <w:rPr>
                <w:rFonts w:ascii="Arial" w:cs="Arial" w:eastAsia="Arial" w:hAnsi="Arial"/>
                <w:sz w:val="18"/>
                <w:szCs w:val="18"/>
                <w:i w:val="1"/>
                <w:iCs w:val="1"/>
                <w:color w:val="auto"/>
              </w:rPr>
              <w:t>Covenant Defeasance</w:t>
            </w:r>
          </w:p>
        </w:tc>
        <w:tc>
          <w:tcPr>
            <w:tcW w:w="16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324"/>
        </w:trPr>
        <w:tc>
          <w:tcPr>
            <w:tcW w:w="9320" w:type="dxa"/>
            <w:vAlign w:val="bottom"/>
            <w:gridSpan w:val="2"/>
          </w:tcPr>
          <w:p>
            <w:pPr>
              <w:spacing w:after="0"/>
              <w:rPr>
                <w:sz w:val="20"/>
                <w:szCs w:val="20"/>
                <w:color w:val="auto"/>
              </w:rPr>
            </w:pPr>
            <w:r>
              <w:rPr>
                <w:rFonts w:ascii="Arial" w:cs="Arial" w:eastAsia="Arial" w:hAnsi="Arial"/>
                <w:sz w:val="18"/>
                <w:szCs w:val="18"/>
                <w:b w:val="1"/>
                <w:bCs w:val="1"/>
                <w:color w:val="auto"/>
              </w:rPr>
              <w:t>ARTICLE VII GUARANTEE</w:t>
            </w:r>
          </w:p>
        </w:tc>
        <w:tc>
          <w:tcPr>
            <w:tcW w:w="1640" w:type="dxa"/>
            <w:vAlign w:val="bottom"/>
          </w:tcPr>
          <w:p>
            <w:pPr>
              <w:jc w:val="right"/>
              <w:spacing w:after="0"/>
              <w:rPr>
                <w:sz w:val="20"/>
                <w:szCs w:val="20"/>
                <w:color w:val="auto"/>
              </w:rPr>
            </w:pPr>
            <w:r>
              <w:rPr>
                <w:rFonts w:ascii="Arial" w:cs="Arial" w:eastAsia="Arial" w:hAnsi="Arial"/>
                <w:sz w:val="18"/>
                <w:szCs w:val="18"/>
                <w:b w:val="1"/>
                <w:bCs w:val="1"/>
                <w:color w:val="auto"/>
              </w:rPr>
              <w:t>20</w:t>
            </w:r>
          </w:p>
        </w:tc>
      </w:tr>
      <w:tr>
        <w:trPr>
          <w:trHeight w:val="31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i w:val="1"/>
                <w:iCs w:val="1"/>
                <w:color w:val="auto"/>
              </w:rPr>
              <w:t>Guarantee</w:t>
            </w:r>
          </w:p>
        </w:tc>
        <w:tc>
          <w:tcPr>
            <w:tcW w:w="164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7.02. </w:t>
            </w:r>
            <w:r>
              <w:rPr>
                <w:rFonts w:ascii="Arial" w:cs="Arial" w:eastAsia="Arial" w:hAnsi="Arial"/>
                <w:sz w:val="18"/>
                <w:szCs w:val="18"/>
                <w:i w:val="1"/>
                <w:iCs w:val="1"/>
                <w:color w:val="auto"/>
              </w:rPr>
              <w:t>Limitation on Liability; Termination, Release and Discharge</w:t>
            </w:r>
          </w:p>
        </w:tc>
        <w:tc>
          <w:tcPr>
            <w:tcW w:w="16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i w:val="1"/>
                <w:iCs w:val="1"/>
                <w:color w:val="auto"/>
              </w:rPr>
              <w:t>Right of Contribution</w:t>
            </w:r>
          </w:p>
        </w:tc>
        <w:tc>
          <w:tcPr>
            <w:tcW w:w="16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3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7.04. </w:t>
            </w:r>
            <w:r>
              <w:rPr>
                <w:rFonts w:ascii="Arial" w:cs="Arial" w:eastAsia="Arial" w:hAnsi="Arial"/>
                <w:sz w:val="18"/>
                <w:szCs w:val="18"/>
                <w:i w:val="1"/>
                <w:iCs w:val="1"/>
                <w:color w:val="auto"/>
              </w:rPr>
              <w:t>No Subrogation</w:t>
            </w:r>
          </w:p>
        </w:tc>
        <w:tc>
          <w:tcPr>
            <w:tcW w:w="16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324"/>
        </w:trPr>
        <w:tc>
          <w:tcPr>
            <w:tcW w:w="9320" w:type="dxa"/>
            <w:vAlign w:val="bottom"/>
            <w:gridSpan w:val="2"/>
          </w:tcPr>
          <w:p>
            <w:pPr>
              <w:spacing w:after="0"/>
              <w:rPr>
                <w:sz w:val="20"/>
                <w:szCs w:val="20"/>
                <w:color w:val="auto"/>
              </w:rPr>
            </w:pPr>
            <w:r>
              <w:rPr>
                <w:rFonts w:ascii="Arial" w:cs="Arial" w:eastAsia="Arial" w:hAnsi="Arial"/>
                <w:sz w:val="18"/>
                <w:szCs w:val="18"/>
                <w:b w:val="1"/>
                <w:bCs w:val="1"/>
                <w:color w:val="auto"/>
              </w:rPr>
              <w:t>ARTICLE VIII MISCELLANEOUS</w:t>
            </w:r>
          </w:p>
        </w:tc>
        <w:tc>
          <w:tcPr>
            <w:tcW w:w="1640" w:type="dxa"/>
            <w:vAlign w:val="bottom"/>
          </w:tcPr>
          <w:p>
            <w:pPr>
              <w:jc w:val="right"/>
              <w:spacing w:after="0"/>
              <w:rPr>
                <w:sz w:val="20"/>
                <w:szCs w:val="20"/>
                <w:color w:val="auto"/>
              </w:rPr>
            </w:pPr>
            <w:r>
              <w:rPr>
                <w:rFonts w:ascii="Arial" w:cs="Arial" w:eastAsia="Arial" w:hAnsi="Arial"/>
                <w:sz w:val="18"/>
                <w:szCs w:val="18"/>
                <w:b w:val="1"/>
                <w:bCs w:val="1"/>
                <w:color w:val="auto"/>
              </w:rPr>
              <w:t>23</w:t>
            </w:r>
          </w:p>
        </w:tc>
      </w:tr>
      <w:tr>
        <w:trPr>
          <w:trHeight w:val="31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8.01. </w:t>
            </w:r>
            <w:r>
              <w:rPr>
                <w:rFonts w:ascii="Arial" w:cs="Arial" w:eastAsia="Arial" w:hAnsi="Arial"/>
                <w:sz w:val="18"/>
                <w:szCs w:val="18"/>
                <w:i w:val="1"/>
                <w:iCs w:val="1"/>
                <w:color w:val="auto"/>
              </w:rPr>
              <w:t>Counterparts</w:t>
            </w:r>
          </w:p>
        </w:tc>
        <w:tc>
          <w:tcPr>
            <w:tcW w:w="16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8.02. </w:t>
            </w:r>
            <w:r>
              <w:rPr>
                <w:rFonts w:ascii="Arial" w:cs="Arial" w:eastAsia="Arial" w:hAnsi="Arial"/>
                <w:sz w:val="18"/>
                <w:szCs w:val="18"/>
                <w:i w:val="1"/>
                <w:iCs w:val="1"/>
                <w:color w:val="auto"/>
              </w:rPr>
              <w:t>Governing Law</w:t>
            </w:r>
          </w:p>
        </w:tc>
        <w:tc>
          <w:tcPr>
            <w:tcW w:w="16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30"/>
        </w:trPr>
        <w:tc>
          <w:tcPr>
            <w:tcW w:w="9320" w:type="dxa"/>
            <w:vAlign w:val="bottom"/>
            <w:gridSpan w:val="2"/>
          </w:tcPr>
          <w:p>
            <w:pPr>
              <w:ind w:left="360"/>
              <w:spacing w:after="0"/>
              <w:rPr>
                <w:sz w:val="20"/>
                <w:szCs w:val="20"/>
                <w:color w:val="auto"/>
              </w:rPr>
            </w:pPr>
            <w:r>
              <w:rPr>
                <w:rFonts w:ascii="Arial" w:cs="Arial" w:eastAsia="Arial" w:hAnsi="Arial"/>
                <w:sz w:val="18"/>
                <w:szCs w:val="18"/>
                <w:color w:val="auto"/>
              </w:rPr>
              <w:t xml:space="preserve">Section 8.03. </w:t>
            </w:r>
            <w:r>
              <w:rPr>
                <w:rFonts w:ascii="Arial" w:cs="Arial" w:eastAsia="Arial" w:hAnsi="Arial"/>
                <w:sz w:val="18"/>
                <w:szCs w:val="18"/>
                <w:i w:val="1"/>
                <w:iCs w:val="1"/>
                <w:color w:val="auto"/>
              </w:rPr>
              <w:t>Recitals by the Company and the Guarantors</w:t>
            </w:r>
          </w:p>
        </w:tc>
        <w:tc>
          <w:tcPr>
            <w:tcW w:w="164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445"/>
        </w:trPr>
        <w:tc>
          <w:tcPr>
            <w:tcW w:w="1000" w:type="dxa"/>
            <w:vAlign w:val="bottom"/>
          </w:tcPr>
          <w:p>
            <w:pPr>
              <w:spacing w:after="0"/>
              <w:rPr>
                <w:sz w:val="20"/>
                <w:szCs w:val="20"/>
                <w:color w:val="auto"/>
              </w:rPr>
            </w:pPr>
            <w:r>
              <w:rPr>
                <w:rFonts w:ascii="Arial" w:cs="Arial" w:eastAsia="Arial" w:hAnsi="Arial"/>
                <w:sz w:val="18"/>
                <w:szCs w:val="18"/>
                <w:color w:val="auto"/>
              </w:rPr>
              <w:t>Annex A</w:t>
            </w:r>
          </w:p>
        </w:tc>
        <w:tc>
          <w:tcPr>
            <w:tcW w:w="8320" w:type="dxa"/>
            <w:vAlign w:val="bottom"/>
          </w:tcPr>
          <w:p>
            <w:pPr>
              <w:ind w:left="320"/>
              <w:spacing w:after="0"/>
              <w:rPr>
                <w:sz w:val="20"/>
                <w:szCs w:val="20"/>
                <w:color w:val="auto"/>
              </w:rPr>
            </w:pPr>
            <w:r>
              <w:rPr>
                <w:rFonts w:ascii="Arial" w:cs="Arial" w:eastAsia="Arial" w:hAnsi="Arial"/>
                <w:sz w:val="18"/>
                <w:szCs w:val="18"/>
                <w:color w:val="auto"/>
              </w:rPr>
              <w:t>Form of Certificate to be Delivered in Connection with Transfers Pursuant to Regulation S</w:t>
            </w:r>
          </w:p>
        </w:tc>
        <w:tc>
          <w:tcPr>
            <w:tcW w:w="1640" w:type="dxa"/>
            <w:vAlign w:val="bottom"/>
          </w:tcPr>
          <w:p>
            <w:pPr>
              <w:spacing w:after="0"/>
              <w:rPr>
                <w:sz w:val="24"/>
                <w:szCs w:val="24"/>
                <w:color w:val="auto"/>
              </w:rPr>
            </w:pPr>
          </w:p>
        </w:tc>
      </w:tr>
      <w:tr>
        <w:trPr>
          <w:trHeight w:val="216"/>
        </w:trPr>
        <w:tc>
          <w:tcPr>
            <w:tcW w:w="1000" w:type="dxa"/>
            <w:vAlign w:val="bottom"/>
          </w:tcPr>
          <w:p>
            <w:pPr>
              <w:spacing w:after="0"/>
              <w:rPr>
                <w:sz w:val="20"/>
                <w:szCs w:val="20"/>
                <w:color w:val="auto"/>
              </w:rPr>
            </w:pPr>
            <w:r>
              <w:rPr>
                <w:rFonts w:ascii="Arial" w:cs="Arial" w:eastAsia="Arial" w:hAnsi="Arial"/>
                <w:sz w:val="18"/>
                <w:szCs w:val="18"/>
                <w:color w:val="auto"/>
              </w:rPr>
              <w:t>Exhibit A</w:t>
            </w:r>
          </w:p>
        </w:tc>
        <w:tc>
          <w:tcPr>
            <w:tcW w:w="8320" w:type="dxa"/>
            <w:vAlign w:val="bottom"/>
          </w:tcPr>
          <w:p>
            <w:pPr>
              <w:ind w:left="320"/>
              <w:spacing w:after="0"/>
              <w:rPr>
                <w:sz w:val="20"/>
                <w:szCs w:val="20"/>
                <w:color w:val="auto"/>
              </w:rPr>
            </w:pPr>
            <w:r>
              <w:rPr>
                <w:rFonts w:ascii="Arial" w:cs="Arial" w:eastAsia="Arial" w:hAnsi="Arial"/>
                <w:sz w:val="18"/>
                <w:szCs w:val="18"/>
                <w:color w:val="auto"/>
              </w:rPr>
              <w:t>Form of 2023 Global Note</w:t>
            </w:r>
          </w:p>
        </w:tc>
        <w:tc>
          <w:tcPr>
            <w:tcW w:w="1640" w:type="dxa"/>
            <w:vAlign w:val="bottom"/>
          </w:tcPr>
          <w:p>
            <w:pPr>
              <w:spacing w:after="0"/>
              <w:rPr>
                <w:sz w:val="18"/>
                <w:szCs w:val="18"/>
                <w:color w:val="auto"/>
              </w:rPr>
            </w:pPr>
          </w:p>
        </w:tc>
      </w:tr>
      <w:tr>
        <w:trPr>
          <w:trHeight w:val="216"/>
        </w:trPr>
        <w:tc>
          <w:tcPr>
            <w:tcW w:w="1000" w:type="dxa"/>
            <w:vAlign w:val="bottom"/>
          </w:tcPr>
          <w:p>
            <w:pPr>
              <w:spacing w:after="0"/>
              <w:rPr>
                <w:sz w:val="20"/>
                <w:szCs w:val="20"/>
                <w:color w:val="auto"/>
              </w:rPr>
            </w:pPr>
            <w:r>
              <w:rPr>
                <w:rFonts w:ascii="Arial" w:cs="Arial" w:eastAsia="Arial" w:hAnsi="Arial"/>
                <w:sz w:val="18"/>
                <w:szCs w:val="18"/>
                <w:color w:val="auto"/>
              </w:rPr>
              <w:t>Exhibit B</w:t>
            </w:r>
          </w:p>
        </w:tc>
        <w:tc>
          <w:tcPr>
            <w:tcW w:w="8320" w:type="dxa"/>
            <w:vAlign w:val="bottom"/>
          </w:tcPr>
          <w:p>
            <w:pPr>
              <w:ind w:left="320"/>
              <w:spacing w:after="0"/>
              <w:rPr>
                <w:sz w:val="20"/>
                <w:szCs w:val="20"/>
                <w:color w:val="auto"/>
              </w:rPr>
            </w:pPr>
            <w:r>
              <w:rPr>
                <w:rFonts w:ascii="Arial" w:cs="Arial" w:eastAsia="Arial" w:hAnsi="Arial"/>
                <w:sz w:val="18"/>
                <w:szCs w:val="18"/>
                <w:color w:val="auto"/>
              </w:rPr>
              <w:t>Form of 2028 Global Note</w:t>
            </w:r>
          </w:p>
        </w:tc>
        <w:tc>
          <w:tcPr>
            <w:tcW w:w="1640" w:type="dxa"/>
            <w:vAlign w:val="bottom"/>
          </w:tcPr>
          <w:p>
            <w:pPr>
              <w:spacing w:after="0"/>
              <w:rPr>
                <w:sz w:val="18"/>
                <w:szCs w:val="18"/>
                <w:color w:val="auto"/>
              </w:rPr>
            </w:pPr>
          </w:p>
        </w:tc>
      </w:tr>
      <w:tr>
        <w:trPr>
          <w:trHeight w:val="230"/>
        </w:trPr>
        <w:tc>
          <w:tcPr>
            <w:tcW w:w="1000" w:type="dxa"/>
            <w:vAlign w:val="bottom"/>
          </w:tcPr>
          <w:p>
            <w:pPr>
              <w:spacing w:after="0"/>
              <w:rPr>
                <w:sz w:val="20"/>
                <w:szCs w:val="20"/>
                <w:color w:val="auto"/>
              </w:rPr>
            </w:pPr>
            <w:r>
              <w:rPr>
                <w:rFonts w:ascii="Arial" w:cs="Arial" w:eastAsia="Arial" w:hAnsi="Arial"/>
                <w:sz w:val="18"/>
                <w:szCs w:val="18"/>
                <w:color w:val="auto"/>
              </w:rPr>
              <w:t>Exhibit C</w:t>
            </w:r>
          </w:p>
        </w:tc>
        <w:tc>
          <w:tcPr>
            <w:tcW w:w="8320" w:type="dxa"/>
            <w:vAlign w:val="bottom"/>
          </w:tcPr>
          <w:p>
            <w:pPr>
              <w:ind w:left="320"/>
              <w:spacing w:after="0"/>
              <w:rPr>
                <w:sz w:val="20"/>
                <w:szCs w:val="20"/>
                <w:color w:val="auto"/>
              </w:rPr>
            </w:pPr>
            <w:r>
              <w:rPr>
                <w:rFonts w:ascii="Arial" w:cs="Arial" w:eastAsia="Arial" w:hAnsi="Arial"/>
                <w:sz w:val="18"/>
                <w:szCs w:val="18"/>
                <w:color w:val="auto"/>
              </w:rPr>
              <w:t>Form of Supplemental Indenture to add Guarantors</w:t>
            </w:r>
          </w:p>
        </w:tc>
        <w:tc>
          <w:tcPr>
            <w:tcW w:w="1640" w:type="dxa"/>
            <w:vAlign w:val="bottom"/>
          </w:tcPr>
          <w:p>
            <w:pPr>
              <w:spacing w:after="0"/>
              <w:rPr>
                <w:sz w:val="20"/>
                <w:szCs w:val="20"/>
                <w:color w:val="auto"/>
              </w:rPr>
            </w:pPr>
          </w:p>
        </w:tc>
      </w:tr>
    </w:tbl>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2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0960"/>
          </w:cols>
          <w:pgMar w:left="440" w:top="270" w:right="499" w:bottom="1440" w:gutter="0" w:footer="0" w:header="0"/>
        </w:sectPr>
      </w:pPr>
    </w:p>
    <w:bookmarkStart w:id="6" w:name="page7"/>
    <w:bookmarkEnd w:id="6"/>
    <w:p>
      <w:pPr>
        <w:ind w:right="80" w:firstLine="440"/>
        <w:spacing w:after="0" w:line="258"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SECOND SUPPLEMENTAL INDENTURE</w:t>
      </w:r>
      <w:r>
        <w:rPr>
          <w:rFonts w:ascii="Arial" w:cs="Arial" w:eastAsia="Arial" w:hAnsi="Arial"/>
          <w:sz w:val="18"/>
          <w:szCs w:val="18"/>
          <w:color w:val="auto"/>
        </w:rPr>
        <w:t>, dated as of May 4, 2021 (“</w:t>
      </w:r>
      <w:r>
        <w:rPr>
          <w:rFonts w:ascii="Arial" w:cs="Arial" w:eastAsia="Arial" w:hAnsi="Arial"/>
          <w:sz w:val="18"/>
          <w:szCs w:val="18"/>
          <w:u w:val="single" w:color="auto"/>
          <w:color w:val="auto"/>
        </w:rPr>
        <w:t>Second Supplemental Indenture</w:t>
      </w:r>
      <w:r>
        <w:rPr>
          <w:rFonts w:ascii="Arial" w:cs="Arial" w:eastAsia="Arial" w:hAnsi="Arial"/>
          <w:sz w:val="18"/>
          <w:szCs w:val="18"/>
          <w:color w:val="auto"/>
        </w:rPr>
        <w:t>”), to the Indenture, dated as of</w:t>
      </w:r>
      <w:r>
        <w:rPr>
          <w:rFonts w:ascii="Arial" w:cs="Arial" w:eastAsia="Arial" w:hAnsi="Arial"/>
          <w:sz w:val="18"/>
          <w:szCs w:val="18"/>
          <w:b w:val="1"/>
          <w:bCs w:val="1"/>
          <w:color w:val="auto"/>
        </w:rPr>
        <w:t xml:space="preserve"> </w:t>
      </w:r>
      <w:r>
        <w:rPr>
          <w:rFonts w:ascii="Arial" w:cs="Arial" w:eastAsia="Arial" w:hAnsi="Arial"/>
          <w:sz w:val="18"/>
          <w:szCs w:val="18"/>
          <w:color w:val="auto"/>
        </w:rPr>
        <w:t>April 12, 2021 (as amended, modified or supplemented from time to time in accordance therewith, other than with respect to a particular series of debt securities, the “</w:t>
      </w:r>
      <w:r>
        <w:rPr>
          <w:rFonts w:ascii="Arial" w:cs="Arial" w:eastAsia="Arial" w:hAnsi="Arial"/>
          <w:sz w:val="18"/>
          <w:szCs w:val="18"/>
          <w:u w:val="single" w:color="auto"/>
          <w:color w:val="auto"/>
        </w:rPr>
        <w:t>Base Indenture</w:t>
      </w:r>
      <w:r>
        <w:rPr>
          <w:rFonts w:ascii="Arial" w:cs="Arial" w:eastAsia="Arial" w:hAnsi="Arial"/>
          <w:sz w:val="18"/>
          <w:szCs w:val="18"/>
          <w:color w:val="auto"/>
        </w:rPr>
        <w:t>” and, as amended, modified and supplemented by this Second Supplemental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by and among Marvell Technology, Inc.,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and U.S. Bank National Association, a national banking association, as trustee (the “</w:t>
      </w:r>
      <w:r>
        <w:rPr>
          <w:rFonts w:ascii="Arial" w:cs="Arial" w:eastAsia="Arial" w:hAnsi="Arial"/>
          <w:sz w:val="18"/>
          <w:szCs w:val="18"/>
          <w:u w:val="single" w:color="auto"/>
          <w:color w:val="auto"/>
        </w:rPr>
        <w:t>Trustee</w:t>
      </w:r>
      <w:r>
        <w:rPr>
          <w:rFonts w:ascii="Arial" w:cs="Arial" w:eastAsia="Arial" w:hAnsi="Arial"/>
          <w:sz w:val="18"/>
          <w:szCs w:val="18"/>
          <w:color w:val="auto"/>
        </w:rPr>
        <w:t>”).</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party agrees as follows for the benefit of the other parties and for the equal and ratable benefit of the Holders of the Notes:</w:t>
      </w:r>
    </w:p>
    <w:p>
      <w:pPr>
        <w:spacing w:after="0" w:line="221" w:lineRule="exact"/>
        <w:rPr>
          <w:sz w:val="20"/>
          <w:szCs w:val="20"/>
          <w:color w:val="auto"/>
        </w:rPr>
      </w:pPr>
    </w:p>
    <w:p>
      <w:pPr>
        <w:ind w:right="14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Company has duly authorized the execution and delivery of the Base Indenture to provide for the issuance from time to time of</w:t>
      </w:r>
      <w:r>
        <w:rPr>
          <w:rFonts w:ascii="Arial" w:cs="Arial" w:eastAsia="Arial" w:hAnsi="Arial"/>
          <w:sz w:val="18"/>
          <w:szCs w:val="18"/>
          <w:b w:val="1"/>
          <w:bCs w:val="1"/>
          <w:color w:val="auto"/>
        </w:rPr>
        <w:t xml:space="preserve"> </w:t>
      </w:r>
      <w:r>
        <w:rPr>
          <w:rFonts w:ascii="Arial" w:cs="Arial" w:eastAsia="Arial" w:hAnsi="Arial"/>
          <w:sz w:val="18"/>
          <w:szCs w:val="18"/>
          <w:color w:val="auto"/>
        </w:rPr>
        <w:t>senior debt securities to be issued in one or more series as provided in the Base Indenture;</w:t>
      </w:r>
    </w:p>
    <w:p>
      <w:pPr>
        <w:spacing w:after="0" w:line="162" w:lineRule="exact"/>
        <w:rPr>
          <w:sz w:val="20"/>
          <w:szCs w:val="20"/>
          <w:color w:val="auto"/>
        </w:rPr>
      </w:pPr>
    </w:p>
    <w:p>
      <w:pPr>
        <w:ind w:right="28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Company has duly authorized the execution and delivery, and desires and has requested the Trustee to join it in the execution</w:t>
      </w:r>
      <w:r>
        <w:rPr>
          <w:rFonts w:ascii="Arial" w:cs="Arial" w:eastAsia="Arial" w:hAnsi="Arial"/>
          <w:sz w:val="18"/>
          <w:szCs w:val="18"/>
          <w:b w:val="1"/>
          <w:bCs w:val="1"/>
          <w:color w:val="auto"/>
        </w:rPr>
        <w:t xml:space="preserve"> </w:t>
      </w:r>
      <w:r>
        <w:rPr>
          <w:rFonts w:ascii="Arial" w:cs="Arial" w:eastAsia="Arial" w:hAnsi="Arial"/>
          <w:sz w:val="18"/>
          <w:szCs w:val="18"/>
          <w:color w:val="auto"/>
        </w:rPr>
        <w:t>and delivery, of this Second Supplemental Indenture in order to establish and provide for the issuance by the Company of Securities designated as its 4.200% Senior Notes due 2023 (the “</w:t>
      </w:r>
      <w:r>
        <w:rPr>
          <w:rFonts w:ascii="Arial" w:cs="Arial" w:eastAsia="Arial" w:hAnsi="Arial"/>
          <w:sz w:val="18"/>
          <w:szCs w:val="18"/>
          <w:u w:val="single" w:color="auto"/>
          <w:color w:val="auto"/>
        </w:rPr>
        <w:t>2023 Notes</w:t>
      </w:r>
      <w:r>
        <w:rPr>
          <w:rFonts w:ascii="Arial" w:cs="Arial" w:eastAsia="Arial" w:hAnsi="Arial"/>
          <w:sz w:val="18"/>
          <w:szCs w:val="18"/>
          <w:color w:val="auto"/>
        </w:rPr>
        <w:t>”) and its 4.875% Senior Notes due 2028 (the “</w:t>
      </w:r>
      <w:r>
        <w:rPr>
          <w:rFonts w:ascii="Arial" w:cs="Arial" w:eastAsia="Arial" w:hAnsi="Arial"/>
          <w:sz w:val="18"/>
          <w:szCs w:val="18"/>
          <w:u w:val="single" w:color="auto"/>
          <w:color w:val="auto"/>
        </w:rPr>
        <w:t>2028 Notes</w:t>
      </w:r>
      <w:r>
        <w:rPr>
          <w:rFonts w:ascii="Arial" w:cs="Arial" w:eastAsia="Arial" w:hAnsi="Arial"/>
          <w:sz w:val="18"/>
          <w:szCs w:val="18"/>
          <w:color w:val="auto"/>
        </w:rPr>
        <w:t>” and, together with the 2023 Notes, the “</w:t>
      </w:r>
      <w:r>
        <w:rPr>
          <w:rFonts w:ascii="Arial" w:cs="Arial" w:eastAsia="Arial" w:hAnsi="Arial"/>
          <w:sz w:val="18"/>
          <w:szCs w:val="18"/>
          <w:u w:val="single" w:color="auto"/>
          <w:color w:val="auto"/>
        </w:rPr>
        <w:t>Notes</w:t>
      </w:r>
      <w:r>
        <w:rPr>
          <w:rFonts w:ascii="Arial" w:cs="Arial" w:eastAsia="Arial" w:hAnsi="Arial"/>
          <w:sz w:val="18"/>
          <w:szCs w:val="18"/>
          <w:color w:val="auto"/>
        </w:rPr>
        <w:t>”) on the terms set forth herein;</w:t>
      </w:r>
    </w:p>
    <w:p>
      <w:pPr>
        <w:spacing w:after="0" w:line="180" w:lineRule="exact"/>
        <w:rPr>
          <w:sz w:val="20"/>
          <w:szCs w:val="20"/>
          <w:color w:val="auto"/>
        </w:rPr>
      </w:pPr>
    </w:p>
    <w:p>
      <w:pPr>
        <w:ind w:right="40" w:firstLine="440"/>
        <w:spacing w:after="0" w:line="312" w:lineRule="auto"/>
        <w:rPr>
          <w:sz w:val="20"/>
          <w:szCs w:val="20"/>
          <w:color w:val="auto"/>
        </w:rPr>
      </w:pPr>
      <w:r>
        <w:rPr>
          <w:rFonts w:ascii="Arial" w:cs="Arial" w:eastAsia="Arial" w:hAnsi="Arial"/>
          <w:sz w:val="17"/>
          <w:szCs w:val="17"/>
          <w:b w:val="1"/>
          <w:bCs w:val="1"/>
          <w:color w:val="auto"/>
        </w:rPr>
        <w:t>WHEREAS</w:t>
      </w:r>
      <w:r>
        <w:rPr>
          <w:rFonts w:ascii="Arial" w:cs="Arial" w:eastAsia="Arial" w:hAnsi="Arial"/>
          <w:sz w:val="17"/>
          <w:szCs w:val="17"/>
          <w:color w:val="auto"/>
        </w:rPr>
        <w:t>, the Notes will be fully and unconditionally guaranteed by any existing and future domestic subsidiary of the Company that becomes</w:t>
      </w:r>
      <w:r>
        <w:rPr>
          <w:rFonts w:ascii="Arial" w:cs="Arial" w:eastAsia="Arial" w:hAnsi="Arial"/>
          <w:sz w:val="17"/>
          <w:szCs w:val="17"/>
          <w:b w:val="1"/>
          <w:bCs w:val="1"/>
          <w:color w:val="auto"/>
        </w:rPr>
        <w:t xml:space="preserve"> </w:t>
      </w:r>
      <w:r>
        <w:rPr>
          <w:rFonts w:ascii="Arial" w:cs="Arial" w:eastAsia="Arial" w:hAnsi="Arial"/>
          <w:sz w:val="17"/>
          <w:szCs w:val="17"/>
          <w:color w:val="auto"/>
        </w:rPr>
        <w:t>a borrower or guarantor under the Revolving Credit Agreement (as defined herein) or the Term Loan Agreement (as defined herein);</w:t>
      </w:r>
    </w:p>
    <w:p>
      <w:pPr>
        <w:spacing w:after="0" w:line="140" w:lineRule="exact"/>
        <w:rPr>
          <w:sz w:val="20"/>
          <w:szCs w:val="20"/>
          <w:color w:val="auto"/>
        </w:rPr>
      </w:pPr>
    </w:p>
    <w:p>
      <w:pPr>
        <w:ind w:right="54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Section 901 of the Base Indenture provides that a supplemental indenture may be entered into by the parties for such purpose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without notice to or the consent of any Holder;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certain conditions are met;</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conditions set forth in the Base Indenture for the execution and delivery of this Second Supplemental Indenture have been met;</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and</w:t>
      </w:r>
    </w:p>
    <w:p>
      <w:pPr>
        <w:spacing w:after="0" w:line="207" w:lineRule="exact"/>
        <w:rPr>
          <w:sz w:val="20"/>
          <w:szCs w:val="20"/>
          <w:color w:val="auto"/>
        </w:rPr>
      </w:pPr>
    </w:p>
    <w:p>
      <w:pPr>
        <w:ind w:firstLine="440"/>
        <w:spacing w:after="0" w:line="312" w:lineRule="auto"/>
        <w:rPr>
          <w:sz w:val="20"/>
          <w:szCs w:val="20"/>
          <w:color w:val="auto"/>
        </w:rPr>
      </w:pPr>
      <w:r>
        <w:rPr>
          <w:rFonts w:ascii="Arial" w:cs="Arial" w:eastAsia="Arial" w:hAnsi="Arial"/>
          <w:sz w:val="17"/>
          <w:szCs w:val="17"/>
          <w:b w:val="1"/>
          <w:bCs w:val="1"/>
          <w:color w:val="auto"/>
        </w:rPr>
        <w:t>WHEREAS</w:t>
      </w:r>
      <w:r>
        <w:rPr>
          <w:rFonts w:ascii="Arial" w:cs="Arial" w:eastAsia="Arial" w:hAnsi="Arial"/>
          <w:sz w:val="17"/>
          <w:szCs w:val="17"/>
          <w:color w:val="auto"/>
        </w:rPr>
        <w:t>, all things necessary to make this Second Supplemental Indenture a valid and binding agreement of the parties, in accordance with its</w:t>
      </w:r>
      <w:r>
        <w:rPr>
          <w:rFonts w:ascii="Arial" w:cs="Arial" w:eastAsia="Arial" w:hAnsi="Arial"/>
          <w:sz w:val="17"/>
          <w:szCs w:val="17"/>
          <w:b w:val="1"/>
          <w:bCs w:val="1"/>
          <w:color w:val="auto"/>
        </w:rPr>
        <w:t xml:space="preserve"> </w:t>
      </w:r>
      <w:r>
        <w:rPr>
          <w:rFonts w:ascii="Arial" w:cs="Arial" w:eastAsia="Arial" w:hAnsi="Arial"/>
          <w:sz w:val="17"/>
          <w:szCs w:val="17"/>
          <w:color w:val="auto"/>
        </w:rPr>
        <w:t>terms, and a valid amendment of, and supplement to, the Base Indenture with respect to the Notes and the guarantees have been done.</w:t>
      </w:r>
    </w:p>
    <w:p>
      <w:pPr>
        <w:spacing w:after="0" w:line="140"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NOW, THEREFORE</w:t>
      </w:r>
      <w:r>
        <w:rPr>
          <w:rFonts w:ascii="Arial" w:cs="Arial" w:eastAsia="Arial" w:hAnsi="Arial"/>
          <w:sz w:val="18"/>
          <w:szCs w:val="18"/>
          <w:color w:val="auto"/>
        </w:rPr>
        <w:t>:</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ARTICLE 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DEFINITIONS AND OTHER PROVISIONS OF GENERAL APPLICATION</w:t>
      </w:r>
    </w:p>
    <w:p>
      <w:pPr>
        <w:spacing w:after="0" w:line="211" w:lineRule="exact"/>
        <w:rPr>
          <w:sz w:val="20"/>
          <w:szCs w:val="20"/>
          <w:color w:val="auto"/>
        </w:rPr>
      </w:pPr>
    </w:p>
    <w:p>
      <w:pPr>
        <w:ind w:right="180" w:firstLine="440"/>
        <w:spacing w:after="0" w:line="279" w:lineRule="auto"/>
        <w:rPr>
          <w:sz w:val="20"/>
          <w:szCs w:val="20"/>
          <w:color w:val="auto"/>
        </w:rPr>
      </w:pPr>
      <w:r>
        <w:rPr>
          <w:rFonts w:ascii="Arial" w:cs="Arial" w:eastAsia="Arial" w:hAnsi="Arial"/>
          <w:sz w:val="17"/>
          <w:szCs w:val="17"/>
          <w:color w:val="auto"/>
        </w:rPr>
        <w:t xml:space="preserve">Section 1.01. </w:t>
      </w:r>
      <w:r>
        <w:rPr>
          <w:rFonts w:ascii="Arial" w:cs="Arial" w:eastAsia="Arial" w:hAnsi="Arial"/>
          <w:sz w:val="17"/>
          <w:szCs w:val="17"/>
          <w:i w:val="1"/>
          <w:iCs w:val="1"/>
          <w:color w:val="auto"/>
        </w:rPr>
        <w:t>Definitions.</w:t>
      </w:r>
      <w:r>
        <w:rPr>
          <w:rFonts w:ascii="Arial" w:cs="Arial" w:eastAsia="Arial" w:hAnsi="Arial"/>
          <w:sz w:val="17"/>
          <w:szCs w:val="17"/>
          <w:color w:val="auto"/>
        </w:rPr>
        <w:t xml:space="preserve"> Capitalized terms used herein and not otherwise defined herein have the meanings assigned to them in the Base Indenture. To the extent terms are defined in both this Second Supplemental Indenture and the Base Indenture, the applicable definition in this Second Supplemental Indenture shall control. The words “herein,” “hereof” and “hereby” and other words of similar import used in this Second Supplemental Indenture refer to this Second Supplemental Indenture as a whole and not to any particular section hereof.</w:t>
      </w:r>
    </w:p>
    <w:p>
      <w:pPr>
        <w:spacing w:after="0" w:line="17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used herein, the following terms have the specified meanings: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2023 Additional Notes</w:t>
      </w:r>
      <w:r>
        <w:rPr>
          <w:rFonts w:ascii="Arial" w:cs="Arial" w:eastAsia="Arial" w:hAnsi="Arial"/>
          <w:sz w:val="18"/>
          <w:szCs w:val="18"/>
          <w:color w:val="auto"/>
        </w:rPr>
        <w:t>” has the meaning specified in Section 3.03 of this Second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2028 Additional Notes</w:t>
      </w:r>
      <w:r>
        <w:rPr>
          <w:rFonts w:ascii="Arial" w:cs="Arial" w:eastAsia="Arial" w:hAnsi="Arial"/>
          <w:sz w:val="18"/>
          <w:szCs w:val="18"/>
          <w:color w:val="auto"/>
        </w:rPr>
        <w:t>” has the meaning specified in Section 3.03 of this Second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2023 Par Call Date</w:t>
      </w:r>
      <w:r>
        <w:rPr>
          <w:rFonts w:ascii="Arial" w:cs="Arial" w:eastAsia="Arial" w:hAnsi="Arial"/>
          <w:sz w:val="18"/>
          <w:szCs w:val="18"/>
          <w:color w:val="auto"/>
        </w:rPr>
        <w:t>” means May 22, 2023 (the date that is one month prior to the maturity of the 2023 Notes).</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00"/>
          </w:cols>
          <w:pgMar w:left="440" w:top="270" w:right="459" w:bottom="1440" w:gutter="0" w:footer="0" w:header="0"/>
        </w:sectPr>
      </w:pPr>
    </w:p>
    <w:bookmarkStart w:id="7" w:name="page8"/>
    <w:bookmarkEnd w:id="7"/>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2028 Par Call Date</w:t>
      </w:r>
      <w:r>
        <w:rPr>
          <w:rFonts w:ascii="Arial" w:cs="Arial" w:eastAsia="Arial" w:hAnsi="Arial"/>
          <w:sz w:val="18"/>
          <w:szCs w:val="18"/>
          <w:color w:val="auto"/>
        </w:rPr>
        <w:t>” means March 22, 2028 (the date that is three months prior to the maturity of the 2028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Notes</w:t>
      </w:r>
      <w:r>
        <w:rPr>
          <w:rFonts w:ascii="Arial" w:cs="Arial" w:eastAsia="Arial" w:hAnsi="Arial"/>
          <w:sz w:val="18"/>
          <w:szCs w:val="18"/>
          <w:color w:val="auto"/>
        </w:rPr>
        <w:t>” has the meaning specified in Section 3.03 of this Second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Agent Members</w:t>
      </w:r>
      <w:r>
        <w:rPr>
          <w:rFonts w:ascii="Arial" w:cs="Arial" w:eastAsia="Arial" w:hAnsi="Arial"/>
          <w:sz w:val="18"/>
          <w:szCs w:val="18"/>
          <w:color w:val="auto"/>
        </w:rPr>
        <w:t>” has the meaning specified in Section 2.01(b)(ii) of this Second Supplemental Indenture.</w:t>
      </w:r>
    </w:p>
    <w:p>
      <w:pPr>
        <w:spacing w:after="0" w:line="225" w:lineRule="exact"/>
        <w:rPr>
          <w:sz w:val="20"/>
          <w:szCs w:val="20"/>
          <w:color w:val="auto"/>
        </w:rPr>
      </w:pPr>
    </w:p>
    <w:p>
      <w:pPr>
        <w:jc w:val="both"/>
        <w:ind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Procedures</w:t>
      </w:r>
      <w:r>
        <w:rPr>
          <w:rFonts w:ascii="Arial" w:cs="Arial" w:eastAsia="Arial" w:hAnsi="Arial"/>
          <w:sz w:val="18"/>
          <w:szCs w:val="18"/>
          <w:color w:val="auto"/>
        </w:rPr>
        <w:t>” means, with respect to any transfer or transaction involving a Regulation S Global Note or beneficial interest therein, the rules and procedures of the Depositary for such Global Note, Euroclear and Clearstream, in each case to the extent applicable to such transaction and as in effect from time to time.</w:t>
      </w:r>
    </w:p>
    <w:p>
      <w:pPr>
        <w:spacing w:after="0" w:line="184" w:lineRule="exact"/>
        <w:rPr>
          <w:sz w:val="20"/>
          <w:szCs w:val="20"/>
          <w:color w:val="auto"/>
        </w:rPr>
      </w:pPr>
    </w:p>
    <w:p>
      <w:pPr>
        <w:ind w:right="40" w:firstLine="440"/>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the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Base Indenture</w:t>
      </w:r>
      <w:r>
        <w:rPr>
          <w:rFonts w:ascii="Arial" w:cs="Arial" w:eastAsia="Arial" w:hAnsi="Arial"/>
          <w:sz w:val="18"/>
          <w:szCs w:val="18"/>
          <w:color w:val="auto"/>
        </w:rPr>
        <w:t>” has the meaning specified in the recitals of this Second Supplemental Indenture.</w:t>
      </w:r>
    </w:p>
    <w:p>
      <w:pPr>
        <w:spacing w:after="0" w:line="225"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with respect to each series of Notes, any day, other than a Saturday or Sunday, that is not a day on which the banking institutions are authorized or required by law or executive order to close or on which commercial banks in New York, New York or the place of payment are authorized or required by law to close.</w:t>
      </w:r>
    </w:p>
    <w:p>
      <w:pPr>
        <w:spacing w:after="0" w:line="184" w:lineRule="exact"/>
        <w:rPr>
          <w:sz w:val="20"/>
          <w:szCs w:val="20"/>
          <w:color w:val="auto"/>
        </w:rPr>
      </w:pPr>
    </w:p>
    <w:p>
      <w:pPr>
        <w:ind w:firstLine="440"/>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Change of Control</w:t>
      </w:r>
      <w:r>
        <w:rPr>
          <w:rFonts w:ascii="Arial" w:cs="Arial" w:eastAsia="Arial" w:hAnsi="Arial"/>
          <w:sz w:val="16"/>
          <w:szCs w:val="16"/>
          <w:color w:val="auto"/>
        </w:rPr>
        <w:t xml:space="preserve">” means the occurrence of any of the following: (1) the direct or indirect sale, transfer, conveyance or other disposition (other than by way of merger or consolidation), in one or a series of related transactions, of all or substantially all of the assets of the Company and its Subsidiaries taken as a whole to any “person” (as that term is used in Section 13(d)(3) of the Exchange Act) other than to the Company or one of its Subsidiaries; (2) the adoption of a plan by the Board of Directors relating to the Company’s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the Company’s Voting Shares or other Voting Shares into which the Company’s Voting Shares are reclassified, consolidated, exchanged or changed, measured by voting power rather than number of shares; </w:t>
      </w:r>
      <w:r>
        <w:rPr>
          <w:rFonts w:ascii="Arial" w:cs="Arial" w:eastAsia="Arial" w:hAnsi="Arial"/>
          <w:sz w:val="16"/>
          <w:szCs w:val="16"/>
          <w:i w:val="1"/>
          <w:iCs w:val="1"/>
          <w:color w:val="auto"/>
        </w:rPr>
        <w:t>provided, however</w:t>
      </w:r>
      <w:r>
        <w:rPr>
          <w:rFonts w:ascii="Arial" w:cs="Arial" w:eastAsia="Arial" w:hAnsi="Arial"/>
          <w:sz w:val="16"/>
          <w:szCs w:val="16"/>
          <w:color w:val="auto"/>
        </w:rPr>
        <w:t>, that (x) a person shall not be deemed the beneficial owner of, or to own beneficially, (A) any securities tendered pursuant to a tender or exchange offer made by or on behalf of such person or any Affiliates of such person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 13D (or any successor schedule) under the Exchange Act and (y) a transaction will not be deemed to involve a change of control under this clause (3) if (A) the Company becomes a direct or indirect wholly-owned Subsidiary of a holding company and (B)(i) the direct or indirect holders of the Voting Shares of such holding company immediately following that transaction are substantially the same as the holders of the Company’s Voting Shares immediately prior to that transaction and each holder holds substantially the same percentage of Voting Shares of such holding company as such holder held of the Company’s shares immediately prior to that transaction or (ii) the Company’s Voting Shares outstanding immediately prior to such transaction are converted into or exchanged for, a majority of the voting stock of such holding company immediately after giving effect to such transaction; or (4) the Company consolidates with, or merges with or into, any person, or any person consolidates with, or merges with or into, the Company, in any such event pursuant to a transaction in which any of the outstanding Voting Shares of the Company or such other person is converted into or exchanged for cash, securities or other property, other than any such transaction where the Company’s Voting Shares outstanding immediately prior to such transaction constitute, or are converted into or exchanged for, a majority of the</w:t>
      </w:r>
    </w:p>
    <w:p>
      <w:pPr>
        <w:spacing w:after="0" w:line="1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8" w:name="page9"/>
    <w:bookmarkEnd w:id="8"/>
    <w:p>
      <w:pPr>
        <w:ind w:right="6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Voting Shares (measured by voting power) of the surviving person or any direct or indirect parent company of any surviving person immediately after giving effect to such transaction;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a merger of the Company with any of its Subsidiaries solely for the purpose of reincorporating the Company in another jurisdiction within the United States shall not constitute a “Change of Control”.</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Notice</w:t>
      </w:r>
      <w:r>
        <w:rPr>
          <w:rFonts w:ascii="Arial" w:cs="Arial" w:eastAsia="Arial" w:hAnsi="Arial"/>
          <w:sz w:val="18"/>
          <w:szCs w:val="18"/>
          <w:color w:val="auto"/>
        </w:rPr>
        <w:t>” has the meaning specified in Section 4.02(a) of this Second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Offer</w:t>
      </w:r>
      <w:r>
        <w:rPr>
          <w:rFonts w:ascii="Arial" w:cs="Arial" w:eastAsia="Arial" w:hAnsi="Arial"/>
          <w:sz w:val="18"/>
          <w:szCs w:val="18"/>
          <w:color w:val="auto"/>
        </w:rPr>
        <w:t>” has the meaning specified in Section 4.02(a) of this Second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Payment Date</w:t>
      </w:r>
      <w:r>
        <w:rPr>
          <w:rFonts w:ascii="Arial" w:cs="Arial" w:eastAsia="Arial" w:hAnsi="Arial"/>
          <w:sz w:val="18"/>
          <w:szCs w:val="18"/>
          <w:color w:val="auto"/>
        </w:rPr>
        <w:t>” has the meaning specified in Section 4.02(a) of this Second Supplemental Indenture.</w:t>
      </w:r>
    </w:p>
    <w:p>
      <w:pPr>
        <w:spacing w:after="0" w:line="225" w:lineRule="exact"/>
        <w:rPr>
          <w:sz w:val="20"/>
          <w:szCs w:val="20"/>
          <w:color w:val="auto"/>
        </w:rPr>
      </w:pPr>
    </w:p>
    <w:p>
      <w:pPr>
        <w:ind w:right="4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Repurchase Event</w:t>
      </w:r>
      <w:r>
        <w:rPr>
          <w:rFonts w:ascii="Arial" w:cs="Arial" w:eastAsia="Arial" w:hAnsi="Arial"/>
          <w:sz w:val="18"/>
          <w:szCs w:val="18"/>
          <w:color w:val="auto"/>
        </w:rPr>
        <w:t>” means, with respect to any series of Notes, the occurrence of both a Change of Control and a Ratings Event.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Clearstream</w:t>
      </w:r>
      <w:r>
        <w:rPr>
          <w:rFonts w:ascii="Arial" w:cs="Arial" w:eastAsia="Arial" w:hAnsi="Arial"/>
          <w:sz w:val="18"/>
          <w:szCs w:val="18"/>
          <w:color w:val="auto"/>
        </w:rPr>
        <w:t>” means Clearstream Banking S.A.</w:t>
      </w:r>
    </w:p>
    <w:p>
      <w:pPr>
        <w:spacing w:after="0" w:line="225"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the party named as such in the recitals of this Second Supplemental Indenture until a successor replaces it pursuant to the terms and conditions of the Indenture and thereafter means the successor.</w:t>
      </w:r>
    </w:p>
    <w:p>
      <w:pPr>
        <w:spacing w:after="0" w:line="170" w:lineRule="exact"/>
        <w:rPr>
          <w:sz w:val="20"/>
          <w:szCs w:val="20"/>
          <w:color w:val="auto"/>
        </w:rPr>
      </w:pPr>
    </w:p>
    <w:p>
      <w:pPr>
        <w:ind w:right="12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Comparable Treasury Issue</w:t>
      </w:r>
      <w:r>
        <w:rPr>
          <w:rFonts w:ascii="Arial" w:cs="Arial" w:eastAsia="Arial" w:hAnsi="Arial"/>
          <w:sz w:val="18"/>
          <w:szCs w:val="18"/>
          <w:color w:val="auto"/>
        </w:rPr>
        <w:t>” means, with respect to any Notes to be redeemed, the United States Treasury security selected by an Independent Investment Banker as having an actual or interpolated maturity comparable to the remaining term of the Notes to be redeemed pursuant to Section 4.01 of this Second Supplemental Indenture (assuming the 2023 Notes matured on the 2023 Par Call Date and the 2028 Notes matured on the 2028 Par Call Date) that would be utilized, at the time of selection and in accordance with customary financial practice, in pricing new issues of corporate debt securities of comparable maturity to the remaining term of the Notes (assuming the 2023 Notes matured on the 2023 Par Call Date and the 2028 Notes matured on the 2028 Par Call Date).</w:t>
      </w:r>
    </w:p>
    <w:p>
      <w:pPr>
        <w:spacing w:after="0" w:line="192" w:lineRule="exact"/>
        <w:rPr>
          <w:sz w:val="20"/>
          <w:szCs w:val="20"/>
          <w:color w:val="auto"/>
        </w:rPr>
      </w:pPr>
    </w:p>
    <w:p>
      <w:pPr>
        <w:ind w:right="2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Comparable Treasury Price</w:t>
      </w:r>
      <w:r>
        <w:rPr>
          <w:rFonts w:ascii="Arial" w:cs="Arial" w:eastAsia="Arial" w:hAnsi="Arial"/>
          <w:sz w:val="16"/>
          <w:szCs w:val="16"/>
          <w:color w:val="auto"/>
        </w:rPr>
        <w:t>” means, with respect to any redemption date pursuant to Section 4.01 of this Second Supplemental Indenture, (1) if the Company obtains four or more applicable Reference Treasury Dealer Quotations, the arithmetic average of the applicable Reference Treasury Dealer Quotations for such redemption date after excluding the highest and lowest Reference Treasury Dealer Quotations, (2) if the Company obtains fewer than four and more than one applicable Reference Treasury Dealer Quotations, the arithmetic average of all applicable Reference Treasury Dealer Quotations for such redemption date or (3) if only one Reference Treasury Dealer Quotation is received, such quotation.</w:t>
      </w:r>
    </w:p>
    <w:p>
      <w:pPr>
        <w:spacing w:after="0" w:line="161"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the Company’s or any Guarantor’s most recent consolidated balance sheet (including, without duplication, the notes related thereto) prepared in accordance with GAAP.</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Custodian</w:t>
      </w:r>
      <w:r>
        <w:rPr>
          <w:rFonts w:ascii="Arial" w:cs="Arial" w:eastAsia="Arial" w:hAnsi="Arial"/>
          <w:sz w:val="18"/>
          <w:szCs w:val="18"/>
          <w:color w:val="auto"/>
        </w:rPr>
        <w:t>” means any receiver, trustee, assignee, liquidator or similar official under any Bankruptcy Law.</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Euroclear</w:t>
      </w:r>
      <w:r>
        <w:rPr>
          <w:rFonts w:ascii="Arial" w:cs="Arial" w:eastAsia="Arial" w:hAnsi="Arial"/>
          <w:sz w:val="18"/>
          <w:szCs w:val="18"/>
          <w:color w:val="auto"/>
        </w:rPr>
        <w:t>” means Euroclear Bank S.A./N.V.</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 of Default</w:t>
      </w:r>
      <w:r>
        <w:rPr>
          <w:rFonts w:ascii="Arial" w:cs="Arial" w:eastAsia="Arial" w:hAnsi="Arial"/>
          <w:sz w:val="18"/>
          <w:szCs w:val="18"/>
          <w:color w:val="auto"/>
        </w:rPr>
        <w:t>” has the meaning specified in Section 5.03 of this Second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Notes</w:t>
      </w:r>
      <w:r>
        <w:rPr>
          <w:rFonts w:ascii="Arial" w:cs="Arial" w:eastAsia="Arial" w:hAnsi="Arial"/>
          <w:sz w:val="18"/>
          <w:szCs w:val="18"/>
          <w:color w:val="auto"/>
        </w:rPr>
        <w:t>” has the meaning specified in the Registration Rights Agreement.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and its successors.</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9" w:name="page10"/>
    <w:bookmarkEnd w:id="9"/>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right="20"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xml:space="preserve">”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term “</w:t>
      </w:r>
      <w:r>
        <w:rPr>
          <w:rFonts w:ascii="Arial" w:cs="Arial" w:eastAsia="Arial" w:hAnsi="Arial"/>
          <w:sz w:val="17"/>
          <w:szCs w:val="17"/>
          <w:u w:val="single" w:color="auto"/>
          <w:color w:val="auto"/>
        </w:rPr>
        <w:t>guarantee</w:t>
      </w:r>
      <w:r>
        <w:rPr>
          <w:rFonts w:ascii="Arial" w:cs="Arial" w:eastAsia="Arial" w:hAnsi="Arial"/>
          <w:sz w:val="17"/>
          <w:szCs w:val="17"/>
          <w:color w:val="auto"/>
        </w:rPr>
        <w:t>” shall not include endorsements for collection or deposit in the ordinary course of business. The term “</w:t>
      </w:r>
      <w:r>
        <w:rPr>
          <w:rFonts w:ascii="Arial" w:cs="Arial" w:eastAsia="Arial" w:hAnsi="Arial"/>
          <w:sz w:val="17"/>
          <w:szCs w:val="17"/>
          <w:u w:val="single" w:color="auto"/>
          <w:color w:val="auto"/>
        </w:rPr>
        <w:t>guarantee</w:t>
      </w:r>
      <w:r>
        <w:rPr>
          <w:rFonts w:ascii="Arial" w:cs="Arial" w:eastAsia="Arial" w:hAnsi="Arial"/>
          <w:sz w:val="17"/>
          <w:szCs w:val="17"/>
          <w:color w:val="auto"/>
        </w:rPr>
        <w:t>,” when used as a verb, has a correlative meaning.</w:t>
      </w:r>
    </w:p>
    <w:p>
      <w:pPr>
        <w:spacing w:after="0" w:line="177" w:lineRule="exact"/>
        <w:rPr>
          <w:sz w:val="20"/>
          <w:szCs w:val="20"/>
          <w:color w:val="auto"/>
        </w:rPr>
      </w:pPr>
    </w:p>
    <w:p>
      <w:pPr>
        <w:ind w:right="6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Guarantor</w:t>
      </w:r>
      <w:r>
        <w:rPr>
          <w:rFonts w:ascii="Arial" w:cs="Arial" w:eastAsia="Arial" w:hAnsi="Arial"/>
          <w:sz w:val="18"/>
          <w:szCs w:val="18"/>
          <w:color w:val="auto"/>
        </w:rPr>
        <w:t>” means any such entity that executes a supplemental indenture pursuant to Section 7.01 hereof until the date that such entity is released from its guarantee pursuant to Section 7.02 hereof or otherwise.</w:t>
      </w:r>
    </w:p>
    <w:p>
      <w:pPr>
        <w:spacing w:after="0" w:line="170" w:lineRule="exact"/>
        <w:rPr>
          <w:sz w:val="20"/>
          <w:szCs w:val="20"/>
          <w:color w:val="auto"/>
        </w:rPr>
      </w:pPr>
    </w:p>
    <w:p>
      <w:pPr>
        <w:ind w:right="2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Hedging Obligations</w:t>
      </w:r>
      <w:r>
        <w:rPr>
          <w:rFonts w:ascii="Arial" w:cs="Arial" w:eastAsia="Arial" w:hAnsi="Arial"/>
          <w:sz w:val="18"/>
          <w:szCs w:val="18"/>
          <w:color w:val="auto"/>
        </w:rPr>
        <w:t>” means, with respect to any specified Person, the obligations of such Person under: (1) interest rate swap agreements (whether from fixed to floating or from floating to fixed), interest rate cap agreements and interest rate collar agreements; (2) other agreements or arrangements designed to manage interest rates or interest rate risk; and (3) other agreements or arrangements designed to protect such Person against fluctuations in currency exchange rates or commodity prices.</w:t>
      </w:r>
    </w:p>
    <w:p>
      <w:pPr>
        <w:spacing w:after="0" w:line="187"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has the meaning specified in the recitals of this Second Supplemental Indenture.</w:t>
      </w:r>
    </w:p>
    <w:p>
      <w:pPr>
        <w:spacing w:after="0" w:line="225" w:lineRule="exact"/>
        <w:rPr>
          <w:sz w:val="20"/>
          <w:szCs w:val="20"/>
          <w:color w:val="auto"/>
        </w:rPr>
      </w:pPr>
    </w:p>
    <w:p>
      <w:pPr>
        <w:jc w:val="both"/>
        <w:ind w:right="6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Independent Investment Banker</w:t>
      </w:r>
      <w:r>
        <w:rPr>
          <w:rFonts w:ascii="Arial" w:cs="Arial" w:eastAsia="Arial" w:hAnsi="Arial"/>
          <w:sz w:val="18"/>
          <w:szCs w:val="18"/>
          <w:color w:val="auto"/>
        </w:rPr>
        <w:t xml:space="preserve">” means one of the Reference Treasury Dealers, as may be appointed from time to time by the Company;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any Reference Treasury Dealer ceases to be a Primary Treasury Dealer, the Company shall substitute another Primary</w:t>
      </w:r>
      <w:r>
        <w:rPr>
          <w:rFonts w:ascii="Arial" w:cs="Arial" w:eastAsia="Arial" w:hAnsi="Arial"/>
          <w:sz w:val="18"/>
          <w:szCs w:val="18"/>
          <w:i w:val="1"/>
          <w:iCs w:val="1"/>
          <w:color w:val="auto"/>
        </w:rPr>
        <w:t xml:space="preserve"> </w:t>
      </w:r>
      <w:r>
        <w:rPr>
          <w:rFonts w:ascii="Arial" w:cs="Arial" w:eastAsia="Arial" w:hAnsi="Arial"/>
          <w:sz w:val="18"/>
          <w:szCs w:val="18"/>
          <w:color w:val="auto"/>
        </w:rPr>
        <w:t>Treasury Dealer.</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Initial Notes</w:t>
      </w:r>
      <w:r>
        <w:rPr>
          <w:rFonts w:ascii="Arial" w:cs="Arial" w:eastAsia="Arial" w:hAnsi="Arial"/>
          <w:sz w:val="18"/>
          <w:szCs w:val="18"/>
          <w:color w:val="auto"/>
        </w:rPr>
        <w:t>” has the meaning set forth in Section 3.01(b) of this Second Supplemental Indenture.</w:t>
      </w:r>
    </w:p>
    <w:p>
      <w:pPr>
        <w:spacing w:after="0" w:line="225"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Substitute Rating Agency appointed in accordance with the proviso to the definition of “Rating Agency”.</w:t>
      </w:r>
    </w:p>
    <w:p>
      <w:pPr>
        <w:spacing w:after="0" w:line="187" w:lineRule="exact"/>
        <w:rPr>
          <w:sz w:val="20"/>
          <w:szCs w:val="20"/>
          <w:color w:val="auto"/>
        </w:rPr>
      </w:pPr>
    </w:p>
    <w:p>
      <w:pPr>
        <w:ind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Non-recourse Obligation</w:t>
      </w:r>
      <w:r>
        <w:rPr>
          <w:rFonts w:ascii="Arial" w:cs="Arial" w:eastAsia="Arial" w:hAnsi="Arial"/>
          <w:sz w:val="17"/>
          <w:szCs w:val="17"/>
          <w:color w:val="auto"/>
        </w:rPr>
        <w:t>” means Indebtedness or other obligations substantially related to (1) the acquisition of assets not previously owned by the Company, any Guarantor or any direct or indirect Subsidiaries of the Company or of any Guarantor or (2) the financing of a project involving the development or expansion of the properties of the Company, any Guarantor or any direct or indirect Subsidiaries of the Company or of any Guarantor, as to which the obligee with respect to such Indebtedness or obligation has no recourse to the Company or any direct or indirect Subsidiary of the Company or of any Guarantor or such Subsidiary’s assets other than the assets which were acquired with the proceeds of such transaction or the project financed with the proceeds of such transaction (and the proceeds thereof).</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0"/>
          </w:cols>
          <w:pgMar w:left="440" w:top="274" w:right="459" w:bottom="1440" w:gutter="0" w:footer="0" w:header="0"/>
        </w:sectPr>
      </w:pPr>
    </w:p>
    <w:bookmarkStart w:id="10" w:name="page11"/>
    <w:bookmarkEnd w:id="10"/>
    <w:p>
      <w:pPr>
        <w:ind w:left="44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Notes</w:t>
      </w:r>
      <w:r>
        <w:rPr>
          <w:rFonts w:ascii="Arial" w:cs="Arial" w:eastAsia="Arial" w:hAnsi="Arial"/>
          <w:sz w:val="18"/>
          <w:szCs w:val="18"/>
          <w:color w:val="auto"/>
        </w:rPr>
        <w:t>” has the meaning specified in the recitals of this Second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w:t>
      </w:r>
      <w:r>
        <w:rPr>
          <w:rFonts w:ascii="Arial" w:cs="Arial" w:eastAsia="Arial" w:hAnsi="Arial"/>
          <w:sz w:val="18"/>
          <w:szCs w:val="18"/>
          <w:color w:val="auto"/>
        </w:rPr>
        <w:t>” has the meaning specified in Section 8.01 of this Second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Primary Treasury Dealer</w:t>
      </w:r>
      <w:r>
        <w:rPr>
          <w:rFonts w:ascii="Arial" w:cs="Arial" w:eastAsia="Arial" w:hAnsi="Arial"/>
          <w:sz w:val="18"/>
          <w:szCs w:val="18"/>
          <w:color w:val="auto"/>
        </w:rPr>
        <w:t>” means a primary U.S. Government securities dealer in the United States of America.</w:t>
      </w:r>
    </w:p>
    <w:p>
      <w:pPr>
        <w:spacing w:after="0" w:line="225" w:lineRule="exact"/>
        <w:rPr>
          <w:sz w:val="20"/>
          <w:szCs w:val="20"/>
          <w:color w:val="auto"/>
        </w:rPr>
      </w:pPr>
    </w:p>
    <w:p>
      <w:pPr>
        <w:ind w:left="4" w:right="40" w:firstLine="440"/>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Property</w:t>
      </w:r>
      <w:r>
        <w:rPr>
          <w:rFonts w:ascii="Arial" w:cs="Arial" w:eastAsia="Arial" w:hAnsi="Arial"/>
          <w:sz w:val="16"/>
          <w:szCs w:val="16"/>
          <w:color w:val="auto"/>
        </w:rPr>
        <w:t>” means (i) any real property or any permanent improvement thereon owned by the Company, any Guarantor or any of the Restricted Subsidiaries located in the United States, except such as the Company’s management determines in good faith (taking into account, among other things, the importance of such property to the business, financial condition and earnings of the Company, any Guarantor and the Restricted Subsidiaries taken as a whole) not to be of material importance to the business of the Company, any Guarantor and the Restricted Subsidiaries, taken as a whole, and</w:t>
      </w:r>
    </w:p>
    <w:p>
      <w:pPr>
        <w:spacing w:after="0" w:line="1" w:lineRule="exact"/>
        <w:rPr>
          <w:sz w:val="20"/>
          <w:szCs w:val="20"/>
          <w:color w:val="auto"/>
        </w:rPr>
      </w:pPr>
    </w:p>
    <w:p>
      <w:pPr>
        <w:ind w:left="4" w:right="160" w:hanging="4"/>
        <w:spacing w:after="0" w:line="260" w:lineRule="auto"/>
        <w:tabs>
          <w:tab w:leader="none" w:pos="269"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capital stock of any United States Subsidiary that is owned by the Company, any Guarantor or any of the Restricted Subsidiaries, in the case of each of clause (i) and (ii), whether now owned or hereafter acquired.</w:t>
      </w:r>
    </w:p>
    <w:p>
      <w:pPr>
        <w:spacing w:after="0" w:line="18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QIB</w:t>
      </w:r>
      <w:r>
        <w:rPr>
          <w:rFonts w:ascii="Arial" w:cs="Arial" w:eastAsia="Arial" w:hAnsi="Arial"/>
          <w:sz w:val="18"/>
          <w:szCs w:val="18"/>
          <w:color w:val="auto"/>
        </w:rPr>
        <w:t>” means a qualified institutional buyer as specified in Rule 144A promulgated under the Securities Act.</w:t>
      </w:r>
    </w:p>
    <w:p>
      <w:pPr>
        <w:spacing w:after="0" w:line="225" w:lineRule="exact"/>
        <w:rPr>
          <w:sz w:val="20"/>
          <w:szCs w:val="20"/>
          <w:color w:val="auto"/>
        </w:rPr>
      </w:pPr>
    </w:p>
    <w:p>
      <w:pPr>
        <w:ind w:left="4" w:right="6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Rating Agency</w:t>
      </w:r>
      <w:r>
        <w:rPr>
          <w:rFonts w:ascii="Arial" w:cs="Arial" w:eastAsia="Arial" w:hAnsi="Arial"/>
          <w:sz w:val="16"/>
          <w:szCs w:val="16"/>
          <w:color w:val="auto"/>
        </w:rPr>
        <w:t xml:space="preserve">” means each of Fitch, Moody’s and S&amp;P;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any of Fitch, Moody’s or S&amp;P ceases to rate the Notes or fails to make a rating of the Notes publicly available, “Rating Agency” shall include a substitute rating agency appointed by the Company that is a “nationally recognized statistical rating organization” as defined in Section 3(a)(62) of the Exchange Act for such rating agency (a “</w:t>
      </w:r>
      <w:r>
        <w:rPr>
          <w:rFonts w:ascii="Arial" w:cs="Arial" w:eastAsia="Arial" w:hAnsi="Arial"/>
          <w:sz w:val="16"/>
          <w:szCs w:val="16"/>
          <w:u w:val="single" w:color="auto"/>
          <w:color w:val="auto"/>
        </w:rPr>
        <w:t>Substitute Rating Agency</w:t>
      </w:r>
      <w:r>
        <w:rPr>
          <w:rFonts w:ascii="Arial" w:cs="Arial" w:eastAsia="Arial" w:hAnsi="Arial"/>
          <w:sz w:val="16"/>
          <w:szCs w:val="16"/>
          <w:color w:val="auto"/>
        </w:rPr>
        <w:t>”).</w:t>
      </w:r>
    </w:p>
    <w:p>
      <w:pPr>
        <w:spacing w:after="0" w:line="149" w:lineRule="exact"/>
        <w:rPr>
          <w:sz w:val="20"/>
          <w:szCs w:val="20"/>
          <w:color w:val="auto"/>
        </w:rPr>
      </w:pPr>
    </w:p>
    <w:p>
      <w:pPr>
        <w:ind w:left="4"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Ratings Event</w:t>
      </w:r>
      <w:r>
        <w:rPr>
          <w:rFonts w:ascii="Arial" w:cs="Arial" w:eastAsia="Arial" w:hAnsi="Arial"/>
          <w:sz w:val="16"/>
          <w:szCs w:val="16"/>
          <w:color w:val="auto"/>
        </w:rPr>
        <w:t>” means that the Notes of the applicable series cease to be rated Investment Grade by at least two of the three Rating Agencies on any day during the Trigger Period. If any of the Rating Agencies is not providing a rating of the Notes of the applicable series on any day during the Trigger Period for any reason (subject, for the avoidance of doubt, to the Company’s right to engage a Substitute Rating Agency as provided herein), the rating of such Rating Agency for the Notes of such series shall be deemed to have ceased to be Investment Grade during the Trigger Period.</w:t>
      </w:r>
    </w:p>
    <w:p>
      <w:pPr>
        <w:spacing w:after="0" w:line="15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Record Date</w:t>
      </w:r>
      <w:r>
        <w:rPr>
          <w:rFonts w:ascii="Arial" w:cs="Arial" w:eastAsia="Arial" w:hAnsi="Arial"/>
          <w:sz w:val="18"/>
          <w:szCs w:val="18"/>
          <w:color w:val="auto"/>
        </w:rPr>
        <w:t>” has the meaning specified in Section 3.01(d) of this Second Supplemental Indenture.</w:t>
      </w:r>
    </w:p>
    <w:p>
      <w:pPr>
        <w:spacing w:after="0" w:line="225" w:lineRule="exact"/>
        <w:rPr>
          <w:sz w:val="20"/>
          <w:szCs w:val="20"/>
          <w:color w:val="auto"/>
        </w:rPr>
      </w:pPr>
    </w:p>
    <w:p>
      <w:pPr>
        <w:ind w:left="4" w:right="3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Reference Treasury Dealer</w:t>
      </w:r>
      <w:r>
        <w:rPr>
          <w:rFonts w:ascii="Arial" w:cs="Arial" w:eastAsia="Arial" w:hAnsi="Arial"/>
          <w:sz w:val="18"/>
          <w:szCs w:val="18"/>
          <w:color w:val="auto"/>
        </w:rPr>
        <w:t>” means each of J.P. Morgan Securities LLC, BofA Securities, Inc. and Wells Fargo Securities, LLC, each of their respective successors, and any other Primary Treasury Dealer selected by the Company.</w:t>
      </w:r>
    </w:p>
    <w:p>
      <w:pPr>
        <w:spacing w:after="0" w:line="170" w:lineRule="exact"/>
        <w:rPr>
          <w:sz w:val="20"/>
          <w:szCs w:val="20"/>
          <w:color w:val="auto"/>
        </w:rPr>
      </w:pPr>
    </w:p>
    <w:p>
      <w:pPr>
        <w:ind w:left="4" w:right="4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Reference Treasury Dealer Quotations</w:t>
      </w:r>
      <w:r>
        <w:rPr>
          <w:rFonts w:ascii="Arial" w:cs="Arial" w:eastAsia="Arial" w:hAnsi="Arial"/>
          <w:sz w:val="18"/>
          <w:szCs w:val="18"/>
          <w:color w:val="auto"/>
        </w:rPr>
        <w:t>” means, with respect to each Reference Treasury Dealer and any redemption date, the arithmetic average, as determined by the Independent Investment Banker, of the bid and asked prices for the applicable Comparable Treasury Issue (expressed in each case as a percentage of its principal amount) quoted in writing to the Independent Investment Banker by such Reference Treasury Dealer as of 5:00 p.m., New York City time, on the third Business Day preceding such redemption date.</w:t>
      </w:r>
    </w:p>
    <w:p>
      <w:pPr>
        <w:spacing w:after="0" w:line="187" w:lineRule="exact"/>
        <w:rPr>
          <w:sz w:val="20"/>
          <w:szCs w:val="20"/>
          <w:color w:val="auto"/>
        </w:rPr>
      </w:pPr>
    </w:p>
    <w:p>
      <w:pPr>
        <w:ind w:left="4" w:right="1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Registered Exchange Offer</w:t>
      </w:r>
      <w:r>
        <w:rPr>
          <w:rFonts w:ascii="Arial" w:cs="Arial" w:eastAsia="Arial" w:hAnsi="Arial"/>
          <w:sz w:val="18"/>
          <w:szCs w:val="18"/>
          <w:color w:val="auto"/>
        </w:rPr>
        <w:t>” means the offer by the Company, pursuant to the Registration Rights Agreement, to Holders of the Initial Notes, to issue and deliver to such Holders, in exchange for their Initial Notes, a like aggregate principal amount of Exchange Notes registered under the Securities Act.</w:t>
      </w:r>
    </w:p>
    <w:p>
      <w:pPr>
        <w:spacing w:after="0" w:line="184" w:lineRule="exact"/>
        <w:rPr>
          <w:sz w:val="20"/>
          <w:szCs w:val="20"/>
          <w:color w:val="auto"/>
        </w:rPr>
      </w:pPr>
    </w:p>
    <w:p>
      <w:pPr>
        <w:ind w:left="4"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Registration Rights Agreement</w:t>
      </w:r>
      <w:r>
        <w:rPr>
          <w:rFonts w:ascii="Arial" w:cs="Arial" w:eastAsia="Arial" w:hAnsi="Arial"/>
          <w:sz w:val="18"/>
          <w:szCs w:val="18"/>
          <w:color w:val="auto"/>
        </w:rPr>
        <w:t>” means the Registration Rights Agreement, dated as of May 4, 2021, between the Company and J.P. Morgan Securities LLC.</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Regulation S</w:t>
      </w:r>
      <w:r>
        <w:rPr>
          <w:rFonts w:ascii="Arial" w:cs="Arial" w:eastAsia="Arial" w:hAnsi="Arial"/>
          <w:sz w:val="18"/>
          <w:szCs w:val="18"/>
          <w:color w:val="auto"/>
        </w:rPr>
        <w:t>” means Regulation S promulgated under the Securities Act.</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Regulation S Notes</w:t>
      </w:r>
      <w:r>
        <w:rPr>
          <w:rFonts w:ascii="Arial" w:cs="Arial" w:eastAsia="Arial" w:hAnsi="Arial"/>
          <w:sz w:val="18"/>
          <w:szCs w:val="18"/>
          <w:color w:val="auto"/>
        </w:rPr>
        <w:t>” means all Notes offered and sold in an offshore transaction in reliance on Regulation S.</w:t>
      </w:r>
    </w:p>
    <w:p>
      <w:pPr>
        <w:spacing w:after="0" w:line="158" w:lineRule="exact"/>
        <w:rPr>
          <w:sz w:val="20"/>
          <w:szCs w:val="20"/>
          <w:color w:val="auto"/>
        </w:rPr>
      </w:pPr>
    </w:p>
    <w:p>
      <w:pPr>
        <w:ind w:left="5464"/>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64"/>
          </w:cols>
          <w:pgMar w:left="436" w:top="274" w:right="499" w:bottom="1440" w:gutter="0" w:footer="0" w:header="0"/>
        </w:sectPr>
      </w:pPr>
    </w:p>
    <w:bookmarkStart w:id="11" w:name="page12"/>
    <w:bookmarkEnd w:id="11"/>
    <w:p>
      <w:pPr>
        <w:ind w:right="140" w:firstLine="44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6"/>
          <w:szCs w:val="16"/>
          <w:u w:val="single" w:color="auto"/>
          <w:color w:val="auto"/>
        </w:rPr>
        <w:t>Remaining Scheduled Payments</w:t>
      </w:r>
      <w:r>
        <w:rPr>
          <w:rFonts w:ascii="Arial" w:cs="Arial" w:eastAsia="Arial" w:hAnsi="Arial"/>
          <w:sz w:val="16"/>
          <w:szCs w:val="16"/>
          <w:color w:val="auto"/>
        </w:rPr>
        <w:t xml:space="preserve">” means, with respect to any Note to be redeemed pursuant to Section 4.01 of this Second Supplemental Indenture, the remaining scheduled payments of the principal thereof and interest thereon that would be due after the related redemption date but for such redemption calculated as if the Stated Maturity of such Note was the 2023 Par Call Date, in the case of the 2023 Notes, or the 2028 Par Call Date, in the case of the 2028 Notes;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 if such redemption date is not an Interest Payment Date with respect to such Note, the amount of the next scheduled interest payment thereon shall be reduced by the amount of interest accrued thereon to such redemption date.</w:t>
      </w:r>
    </w:p>
    <w:p>
      <w:pPr>
        <w:spacing w:after="0" w:line="16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Notes Legend</w:t>
      </w:r>
      <w:r>
        <w:rPr>
          <w:rFonts w:ascii="Arial" w:cs="Arial" w:eastAsia="Arial" w:hAnsi="Arial"/>
          <w:sz w:val="18"/>
          <w:szCs w:val="18"/>
          <w:color w:val="auto"/>
        </w:rPr>
        <w:t>” has the meaning specified in Section 2.02(d) of this Second Supplemental Indenture.</w:t>
      </w:r>
    </w:p>
    <w:p>
      <w:pPr>
        <w:spacing w:after="0" w:line="225"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Period</w:t>
      </w:r>
      <w:r>
        <w:rPr>
          <w:rFonts w:ascii="Arial" w:cs="Arial" w:eastAsia="Arial" w:hAnsi="Arial"/>
          <w:sz w:val="18"/>
          <w:szCs w:val="18"/>
          <w:color w:val="auto"/>
        </w:rPr>
        <w:t>” means, with respect to any Notes, the period that is 40 consecutive days beginning on and including the later of (i) the day on which such Notes are first offered to Persons other than distributors (as defined in Regulation S under the Securities Act) in reliance on Regulation S and (ii) the date of original issuance with respect to such Notes.</w:t>
      </w:r>
    </w:p>
    <w:p>
      <w:pPr>
        <w:spacing w:after="0" w:line="184"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Subsidiary</w:t>
      </w:r>
      <w:r>
        <w:rPr>
          <w:rFonts w:ascii="Arial" w:cs="Arial" w:eastAsia="Arial" w:hAnsi="Arial"/>
          <w:sz w:val="18"/>
          <w:szCs w:val="18"/>
          <w:color w:val="auto"/>
        </w:rPr>
        <w:t>” means a Subsidiary of the Company or of any Guarantor, in each case of which substantially all of its property is located, or substantially all of its business is conducted, in the United States.</w:t>
      </w:r>
    </w:p>
    <w:p>
      <w:pPr>
        <w:spacing w:after="0" w:line="170"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Credit Agreement</w:t>
      </w:r>
      <w:r>
        <w:rPr>
          <w:rFonts w:ascii="Arial" w:cs="Arial" w:eastAsia="Arial" w:hAnsi="Arial"/>
          <w:sz w:val="18"/>
          <w:szCs w:val="18"/>
          <w:color w:val="auto"/>
        </w:rPr>
        <w:t>” means that certain revolving credit agreement, dated as of December 7, 2020, among Marvell, Maui HoldCo, Inc., the guarantors party thereto, the lenders party thereto and Bank of America, N.A., as the administrative agent.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Rule 144</w:t>
      </w:r>
      <w:r>
        <w:rPr>
          <w:rFonts w:ascii="Arial" w:cs="Arial" w:eastAsia="Arial" w:hAnsi="Arial"/>
          <w:sz w:val="18"/>
          <w:szCs w:val="18"/>
          <w:color w:val="auto"/>
        </w:rPr>
        <w:t>” means Rule 144 promulgated under the Securities Act.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Rule 144A</w:t>
      </w:r>
      <w:r>
        <w:rPr>
          <w:rFonts w:ascii="Arial" w:cs="Arial" w:eastAsia="Arial" w:hAnsi="Arial"/>
          <w:sz w:val="18"/>
          <w:szCs w:val="18"/>
          <w:color w:val="auto"/>
        </w:rPr>
        <w:t>” means Rule 144A promulgated under the Securities Act.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Rule 144A Notes</w:t>
      </w:r>
      <w:r>
        <w:rPr>
          <w:rFonts w:ascii="Arial" w:cs="Arial" w:eastAsia="Arial" w:hAnsi="Arial"/>
          <w:sz w:val="18"/>
          <w:szCs w:val="18"/>
          <w:color w:val="auto"/>
        </w:rPr>
        <w:t>” means all Notes offered and sold to purchasers reasonably believed to be QIBs in reliance on Rule 144A.</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Second Supplemental Indenture</w:t>
      </w:r>
      <w:r>
        <w:rPr>
          <w:rFonts w:ascii="Arial" w:cs="Arial" w:eastAsia="Arial" w:hAnsi="Arial"/>
          <w:sz w:val="18"/>
          <w:szCs w:val="18"/>
          <w:color w:val="auto"/>
        </w:rPr>
        <w:t>” has the meaning specified in the recitals of this Second Supplemental Indenture.</w:t>
      </w:r>
    </w:p>
    <w:p>
      <w:pPr>
        <w:spacing w:after="0" w:line="225"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Substitute Rating Agency</w:t>
      </w:r>
      <w:r>
        <w:rPr>
          <w:rFonts w:ascii="Arial" w:cs="Arial" w:eastAsia="Arial" w:hAnsi="Arial"/>
          <w:sz w:val="18"/>
          <w:szCs w:val="18"/>
          <w:color w:val="auto"/>
        </w:rPr>
        <w:t>” has the meaning set forth in the definition of “Rating Agency”.</w:t>
      </w:r>
    </w:p>
    <w:p>
      <w:pPr>
        <w:spacing w:after="0" w:line="225" w:lineRule="exact"/>
        <w:rPr>
          <w:sz w:val="20"/>
          <w:szCs w:val="20"/>
          <w:color w:val="auto"/>
        </w:rPr>
      </w:pPr>
    </w:p>
    <w:p>
      <w:pPr>
        <w:ind w:right="10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Term Loan Agreement</w:t>
      </w:r>
      <w:r>
        <w:rPr>
          <w:rFonts w:ascii="Arial" w:cs="Arial" w:eastAsia="Arial" w:hAnsi="Arial"/>
          <w:sz w:val="17"/>
          <w:szCs w:val="17"/>
          <w:color w:val="auto"/>
        </w:rPr>
        <w:t>” means that certain term loan credit agreement, dated as of December 7, 2020, by and among Marvell Technology Group Ltd., a Bermuda exempted company, the Company, the lenders party thereto and JPMorgan Chase Bank, N.A., as administrative agent.</w:t>
      </w:r>
    </w:p>
    <w:p>
      <w:pPr>
        <w:spacing w:after="0" w:line="14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 Restricted Note</w:t>
      </w:r>
      <w:r>
        <w:rPr>
          <w:rFonts w:ascii="Arial" w:cs="Arial" w:eastAsia="Arial" w:hAnsi="Arial"/>
          <w:sz w:val="18"/>
          <w:szCs w:val="18"/>
          <w:color w:val="auto"/>
        </w:rPr>
        <w:t>” means any Note that bears or is required to bear a Restricted Notes Legend.</w:t>
      </w:r>
    </w:p>
    <w:p>
      <w:pPr>
        <w:spacing w:after="0" w:line="225" w:lineRule="exact"/>
        <w:rPr>
          <w:sz w:val="20"/>
          <w:szCs w:val="20"/>
          <w:color w:val="auto"/>
        </w:rPr>
      </w:pPr>
    </w:p>
    <w:p>
      <w:pPr>
        <w:ind w:right="12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Treasury Rate</w:t>
      </w:r>
      <w:r>
        <w:rPr>
          <w:rFonts w:ascii="Arial" w:cs="Arial" w:eastAsia="Arial" w:hAnsi="Arial"/>
          <w:sz w:val="16"/>
          <w:szCs w:val="16"/>
          <w:color w:val="auto"/>
        </w:rPr>
        <w:t>” means, with respect to any redemption date pursuant to Section 4.01 of this Second Supplemental Indenture, the rate per annum equal to the semi-annual equivalent yield to maturity (computed as of the third Business Day immediately preceding that redemption date) of the applicable Comparable Treasury Issue. In determining this rate, the Independent Investment Banker shall assume a price for the applicable Comparable Treasury Issue (expressed as a percentage of its principal amount) equal to the applicable Comparable Treasury Price for such redemption date.</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4" w:right="439" w:bottom="1440" w:gutter="0" w:footer="0" w:header="0"/>
        </w:sectPr>
      </w:pPr>
    </w:p>
    <w:bookmarkStart w:id="12" w:name="page13"/>
    <w:bookmarkEnd w:id="12"/>
    <w:p>
      <w:pPr>
        <w:ind w:left="4" w:right="40" w:firstLine="44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7"/>
          <w:szCs w:val="17"/>
          <w:u w:val="single" w:color="auto"/>
          <w:color w:val="auto"/>
        </w:rPr>
        <w:t>Trigger Period</w:t>
      </w:r>
      <w:r>
        <w:rPr>
          <w:rFonts w:ascii="Arial" w:cs="Arial" w:eastAsia="Arial" w:hAnsi="Arial"/>
          <w:sz w:val="17"/>
          <w:szCs w:val="17"/>
          <w:color w:val="auto"/>
        </w:rPr>
        <w:t>” means the period commencing on the earlier of (a) the first public notice of the occurrence of a Change of Control or (b) the public announcement by the Company of its intention to effect a Change of Control, and ending 60 days following consummation of such Change of Control (which period shall be extended so long as the rating of the Notes of the applicable series is under publicly announced consideration for a possible rating downgrade by any of the Rating Agencies on such 60</w:t>
      </w:r>
      <w:r>
        <w:rPr>
          <w:rFonts w:ascii="Arial" w:cs="Arial" w:eastAsia="Arial" w:hAnsi="Arial"/>
          <w:sz w:val="14"/>
          <w:szCs w:val="14"/>
          <w:color w:val="auto"/>
        </w:rPr>
        <w:t>th</w:t>
      </w:r>
      <w:r>
        <w:rPr>
          <w:rFonts w:ascii="Arial" w:cs="Arial" w:eastAsia="Arial" w:hAnsi="Arial"/>
          <w:sz w:val="17"/>
          <w:szCs w:val="17"/>
          <w:color w:val="auto"/>
        </w:rPr>
        <w:t xml:space="preserve"> day, such extension to last with respect to each such Rating Agency until the date on which such Rating Agency considering such possible rating downgrade either (x) rates the applicable series of Notes below Investment Grade or (y) publicly announces that it is no longer considering such series of Notes for a possible downgrade).</w:t>
      </w:r>
    </w:p>
    <w:p>
      <w:pPr>
        <w:spacing w:after="0" w:line="178"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184" w:lineRule="exact"/>
        <w:rPr>
          <w:sz w:val="20"/>
          <w:szCs w:val="20"/>
          <w:color w:val="auto"/>
        </w:rPr>
      </w:pPr>
    </w:p>
    <w:p>
      <w:pPr>
        <w:ind w:left="4" w:firstLine="440"/>
        <w:spacing w:after="0" w:line="271" w:lineRule="auto"/>
        <w:rPr>
          <w:sz w:val="20"/>
          <w:szCs w:val="20"/>
          <w:color w:val="auto"/>
        </w:rPr>
      </w:pPr>
      <w:r>
        <w:rPr>
          <w:rFonts w:ascii="Arial" w:cs="Arial" w:eastAsia="Arial" w:hAnsi="Arial"/>
          <w:sz w:val="17"/>
          <w:szCs w:val="17"/>
          <w:color w:val="auto"/>
        </w:rPr>
        <w:t xml:space="preserve">Section 1.02. </w:t>
      </w:r>
      <w:r>
        <w:rPr>
          <w:rFonts w:ascii="Arial" w:cs="Arial" w:eastAsia="Arial" w:hAnsi="Arial"/>
          <w:sz w:val="17"/>
          <w:szCs w:val="17"/>
          <w:i w:val="1"/>
          <w:iCs w:val="1"/>
          <w:color w:val="auto"/>
        </w:rPr>
        <w:t>Relationship with Base Indenture.</w:t>
      </w:r>
      <w:r>
        <w:rPr>
          <w:rFonts w:ascii="Arial" w:cs="Arial" w:eastAsia="Arial" w:hAnsi="Arial"/>
          <w:sz w:val="17"/>
          <w:szCs w:val="17"/>
          <w:color w:val="auto"/>
        </w:rPr>
        <w:t xml:space="preserve"> The terms and provisions contained in this Second Supplemental Indenture will constitute, and are hereby expressly made, a part of the Base Indenture and the Company and the Trustee, by their execution and delivery of this Second Supplemental Indenture, expressly agree to such terms and provisions and to be bound thereby;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the provisions of this Second Supplemental Indenture shall apply solely with respect to the 2023 Notes and the 2028 Notes and that, except as expressly supplemented hereby with respect to the 2023 Notes and the 2028 Notes, the Base Indenture shall continue in full force and effect and is in all respects confirmed, ratified and preserved. The Base Indenture and this Second Supplemental Indenture shall be read, taken and construed as one and the same instrument. In the event that any provision of this Second Supplemental Indenture expressly limits, qualifies or conflicts with a provision of the Base Indenture, such provision of this Second Supplemental Indenture shall control.</w:t>
      </w:r>
    </w:p>
    <w:p>
      <w:pPr>
        <w:spacing w:after="0" w:line="390" w:lineRule="exact"/>
        <w:rPr>
          <w:sz w:val="20"/>
          <w:szCs w:val="20"/>
          <w:color w:val="auto"/>
        </w:rPr>
      </w:pPr>
    </w:p>
    <w:p>
      <w:pPr>
        <w:jc w:val="center"/>
        <w:ind w:right="-23"/>
        <w:spacing w:after="0"/>
        <w:rPr>
          <w:sz w:val="20"/>
          <w:szCs w:val="20"/>
          <w:color w:val="auto"/>
        </w:rPr>
      </w:pPr>
      <w:r>
        <w:rPr>
          <w:rFonts w:ascii="Arial" w:cs="Arial" w:eastAsia="Arial" w:hAnsi="Arial"/>
          <w:sz w:val="18"/>
          <w:szCs w:val="18"/>
          <w:b w:val="1"/>
          <w:bCs w:val="1"/>
          <w:u w:val="single" w:color="auto"/>
          <w:color w:val="auto"/>
        </w:rPr>
        <w:t>ARTICLE II</w:t>
      </w:r>
    </w:p>
    <w:p>
      <w:pPr>
        <w:spacing w:after="0" w:line="27"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FORM OF NOTES</w:t>
      </w:r>
    </w:p>
    <w:p>
      <w:pPr>
        <w:spacing w:after="0" w:line="211" w:lineRule="exact"/>
        <w:rPr>
          <w:sz w:val="20"/>
          <w:szCs w:val="20"/>
          <w:color w:val="auto"/>
        </w:rPr>
      </w:pPr>
    </w:p>
    <w:p>
      <w:pPr>
        <w:ind w:left="444"/>
        <w:spacing w:after="0"/>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i w:val="1"/>
          <w:iCs w:val="1"/>
          <w:color w:val="auto"/>
        </w:rPr>
        <w:t>Form of Notes.</w:t>
      </w:r>
    </w:p>
    <w:p>
      <w:pPr>
        <w:spacing w:after="0" w:line="117" w:lineRule="exact"/>
        <w:rPr>
          <w:sz w:val="20"/>
          <w:szCs w:val="20"/>
          <w:color w:val="auto"/>
        </w:rPr>
      </w:pPr>
    </w:p>
    <w:p>
      <w:pPr>
        <w:ind w:left="4" w:right="400" w:firstLine="436"/>
        <w:spacing w:after="0" w:line="291" w:lineRule="auto"/>
        <w:tabs>
          <w:tab w:leader="none" w:pos="689" w:val="left"/>
        </w:tabs>
        <w:numPr>
          <w:ilvl w:val="1"/>
          <w:numId w:val="3"/>
        </w:numPr>
        <w:rPr>
          <w:rFonts w:ascii="Arial" w:cs="Arial" w:eastAsia="Arial" w:hAnsi="Arial"/>
          <w:sz w:val="16"/>
          <w:szCs w:val="16"/>
          <w:color w:val="auto"/>
        </w:rPr>
      </w:pPr>
      <w:r>
        <w:rPr>
          <w:rFonts w:ascii="Arial" w:cs="Arial" w:eastAsia="Arial" w:hAnsi="Arial"/>
          <w:sz w:val="16"/>
          <w:szCs w:val="16"/>
          <w:color w:val="auto"/>
        </w:rPr>
        <w:t>Each series of the Notes shall be substantially in the form of the corresponding Exhibit attached hereto (other than, with respect to (x) any Additional Notes of any series of the Notes, changes related to issue date, issue price and first Interest Payment Date of such Additional Notes and</w:t>
      </w:r>
    </w:p>
    <w:p>
      <w:pPr>
        <w:ind w:left="4" w:right="120" w:hanging="4"/>
        <w:spacing w:after="0" w:line="255" w:lineRule="auto"/>
        <w:tabs>
          <w:tab w:leader="none" w:pos="259" w:val="left"/>
        </w:tabs>
        <w:numPr>
          <w:ilvl w:val="0"/>
          <w:numId w:val="4"/>
        </w:numPr>
        <w:rPr>
          <w:rFonts w:ascii="Arial" w:cs="Arial" w:eastAsia="Arial" w:hAnsi="Arial"/>
          <w:sz w:val="18"/>
          <w:szCs w:val="18"/>
          <w:color w:val="auto"/>
        </w:rPr>
      </w:pPr>
      <w:r>
        <w:rPr>
          <w:rFonts w:ascii="Arial" w:cs="Arial" w:eastAsia="Arial" w:hAnsi="Arial"/>
          <w:sz w:val="18"/>
          <w:szCs w:val="18"/>
          <w:color w:val="auto"/>
        </w:rPr>
        <w:t>any Exchange Notes of any series of the Notes, changes related to legends, transfer restrictions, CUSIP/ISIN numbers and other changes customary for registered notes). The Notes may have notations, legends or endorsements required by law, rule or usage to which the Company is subject. Each Senior Note shall be dated the date of its authentication.</w:t>
      </w:r>
    </w:p>
    <w:p>
      <w:pPr>
        <w:spacing w:after="0" w:line="81" w:lineRule="exact"/>
        <w:rPr>
          <w:rFonts w:ascii="Arial" w:cs="Arial" w:eastAsia="Arial" w:hAnsi="Arial"/>
          <w:sz w:val="18"/>
          <w:szCs w:val="18"/>
          <w:color w:val="auto"/>
        </w:rPr>
      </w:pPr>
    </w:p>
    <w:p>
      <w:pPr>
        <w:ind w:left="444" w:firstLine="948"/>
        <w:spacing w:after="0" w:line="254" w:lineRule="auto"/>
        <w:tabs>
          <w:tab w:leader="none" w:pos="1611" w:val="left"/>
        </w:tabs>
        <w:numPr>
          <w:ilvl w:val="2"/>
          <w:numId w:val="4"/>
        </w:numPr>
        <w:rPr>
          <w:rFonts w:ascii="Arial" w:cs="Arial" w:eastAsia="Arial" w:hAnsi="Arial"/>
          <w:sz w:val="18"/>
          <w:szCs w:val="18"/>
          <w:color w:val="auto"/>
        </w:rPr>
      </w:pPr>
      <w:r>
        <w:rPr>
          <w:rFonts w:ascii="Arial" w:cs="Arial" w:eastAsia="Arial" w:hAnsi="Arial"/>
          <w:sz w:val="18"/>
          <w:szCs w:val="18"/>
          <w:color w:val="auto"/>
        </w:rPr>
        <w:t>The Initial Notes may be transferred to, among others, purchasers reasonably believed to be QIBs, and purchasers in reliance on Regulation S, subject to the restrictions on transfer set forth herein. Initial Notes issued pursuant to Rule 144A shall be in the form of one or more permanent global securities in fully registered form (collectively, the “</w:t>
      </w:r>
      <w:r>
        <w:rPr>
          <w:rFonts w:ascii="Arial" w:cs="Arial" w:eastAsia="Arial" w:hAnsi="Arial"/>
          <w:sz w:val="18"/>
          <w:szCs w:val="18"/>
          <w:u w:val="single" w:color="auto"/>
          <w:color w:val="auto"/>
        </w:rPr>
        <w:t>Rule 144A Global Note</w:t>
      </w:r>
      <w:r>
        <w:rPr>
          <w:rFonts w:ascii="Arial" w:cs="Arial" w:eastAsia="Arial" w:hAnsi="Arial"/>
          <w:sz w:val="18"/>
          <w:szCs w:val="18"/>
          <w:color w:val="auto"/>
        </w:rPr>
        <w:t>”) and Initial Notes issued pursuant to Regulation S shall be in the form of one or more permanent global securities in fully registered form (collectively, the “</w:t>
      </w:r>
      <w:r>
        <w:rPr>
          <w:rFonts w:ascii="Arial" w:cs="Arial" w:eastAsia="Arial" w:hAnsi="Arial"/>
          <w:sz w:val="18"/>
          <w:szCs w:val="18"/>
          <w:u w:val="single" w:color="auto"/>
          <w:color w:val="auto"/>
        </w:rPr>
        <w:t>Regulation S Global Note</w:t>
      </w:r>
      <w:r>
        <w:rPr>
          <w:rFonts w:ascii="Arial" w:cs="Arial" w:eastAsia="Arial" w:hAnsi="Arial"/>
          <w:sz w:val="18"/>
          <w:szCs w:val="18"/>
          <w:color w:val="auto"/>
        </w:rPr>
        <w:t>”), in each case without interest coupons and with the Global Notes Legend and the applicable Restricted Notes Legend set forth in Section 2.02(d) hereof. Beneficial interests in the Regulation S Global Notes will initially be credited within the Depositary to Euroclear and Clearstream, on behalf of the owners of such interests.</w:t>
      </w:r>
    </w:p>
    <w:p>
      <w:pPr>
        <w:spacing w:after="0" w:line="86" w:lineRule="exact"/>
        <w:rPr>
          <w:rFonts w:ascii="Arial" w:cs="Arial" w:eastAsia="Arial" w:hAnsi="Arial"/>
          <w:sz w:val="18"/>
          <w:szCs w:val="18"/>
          <w:color w:val="auto"/>
        </w:rPr>
      </w:pPr>
    </w:p>
    <w:p>
      <w:pPr>
        <w:ind w:left="1664" w:hanging="272"/>
        <w:spacing w:after="0"/>
        <w:tabs>
          <w:tab w:leader="none" w:pos="1664" w:val="left"/>
        </w:tabs>
        <w:numPr>
          <w:ilvl w:val="2"/>
          <w:numId w:val="4"/>
        </w:numPr>
        <w:rPr>
          <w:rFonts w:ascii="Arial" w:cs="Arial" w:eastAsia="Arial" w:hAnsi="Arial"/>
          <w:sz w:val="16"/>
          <w:szCs w:val="16"/>
          <w:color w:val="auto"/>
        </w:rPr>
      </w:pPr>
      <w:r>
        <w:rPr>
          <w:rFonts w:ascii="Arial" w:cs="Arial" w:eastAsia="Arial" w:hAnsi="Arial"/>
          <w:sz w:val="16"/>
          <w:szCs w:val="16"/>
          <w:color w:val="auto"/>
        </w:rPr>
        <w:t>Beneficial interests in Regulation S Global Notes may be exchanged for interests in Rule 144A Global Notes of the same series if</w:t>
      </w:r>
    </w:p>
    <w:p>
      <w:pPr>
        <w:spacing w:after="0" w:line="46" w:lineRule="exact"/>
        <w:rPr>
          <w:rFonts w:ascii="Arial" w:cs="Arial" w:eastAsia="Arial" w:hAnsi="Arial"/>
          <w:sz w:val="16"/>
          <w:szCs w:val="16"/>
          <w:color w:val="auto"/>
        </w:rPr>
      </w:pPr>
    </w:p>
    <w:p>
      <w:pPr>
        <w:ind w:left="444" w:right="180"/>
        <w:spacing w:after="0" w:line="292" w:lineRule="auto"/>
        <w:rPr>
          <w:rFonts w:ascii="Arial" w:cs="Arial" w:eastAsia="Arial" w:hAnsi="Arial"/>
          <w:sz w:val="16"/>
          <w:szCs w:val="16"/>
          <w:color w:val="auto"/>
        </w:rPr>
      </w:pPr>
      <w:r>
        <w:rPr>
          <w:rFonts w:ascii="Arial" w:cs="Arial" w:eastAsia="Arial" w:hAnsi="Arial"/>
          <w:sz w:val="16"/>
          <w:szCs w:val="16"/>
          <w:color w:val="auto"/>
        </w:rPr>
        <w:t>(1) such exchange occurs in connection with a transfer of Notes in compliance with Rule 144A and (2) the transferor of the beneficial interest in the Regulation S Global Note first delivers to the Trustee a written certificate (in the form of the Form of Exchange Certificate attached to the applicable Exhibit hereto) to the effect that the beneficial interest in the Regulation S Global Note is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95"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4"/>
          </w:cols>
          <w:pgMar w:left="436" w:top="274" w:right="459" w:bottom="1440" w:gutter="0" w:footer="0" w:header="0"/>
        </w:sectPr>
      </w:pPr>
    </w:p>
    <w:bookmarkStart w:id="13" w:name="page14"/>
    <w:bookmarkEnd w:id="13"/>
    <w:p>
      <w:pPr>
        <w:ind w:left="420" w:right="120" w:firstLine="948"/>
        <w:spacing w:after="0" w:line="263" w:lineRule="auto"/>
        <w:tabs>
          <w:tab w:leader="none" w:pos="1687" w:val="left"/>
        </w:tabs>
        <w:numPr>
          <w:ilvl w:val="1"/>
          <w:numId w:val="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Beneficial interests in Rule 144A Global Notes may be transferred to a Person who takes delivery in the form of an interest in a Regulation S Global Note only if the transferor first delivers to the Trustee a written certificate (in the form attached as Annex A hereto) to the effect that such transfer is being made in accordance with Rule 903 or 904 of Regulation S (if applicable).</w:t>
      </w:r>
    </w:p>
    <w:p>
      <w:pPr>
        <w:spacing w:after="0" w:line="75" w:lineRule="exact"/>
        <w:rPr>
          <w:rFonts w:ascii="Arial" w:cs="Arial" w:eastAsia="Arial" w:hAnsi="Arial"/>
          <w:sz w:val="18"/>
          <w:szCs w:val="18"/>
          <w:color w:val="auto"/>
        </w:rPr>
      </w:pPr>
    </w:p>
    <w:p>
      <w:pPr>
        <w:jc w:val="both"/>
        <w:ind w:left="420" w:right="480" w:firstLine="948"/>
        <w:spacing w:after="0" w:line="263" w:lineRule="auto"/>
        <w:tabs>
          <w:tab w:leader="none" w:pos="1677" w:val="left"/>
        </w:tabs>
        <w:numPr>
          <w:ilvl w:val="1"/>
          <w:numId w:val="5"/>
        </w:numPr>
        <w:rPr>
          <w:rFonts w:ascii="Arial" w:cs="Arial" w:eastAsia="Arial" w:hAnsi="Arial"/>
          <w:sz w:val="18"/>
          <w:szCs w:val="18"/>
          <w:color w:val="auto"/>
        </w:rPr>
      </w:pPr>
      <w:r>
        <w:rPr>
          <w:rFonts w:ascii="Arial" w:cs="Arial" w:eastAsia="Arial" w:hAnsi="Arial"/>
          <w:sz w:val="18"/>
          <w:szCs w:val="18"/>
          <w:color w:val="auto"/>
        </w:rPr>
        <w:t>The Rule 144A Global Notes and the Regulation S Global Notes are collectively referred to herein as “</w:t>
      </w:r>
      <w:r>
        <w:rPr>
          <w:rFonts w:ascii="Arial" w:cs="Arial" w:eastAsia="Arial" w:hAnsi="Arial"/>
          <w:sz w:val="18"/>
          <w:szCs w:val="18"/>
          <w:u w:val="single" w:color="auto"/>
          <w:color w:val="auto"/>
        </w:rPr>
        <w:t>Global Notes</w:t>
      </w:r>
      <w:r>
        <w:rPr>
          <w:rFonts w:ascii="Arial" w:cs="Arial" w:eastAsia="Arial" w:hAnsi="Arial"/>
          <w:sz w:val="18"/>
          <w:szCs w:val="18"/>
          <w:color w:val="auto"/>
        </w:rPr>
        <w:t>”. The aggregate principal amount of the Global Notes may from time to time be increased or decreased by adjustments made on the records of the Trustee and the Depositary or its nominee as hereinafter provided.</w:t>
      </w:r>
    </w:p>
    <w:p>
      <w:pPr>
        <w:spacing w:after="0" w:line="183" w:lineRule="exact"/>
        <w:rPr>
          <w:rFonts w:ascii="Arial" w:cs="Arial" w:eastAsia="Arial" w:hAnsi="Arial"/>
          <w:sz w:val="18"/>
          <w:szCs w:val="18"/>
          <w:color w:val="auto"/>
        </w:rPr>
      </w:pPr>
    </w:p>
    <w:p>
      <w:pPr>
        <w:ind w:left="680" w:hanging="264"/>
        <w:spacing w:after="0"/>
        <w:tabs>
          <w:tab w:leader="none" w:pos="6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This Section 2.01(b) shall apply only to a Global Note deposited with or on behalf of the Depositary.</w:t>
      </w:r>
    </w:p>
    <w:p>
      <w:pPr>
        <w:spacing w:after="0" w:line="117" w:lineRule="exact"/>
        <w:rPr>
          <w:rFonts w:ascii="Arial" w:cs="Arial" w:eastAsia="Arial" w:hAnsi="Arial"/>
          <w:sz w:val="18"/>
          <w:szCs w:val="18"/>
          <w:color w:val="auto"/>
        </w:rPr>
      </w:pPr>
    </w:p>
    <w:p>
      <w:pPr>
        <w:jc w:val="both"/>
        <w:ind w:left="420" w:right="200" w:firstLine="948"/>
        <w:spacing w:after="0" w:line="311" w:lineRule="auto"/>
        <w:tabs>
          <w:tab w:leader="none" w:pos="1587" w:val="left"/>
        </w:tabs>
        <w:numPr>
          <w:ilvl w:val="1"/>
          <w:numId w:val="6"/>
        </w:numPr>
        <w:rPr>
          <w:rFonts w:ascii="Arial" w:cs="Arial" w:eastAsia="Arial" w:hAnsi="Arial"/>
          <w:sz w:val="16"/>
          <w:szCs w:val="16"/>
          <w:color w:val="auto"/>
        </w:rPr>
      </w:pPr>
      <w:r>
        <w:rPr>
          <w:rFonts w:ascii="Arial" w:cs="Arial" w:eastAsia="Arial" w:hAnsi="Arial"/>
          <w:sz w:val="16"/>
          <w:szCs w:val="16"/>
          <w:color w:val="auto"/>
        </w:rPr>
        <w:t>The Company shall execute and the Trustee shall, in accordance with this Section 2.01(b), authenticate and deliver one or more Global Notes that (A) shall be registered in the name of the Depositary for such Global Note or the nominee of such Depositary and (B) shall be delivered by the Trustee to such Depositary or pursuant to such Depositary’s instructions or held by the Trustee as custodian for the Depositary.</w:t>
      </w:r>
    </w:p>
    <w:p>
      <w:pPr>
        <w:spacing w:after="0" w:line="40" w:lineRule="exact"/>
        <w:rPr>
          <w:rFonts w:ascii="Arial" w:cs="Arial" w:eastAsia="Arial" w:hAnsi="Arial"/>
          <w:sz w:val="16"/>
          <w:szCs w:val="16"/>
          <w:color w:val="auto"/>
        </w:rPr>
      </w:pPr>
    </w:p>
    <w:p>
      <w:pPr>
        <w:ind w:left="420" w:right="120" w:firstLine="948"/>
        <w:spacing w:after="0" w:line="272" w:lineRule="auto"/>
        <w:tabs>
          <w:tab w:leader="none" w:pos="1637" w:val="left"/>
        </w:tabs>
        <w:numPr>
          <w:ilvl w:val="1"/>
          <w:numId w:val="6"/>
        </w:numPr>
        <w:rPr>
          <w:rFonts w:ascii="Arial" w:cs="Arial" w:eastAsia="Arial" w:hAnsi="Arial"/>
          <w:sz w:val="17"/>
          <w:szCs w:val="17"/>
          <w:color w:val="auto"/>
        </w:rPr>
      </w:pPr>
      <w:r>
        <w:rPr>
          <w:rFonts w:ascii="Arial" w:cs="Arial" w:eastAsia="Arial" w:hAnsi="Arial"/>
          <w:sz w:val="17"/>
          <w:szCs w:val="17"/>
          <w:color w:val="auto"/>
        </w:rPr>
        <w:t>Members of, or participants in, the Depositary (“</w:t>
      </w:r>
      <w:r>
        <w:rPr>
          <w:rFonts w:ascii="Arial" w:cs="Arial" w:eastAsia="Arial" w:hAnsi="Arial"/>
          <w:sz w:val="17"/>
          <w:szCs w:val="17"/>
          <w:u w:val="single" w:color="auto"/>
          <w:color w:val="auto"/>
        </w:rPr>
        <w:t>Agent Members</w:t>
      </w:r>
      <w:r>
        <w:rPr>
          <w:rFonts w:ascii="Arial" w:cs="Arial" w:eastAsia="Arial" w:hAnsi="Arial"/>
          <w:sz w:val="17"/>
          <w:szCs w:val="17"/>
          <w:color w:val="auto"/>
        </w:rPr>
        <w:t>”) shall have no rights under this Second Supplemental Indenture with respect to any Global Note held on their behalf by the Depositary or by the Trustee as custodian for the Depositary or under such Global Note, and the Company, the Trustee and any agent of the Company or the Trustee shall be entitled to treat the Depositary as the absolute owner of such Global Note for all purposes whatsoever. Notwithstanding the foregoing, nothing herein shall prevent the Company, the Trustee or any agent of the Company or the Trustee from giving effect to any written certification, proxy or other authorization furnished by the Depositary or impair, as between the Depositary and its Agent Members, the operation of customary practices of such Depositary governing the exercise of the rights of a Holder of a beneficial interest in any Global Note.</w:t>
      </w:r>
    </w:p>
    <w:p>
      <w:pPr>
        <w:spacing w:after="0" w:line="69" w:lineRule="exact"/>
        <w:rPr>
          <w:rFonts w:ascii="Arial" w:cs="Arial" w:eastAsia="Arial" w:hAnsi="Arial"/>
          <w:sz w:val="17"/>
          <w:szCs w:val="17"/>
          <w:color w:val="auto"/>
        </w:rPr>
      </w:pPr>
    </w:p>
    <w:p>
      <w:pPr>
        <w:ind w:left="420" w:right="220" w:firstLine="948"/>
        <w:spacing w:after="0" w:line="273" w:lineRule="auto"/>
        <w:tabs>
          <w:tab w:leader="none" w:pos="1687" w:val="left"/>
        </w:tabs>
        <w:numPr>
          <w:ilvl w:val="1"/>
          <w:numId w:val="6"/>
        </w:numPr>
        <w:rPr>
          <w:rFonts w:ascii="Arial" w:cs="Arial" w:eastAsia="Arial" w:hAnsi="Arial"/>
          <w:sz w:val="17"/>
          <w:szCs w:val="17"/>
          <w:color w:val="auto"/>
        </w:rPr>
      </w:pPr>
      <w:r>
        <w:rPr>
          <w:rFonts w:ascii="Arial" w:cs="Arial" w:eastAsia="Arial" w:hAnsi="Arial"/>
          <w:sz w:val="17"/>
          <w:szCs w:val="17"/>
          <w:color w:val="auto"/>
        </w:rPr>
        <w:t>None of the Trustee, any agent of the Trustee, any Paying Agent or the Security Registrar shall have any obligation or duty to monitor, determine or inquire as to compliance with any restrictions on transfer imposed under this Second Supplemental Indenture or under applicable law with respect to any transfer of any interest in any Note (including any transfers between or among Agent Members or beneficial owners in any Global Note) other than to require delivery of such certificates and other documentation or evidence as are expressly required by, and to do so if and when expressly required by, the terms of this Second Supplemental Indenture, and to examine the same to determine substantial compliance as to form with the express requirements hereof.</w:t>
      </w:r>
    </w:p>
    <w:p>
      <w:pPr>
        <w:spacing w:after="0" w:line="177" w:lineRule="exact"/>
        <w:rPr>
          <w:rFonts w:ascii="Arial" w:cs="Arial" w:eastAsia="Arial" w:hAnsi="Arial"/>
          <w:sz w:val="17"/>
          <w:szCs w:val="17"/>
          <w:color w:val="auto"/>
        </w:rPr>
      </w:pPr>
    </w:p>
    <w:p>
      <w:pPr>
        <w:ind w:left="-20" w:firstLine="436"/>
        <w:spacing w:after="0" w:line="253" w:lineRule="auto"/>
        <w:tabs>
          <w:tab w:leader="none" w:pos="665" w:val="left"/>
        </w:tabs>
        <w:numPr>
          <w:ilvl w:val="0"/>
          <w:numId w:val="6"/>
        </w:numPr>
        <w:rPr>
          <w:rFonts w:ascii="Arial" w:cs="Arial" w:eastAsia="Arial" w:hAnsi="Arial"/>
          <w:sz w:val="18"/>
          <w:szCs w:val="18"/>
          <w:color w:val="auto"/>
        </w:rPr>
      </w:pPr>
      <w:r>
        <w:rPr>
          <w:rFonts w:ascii="Arial" w:cs="Arial" w:eastAsia="Arial" w:hAnsi="Arial"/>
          <w:sz w:val="18"/>
          <w:szCs w:val="18"/>
          <w:color w:val="auto"/>
        </w:rPr>
        <w:t>If at any time the Depositary notifies the Company that it is unwilling, unable or no longer qualified to continue as Depositary for the Global Notes, the Company shall use reasonable efforts to appoint a successor Depositary with respect to such Global Notes. If (i) a successor Depositary for such Global Notes is not appointed within 90 days after the Company receives such notice or becomes aware of such ineligibility, (ii) the Company, at its option, notifies the Trustee that it elects to cause the issuance of Notes in definitive form, or (iii) there shall have occurred and be continuing an Event of Default with respect to the Notes of such series and the Depositary notifies the Trustee of its decision to exchange the Global Notes of such series for Notes in definitive form of such series, the Company shall execute, and the Trustee, upon receipt of an Officer’s Certificate of the Company directing the authentication and delivery thereof, will authenticate and deliver to each holder of a beneficial interest in the Global Notes, Notes in definitive form in any authorized denominations in an aggregate principal amount equal to the principal amount of such Global Notes in exchange for such Global Notes.</w:t>
      </w:r>
    </w:p>
    <w:p>
      <w:pPr>
        <w:spacing w:after="0" w:line="196" w:lineRule="exact"/>
        <w:rPr>
          <w:rFonts w:ascii="Arial" w:cs="Arial" w:eastAsia="Arial" w:hAnsi="Arial"/>
          <w:sz w:val="18"/>
          <w:szCs w:val="18"/>
          <w:color w:val="auto"/>
        </w:rPr>
      </w:pPr>
    </w:p>
    <w:p>
      <w:pPr>
        <w:ind w:left="-20" w:right="260" w:firstLine="436"/>
        <w:spacing w:after="0" w:line="277" w:lineRule="auto"/>
        <w:tabs>
          <w:tab w:leader="none" w:pos="675" w:val="left"/>
        </w:tabs>
        <w:numPr>
          <w:ilvl w:val="0"/>
          <w:numId w:val="6"/>
        </w:numPr>
        <w:rPr>
          <w:rFonts w:ascii="Arial" w:cs="Arial" w:eastAsia="Arial" w:hAnsi="Arial"/>
          <w:sz w:val="18"/>
          <w:szCs w:val="18"/>
          <w:color w:val="auto"/>
        </w:rPr>
      </w:pPr>
      <w:r>
        <w:rPr>
          <w:rFonts w:ascii="Arial" w:cs="Arial" w:eastAsia="Arial" w:hAnsi="Arial"/>
          <w:sz w:val="18"/>
          <w:szCs w:val="18"/>
          <w:color w:val="auto"/>
        </w:rPr>
        <w:t>Except as provided in Section 2.01(c) and Section 2.02 hereof, owners of beneficial interests in Global Notes shall not be entitled to receive physical delivery of Notes in definitive form.</w:t>
      </w:r>
    </w:p>
    <w:p>
      <w:pPr>
        <w:spacing w:after="0" w:line="170" w:lineRule="exact"/>
        <w:rPr>
          <w:rFonts w:ascii="Arial" w:cs="Arial" w:eastAsia="Arial" w:hAnsi="Arial"/>
          <w:sz w:val="18"/>
          <w:szCs w:val="18"/>
          <w:color w:val="auto"/>
        </w:rPr>
      </w:pPr>
    </w:p>
    <w:p>
      <w:pPr>
        <w:ind w:left="-20" w:right="60" w:firstLine="436"/>
        <w:spacing w:after="0" w:line="259" w:lineRule="auto"/>
        <w:tabs>
          <w:tab w:leader="none" w:pos="665"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terms and provisions contained in the Notes shall constitute, and are expressly made, a part of this Second Supplemental Indenture and, to the extent applicable, the Company and the Trustee, by their execution and delivery of this Second Supplemental Indenture, expressly agree to such terms and provisions and agree to be bound thereby. If there is any conflict between the terms of the Notes and this Second Supplemental Indenture, the terms of this Second Supplemental Indenture shall govern.</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80"/>
          </w:cols>
          <w:pgMar w:left="460" w:top="274" w:right="459" w:bottom="1440" w:gutter="0" w:footer="0" w:header="0"/>
        </w:sectPr>
      </w:pPr>
    </w:p>
    <w:bookmarkStart w:id="14" w:name="page15"/>
    <w:bookmarkEnd w:id="14"/>
    <w:p>
      <w:pPr>
        <w:ind w:left="4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 The Notes may be presented for registration of transfer and exchange at the offices of the Security Registrar.</w:t>
      </w:r>
    </w:p>
    <w:p>
      <w:pPr>
        <w:spacing w:after="0" w:line="22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i w:val="1"/>
          <w:iCs w:val="1"/>
          <w:color w:val="auto"/>
        </w:rPr>
        <w:t>Special Transfer Provisions.</w:t>
      </w:r>
    </w:p>
    <w:p>
      <w:pPr>
        <w:spacing w:after="0" w:line="117" w:lineRule="exact"/>
        <w:rPr>
          <w:sz w:val="20"/>
          <w:szCs w:val="20"/>
          <w:color w:val="auto"/>
        </w:rPr>
      </w:pPr>
    </w:p>
    <w:p>
      <w:pPr>
        <w:ind w:left="-20" w:right="80" w:firstLine="436"/>
        <w:spacing w:after="0" w:line="311" w:lineRule="auto"/>
        <w:tabs>
          <w:tab w:leader="none" w:pos="665" w:val="left"/>
        </w:tabs>
        <w:numPr>
          <w:ilvl w:val="0"/>
          <w:numId w:val="7"/>
        </w:numPr>
        <w:rPr>
          <w:rFonts w:ascii="Arial" w:cs="Arial" w:eastAsia="Arial" w:hAnsi="Arial"/>
          <w:sz w:val="16"/>
          <w:szCs w:val="16"/>
          <w:color w:val="auto"/>
        </w:rPr>
      </w:pPr>
      <w:r>
        <w:rPr>
          <w:rFonts w:ascii="Arial" w:cs="Arial" w:eastAsia="Arial" w:hAnsi="Arial"/>
          <w:sz w:val="16"/>
          <w:szCs w:val="16"/>
          <w:i w:val="1"/>
          <w:iCs w:val="1"/>
          <w:color w:val="auto"/>
        </w:rPr>
        <w:t>Restrictions on Transfer of a Note in Definitive Form for a Beneficial Interest in a Global Note</w:t>
      </w:r>
      <w:r>
        <w:rPr>
          <w:rFonts w:ascii="Arial" w:cs="Arial" w:eastAsia="Arial" w:hAnsi="Arial"/>
          <w:sz w:val="16"/>
          <w:szCs w:val="16"/>
          <w:color w:val="auto"/>
        </w:rPr>
        <w:t>. A definitive Note may not be exchanged for a</w:t>
      </w:r>
      <w:r>
        <w:rPr>
          <w:rFonts w:ascii="Arial" w:cs="Arial" w:eastAsia="Arial" w:hAnsi="Arial"/>
          <w:sz w:val="16"/>
          <w:szCs w:val="16"/>
          <w:i w:val="1"/>
          <w:iCs w:val="1"/>
          <w:color w:val="auto"/>
        </w:rPr>
        <w:t xml:space="preserve"> </w:t>
      </w:r>
      <w:r>
        <w:rPr>
          <w:rFonts w:ascii="Arial" w:cs="Arial" w:eastAsia="Arial" w:hAnsi="Arial"/>
          <w:sz w:val="16"/>
          <w:szCs w:val="16"/>
          <w:color w:val="auto"/>
        </w:rPr>
        <w:t>beneficial interest in a Global Note except upon satisfaction of the requirements set forth below. Upon receipt by the Trustee of a definitive Note, duly endorsed or accompanied by a written instrument of transfer in form reasonably satisfactory to the Company and the Security Registrar, together with:</w:t>
      </w:r>
    </w:p>
    <w:p>
      <w:pPr>
        <w:spacing w:after="0" w:line="40" w:lineRule="exact"/>
        <w:rPr>
          <w:rFonts w:ascii="Arial" w:cs="Arial" w:eastAsia="Arial" w:hAnsi="Arial"/>
          <w:sz w:val="16"/>
          <w:szCs w:val="16"/>
          <w:color w:val="auto"/>
        </w:rPr>
      </w:pPr>
    </w:p>
    <w:p>
      <w:pPr>
        <w:ind w:left="420" w:right="80" w:firstLine="948"/>
        <w:spacing w:after="0" w:line="263" w:lineRule="auto"/>
        <w:tabs>
          <w:tab w:leader="none" w:pos="1587" w:val="left"/>
        </w:tabs>
        <w:numPr>
          <w:ilvl w:val="1"/>
          <w:numId w:val="7"/>
        </w:numPr>
        <w:rPr>
          <w:rFonts w:ascii="Arial" w:cs="Arial" w:eastAsia="Arial" w:hAnsi="Arial"/>
          <w:sz w:val="18"/>
          <w:szCs w:val="18"/>
          <w:color w:val="auto"/>
        </w:rPr>
      </w:pPr>
      <w:r>
        <w:rPr>
          <w:rFonts w:ascii="Arial" w:cs="Arial" w:eastAsia="Arial" w:hAnsi="Arial"/>
          <w:sz w:val="18"/>
          <w:szCs w:val="18"/>
          <w:color w:val="auto"/>
        </w:rPr>
        <w:t>certification (in the form of the Form of Transfer Certificate attached to the applicable Exhibit hereto) that such definitive Note is being transferred (A) to a QIB in accordance with Rule 144A or (B) outside the United States in an offshore transaction within the meaning of Regulation S and in compliance with Rule 903 or Rule 904 under the Securities Act; and</w:t>
      </w:r>
    </w:p>
    <w:p>
      <w:pPr>
        <w:spacing w:after="0" w:line="75" w:lineRule="exact"/>
        <w:rPr>
          <w:rFonts w:ascii="Arial" w:cs="Arial" w:eastAsia="Arial" w:hAnsi="Arial"/>
          <w:sz w:val="18"/>
          <w:szCs w:val="18"/>
          <w:color w:val="auto"/>
        </w:rPr>
      </w:pPr>
    </w:p>
    <w:p>
      <w:pPr>
        <w:ind w:left="420" w:firstLine="948"/>
        <w:spacing w:after="0" w:line="270" w:lineRule="auto"/>
        <w:tabs>
          <w:tab w:leader="none" w:pos="1637" w:val="left"/>
        </w:tabs>
        <w:numPr>
          <w:ilvl w:val="1"/>
          <w:numId w:val="7"/>
        </w:numPr>
        <w:rPr>
          <w:rFonts w:ascii="Arial" w:cs="Arial" w:eastAsia="Arial" w:hAnsi="Arial"/>
          <w:sz w:val="17"/>
          <w:szCs w:val="17"/>
          <w:color w:val="auto"/>
        </w:rPr>
      </w:pPr>
      <w:r>
        <w:rPr>
          <w:rFonts w:ascii="Arial" w:cs="Arial" w:eastAsia="Arial" w:hAnsi="Arial"/>
          <w:sz w:val="17"/>
          <w:szCs w:val="17"/>
          <w:color w:val="auto"/>
        </w:rPr>
        <w:t>written instructions directing the Trustee to make, or to direct the Custodian to make, an adjustment on its books and records with respect to such Global Note to reflect an increase in the aggregate principal amount of the Notes represented by the Global Note, such instructions to contain information regarding the Depositary account to be credited with such increase, then the Trustee shall cancel such definitive Note and cause, in accordance with the standing instructions and procedures existing between the Depositary and the Trustee, the aggregate principal amount of Notes represented by the Global Note to be increased by the aggregate principal amount of the definitive Note to be exchanged and shall credit or cause to be credited to the account of the Person specified in such instructions a beneficial interest in the Global Note equal to the principal amount of the definitive Note so canceled. If no Global Notes are then outstanding and the Global Note has not been previously exchanged for definitive Notes pursuant to Section 2.02 hereof, the Company shall issue and the Trustee shall authenticate, upon receipt of a Company Order, a new Global Note in the appropriate principal amount.</w:t>
      </w:r>
    </w:p>
    <w:p>
      <w:pPr>
        <w:spacing w:after="0" w:line="180" w:lineRule="exact"/>
        <w:rPr>
          <w:rFonts w:ascii="Arial" w:cs="Arial" w:eastAsia="Arial" w:hAnsi="Arial"/>
          <w:sz w:val="17"/>
          <w:szCs w:val="17"/>
          <w:color w:val="auto"/>
        </w:rPr>
      </w:pPr>
    </w:p>
    <w:p>
      <w:pPr>
        <w:ind w:left="680" w:hanging="264"/>
        <w:spacing w:after="0"/>
        <w:tabs>
          <w:tab w:leader="none" w:pos="680"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Transfer and Exchange of Global Notes.</w:t>
      </w:r>
    </w:p>
    <w:p>
      <w:pPr>
        <w:spacing w:after="0" w:line="117" w:lineRule="exact"/>
        <w:rPr>
          <w:rFonts w:ascii="Arial" w:cs="Arial" w:eastAsia="Arial" w:hAnsi="Arial"/>
          <w:sz w:val="18"/>
          <w:szCs w:val="18"/>
          <w:color w:val="auto"/>
        </w:rPr>
      </w:pPr>
    </w:p>
    <w:p>
      <w:pPr>
        <w:ind w:left="420" w:right="20" w:firstLine="948"/>
        <w:spacing w:after="0" w:line="287" w:lineRule="auto"/>
        <w:tabs>
          <w:tab w:leader="none" w:pos="1587" w:val="left"/>
        </w:tabs>
        <w:numPr>
          <w:ilvl w:val="1"/>
          <w:numId w:val="7"/>
        </w:numPr>
        <w:rPr>
          <w:rFonts w:ascii="Arial" w:cs="Arial" w:eastAsia="Arial" w:hAnsi="Arial"/>
          <w:sz w:val="16"/>
          <w:szCs w:val="16"/>
          <w:color w:val="auto"/>
        </w:rPr>
      </w:pPr>
      <w:r>
        <w:rPr>
          <w:rFonts w:ascii="Arial" w:cs="Arial" w:eastAsia="Arial" w:hAnsi="Arial"/>
          <w:sz w:val="16"/>
          <w:szCs w:val="16"/>
          <w:color w:val="auto"/>
        </w:rPr>
        <w:t>The transfer and exchange of Global Notes or beneficial interests therein shall be effected through the Depositary, in accordance with this Second Supplemental Indenture (including applicable restrictions on transfer set forth herein, if any) and the procedures of the Depositary therefor. A transferor of a beneficial interest in a Global Note shall deliver a written order given in accordance with the Depositary’s procedures containing information regarding the participant account of the Depositary to be credited with a beneficial interest in such Global Note or another Global Note and such account shall be credited in accordance with such order with a beneficial interest in the applicable Global Note and the account of the Person making the transfer shall be debited by an amount equal to the beneficial interest in the Global Note being transferred. Transfers by an owner of a beneficial interest in a Rule 144A Global Note to a transferee who takes delivery of such interest through a Regulation S Global Note, whether before or after the expiration of the Restricted Period, shall be made only upon receipt by the Trustee of a certification from the transferor to the effect that such transfer is being made in accordance with Rule 903 or Rule 904 of Regulation S or (if available) Rule 144 under the Securities Act and that, if such transfer is being made prior to the expiration of the Restricted Period, the interest transferred shall be held immediately thereafter through Euroclear or Clearstream.</w:t>
      </w:r>
    </w:p>
    <w:p>
      <w:pPr>
        <w:spacing w:after="0" w:line="63" w:lineRule="exact"/>
        <w:rPr>
          <w:rFonts w:ascii="Arial" w:cs="Arial" w:eastAsia="Arial" w:hAnsi="Arial"/>
          <w:sz w:val="16"/>
          <w:szCs w:val="16"/>
          <w:color w:val="auto"/>
        </w:rPr>
      </w:pPr>
    </w:p>
    <w:p>
      <w:pPr>
        <w:ind w:left="420" w:right="40" w:firstLine="948"/>
        <w:spacing w:after="0" w:line="301" w:lineRule="auto"/>
        <w:tabs>
          <w:tab w:leader="none" w:pos="1637" w:val="left"/>
        </w:tabs>
        <w:numPr>
          <w:ilvl w:val="1"/>
          <w:numId w:val="7"/>
        </w:numPr>
        <w:rPr>
          <w:rFonts w:ascii="Arial" w:cs="Arial" w:eastAsia="Arial" w:hAnsi="Arial"/>
          <w:sz w:val="16"/>
          <w:szCs w:val="16"/>
          <w:color w:val="auto"/>
        </w:rPr>
      </w:pPr>
      <w:r>
        <w:rPr>
          <w:rFonts w:ascii="Arial" w:cs="Arial" w:eastAsia="Arial" w:hAnsi="Arial"/>
          <w:sz w:val="16"/>
          <w:szCs w:val="16"/>
          <w:color w:val="auto"/>
        </w:rPr>
        <w:t>If the proposed transfer is a transfer of a beneficial interest in one Global Note to a beneficial interest in another Global Note, the Security Registrar shall reflect on its books and records the date and an increase in the principal amount of the Global Note to which such interest is being transferred in an amount equal to the principal amount of the interest to be so transferred, and the Security Registrar shall reflect on its books and records the date and a corresponding decrease in the principal amount of the Global Note from which such interest is being transferred.</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960"/>
          </w:cols>
          <w:pgMar w:left="460" w:top="274" w:right="479" w:bottom="1440" w:gutter="0" w:footer="0" w:header="0"/>
        </w:sectPr>
      </w:pPr>
    </w:p>
    <w:bookmarkStart w:id="15" w:name="page16"/>
    <w:bookmarkEnd w:id="15"/>
    <w:p>
      <w:pPr>
        <w:ind w:left="4" w:right="140" w:firstLine="948"/>
        <w:spacing w:after="0" w:line="286" w:lineRule="auto"/>
        <w:tabs>
          <w:tab w:leader="none" w:pos="1270" w:val="left"/>
        </w:tabs>
        <w:numPr>
          <w:ilvl w:val="1"/>
          <w:numId w:val="8"/>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Notwithstanding any other provisions of this Second Supplemental Indenture, a Global Note may not be transferred as a whole except by the Depositary to a nominee of the Depositary or by a nominee of the Depositary to the Depositary or another nominee of the Depositary or by the Depositary or any such nominee to a successor Depositary or a nominee of such successor Depositary.</w:t>
      </w:r>
    </w:p>
    <w:p>
      <w:pPr>
        <w:spacing w:after="0" w:line="57" w:lineRule="exact"/>
        <w:rPr>
          <w:rFonts w:ascii="Arial" w:cs="Arial" w:eastAsia="Arial" w:hAnsi="Arial"/>
          <w:sz w:val="17"/>
          <w:szCs w:val="17"/>
          <w:color w:val="auto"/>
        </w:rPr>
      </w:pPr>
    </w:p>
    <w:p>
      <w:pPr>
        <w:ind w:left="4" w:right="80" w:firstLine="948"/>
        <w:spacing w:after="0" w:line="301" w:lineRule="auto"/>
        <w:tabs>
          <w:tab w:leader="none" w:pos="1260" w:val="left"/>
        </w:tabs>
        <w:numPr>
          <w:ilvl w:val="1"/>
          <w:numId w:val="8"/>
        </w:numPr>
        <w:rPr>
          <w:rFonts w:ascii="Arial" w:cs="Arial" w:eastAsia="Arial" w:hAnsi="Arial"/>
          <w:sz w:val="16"/>
          <w:szCs w:val="16"/>
          <w:color w:val="auto"/>
        </w:rPr>
      </w:pPr>
      <w:r>
        <w:rPr>
          <w:rFonts w:ascii="Arial" w:cs="Arial" w:eastAsia="Arial" w:hAnsi="Arial"/>
          <w:sz w:val="16"/>
          <w:szCs w:val="16"/>
          <w:color w:val="auto"/>
        </w:rPr>
        <w:t>In the event that a Global Note is exchanged for Notes in definitive form prior to the consummation of the Registered Exchange Offer or the effectiveness of the shelf registration statement with respect to such Notes, such Notes may be exchanged only in accordance with such procedures as are substantially consistent with the provisions of this Section 2.02(b) (including the certification in the form of the Form of Transfer Certificate attached to the applicable Exhibit hereto) and such other procedures as may from time to time be adopted by the Company.</w:t>
      </w:r>
    </w:p>
    <w:p>
      <w:pPr>
        <w:spacing w:after="0" w:line="157" w:lineRule="exact"/>
        <w:rPr>
          <w:rFonts w:ascii="Arial" w:cs="Arial" w:eastAsia="Arial" w:hAnsi="Arial"/>
          <w:sz w:val="16"/>
          <w:szCs w:val="16"/>
          <w:color w:val="auto"/>
        </w:rPr>
      </w:pPr>
    </w:p>
    <w:p>
      <w:pPr>
        <w:ind w:left="244" w:hanging="244"/>
        <w:spacing w:after="0"/>
        <w:tabs>
          <w:tab w:leader="none" w:pos="244" w:val="left"/>
        </w:tabs>
        <w:numPr>
          <w:ilvl w:val="0"/>
          <w:numId w:val="9"/>
        </w:numPr>
        <w:rPr>
          <w:rFonts w:ascii="Arial" w:cs="Arial" w:eastAsia="Arial" w:hAnsi="Arial"/>
          <w:sz w:val="18"/>
          <w:szCs w:val="18"/>
          <w:color w:val="auto"/>
        </w:rPr>
      </w:pPr>
      <w:r>
        <w:rPr>
          <w:rFonts w:ascii="Arial" w:cs="Arial" w:eastAsia="Arial" w:hAnsi="Arial"/>
          <w:sz w:val="18"/>
          <w:szCs w:val="18"/>
          <w:i w:val="1"/>
          <w:iCs w:val="1"/>
          <w:color w:val="auto"/>
        </w:rPr>
        <w:t>Restrictions on Transfer of Regulation S Global Notes.</w:t>
      </w:r>
    </w:p>
    <w:p>
      <w:pPr>
        <w:spacing w:after="0" w:line="117" w:lineRule="exact"/>
        <w:rPr>
          <w:rFonts w:ascii="Arial" w:cs="Arial" w:eastAsia="Arial" w:hAnsi="Arial"/>
          <w:sz w:val="18"/>
          <w:szCs w:val="18"/>
          <w:color w:val="auto"/>
        </w:rPr>
      </w:pPr>
    </w:p>
    <w:p>
      <w:pPr>
        <w:ind w:left="4" w:firstLine="948"/>
        <w:spacing w:after="0" w:line="284" w:lineRule="auto"/>
        <w:tabs>
          <w:tab w:leader="none" w:pos="1170" w:val="left"/>
        </w:tabs>
        <w:numPr>
          <w:ilvl w:val="1"/>
          <w:numId w:val="9"/>
        </w:numPr>
        <w:rPr>
          <w:rFonts w:ascii="Arial" w:cs="Arial" w:eastAsia="Arial" w:hAnsi="Arial"/>
          <w:sz w:val="16"/>
          <w:szCs w:val="16"/>
          <w:color w:val="auto"/>
        </w:rPr>
      </w:pPr>
      <w:r>
        <w:rPr>
          <w:rFonts w:ascii="Arial" w:cs="Arial" w:eastAsia="Arial" w:hAnsi="Arial"/>
          <w:sz w:val="16"/>
          <w:szCs w:val="16"/>
          <w:color w:val="auto"/>
        </w:rPr>
        <w:t>Prior to the expiration of the Restricted Period, interests in a Regulation S Global Note may only be held through Euroclear or Clearstream, or through organizations other than Euroclear or Clearstream that are direct participants in the Depositary. During the Restricted Period, beneficial ownership interests in a Regulation S Global Note may only be sold, pledged or transferred through Euroclear or Clearstream in accordance with the Applicable Procedures and only (A) to the Company, (B) so long as such security is eligible for resale pursuant to Rule 144A, to a person whom the selling holder reasonably believes is a QIB that purchases for its own account or for the account of a QIB to whom notice is given that the resale, pledge or transfer is being made in reliance on Rule 144A, (C) in an offshore transaction in accordance with Regulation S,</w:t>
      </w:r>
    </w:p>
    <w:p>
      <w:pPr>
        <w:spacing w:after="0" w:line="4" w:lineRule="exact"/>
        <w:rPr>
          <w:rFonts w:ascii="Arial" w:cs="Arial" w:eastAsia="Arial" w:hAnsi="Arial"/>
          <w:sz w:val="16"/>
          <w:szCs w:val="16"/>
          <w:color w:val="auto"/>
        </w:rPr>
      </w:pPr>
    </w:p>
    <w:p>
      <w:pPr>
        <w:ind w:left="4"/>
        <w:spacing w:after="0" w:line="285" w:lineRule="auto"/>
        <w:rPr>
          <w:rFonts w:ascii="Arial" w:cs="Arial" w:eastAsia="Arial" w:hAnsi="Arial"/>
          <w:sz w:val="16"/>
          <w:szCs w:val="16"/>
          <w:color w:val="auto"/>
        </w:rPr>
      </w:pPr>
      <w:r>
        <w:rPr>
          <w:rFonts w:ascii="Arial" w:cs="Arial" w:eastAsia="Arial" w:hAnsi="Arial"/>
          <w:sz w:val="16"/>
          <w:szCs w:val="16"/>
          <w:color w:val="auto"/>
        </w:rPr>
        <w:t xml:space="preserve">(D) pursuant to an available exemption from registration under the Securities Act or (E) pursuant to an effective registration statement under the Securities Act, in each case in accordance with any applicable securities laws of any state of the United States; </w:t>
      </w:r>
      <w:r>
        <w:rPr>
          <w:rFonts w:ascii="Arial" w:cs="Arial" w:eastAsia="Arial" w:hAnsi="Arial"/>
          <w:sz w:val="16"/>
          <w:szCs w:val="16"/>
          <w:i w:val="1"/>
          <w:iCs w:val="1"/>
          <w:color w:val="auto"/>
        </w:rPr>
        <w:t>provided</w:t>
      </w:r>
      <w:r>
        <w:rPr>
          <w:rFonts w:ascii="Arial" w:cs="Arial" w:eastAsia="Arial" w:hAnsi="Arial"/>
          <w:sz w:val="16"/>
          <w:szCs w:val="16"/>
          <w:color w:val="auto"/>
        </w:rPr>
        <w:t>, however, that prior to the expiration of the Restricted Period, transfers of beneficial interests in a Regulation S Global Note may not be made to a U.S. person or for the account or benefit of a U.S. person. Prior to the expiration of the Restricted Period, transfers by an owner of a beneficial interest in a Regulation S Global Note to a transferee who takes delivery of such interest through a Rule 144A Global Note shall be made only in accordance with the Applicable Procedures, pursuant to Rule 144 or Rule 144A and upon receipt by the Trustee of a written certification from the transferor of the beneficial interest in the form of the Form of Transfer Certificate attached to the applicable Exhibit hereto to the effect that such transfer is being made to a person whom the transferor reasonably believes is a QIB within the meaning of Rule 144A in a transaction meeting the requirements of Rule 144A. Such written certification shall no longer be required after the expiration of the Restricted Period. In the case of a transfer of a beneficial interest in a Regulation S Global Note for an interest in a Rule 144A Global Note, the transferee must, at the request of the Company, deliver an opinion of counsel reasonably acceptable to the Company stating that the proposed transfer is being made pursuant to an exemption from, or in a transaction not subject to, the registration requirements of the Securities Act.</w:t>
      </w:r>
    </w:p>
    <w:p>
      <w:pPr>
        <w:spacing w:after="0" w:line="63" w:lineRule="exact"/>
        <w:rPr>
          <w:rFonts w:ascii="Arial" w:cs="Arial" w:eastAsia="Arial" w:hAnsi="Arial"/>
          <w:sz w:val="16"/>
          <w:szCs w:val="16"/>
          <w:color w:val="auto"/>
        </w:rPr>
      </w:pPr>
    </w:p>
    <w:p>
      <w:pPr>
        <w:ind w:left="4" w:firstLine="948"/>
        <w:spacing w:after="0" w:line="277" w:lineRule="auto"/>
        <w:tabs>
          <w:tab w:leader="none" w:pos="1220" w:val="left"/>
        </w:tabs>
        <w:numPr>
          <w:ilvl w:val="1"/>
          <w:numId w:val="9"/>
        </w:numPr>
        <w:rPr>
          <w:rFonts w:ascii="Arial" w:cs="Arial" w:eastAsia="Arial" w:hAnsi="Arial"/>
          <w:sz w:val="18"/>
          <w:szCs w:val="18"/>
          <w:color w:val="auto"/>
        </w:rPr>
      </w:pPr>
      <w:r>
        <w:rPr>
          <w:rFonts w:ascii="Arial" w:cs="Arial" w:eastAsia="Arial" w:hAnsi="Arial"/>
          <w:sz w:val="18"/>
          <w:szCs w:val="18"/>
          <w:color w:val="auto"/>
        </w:rPr>
        <w:t>Upon the expiration of the Restricted Period, beneficial ownership interests in a Regulation S Global Note shall be transferable in accordance with applicable law and other terms of the Indenture.</w:t>
      </w:r>
    </w:p>
    <w:p>
      <w:pPr>
        <w:spacing w:after="0" w:line="170" w:lineRule="exact"/>
        <w:rPr>
          <w:rFonts w:ascii="Arial" w:cs="Arial" w:eastAsia="Arial" w:hAnsi="Arial"/>
          <w:sz w:val="18"/>
          <w:szCs w:val="18"/>
          <w:color w:val="auto"/>
        </w:rPr>
      </w:pPr>
    </w:p>
    <w:p>
      <w:pPr>
        <w:ind w:left="264" w:hanging="264"/>
        <w:spacing w:after="0"/>
        <w:tabs>
          <w:tab w:leader="none" w:pos="264" w:val="left"/>
        </w:tabs>
        <w:numPr>
          <w:ilvl w:val="0"/>
          <w:numId w:val="9"/>
        </w:numPr>
        <w:rPr>
          <w:rFonts w:ascii="Arial" w:cs="Arial" w:eastAsia="Arial" w:hAnsi="Arial"/>
          <w:sz w:val="18"/>
          <w:szCs w:val="18"/>
          <w:color w:val="auto"/>
        </w:rPr>
      </w:pPr>
      <w:r>
        <w:rPr>
          <w:rFonts w:ascii="Arial" w:cs="Arial" w:eastAsia="Arial" w:hAnsi="Arial"/>
          <w:sz w:val="18"/>
          <w:szCs w:val="18"/>
          <w:i w:val="1"/>
          <w:iCs w:val="1"/>
          <w:color w:val="auto"/>
        </w:rPr>
        <w:t>Legend.</w:t>
      </w:r>
    </w:p>
    <w:p>
      <w:pPr>
        <w:spacing w:after="0" w:line="117" w:lineRule="exact"/>
        <w:rPr>
          <w:rFonts w:ascii="Arial" w:cs="Arial" w:eastAsia="Arial" w:hAnsi="Arial"/>
          <w:sz w:val="18"/>
          <w:szCs w:val="18"/>
          <w:color w:val="auto"/>
        </w:rPr>
      </w:pPr>
    </w:p>
    <w:p>
      <w:pPr>
        <w:ind w:left="4" w:right="100" w:firstLine="948"/>
        <w:spacing w:after="0" w:line="308" w:lineRule="auto"/>
        <w:tabs>
          <w:tab w:leader="none" w:pos="1170" w:val="left"/>
        </w:tabs>
        <w:numPr>
          <w:ilvl w:val="1"/>
          <w:numId w:val="9"/>
        </w:numPr>
        <w:rPr>
          <w:rFonts w:ascii="Arial" w:cs="Arial" w:eastAsia="Arial" w:hAnsi="Arial"/>
          <w:sz w:val="17"/>
          <w:szCs w:val="17"/>
          <w:color w:val="auto"/>
        </w:rPr>
      </w:pPr>
      <w:r>
        <w:rPr>
          <w:rFonts w:ascii="Arial" w:cs="Arial" w:eastAsia="Arial" w:hAnsi="Arial"/>
          <w:sz w:val="17"/>
          <w:szCs w:val="17"/>
          <w:color w:val="auto"/>
        </w:rPr>
        <w:t>Except as permitted by the following paragraphs (iii), (iv) or (v), each Note shall bear a legend (a “</w:t>
      </w:r>
      <w:r>
        <w:rPr>
          <w:rFonts w:ascii="Arial" w:cs="Arial" w:eastAsia="Arial" w:hAnsi="Arial"/>
          <w:sz w:val="17"/>
          <w:szCs w:val="17"/>
          <w:u w:val="single" w:color="auto"/>
          <w:color w:val="auto"/>
        </w:rPr>
        <w:t>Restrictive Notes Legend</w:t>
      </w:r>
      <w:r>
        <w:rPr>
          <w:rFonts w:ascii="Arial" w:cs="Arial" w:eastAsia="Arial" w:hAnsi="Arial"/>
          <w:sz w:val="17"/>
          <w:szCs w:val="17"/>
          <w:color w:val="auto"/>
        </w:rPr>
        <w:t>”) in substantially the following form (each defined term in the legend being defined as such for purposes of the legend only):</w:t>
      </w:r>
    </w:p>
    <w:p>
      <w:pPr>
        <w:spacing w:after="0" w:line="38" w:lineRule="exact"/>
        <w:rPr>
          <w:sz w:val="20"/>
          <w:szCs w:val="20"/>
          <w:color w:val="auto"/>
        </w:rPr>
      </w:pPr>
    </w:p>
    <w:p>
      <w:pPr>
        <w:ind w:left="544" w:right="60"/>
        <w:spacing w:after="0" w:line="254" w:lineRule="auto"/>
        <w:rPr>
          <w:sz w:val="20"/>
          <w:szCs w:val="20"/>
          <w:color w:val="auto"/>
        </w:rPr>
      </w:pPr>
      <w:r>
        <w:rPr>
          <w:rFonts w:ascii="Arial" w:cs="Arial" w:eastAsia="Arial" w:hAnsi="Arial"/>
          <w:sz w:val="18"/>
          <w:szCs w:val="18"/>
          <w:color w:val="auto"/>
        </w:rPr>
        <w:t>THIS SECURITY HAS NOT BEEN REGISTERED UNDER THE SECURITIES ACT OF 1933, AS AMENDED (THE “SECURITIES ACT”), OR THE SECURITIES LAWS OF ANY STATE OR OTHER JURISDICTION. NEITHER THIS SECURITY NOR ANY INTEREST OR PARTICIPATION HEREIN MAY BE REOFFERED, SOLD, ASSIGNED, TRANSFERRED, PLEDGED, ENCUMBERED OR OTHERWISE DISPOSED OF IN THE ABSENCE OF SUCH REGISTRATION OR UNLESS SUCH TRANSACTION IS EXEMPT FROM, OR NOT SUBJECT TO, SUCH REGISTRATION. THE HOLDER OF THIS SECURITY, BY ITS ACCEPTANCE HEREOF, AGREES ON ITS OWN BEHALF AND ON BEHALF OF ANY INVESTOR ACCOUNT FOR WHICH IT HAS PURCHASED</w:t>
      </w:r>
    </w:p>
    <w:p>
      <w:pPr>
        <w:spacing w:after="0" w:line="127" w:lineRule="exact"/>
        <w:rPr>
          <w:sz w:val="20"/>
          <w:szCs w:val="20"/>
          <w:color w:val="auto"/>
        </w:rPr>
      </w:pPr>
    </w:p>
    <w:p>
      <w:pPr>
        <w:jc w:val="center"/>
        <w:ind w:right="396"/>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544"/>
          </w:cols>
          <w:pgMar w:left="876" w:top="274" w:right="479" w:bottom="1440" w:gutter="0" w:footer="0" w:header="0"/>
        </w:sectPr>
      </w:pPr>
    </w:p>
    <w:bookmarkStart w:id="16" w:name="page17"/>
    <w:bookmarkEnd w:id="16"/>
    <w:p>
      <w:pPr>
        <w:ind w:left="980" w:right="8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SECURITIES, TO OFFER, SELL OR OTHERWISE TRANSFER SUCH SECURITY, PRIOR TO THE DATE (THE “RESALE RESTRICTION TERMINATION DATE”) THAT IS [IN THE CASE OF RULE 144A NOTES: ONE YEAR] [IN THE CASE OF REGULATION S NOTES: 40 DAYS] AFTER THE LATER OF THE ISSUE DATE HEREOF OR ANY OTHER ISSUE DATE IN RESPECT OF A FURTHER ISSUANCE OF SECURITIES OF THE SAME SERIES AND THE LAST DATE ON WHICH MARVELL TECHNOLOGY, INC. OR ANY AFFILIATE OF MARVELL TECHNOLOGY, INC. WAS THE OWNER OF THIS SECURITY (OR ANY PREDECESSOR OF SUCH SECURITY), ONLY (A) TO MARVELL TECHNOLOGY, INC. OR ANY SUBSIDIARY THEREOF,</w:t>
      </w:r>
    </w:p>
    <w:p>
      <w:pPr>
        <w:spacing w:after="0" w:line="1" w:lineRule="exact"/>
        <w:rPr>
          <w:sz w:val="20"/>
          <w:szCs w:val="20"/>
          <w:color w:val="auto"/>
        </w:rPr>
      </w:pPr>
    </w:p>
    <w:p>
      <w:pPr>
        <w:ind w:left="980" w:right="100" w:firstLine="7"/>
        <w:spacing w:after="0" w:line="265" w:lineRule="auto"/>
        <w:tabs>
          <w:tab w:leader="none" w:pos="1265" w:val="left"/>
        </w:tabs>
        <w:numPr>
          <w:ilvl w:val="0"/>
          <w:numId w:val="10"/>
        </w:numPr>
        <w:rPr>
          <w:rFonts w:ascii="Arial" w:cs="Arial" w:eastAsia="Arial" w:hAnsi="Arial"/>
          <w:sz w:val="17"/>
          <w:szCs w:val="17"/>
          <w:color w:val="auto"/>
        </w:rPr>
      </w:pPr>
      <w:r>
        <w:rPr>
          <w:rFonts w:ascii="Arial" w:cs="Arial" w:eastAsia="Arial" w:hAnsi="Arial"/>
          <w:sz w:val="17"/>
          <w:szCs w:val="17"/>
          <w:color w:val="auto"/>
        </w:rPr>
        <w:t>PURSUANT TO A REGISTRATION STATEMENT THAT HAS BEEN DECLARED EFFECTIVE UNDER THE SECURITIES ACT, (C) FOR SO LONG AS THE SECURITIES ARE ELIGIBLE FOR RESALE PURSUANT TO RULE 144A UNDER THE SECURITIES ACT (“RULE 144A”), TO A PERSON IT REASONABLY BELIEVES IS A “QUALIFIED INSTITUTIONAL BUYER” AS DEFINED IN RULE 144A THAT PURCHASES FOR ITS OWN ACCOUNT OR FOR THE ACCOUNT OF A QUALIFIED INSTITUTIONAL BUYER TO WHOM NOTICE IS GIVEN THAT THE TRANSFER IS BEING MADE IN RELIANCE ON RULE 144A IN A TRANSACTION MEETING THE REQUIREMENTS OF RULE 144A, (D) PURSUANT TO OFFERS AND SALES TO NON-U.S. PERSONS THAT OCCUR OUTSIDE THE UNITED STATES WITHIN THE MEANING OF REGULATION S UNDER THE SECURITIES ACT, (E) TO AN INSTITUTIONAL “ACCREDITED INVESTOR”WITHIN THE MEANING OF RULE 501(a)(1),</w:t>
      </w:r>
    </w:p>
    <w:p>
      <w:pPr>
        <w:spacing w:after="0" w:line="1" w:lineRule="exact"/>
        <w:rPr>
          <w:rFonts w:ascii="Arial" w:cs="Arial" w:eastAsia="Arial" w:hAnsi="Arial"/>
          <w:sz w:val="17"/>
          <w:szCs w:val="17"/>
          <w:color w:val="auto"/>
        </w:rPr>
      </w:pPr>
    </w:p>
    <w:p>
      <w:pPr>
        <w:ind w:left="980"/>
        <w:spacing w:after="0" w:line="268" w:lineRule="auto"/>
        <w:rPr>
          <w:rFonts w:ascii="Arial" w:cs="Arial" w:eastAsia="Arial" w:hAnsi="Arial"/>
          <w:sz w:val="17"/>
          <w:szCs w:val="17"/>
          <w:color w:val="auto"/>
        </w:rPr>
      </w:pPr>
      <w:r>
        <w:rPr>
          <w:rFonts w:ascii="Arial" w:cs="Arial" w:eastAsia="Arial" w:hAnsi="Arial"/>
          <w:sz w:val="17"/>
          <w:szCs w:val="17"/>
          <w:color w:val="auto"/>
        </w:rPr>
        <w:t>(2), (3) OR (7) UNDER THE SECURITIES ACT THAT IS NOT A QUALIFIED INSTITUTIONAL BUYER AND THAT IS PURCHASING FOR ITS OWN ACCOUNT OR FOR THE ACCOUNT OF ANOTHER INSTITUTIONAL ACCREDITED INVESTOR, IN EACH CASE IN A MINIMUM PRINCIPAL AMOUNT OF THE SECURITIES OF $250,000, FOR INVESTMENT PURPOSES AND NOT WITH A VIEW TO OR FOR OFFER OR SALE IN CONNECTION WITH ANY DISTRIBUTION IN VIOLATION OF THE SECURITIES ACT OR (F) PURSUANT TO ANOTHER AVAILABLE EXEMPTION FROM THE REGISTRATION REQUIREMENTS OF THE SECURITIES ACT, SUBJECT TO MARVELL TECHNOLOGY, INC.’S AND THE TRUSTEE’S RIGHT PRIOR TO ANY SUCH OFFER, SALE OR TRANSFER PURSUANT TO CLAUSES (D), (E) OR (F) TO REQUIRE THE DELIVERY OF AN OPINION OF COUNSEL, CERTIFICATION AND/OR OTHER INFORMATION SATISFACTORY TO EACH OF THEM. THIS LEGEND WILL BE REMOVED UPON THE REQUEST OF THE HOLDER AFTER THE RESALE RESTRICTION TERMINATION DATE.</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Each Note evidencing a Global Note offered and sold to QIBs pursuant to Rule 144A shall bear a legend in substantially the following form:</w:t>
      </w:r>
    </w:p>
    <w:p>
      <w:pPr>
        <w:spacing w:after="0" w:line="129" w:lineRule="exact"/>
        <w:rPr>
          <w:sz w:val="20"/>
          <w:szCs w:val="20"/>
          <w:color w:val="auto"/>
        </w:rPr>
      </w:pPr>
    </w:p>
    <w:p>
      <w:pPr>
        <w:ind w:left="980" w:right="140"/>
        <w:spacing w:after="0" w:line="263" w:lineRule="auto"/>
        <w:rPr>
          <w:sz w:val="20"/>
          <w:szCs w:val="20"/>
          <w:color w:val="auto"/>
        </w:rPr>
      </w:pPr>
      <w:r>
        <w:rPr>
          <w:rFonts w:ascii="Arial" w:cs="Arial" w:eastAsia="Arial" w:hAnsi="Arial"/>
          <w:sz w:val="18"/>
          <w:szCs w:val="18"/>
          <w:color w:val="auto"/>
        </w:rPr>
        <w:t>EACH PURCHASER OF THIS SECURITY IS HEREBY NOTIFIED THAT THE SELLER OF THIS SECURITY MAY BE RELYING ON THE EXEMPTION FROM THE PROVISIONS OF SECTION 5 OF THE SECURITIES ACT PROVIDED BY RULE 144A THEREUNDER.</w:t>
      </w:r>
    </w:p>
    <w:p>
      <w:pPr>
        <w:spacing w:after="0" w:line="184"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Each Note evidencing a Global Note offered and sold to non-U.S. persons outside the United States in reliance on Regulation S shall bear a legend substantially in the following form:</w:t>
      </w:r>
    </w:p>
    <w:p>
      <w:pPr>
        <w:spacing w:after="0" w:line="62" w:lineRule="exact"/>
        <w:rPr>
          <w:sz w:val="20"/>
          <w:szCs w:val="20"/>
          <w:color w:val="auto"/>
        </w:rPr>
      </w:pPr>
    </w:p>
    <w:p>
      <w:pPr>
        <w:ind w:left="980" w:right="940"/>
        <w:spacing w:after="0" w:line="263" w:lineRule="auto"/>
        <w:rPr>
          <w:sz w:val="20"/>
          <w:szCs w:val="20"/>
          <w:color w:val="auto"/>
        </w:rPr>
      </w:pPr>
      <w:r>
        <w:rPr>
          <w:rFonts w:ascii="Arial" w:cs="Arial" w:eastAsia="Arial" w:hAnsi="Arial"/>
          <w:sz w:val="18"/>
          <w:szCs w:val="18"/>
          <w:color w:val="auto"/>
        </w:rPr>
        <w:t>BY ITS ACQUISITION HEREOF, THE HOLDER HEREOF REPRESENTS THAT IT IS NOT A U.S. PERSON NOR IS IT PURCHASING FOR THE ACCOUNT OF A U.S. PERSON AND IS ACQUIRING THIS SECURITY IN AN OFFSHORE TRANSACTION IN ACCORDANCE WITH REGULATION S UNDER THE SECURITIES ACT.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Note in definitive form shall bear the following additional legend:</w:t>
      </w:r>
    </w:p>
    <w:p>
      <w:pPr>
        <w:spacing w:after="0" w:line="117" w:lineRule="exact"/>
        <w:rPr>
          <w:sz w:val="20"/>
          <w:szCs w:val="20"/>
          <w:color w:val="auto"/>
        </w:rPr>
      </w:pPr>
    </w:p>
    <w:p>
      <w:pPr>
        <w:ind w:left="980" w:right="400"/>
        <w:spacing w:after="0" w:line="263" w:lineRule="auto"/>
        <w:rPr>
          <w:sz w:val="20"/>
          <w:szCs w:val="20"/>
          <w:color w:val="auto"/>
        </w:rPr>
      </w:pPr>
      <w:r>
        <w:rPr>
          <w:rFonts w:ascii="Arial" w:cs="Arial" w:eastAsia="Arial" w:hAnsi="Arial"/>
          <w:sz w:val="18"/>
          <w:szCs w:val="18"/>
          <w:color w:val="auto"/>
        </w:rPr>
        <w:t>IN CONNECTION WITH ANY TRANSFER, THE HOLDER WILL DELIVER TO THE REGISTRAR AND TRANSFER AGENT SUCH CERTIFICATES AND OTHER INFORMATION AS SUCH TRANSFER AGENT MAY REASONABLY REQUIRE TO CONFIRM THAT THE TRANSFER COMPLIES WITH THE FOREGOING RESTRICTIONS.</w:t>
      </w:r>
    </w:p>
    <w:p>
      <w:pPr>
        <w:spacing w:after="0" w:line="76" w:lineRule="exact"/>
        <w:rPr>
          <w:sz w:val="20"/>
          <w:szCs w:val="20"/>
          <w:color w:val="auto"/>
        </w:rPr>
      </w:pPr>
    </w:p>
    <w:p>
      <w:pPr>
        <w:ind w:left="440" w:right="680" w:firstLine="948"/>
        <w:spacing w:after="0" w:line="277" w:lineRule="auto"/>
        <w:tabs>
          <w:tab w:leader="none" w:pos="1657" w:val="left"/>
        </w:tabs>
        <w:numPr>
          <w:ilvl w:val="0"/>
          <w:numId w:val="11"/>
        </w:numPr>
        <w:rPr>
          <w:rFonts w:ascii="Arial" w:cs="Arial" w:eastAsia="Arial" w:hAnsi="Arial"/>
          <w:sz w:val="18"/>
          <w:szCs w:val="18"/>
          <w:color w:val="auto"/>
        </w:rPr>
      </w:pPr>
      <w:r>
        <w:rPr>
          <w:rFonts w:ascii="Arial" w:cs="Arial" w:eastAsia="Arial" w:hAnsi="Arial"/>
          <w:sz w:val="18"/>
          <w:szCs w:val="18"/>
          <w:color w:val="auto"/>
        </w:rPr>
        <w:t>In addition to the applicable Restricted Notes Legend set forth above, each Global Note shall bear the legend set forth in Section 202 of the Base Indenture.</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00"/>
          </w:cols>
          <w:pgMar w:left="440" w:top="274" w:right="459" w:bottom="1440" w:gutter="0" w:footer="0" w:header="0"/>
        </w:sectPr>
      </w:pPr>
    </w:p>
    <w:bookmarkStart w:id="17" w:name="page18"/>
    <w:bookmarkEnd w:id="17"/>
    <w:p>
      <w:pPr>
        <w:jc w:val="both"/>
        <w:ind w:left="420" w:right="180" w:firstLine="948"/>
        <w:spacing w:after="0" w:line="301" w:lineRule="auto"/>
        <w:tabs>
          <w:tab w:leader="none" w:pos="1687" w:val="left"/>
        </w:tabs>
        <w:numPr>
          <w:ilvl w:val="1"/>
          <w:numId w:val="1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Upon any sale or transfer of a Transfer Restricted Note that is a definitive Note, the Security Registrar shall permit the Holder thereof to exchange such Transfer Restricted Note for a definitive Note that does not bear the legends set forth above and rescind any restriction on the transfer of such Transfer Restricted Note if the Holder certifies in writing to the Security Registrar that its request for such exchange was made in reliance on Rule 144 (such certification to be in the form of the Form of Transfer Certificate attached to the applicable Exhibit hereto).</w:t>
      </w:r>
    </w:p>
    <w:p>
      <w:pPr>
        <w:spacing w:after="0" w:line="49" w:lineRule="exact"/>
        <w:rPr>
          <w:rFonts w:ascii="Arial" w:cs="Arial" w:eastAsia="Arial" w:hAnsi="Arial"/>
          <w:sz w:val="16"/>
          <w:szCs w:val="16"/>
          <w:color w:val="auto"/>
        </w:rPr>
      </w:pPr>
    </w:p>
    <w:p>
      <w:pPr>
        <w:ind w:left="420" w:firstLine="948"/>
        <w:spacing w:after="0" w:line="259" w:lineRule="auto"/>
        <w:tabs>
          <w:tab w:leader="none" w:pos="1677" w:val="left"/>
        </w:tabs>
        <w:numPr>
          <w:ilvl w:val="1"/>
          <w:numId w:val="12"/>
        </w:numPr>
        <w:rPr>
          <w:rFonts w:ascii="Arial" w:cs="Arial" w:eastAsia="Arial" w:hAnsi="Arial"/>
          <w:sz w:val="18"/>
          <w:szCs w:val="18"/>
          <w:color w:val="auto"/>
        </w:rPr>
      </w:pPr>
      <w:r>
        <w:rPr>
          <w:rFonts w:ascii="Arial" w:cs="Arial" w:eastAsia="Arial" w:hAnsi="Arial"/>
          <w:sz w:val="18"/>
          <w:szCs w:val="18"/>
          <w:color w:val="auto"/>
        </w:rPr>
        <w:t>Upon the consummation of a Registered Exchange Offer with respect to the Initial Notes pursuant to which Holders of such Initial Notes are offered Exchange Notes in exchange for their Initial Notes, all requirements pertaining to Initial Notes that Initial Notes be issued in global form shall continue to apply, and Exchange Notes in global form without the Restricted Notes Legend shall be available to Holders that exchange such Initial Notes in such Registered Exchange Offer.</w:t>
      </w:r>
    </w:p>
    <w:p>
      <w:pPr>
        <w:spacing w:after="0" w:line="78" w:lineRule="exact"/>
        <w:rPr>
          <w:rFonts w:ascii="Arial" w:cs="Arial" w:eastAsia="Arial" w:hAnsi="Arial"/>
          <w:sz w:val="18"/>
          <w:szCs w:val="18"/>
          <w:color w:val="auto"/>
        </w:rPr>
      </w:pPr>
    </w:p>
    <w:p>
      <w:pPr>
        <w:ind w:left="420" w:right="140" w:firstLine="948"/>
        <w:spacing w:after="0" w:line="263" w:lineRule="auto"/>
        <w:tabs>
          <w:tab w:leader="none" w:pos="1627" w:val="left"/>
        </w:tabs>
        <w:numPr>
          <w:ilvl w:val="1"/>
          <w:numId w:val="12"/>
        </w:numPr>
        <w:rPr>
          <w:rFonts w:ascii="Arial" w:cs="Arial" w:eastAsia="Arial" w:hAnsi="Arial"/>
          <w:sz w:val="18"/>
          <w:szCs w:val="18"/>
          <w:color w:val="auto"/>
        </w:rPr>
      </w:pPr>
      <w:r>
        <w:rPr>
          <w:rFonts w:ascii="Arial" w:cs="Arial" w:eastAsia="Arial" w:hAnsi="Arial"/>
          <w:sz w:val="18"/>
          <w:szCs w:val="18"/>
          <w:color w:val="auto"/>
        </w:rPr>
        <w:t>Upon a sale or transfer after the expiration of the Restricted Period of any Initial Note acquired pursuant to Regulation S, all requirements that such Initial Note bear the Restricted Notes Legend shall cease to apply and the requirements requiring any such Initial Note be issued in global form shall continue to apply.</w:t>
      </w:r>
    </w:p>
    <w:p>
      <w:pPr>
        <w:spacing w:after="0" w:line="183" w:lineRule="exact"/>
        <w:rPr>
          <w:rFonts w:ascii="Arial" w:cs="Arial" w:eastAsia="Arial" w:hAnsi="Arial"/>
          <w:sz w:val="18"/>
          <w:szCs w:val="18"/>
          <w:color w:val="auto"/>
        </w:rPr>
      </w:pPr>
    </w:p>
    <w:p>
      <w:pPr>
        <w:ind w:left="-20" w:right="140" w:firstLine="436"/>
        <w:spacing w:after="0" w:line="263" w:lineRule="auto"/>
        <w:tabs>
          <w:tab w:leader="none" w:pos="665" w:val="left"/>
        </w:tabs>
        <w:numPr>
          <w:ilvl w:val="0"/>
          <w:numId w:val="13"/>
        </w:numPr>
        <w:rPr>
          <w:rFonts w:ascii="Arial" w:cs="Arial" w:eastAsia="Arial" w:hAnsi="Arial"/>
          <w:sz w:val="18"/>
          <w:szCs w:val="18"/>
          <w:color w:val="auto"/>
        </w:rPr>
      </w:pPr>
      <w:r>
        <w:rPr>
          <w:rFonts w:ascii="Arial" w:cs="Arial" w:eastAsia="Arial" w:hAnsi="Arial"/>
          <w:sz w:val="18"/>
          <w:szCs w:val="18"/>
          <w:color w:val="auto"/>
        </w:rPr>
        <w:t>By its acceptance of any Note bearing any legend in Section 2.02(d) hereof, each Holder of such Note acknowledges the restrictions on transfer of such Note set forth in this Second Supplemental Indenture and in such legend in Section 2.02(d) hereof and agrees that it shall transfer such Note only as provided in this Second Supplemental Indenture.</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INITIAL NOTES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i w:val="1"/>
          <w:iCs w:val="1"/>
          <w:color w:val="auto"/>
        </w:rPr>
        <w:t>Amount; Series; Terms.</w:t>
      </w:r>
    </w:p>
    <w:p>
      <w:pPr>
        <w:spacing w:after="0" w:line="117" w:lineRule="exact"/>
        <w:rPr>
          <w:sz w:val="20"/>
          <w:szCs w:val="20"/>
          <w:color w:val="auto"/>
        </w:rPr>
      </w:pPr>
    </w:p>
    <w:p>
      <w:pPr>
        <w:ind w:left="-20" w:right="80" w:firstLine="436"/>
        <w:spacing w:after="0" w:line="257" w:lineRule="auto"/>
        <w:tabs>
          <w:tab w:leader="none" w:pos="66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There is hereby created and designated two separate series of Initial Notes under the Base Indenture: (1) the “4.200% Senior Notes due 2023” and (2) the “4.875% Senior Notes due 2028.” The changes, modifications and supplements to the Base Indenture effected by this Second Supplemental Indenture shall be applicable only with respect to, and govern the terms of, each series of Notes, as applicable, and shall not apply to any other series of Notes that may be issued under the Base Indenture unless a supplemental indenture with respect to such other series of Notes specifically incorporates such changes, modifications and supplements.</w:t>
      </w:r>
    </w:p>
    <w:p>
      <w:pPr>
        <w:spacing w:after="0" w:line="79" w:lineRule="exact"/>
        <w:rPr>
          <w:rFonts w:ascii="Arial" w:cs="Arial" w:eastAsia="Arial" w:hAnsi="Arial"/>
          <w:sz w:val="18"/>
          <w:szCs w:val="18"/>
          <w:color w:val="auto"/>
        </w:rPr>
      </w:pPr>
    </w:p>
    <w:p>
      <w:pPr>
        <w:ind w:left="-20" w:firstLine="436"/>
        <w:spacing w:after="0" w:line="257" w:lineRule="auto"/>
        <w:tabs>
          <w:tab w:leader="none" w:pos="67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aggregate principal amount of 2023 Notes that initially may be authenticated and delivered under this Second Supplemental Indenture (the “</w:t>
      </w:r>
      <w:r>
        <w:rPr>
          <w:rFonts w:ascii="Arial" w:cs="Arial" w:eastAsia="Arial" w:hAnsi="Arial"/>
          <w:sz w:val="18"/>
          <w:szCs w:val="18"/>
          <w:u w:val="single" w:color="auto"/>
          <w:color w:val="auto"/>
        </w:rPr>
        <w:t>Initial 2023 Notes</w:t>
      </w:r>
      <w:r>
        <w:rPr>
          <w:rFonts w:ascii="Arial" w:cs="Arial" w:eastAsia="Arial" w:hAnsi="Arial"/>
          <w:sz w:val="18"/>
          <w:szCs w:val="18"/>
          <w:color w:val="auto"/>
        </w:rPr>
        <w:t>”) shall be limited to $433,817,000, subject to increase as set forth in Section 3.03 of this Second Supplemental Indenture. The aggregate principal amount of 2028 Notes that initially may be authenticated and delivered under this Second Supplemental Indenture (the “</w:t>
      </w:r>
      <w:r>
        <w:rPr>
          <w:rFonts w:ascii="Arial" w:cs="Arial" w:eastAsia="Arial" w:hAnsi="Arial"/>
          <w:sz w:val="18"/>
          <w:szCs w:val="18"/>
          <w:u w:val="single" w:color="auto"/>
          <w:color w:val="auto"/>
        </w:rPr>
        <w:t>Initial 2028</w:t>
      </w:r>
      <w:r>
        <w:rPr>
          <w:rFonts w:ascii="Arial" w:cs="Arial" w:eastAsia="Arial" w:hAnsi="Arial"/>
          <w:sz w:val="18"/>
          <w:szCs w:val="18"/>
          <w:color w:val="auto"/>
        </w:rPr>
        <w:t xml:space="preserve"> </w:t>
      </w:r>
      <w:r>
        <w:rPr>
          <w:rFonts w:ascii="Arial" w:cs="Arial" w:eastAsia="Arial" w:hAnsi="Arial"/>
          <w:sz w:val="18"/>
          <w:szCs w:val="18"/>
          <w:u w:val="single" w:color="auto"/>
          <w:color w:val="auto"/>
        </w:rPr>
        <w:t>Notes</w:t>
      </w:r>
      <w:r>
        <w:rPr>
          <w:rFonts w:ascii="Arial" w:cs="Arial" w:eastAsia="Arial" w:hAnsi="Arial"/>
          <w:sz w:val="18"/>
          <w:szCs w:val="18"/>
          <w:color w:val="auto"/>
        </w:rPr>
        <w:t>” and, together with the Initial 2023 Notes, the “</w:t>
      </w:r>
      <w:r>
        <w:rPr>
          <w:rFonts w:ascii="Arial" w:cs="Arial" w:eastAsia="Arial" w:hAnsi="Arial"/>
          <w:sz w:val="18"/>
          <w:szCs w:val="18"/>
          <w:u w:val="single" w:color="auto"/>
          <w:color w:val="auto"/>
        </w:rPr>
        <w:t>Initial Notes</w:t>
      </w:r>
      <w:r>
        <w:rPr>
          <w:rFonts w:ascii="Arial" w:cs="Arial" w:eastAsia="Arial" w:hAnsi="Arial"/>
          <w:sz w:val="18"/>
          <w:szCs w:val="18"/>
          <w:color w:val="auto"/>
        </w:rPr>
        <w:t>”) shall be limited to $479,394,000, subject to increase as set forth in Section 3.03 of this Second Supplemental Indenture.</w:t>
      </w:r>
    </w:p>
    <w:p>
      <w:pPr>
        <w:spacing w:after="0" w:line="79" w:lineRule="exact"/>
        <w:rPr>
          <w:rFonts w:ascii="Arial" w:cs="Arial" w:eastAsia="Arial" w:hAnsi="Arial"/>
          <w:sz w:val="18"/>
          <w:szCs w:val="18"/>
          <w:color w:val="auto"/>
        </w:rPr>
      </w:pPr>
    </w:p>
    <w:p>
      <w:pPr>
        <w:ind w:left="-20" w:right="140" w:firstLine="436"/>
        <w:spacing w:after="0" w:line="259" w:lineRule="auto"/>
        <w:tabs>
          <w:tab w:leader="none" w:pos="66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Stated Maturity of the 2023 Notes shall be June 22, 2023. The Stated Maturity of the 2028 Notes shall be June 22, 2028. The Notes shall be payable and may be presented for payment, purchase, redemption, registration of transfer and exchange, without service charge (subject to Section 305 of the Base Indenture), at the office or agency of the Company maintained for such purpose, which shall initially be the Corporate Trust Office.</w:t>
      </w:r>
    </w:p>
    <w:p>
      <w:pPr>
        <w:spacing w:after="0" w:line="78" w:lineRule="exact"/>
        <w:rPr>
          <w:rFonts w:ascii="Arial" w:cs="Arial" w:eastAsia="Arial" w:hAnsi="Arial"/>
          <w:sz w:val="18"/>
          <w:szCs w:val="18"/>
          <w:color w:val="auto"/>
        </w:rPr>
      </w:pPr>
    </w:p>
    <w:p>
      <w:pPr>
        <w:ind w:left="-20" w:firstLine="436"/>
        <w:spacing w:after="0" w:line="290" w:lineRule="auto"/>
        <w:tabs>
          <w:tab w:leader="none" w:pos="675"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2023 Notes shall bear interest at the rate of 4.200% per annum and shall accrue interest from December 22, 2020. The 2028 Notes shall bear interest at the rate of 4.875% per annum and shall accrue interest from December 22, 2020. Interest for each series of Notes shall be computed on the basis of a 360-day year consisting of twelve 30-day months. The Interest Payment Dates for each series of Notes shall be June 22 and December 22 of each year, beginning on June 22, 2021, and the “</w:t>
      </w:r>
      <w:r>
        <w:rPr>
          <w:rFonts w:ascii="Arial" w:cs="Arial" w:eastAsia="Arial" w:hAnsi="Arial"/>
          <w:sz w:val="16"/>
          <w:szCs w:val="16"/>
          <w:u w:val="single" w:color="auto"/>
          <w:color w:val="auto"/>
        </w:rPr>
        <w:t>Record Date</w:t>
      </w:r>
      <w:r>
        <w:rPr>
          <w:rFonts w:ascii="Arial" w:cs="Arial" w:eastAsia="Arial" w:hAnsi="Arial"/>
          <w:sz w:val="16"/>
          <w:szCs w:val="16"/>
          <w:color w:val="auto"/>
        </w:rPr>
        <w:t xml:space="preserve">” for any interest payable on each such Interest Payment Date shall be the immediately preceding June 7 and December 7, respectively;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upon the Stated Maturity of a series of Notes, interest shall be payable on such Stated Maturity from the most recent date to which interest has been paid or duly provided, and shall include the required payment of principal or premium, if any; and </w:t>
      </w:r>
      <w:r>
        <w:rPr>
          <w:rFonts w:ascii="Arial" w:cs="Arial" w:eastAsia="Arial" w:hAnsi="Arial"/>
          <w:sz w:val="16"/>
          <w:szCs w:val="16"/>
          <w:i w:val="1"/>
          <w:iCs w:val="1"/>
          <w:color w:val="auto"/>
        </w:rPr>
        <w:t>provided further</w:t>
      </w:r>
      <w:r>
        <w:rPr>
          <w:rFonts w:ascii="Arial" w:cs="Arial" w:eastAsia="Arial" w:hAnsi="Arial"/>
          <w:sz w:val="16"/>
          <w:szCs w:val="16"/>
          <w:color w:val="auto"/>
        </w:rPr>
        <w:t>, that the “Record Date” for any interest, principal, or premium, if any, payable on the Stated Maturity of a series of Notes shall be the immediately preceding June 7. If any Interest Payment Date, Stated Maturity or other payment date</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0960"/>
          </w:cols>
          <w:pgMar w:left="460" w:top="274" w:right="479" w:bottom="1440" w:gutter="0" w:footer="0" w:header="0"/>
        </w:sectPr>
      </w:pPr>
    </w:p>
    <w:bookmarkStart w:id="18" w:name="page19"/>
    <w:bookmarkEnd w:id="18"/>
    <w:p>
      <w:pPr>
        <w:ind w:right="1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with respect to a series of Notes is not a Business Day, the required payment of principal, premium, if any, or interest with respect to such series of Notes shall be due on the next succeeding Business Day as if made on the date that such payment was due, and no interest shall accrue on that payment for the period from and after that Interest Payment Date, Stated Maturity or other payment date, as the case may be, to the date of that payment on the next succeeding Business Day.</w:t>
      </w:r>
    </w:p>
    <w:p>
      <w:pPr>
        <w:spacing w:after="0" w:line="79" w:lineRule="exact"/>
        <w:rPr>
          <w:sz w:val="20"/>
          <w:szCs w:val="20"/>
          <w:color w:val="auto"/>
        </w:rPr>
      </w:pPr>
    </w:p>
    <w:p>
      <w:pPr>
        <w:ind w:right="220" w:firstLine="436"/>
        <w:spacing w:after="0" w:line="263" w:lineRule="auto"/>
        <w:tabs>
          <w:tab w:leader="none" w:pos="685" w:val="left"/>
        </w:tabs>
        <w:numPr>
          <w:ilvl w:val="0"/>
          <w:numId w:val="15"/>
        </w:numPr>
        <w:rPr>
          <w:rFonts w:ascii="Arial" w:cs="Arial" w:eastAsia="Arial" w:hAnsi="Arial"/>
          <w:sz w:val="18"/>
          <w:szCs w:val="18"/>
          <w:color w:val="auto"/>
        </w:rPr>
      </w:pPr>
      <w:r>
        <w:rPr>
          <w:rFonts w:ascii="Arial" w:cs="Arial" w:eastAsia="Arial" w:hAnsi="Arial"/>
          <w:sz w:val="18"/>
          <w:szCs w:val="18"/>
          <w:color w:val="auto"/>
        </w:rPr>
        <w:t>Each of the 2023 Notes and the 2028 Notes shall be issued in the form of one or more Global Notes, deposited with the Trustee as custodian for the Depositary or its nominee, duly executed by the Company and authenticated by the Trustee as provided in Section 3.03 of this Second Supplemental Indenture and Section 303 of the Base Indenture.</w:t>
      </w:r>
    </w:p>
    <w:p>
      <w:pPr>
        <w:spacing w:after="0" w:line="75" w:lineRule="exact"/>
        <w:rPr>
          <w:rFonts w:ascii="Arial" w:cs="Arial" w:eastAsia="Arial" w:hAnsi="Arial"/>
          <w:sz w:val="18"/>
          <w:szCs w:val="18"/>
          <w:color w:val="auto"/>
        </w:rPr>
      </w:pPr>
    </w:p>
    <w:p>
      <w:pPr>
        <w:ind w:right="40" w:firstLine="436"/>
        <w:spacing w:after="0" w:line="273" w:lineRule="auto"/>
        <w:tabs>
          <w:tab w:leader="none" w:pos="665" w:val="left"/>
        </w:tabs>
        <w:numPr>
          <w:ilvl w:val="0"/>
          <w:numId w:val="15"/>
        </w:numPr>
        <w:rPr>
          <w:rFonts w:ascii="Arial" w:cs="Arial" w:eastAsia="Arial" w:hAnsi="Arial"/>
          <w:sz w:val="17"/>
          <w:szCs w:val="17"/>
          <w:color w:val="auto"/>
        </w:rPr>
      </w:pPr>
      <w:r>
        <w:rPr>
          <w:rFonts w:ascii="Arial" w:cs="Arial" w:eastAsia="Arial" w:hAnsi="Arial"/>
          <w:sz w:val="17"/>
          <w:szCs w:val="17"/>
          <w:color w:val="auto"/>
        </w:rPr>
        <w:t>Payment of principal of, premium, if any, and interest on a Global Note registered in the name of or held by the Depositary or its nominee shall be made in immediately available funds to the Depositary or its nominee, as the case may be, as the registered Holder of such Global Note. If any series of Notes are no longer represented by a Global Note, payment of principal, premium, if any, and interest on Notes in definitive form may, at the Company’s option, be made (i) by check mailed directly to Holders of such series of Notes at their registered addresses or (ii) upon written request of any Holder of at least $5,000,000 principal amount of such series of Notes, wire transfer to an account located in the United States of America maintained by the payee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request contains the requisite information to make such wire transfer).</w:t>
      </w:r>
    </w:p>
    <w:p>
      <w:pPr>
        <w:spacing w:after="0" w:line="178" w:lineRule="exact"/>
        <w:rPr>
          <w:sz w:val="20"/>
          <w:szCs w:val="20"/>
          <w:color w:val="auto"/>
        </w:rPr>
      </w:pPr>
    </w:p>
    <w:p>
      <w:pPr>
        <w:ind w:right="180" w:firstLine="440"/>
        <w:spacing w:after="0" w:line="277" w:lineRule="auto"/>
        <w:rPr>
          <w:sz w:val="20"/>
          <w:szCs w:val="20"/>
          <w:color w:val="auto"/>
        </w:rPr>
      </w:pPr>
      <w:r>
        <w:rPr>
          <w:rFonts w:ascii="Arial" w:cs="Arial" w:eastAsia="Arial" w:hAnsi="Arial"/>
          <w:sz w:val="18"/>
          <w:szCs w:val="18"/>
          <w:color w:val="auto"/>
        </w:rPr>
        <w:t xml:space="preserve">Section 3.02. </w:t>
      </w:r>
      <w:r>
        <w:rPr>
          <w:rFonts w:ascii="Arial" w:cs="Arial" w:eastAsia="Arial" w:hAnsi="Arial"/>
          <w:sz w:val="18"/>
          <w:szCs w:val="18"/>
          <w:i w:val="1"/>
          <w:iCs w:val="1"/>
          <w:color w:val="auto"/>
        </w:rPr>
        <w:t>Denominations.</w:t>
      </w:r>
      <w:r>
        <w:rPr>
          <w:rFonts w:ascii="Arial" w:cs="Arial" w:eastAsia="Arial" w:hAnsi="Arial"/>
          <w:sz w:val="18"/>
          <w:szCs w:val="18"/>
          <w:color w:val="auto"/>
        </w:rPr>
        <w:t xml:space="preserve"> The Notes shall be issuable only in registered form without coupons and only in denominations of $2,000 and any multiple of $1,000 in excess thereof.</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i w:val="1"/>
          <w:iCs w:val="1"/>
          <w:color w:val="auto"/>
        </w:rPr>
        <w:t>Additional Notes; Repurchases.</w:t>
      </w:r>
    </w:p>
    <w:p>
      <w:pPr>
        <w:spacing w:after="0" w:line="117" w:lineRule="exact"/>
        <w:rPr>
          <w:sz w:val="20"/>
          <w:szCs w:val="20"/>
          <w:color w:val="auto"/>
        </w:rPr>
      </w:pPr>
    </w:p>
    <w:p>
      <w:pPr>
        <w:ind w:firstLine="987"/>
        <w:spacing w:after="0" w:line="257" w:lineRule="auto"/>
        <w:tabs>
          <w:tab w:leader="none" w:pos="1236" w:val="left"/>
        </w:tabs>
        <w:numPr>
          <w:ilvl w:val="1"/>
          <w:numId w:val="16"/>
        </w:numPr>
        <w:rPr>
          <w:rFonts w:ascii="Arial" w:cs="Arial" w:eastAsia="Arial" w:hAnsi="Arial"/>
          <w:sz w:val="18"/>
          <w:szCs w:val="18"/>
          <w:color w:val="auto"/>
        </w:rPr>
      </w:pPr>
      <w:r>
        <w:rPr>
          <w:rFonts w:ascii="Arial" w:cs="Arial" w:eastAsia="Arial" w:hAnsi="Arial"/>
          <w:sz w:val="18"/>
          <w:szCs w:val="18"/>
          <w:color w:val="auto"/>
        </w:rPr>
        <w:t>The Company may, from time to time, subject to compliance with any other applicable provisions of the Indenture, without notice to or the consent of the Holders of the Notes of the applicable series, create and issue pursuant to the Indenture additional Notes of such series (in the case of the 2023 Notes, the “</w:t>
      </w:r>
      <w:r>
        <w:rPr>
          <w:rFonts w:ascii="Arial" w:cs="Arial" w:eastAsia="Arial" w:hAnsi="Arial"/>
          <w:sz w:val="18"/>
          <w:szCs w:val="18"/>
          <w:u w:val="single" w:color="auto"/>
          <w:color w:val="auto"/>
        </w:rPr>
        <w:t>2023 Additional Notes</w:t>
      </w:r>
      <w:r>
        <w:rPr>
          <w:rFonts w:ascii="Arial" w:cs="Arial" w:eastAsia="Arial" w:hAnsi="Arial"/>
          <w:sz w:val="18"/>
          <w:szCs w:val="18"/>
          <w:color w:val="auto"/>
        </w:rPr>
        <w:t>” and, in the case of the 2028 Notes, the “</w:t>
      </w:r>
      <w:r>
        <w:rPr>
          <w:rFonts w:ascii="Arial" w:cs="Arial" w:eastAsia="Arial" w:hAnsi="Arial"/>
          <w:sz w:val="18"/>
          <w:szCs w:val="18"/>
          <w:u w:val="single" w:color="auto"/>
          <w:color w:val="auto"/>
        </w:rPr>
        <w:t>2028 Additional Notes</w:t>
      </w:r>
      <w:r>
        <w:rPr>
          <w:rFonts w:ascii="Arial" w:cs="Arial" w:eastAsia="Arial" w:hAnsi="Arial"/>
          <w:sz w:val="18"/>
          <w:szCs w:val="18"/>
          <w:color w:val="auto"/>
        </w:rPr>
        <w:t>” and, together with the 2023 Additional Notes, the “</w:t>
      </w:r>
      <w:r>
        <w:rPr>
          <w:rFonts w:ascii="Arial" w:cs="Arial" w:eastAsia="Arial" w:hAnsi="Arial"/>
          <w:sz w:val="18"/>
          <w:szCs w:val="18"/>
          <w:u w:val="single" w:color="auto"/>
          <w:color w:val="auto"/>
        </w:rPr>
        <w:t>Additional Notes</w:t>
      </w:r>
      <w:r>
        <w:rPr>
          <w:rFonts w:ascii="Arial" w:cs="Arial" w:eastAsia="Arial" w:hAnsi="Arial"/>
          <w:sz w:val="18"/>
          <w:szCs w:val="18"/>
          <w:color w:val="auto"/>
        </w:rPr>
        <w:t>”) having terms and conditions identical to those of the Initial Notes of the applicable series and ranking equally and ratably with the Initial Notes of the applicable series, except that Additional Notes:</w:t>
      </w:r>
    </w:p>
    <w:p>
      <w:pPr>
        <w:spacing w:after="0" w:line="79" w:lineRule="exact"/>
        <w:rPr>
          <w:rFonts w:ascii="Arial" w:cs="Arial" w:eastAsia="Arial" w:hAnsi="Arial"/>
          <w:sz w:val="18"/>
          <w:szCs w:val="18"/>
          <w:color w:val="auto"/>
        </w:rPr>
      </w:pPr>
    </w:p>
    <w:p>
      <w:pPr>
        <w:ind w:left="1600" w:hanging="212"/>
        <w:spacing w:after="0"/>
        <w:tabs>
          <w:tab w:leader="none" w:pos="1600" w:val="left"/>
        </w:tabs>
        <w:numPr>
          <w:ilvl w:val="2"/>
          <w:numId w:val="16"/>
        </w:numPr>
        <w:rPr>
          <w:rFonts w:ascii="Arial" w:cs="Arial" w:eastAsia="Arial" w:hAnsi="Arial"/>
          <w:sz w:val="18"/>
          <w:szCs w:val="18"/>
          <w:color w:val="auto"/>
        </w:rPr>
      </w:pPr>
      <w:r>
        <w:rPr>
          <w:rFonts w:ascii="Arial" w:cs="Arial" w:eastAsia="Arial" w:hAnsi="Arial"/>
          <w:sz w:val="18"/>
          <w:szCs w:val="18"/>
          <w:color w:val="auto"/>
        </w:rPr>
        <w:t>may have a different issue date from the Notes of the applicable series; and</w:t>
      </w:r>
    </w:p>
    <w:p>
      <w:pPr>
        <w:spacing w:after="0" w:line="117" w:lineRule="exact"/>
        <w:rPr>
          <w:rFonts w:ascii="Arial" w:cs="Arial" w:eastAsia="Arial" w:hAnsi="Arial"/>
          <w:sz w:val="18"/>
          <w:szCs w:val="18"/>
          <w:color w:val="auto"/>
        </w:rPr>
      </w:pPr>
    </w:p>
    <w:p>
      <w:pPr>
        <w:ind w:left="440" w:right="60" w:firstLine="948"/>
        <w:spacing w:after="0" w:line="275" w:lineRule="auto"/>
        <w:tabs>
          <w:tab w:leader="none" w:pos="1657" w:val="left"/>
        </w:tabs>
        <w:numPr>
          <w:ilvl w:val="2"/>
          <w:numId w:val="16"/>
        </w:numPr>
        <w:rPr>
          <w:rFonts w:ascii="Arial" w:cs="Arial" w:eastAsia="Arial" w:hAnsi="Arial"/>
          <w:sz w:val="17"/>
          <w:szCs w:val="17"/>
          <w:color w:val="auto"/>
        </w:rPr>
      </w:pPr>
      <w:r>
        <w:rPr>
          <w:rFonts w:ascii="Arial" w:cs="Arial" w:eastAsia="Arial" w:hAnsi="Arial"/>
          <w:sz w:val="17"/>
          <w:szCs w:val="17"/>
          <w:color w:val="auto"/>
        </w:rPr>
        <w:t>may have a different amount of interest payable on the first Interest Payment Date after issuance than is payable on the Initial Notes of the applicable series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a separate CUSIP number may be assigned for any Additional Notes with a different amount of interest payable on the first Interest Payment Date after issuance than is payable on the Initial Notes of the applicable series, if required by DTC);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such Additional Notes are not fungible with the outstanding Notes of the applicable series for U.S. federal income tax purposes, such Additional Notes shall have one or more separate CUSIP numbers.</w:t>
      </w:r>
    </w:p>
    <w:p>
      <w:pPr>
        <w:spacing w:after="0" w:line="68" w:lineRule="exact"/>
        <w:rPr>
          <w:rFonts w:ascii="Arial" w:cs="Arial" w:eastAsia="Arial" w:hAnsi="Arial"/>
          <w:sz w:val="17"/>
          <w:szCs w:val="17"/>
          <w:color w:val="auto"/>
        </w:rPr>
      </w:pPr>
    </w:p>
    <w:p>
      <w:pPr>
        <w:ind w:firstLine="436"/>
        <w:spacing w:after="0" w:line="311" w:lineRule="auto"/>
        <w:tabs>
          <w:tab w:leader="none" w:pos="695" w:val="left"/>
        </w:tabs>
        <w:numPr>
          <w:ilvl w:val="0"/>
          <w:numId w:val="17"/>
        </w:numPr>
        <w:rPr>
          <w:rFonts w:ascii="Arial" w:cs="Arial" w:eastAsia="Arial" w:hAnsi="Arial"/>
          <w:sz w:val="16"/>
          <w:szCs w:val="16"/>
          <w:color w:val="auto"/>
        </w:rPr>
      </w:pPr>
      <w:r>
        <w:rPr>
          <w:rFonts w:ascii="Arial" w:cs="Arial" w:eastAsia="Arial" w:hAnsi="Arial"/>
          <w:sz w:val="16"/>
          <w:szCs w:val="16"/>
          <w:color w:val="auto"/>
        </w:rPr>
        <w:t>Any Additional Notes of such series, together with any Exchange Notes issued with respect to such series in accordance with the Registration Rights Agreement, will be treated as a single series with, and shall have the same terms as to ranking, redemption, waivers, amendments or otherwise, as the Initial Notes of the applicable series and shall vote together as one class on all matters with respect to the Notes of such series.</w:t>
      </w:r>
    </w:p>
    <w:p>
      <w:pPr>
        <w:spacing w:after="0" w:line="40" w:lineRule="exact"/>
        <w:rPr>
          <w:rFonts w:ascii="Arial" w:cs="Arial" w:eastAsia="Arial" w:hAnsi="Arial"/>
          <w:sz w:val="16"/>
          <w:szCs w:val="16"/>
          <w:color w:val="auto"/>
        </w:rPr>
      </w:pPr>
    </w:p>
    <w:p>
      <w:pPr>
        <w:ind w:right="20" w:firstLine="436"/>
        <w:spacing w:after="0" w:line="255" w:lineRule="auto"/>
        <w:tabs>
          <w:tab w:leader="none" w:pos="685"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Company may, to the extent permitted by law, directly or indirectly (regardless of whether such Notes are surrendered to the Company), purchase Notes in the open market, negotiated transactions or otherwise, whether by the Company or one or more of its Subsidiaries or through a private or public tender or exchange offer or through counterparties to private agreements, including by cash-settled swaps or other derivatives. The Company shall cause any Notes so purchased (other than Notes purchased pursuant to cash-settled swaps or other derivatives) to be surrendered to the Trustee for cancellation, together with a Company Order to cancel such Notes, and such Notes shall no longer be considered outstanding under the Indenture upon their purchase.</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4" w:right="459" w:bottom="1440" w:gutter="0" w:footer="0" w:header="0"/>
        </w:sectPr>
      </w:pPr>
    </w:p>
    <w:bookmarkStart w:id="19" w:name="page20"/>
    <w:bookmarkEnd w:id="19"/>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3.04. </w:t>
      </w:r>
      <w:r>
        <w:rPr>
          <w:rFonts w:ascii="Arial" w:cs="Arial" w:eastAsia="Arial" w:hAnsi="Arial"/>
          <w:sz w:val="18"/>
          <w:szCs w:val="18"/>
          <w:i w:val="1"/>
          <w:iCs w:val="1"/>
          <w:color w:val="auto"/>
        </w:rPr>
        <w:t>No Sinking Fund.</w:t>
      </w:r>
      <w:r>
        <w:rPr>
          <w:rFonts w:ascii="Arial" w:cs="Arial" w:eastAsia="Arial" w:hAnsi="Arial"/>
          <w:sz w:val="18"/>
          <w:szCs w:val="18"/>
          <w:color w:val="auto"/>
        </w:rPr>
        <w:t xml:space="preserve"> The Notes shall not be subject to any sinking fund.</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i w:val="1"/>
          <w:iCs w:val="1"/>
          <w:color w:val="auto"/>
        </w:rPr>
        <w:t>Satisfaction and Discharge</w:t>
      </w:r>
      <w:r>
        <w:rPr>
          <w:rFonts w:ascii="Arial" w:cs="Arial" w:eastAsia="Arial" w:hAnsi="Arial"/>
          <w:sz w:val="18"/>
          <w:szCs w:val="18"/>
          <w:color w:val="auto"/>
        </w:rPr>
        <w:t>. The provisions of Section 401 of the Base Indenture shall apply to the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i w:val="1"/>
          <w:iCs w:val="1"/>
          <w:color w:val="auto"/>
        </w:rPr>
        <w:t>Additional Amounts.</w:t>
      </w:r>
      <w:r>
        <w:rPr>
          <w:rFonts w:ascii="Arial" w:cs="Arial" w:eastAsia="Arial" w:hAnsi="Arial"/>
          <w:sz w:val="18"/>
          <w:szCs w:val="18"/>
          <w:color w:val="auto"/>
        </w:rPr>
        <w:t xml:space="preserve"> The provisions of Section 1005 and 1108 of the Base Indenture shall apply to the Notes.</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REDEMPTION OF SECURITIES</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i w:val="1"/>
          <w:iCs w:val="1"/>
          <w:color w:val="auto"/>
        </w:rPr>
        <w:t>Optional Redemption.</w:t>
      </w:r>
    </w:p>
    <w:p>
      <w:pPr>
        <w:spacing w:after="0" w:line="117" w:lineRule="exact"/>
        <w:rPr>
          <w:sz w:val="20"/>
          <w:szCs w:val="20"/>
          <w:color w:val="auto"/>
        </w:rPr>
      </w:pPr>
    </w:p>
    <w:p>
      <w:pPr>
        <w:ind w:right="840" w:firstLine="436"/>
        <w:spacing w:after="0" w:line="277" w:lineRule="auto"/>
        <w:tabs>
          <w:tab w:leader="none" w:pos="685" w:val="left"/>
        </w:tabs>
        <w:numPr>
          <w:ilvl w:val="0"/>
          <w:numId w:val="18"/>
        </w:numPr>
        <w:rPr>
          <w:rFonts w:ascii="Arial" w:cs="Arial" w:eastAsia="Arial" w:hAnsi="Arial"/>
          <w:sz w:val="18"/>
          <w:szCs w:val="18"/>
          <w:color w:val="auto"/>
        </w:rPr>
      </w:pPr>
      <w:r>
        <w:rPr>
          <w:rFonts w:ascii="Arial" w:cs="Arial" w:eastAsia="Arial" w:hAnsi="Arial"/>
          <w:sz w:val="18"/>
          <w:szCs w:val="18"/>
          <w:color w:val="auto"/>
        </w:rPr>
        <w:t>Subject to Section 1.02 hereof, the provisions of Article XI of the Base Indenture, as supplemented by the provisions of this Second Supplemental Indenture, shall apply to the Notes.</w:t>
      </w:r>
    </w:p>
    <w:p>
      <w:pPr>
        <w:spacing w:after="0" w:line="62" w:lineRule="exact"/>
        <w:rPr>
          <w:rFonts w:ascii="Arial" w:cs="Arial" w:eastAsia="Arial" w:hAnsi="Arial"/>
          <w:sz w:val="18"/>
          <w:szCs w:val="18"/>
          <w:color w:val="auto"/>
        </w:rPr>
      </w:pPr>
    </w:p>
    <w:p>
      <w:pPr>
        <w:ind w:right="20" w:firstLine="436"/>
        <w:spacing w:after="0" w:line="290" w:lineRule="auto"/>
        <w:tabs>
          <w:tab w:leader="none" w:pos="695" w:val="left"/>
        </w:tabs>
        <w:numPr>
          <w:ilvl w:val="0"/>
          <w:numId w:val="18"/>
        </w:numPr>
        <w:rPr>
          <w:rFonts w:ascii="Arial" w:cs="Arial" w:eastAsia="Arial" w:hAnsi="Arial"/>
          <w:sz w:val="16"/>
          <w:szCs w:val="16"/>
          <w:color w:val="auto"/>
        </w:rPr>
      </w:pPr>
      <w:r>
        <w:rPr>
          <w:rFonts w:ascii="Arial" w:cs="Arial" w:eastAsia="Arial" w:hAnsi="Arial"/>
          <w:sz w:val="16"/>
          <w:szCs w:val="16"/>
          <w:color w:val="auto"/>
        </w:rPr>
        <w:t>At any time before the 2023 Par Call Date, the 2023 Notes shall be redeemable, as a whole at any time or from time to time in part, at the Company’s option, at a redemption price equal to the greater of (i) 100% of the aggregate principal amount of the applicable 2023 Notes to be redeemed and (ii) the sum of the present values of the Remaining Scheduled Payments of such 2023 Notes, discounted to the redemption date on a semi-annual basis (assuming a 360-day year consisting of twelve 30-day months) using a discount rate equal to the Treasury Rate plus 25 basis points, plus accrued and unpaid interest thereon to, but excluding, the redemption date for such 2023 Notes. The redemption price shall be determined by the Company and the Trustee shall have no duty to verify any such determination made by the Company. On or after the 2023 Par Call Date, the 2023 Notes shall be redeemable, as a whole at any time or from time to time in part, at the Company’s option, at a redemption price equal to 100% of the aggregate principal amount of the applicable Notes to be redeemed, plus accrued and unpaid interest thereon to, but excluding, the redemption date for such Notes.</w:t>
      </w:r>
    </w:p>
    <w:p>
      <w:pPr>
        <w:spacing w:after="0" w:line="57" w:lineRule="exact"/>
        <w:rPr>
          <w:rFonts w:ascii="Arial" w:cs="Arial" w:eastAsia="Arial" w:hAnsi="Arial"/>
          <w:sz w:val="16"/>
          <w:szCs w:val="16"/>
          <w:color w:val="auto"/>
        </w:rPr>
      </w:pPr>
    </w:p>
    <w:p>
      <w:pPr>
        <w:ind w:right="20" w:firstLine="436"/>
        <w:spacing w:after="0" w:line="290" w:lineRule="auto"/>
        <w:tabs>
          <w:tab w:leader="none" w:pos="685" w:val="left"/>
        </w:tabs>
        <w:numPr>
          <w:ilvl w:val="0"/>
          <w:numId w:val="18"/>
        </w:numPr>
        <w:rPr>
          <w:rFonts w:ascii="Arial" w:cs="Arial" w:eastAsia="Arial" w:hAnsi="Arial"/>
          <w:sz w:val="16"/>
          <w:szCs w:val="16"/>
          <w:color w:val="auto"/>
        </w:rPr>
      </w:pPr>
      <w:r>
        <w:rPr>
          <w:rFonts w:ascii="Arial" w:cs="Arial" w:eastAsia="Arial" w:hAnsi="Arial"/>
          <w:sz w:val="16"/>
          <w:szCs w:val="16"/>
          <w:color w:val="auto"/>
        </w:rPr>
        <w:t>At any time before the 2028 Par Call Date, the 2028 Notes shall be redeemable, as a whole at any time or from time to time in part, at the Company’s option, at a redemption price equal to the greater of (i) 100% of the aggregate principal amount of the applicable 2028 Notes to be redeemed and (ii) the sum of the present values of the Remaining Scheduled Payments of such 2028 Notes, discounted to the redemption date on a semi-annual basis (assuming a 360-day year consisting of twelve 30-day months) using a discount rate equal to the Treasury Rate plus 30 basis points, plus accrued and unpaid interest thereon to, but excluding, the redemption date for such 2028 Notes. The redemption price shall be determined by the Company and the Trustee shall have no duty to verify any such determination made by the Company. On or after the 2028 Par Call Date, the 2028 Notes shall be redeemable, as a whole at any time or from time to time in part, at the Company’s option, at a redemption price equal to 100% of the aggregate principal amount of the applicable Notes to be redeemed, plus accrued and unpaid interest thereon to, but excluding, the redemption date for such Notes.</w:t>
      </w:r>
    </w:p>
    <w:p>
      <w:pPr>
        <w:spacing w:after="0" w:line="57" w:lineRule="exact"/>
        <w:rPr>
          <w:rFonts w:ascii="Arial" w:cs="Arial" w:eastAsia="Arial" w:hAnsi="Arial"/>
          <w:sz w:val="16"/>
          <w:szCs w:val="16"/>
          <w:color w:val="auto"/>
        </w:rPr>
      </w:pPr>
    </w:p>
    <w:p>
      <w:pPr>
        <w:ind w:firstLine="436"/>
        <w:spacing w:after="0" w:line="286" w:lineRule="auto"/>
        <w:tabs>
          <w:tab w:leader="none" w:pos="695" w:val="left"/>
        </w:tabs>
        <w:numPr>
          <w:ilvl w:val="0"/>
          <w:numId w:val="18"/>
        </w:numPr>
        <w:rPr>
          <w:rFonts w:ascii="Arial" w:cs="Arial" w:eastAsia="Arial" w:hAnsi="Arial"/>
          <w:sz w:val="17"/>
          <w:szCs w:val="17"/>
          <w:color w:val="auto"/>
        </w:rPr>
      </w:pPr>
      <w:r>
        <w:rPr>
          <w:rFonts w:ascii="Arial" w:cs="Arial" w:eastAsia="Arial" w:hAnsi="Arial"/>
          <w:sz w:val="17"/>
          <w:szCs w:val="17"/>
          <w:color w:val="auto"/>
        </w:rPr>
        <w:t>Notwithstanding Section 4.01(b) and Section 4.01(c) above, installments of interest on a series of Notes that are due and payable on Interest Payment Dates falling on or prior to a redemption date shall be payable on the Interest Payment Date to the registered Holders as of the close of business on the relevant Record Date in accordance with the provisions of such Notes of the applicable series and the Indenture.</w:t>
      </w:r>
    </w:p>
    <w:p>
      <w:pPr>
        <w:spacing w:after="0" w:line="57" w:lineRule="exact"/>
        <w:rPr>
          <w:rFonts w:ascii="Arial" w:cs="Arial" w:eastAsia="Arial" w:hAnsi="Arial"/>
          <w:sz w:val="17"/>
          <w:szCs w:val="17"/>
          <w:color w:val="auto"/>
        </w:rPr>
      </w:pPr>
    </w:p>
    <w:p>
      <w:pPr>
        <w:ind w:firstLine="436"/>
        <w:spacing w:after="0" w:line="255" w:lineRule="auto"/>
        <w:tabs>
          <w:tab w:leader="none" w:pos="685" w:val="left"/>
        </w:tabs>
        <w:numPr>
          <w:ilvl w:val="0"/>
          <w:numId w:val="18"/>
        </w:numPr>
        <w:rPr>
          <w:rFonts w:ascii="Arial" w:cs="Arial" w:eastAsia="Arial" w:hAnsi="Arial"/>
          <w:sz w:val="18"/>
          <w:szCs w:val="18"/>
          <w:color w:val="auto"/>
        </w:rPr>
      </w:pPr>
      <w:r>
        <w:rPr>
          <w:rFonts w:ascii="Arial" w:cs="Arial" w:eastAsia="Arial" w:hAnsi="Arial"/>
          <w:sz w:val="18"/>
          <w:szCs w:val="18"/>
          <w:color w:val="auto"/>
        </w:rPr>
        <w:t xml:space="preserve">On and after the redemption date for the Notes of the applicable series, interest shall cease to accrue on such Notes or any portion thereof called for redemption, unless the Company defaults in the payment of the redemption price and accrued interest, if any. If less than all of the Notes of a series are to be redeemed, the Notes of such series to be redeemed shall be selected pro rata or by lot or by such other method as the Trustee shall deem fair and appropriate (including, in the case of Notes represented by a Global Note, in accordance with the procedures of the Depositary) unless otherwise required by law or applicable stock exchange or Depositary requirements; </w:t>
      </w:r>
      <w:r>
        <w:rPr>
          <w:rFonts w:ascii="Arial" w:cs="Arial" w:eastAsia="Arial" w:hAnsi="Arial"/>
          <w:sz w:val="18"/>
          <w:szCs w:val="18"/>
          <w:i w:val="1"/>
          <w:iCs w:val="1"/>
          <w:color w:val="auto"/>
        </w:rPr>
        <w:t>provided</w:t>
      </w:r>
      <w:r>
        <w:rPr>
          <w:rFonts w:ascii="Arial" w:cs="Arial" w:eastAsia="Arial" w:hAnsi="Arial"/>
          <w:sz w:val="18"/>
          <w:szCs w:val="18"/>
          <w:color w:val="auto"/>
        </w:rPr>
        <w:t>, however, that in no event shall Notes of a principal amount of $2,000 or less be redeemed in part.</w:t>
      </w:r>
    </w:p>
    <w:p>
      <w:pPr>
        <w:spacing w:after="0" w:line="24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20" w:name="page21"/>
    <w:bookmarkEnd w:id="20"/>
    <w:p>
      <w:pPr>
        <w:ind w:firstLine="436"/>
        <w:spacing w:after="0" w:line="284" w:lineRule="auto"/>
        <w:tabs>
          <w:tab w:leader="none" w:pos="665" w:val="left"/>
        </w:tabs>
        <w:numPr>
          <w:ilvl w:val="0"/>
          <w:numId w:val="1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Notice of any redemption shall be delivered at least 15 days but not more than 60 days before the redemption date to each Holder of the Notes of the applicable series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described above in Section 4.01(b) and</w:t>
      </w:r>
    </w:p>
    <w:p>
      <w:pPr>
        <w:spacing w:after="0" w:line="4" w:lineRule="exact"/>
        <w:rPr>
          <w:rFonts w:ascii="Arial" w:cs="Arial" w:eastAsia="Arial" w:hAnsi="Arial"/>
          <w:sz w:val="16"/>
          <w:szCs w:val="16"/>
          <w:color w:val="auto"/>
        </w:rPr>
      </w:pPr>
    </w:p>
    <w:p>
      <w:pPr>
        <w:ind w:right="120"/>
        <w:spacing w:after="0" w:line="273" w:lineRule="auto"/>
        <w:rPr>
          <w:rFonts w:ascii="Arial" w:cs="Arial" w:eastAsia="Arial" w:hAnsi="Arial"/>
          <w:sz w:val="16"/>
          <w:szCs w:val="16"/>
          <w:color w:val="auto"/>
        </w:rPr>
      </w:pPr>
      <w:r>
        <w:rPr>
          <w:rFonts w:ascii="Arial" w:cs="Arial" w:eastAsia="Arial" w:hAnsi="Arial"/>
          <w:sz w:val="17"/>
          <w:szCs w:val="17"/>
          <w:color w:val="auto"/>
        </w:rPr>
        <w:t>Section 4.01(c), as applicable, shall be set forth in an Officer’s Certificate delivered to the Trustee no later than two Business Days prior to the redemption date. Notice of redemption having been given as provided in the Indenture, the Notes called for redemption shall become due and payable on the redemption date and at the applicable redemption price, plus accrued and unpaid interest, if any, to, but excluding, the redemption date. A notice of redemption may, at the Company’s option and discretion, be subject to one or more conditions precedent.</w:t>
      </w:r>
    </w:p>
    <w:p>
      <w:pPr>
        <w:spacing w:after="0" w:line="1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i w:val="1"/>
          <w:iCs w:val="1"/>
          <w:color w:val="auto"/>
        </w:rPr>
        <w:t>Purchase of Notes upon a Change of Control Repurchase Event</w:t>
      </w:r>
      <w:r>
        <w:rPr>
          <w:rFonts w:ascii="Arial" w:cs="Arial" w:eastAsia="Arial" w:hAnsi="Arial"/>
          <w:sz w:val="18"/>
          <w:szCs w:val="18"/>
          <w:color w:val="auto"/>
        </w:rPr>
        <w:t>.</w:t>
      </w:r>
    </w:p>
    <w:p>
      <w:pPr>
        <w:spacing w:after="0" w:line="117" w:lineRule="exact"/>
        <w:rPr>
          <w:sz w:val="20"/>
          <w:szCs w:val="20"/>
          <w:color w:val="auto"/>
        </w:rPr>
      </w:pPr>
    </w:p>
    <w:p>
      <w:pPr>
        <w:ind w:firstLine="436"/>
        <w:spacing w:after="0" w:line="268" w:lineRule="auto"/>
        <w:tabs>
          <w:tab w:leader="none" w:pos="685" w:val="left"/>
        </w:tabs>
        <w:numPr>
          <w:ilvl w:val="0"/>
          <w:numId w:val="20"/>
        </w:numPr>
        <w:rPr>
          <w:rFonts w:ascii="Arial" w:cs="Arial" w:eastAsia="Arial" w:hAnsi="Arial"/>
          <w:sz w:val="17"/>
          <w:szCs w:val="17"/>
          <w:color w:val="auto"/>
        </w:rPr>
      </w:pPr>
      <w:r>
        <w:rPr>
          <w:rFonts w:ascii="Arial" w:cs="Arial" w:eastAsia="Arial" w:hAnsi="Arial"/>
          <w:sz w:val="17"/>
          <w:szCs w:val="17"/>
          <w:color w:val="auto"/>
        </w:rPr>
        <w:t>If a Change of Control Repurchase Event occurs with respect to a series of Notes, unless the Company shall have exercised its option to redeem the Notes of such series pursuant to Section 4.01 of this Second Supplemental Indenture, each Holder of the Notes of such series shall have the right to require the Company to repurchase all or any part (equal to $2,000 and multiples of $1,000 in excess thereof) of that Holder’s Notes of such series at a repurchase price in cash equal to 101% of the aggregate principal amount of the Notes to be repurchased, plus any accrued and unpaid interest on the Notes of such series to, but excluding, the repurchase date. Within 30 days following any Change of Control Repurchase Event with respect to a series of Notes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such series of Notes,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the Notes of such series on the repurchase date specified in the notice at the option of the Holders of such series of Notes,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Notes of the applicable series is conditioned on a Change of Control Repurchase Event occurring on or prior to the Change of Control Payment Date.</w:t>
      </w:r>
    </w:p>
    <w:p>
      <w:pPr>
        <w:spacing w:after="0" w:line="186" w:lineRule="exact"/>
        <w:rPr>
          <w:rFonts w:ascii="Arial" w:cs="Arial" w:eastAsia="Arial" w:hAnsi="Arial"/>
          <w:sz w:val="17"/>
          <w:szCs w:val="17"/>
          <w:color w:val="auto"/>
        </w:rPr>
      </w:pPr>
    </w:p>
    <w:p>
      <w:pPr>
        <w:ind w:left="700" w:hanging="264"/>
        <w:spacing w:after="0"/>
        <w:tabs>
          <w:tab w:leader="none" w:pos="7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On the Change of Control Payment Date, the Company shall, to the extent lawful:</w:t>
      </w:r>
    </w:p>
    <w:p>
      <w:pPr>
        <w:spacing w:after="0" w:line="117" w:lineRule="exact"/>
        <w:rPr>
          <w:rFonts w:ascii="Arial" w:cs="Arial" w:eastAsia="Arial" w:hAnsi="Arial"/>
          <w:sz w:val="18"/>
          <w:szCs w:val="18"/>
          <w:color w:val="auto"/>
        </w:rPr>
      </w:pPr>
    </w:p>
    <w:p>
      <w:pPr>
        <w:ind w:left="1600" w:hanging="212"/>
        <w:spacing w:after="0"/>
        <w:tabs>
          <w:tab w:leader="none" w:pos="1600" w:val="left"/>
        </w:tabs>
        <w:numPr>
          <w:ilvl w:val="1"/>
          <w:numId w:val="20"/>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the Change of Control Notice;</w:t>
      </w:r>
    </w:p>
    <w:p>
      <w:pPr>
        <w:spacing w:after="0" w:line="117" w:lineRule="exact"/>
        <w:rPr>
          <w:rFonts w:ascii="Arial" w:cs="Arial" w:eastAsia="Arial" w:hAnsi="Arial"/>
          <w:sz w:val="18"/>
          <w:szCs w:val="18"/>
          <w:color w:val="auto"/>
        </w:rPr>
      </w:pPr>
    </w:p>
    <w:p>
      <w:pPr>
        <w:ind w:left="440" w:right="200" w:firstLine="948"/>
        <w:spacing w:after="0" w:line="277" w:lineRule="auto"/>
        <w:tabs>
          <w:tab w:leader="none" w:pos="1657" w:val="left"/>
        </w:tabs>
        <w:numPr>
          <w:ilvl w:val="1"/>
          <w:numId w:val="20"/>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62" w:lineRule="exact"/>
        <w:rPr>
          <w:rFonts w:ascii="Arial" w:cs="Arial" w:eastAsia="Arial" w:hAnsi="Arial"/>
          <w:sz w:val="18"/>
          <w:szCs w:val="18"/>
          <w:color w:val="auto"/>
        </w:rPr>
      </w:pPr>
    </w:p>
    <w:p>
      <w:pPr>
        <w:ind w:left="440" w:right="420" w:firstLine="948"/>
        <w:spacing w:after="0" w:line="277" w:lineRule="auto"/>
        <w:tabs>
          <w:tab w:leader="none" w:pos="1707" w:val="left"/>
        </w:tabs>
        <w:numPr>
          <w:ilvl w:val="1"/>
          <w:numId w:val="20"/>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Notes properly accepted, together with an Officer’s Certificate stating the aggregate principal amount of Notes being repurchased by the Company.</w:t>
      </w:r>
    </w:p>
    <w:p>
      <w:pPr>
        <w:spacing w:after="0" w:line="62" w:lineRule="exact"/>
        <w:rPr>
          <w:rFonts w:ascii="Arial" w:cs="Arial" w:eastAsia="Arial" w:hAnsi="Arial"/>
          <w:sz w:val="18"/>
          <w:szCs w:val="18"/>
          <w:color w:val="auto"/>
        </w:rPr>
      </w:pPr>
    </w:p>
    <w:p>
      <w:pPr>
        <w:ind w:right="80" w:firstLine="436"/>
        <w:spacing w:after="0" w:line="263" w:lineRule="auto"/>
        <w:tabs>
          <w:tab w:leader="none" w:pos="685"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Paying Agent or tender agent shall promptly deliver to each Holder of Notes properly tendered the repurchase price for the Notes, and the Trustee, upon receipt of a Company Order, shall promptly authenticate and mail (or cause to be transferred by book-entry) to each Holder a new Note equal in principal amount to any unpurchased portion of any Notes surrendered.</w:t>
      </w:r>
    </w:p>
    <w:p>
      <w:pPr>
        <w:spacing w:after="0" w:line="75" w:lineRule="exact"/>
        <w:rPr>
          <w:rFonts w:ascii="Arial" w:cs="Arial" w:eastAsia="Arial" w:hAnsi="Arial"/>
          <w:sz w:val="18"/>
          <w:szCs w:val="18"/>
          <w:color w:val="auto"/>
        </w:rPr>
      </w:pPr>
    </w:p>
    <w:p>
      <w:pPr>
        <w:ind w:right="20" w:firstLine="436"/>
        <w:spacing w:after="0" w:line="259" w:lineRule="auto"/>
        <w:tabs>
          <w:tab w:leader="none" w:pos="695" w:val="left"/>
        </w:tabs>
        <w:numPr>
          <w:ilvl w:val="0"/>
          <w:numId w:val="20"/>
        </w:numPr>
        <w:rPr>
          <w:rFonts w:ascii="Arial" w:cs="Arial" w:eastAsia="Arial" w:hAnsi="Arial"/>
          <w:sz w:val="18"/>
          <w:szCs w:val="18"/>
          <w:color w:val="auto"/>
        </w:rPr>
      </w:pPr>
      <w:r>
        <w:rPr>
          <w:rFonts w:ascii="Arial" w:cs="Arial" w:eastAsia="Arial" w:hAnsi="Arial"/>
          <w:sz w:val="18"/>
          <w:szCs w:val="18"/>
          <w:color w:val="auto"/>
        </w:rPr>
        <w:t>Notwithstanding the foregoing in this Section 4.02, the Company shall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for such a Change of Control Offer made by the Company, and such third party purchases all Notes properly tendered and not withdrawn under its offer.</w:t>
      </w:r>
    </w:p>
    <w:p>
      <w:pPr>
        <w:spacing w:after="0" w:line="36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21" w:name="page22"/>
    <w:bookmarkEnd w:id="21"/>
    <w:p>
      <w:pPr>
        <w:ind w:left="-20" w:right="20" w:firstLine="436"/>
        <w:spacing w:after="0" w:line="254" w:lineRule="auto"/>
        <w:tabs>
          <w:tab w:leader="none" w:pos="665" w:val="left"/>
        </w:tabs>
        <w:numPr>
          <w:ilvl w:val="0"/>
          <w:numId w:val="2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Holders of not less than 95% in aggregate principal amount of a series of Notes then outstanding validly tender and do not withdraw such Notes in a Change of Control Offer and the Company, or any third party making a Change of Control Offer in lieu of the Company pursuant to Section 4.02(d) above, purchases all of the Notes validly tendered and not withdrawn by such Holders, the Company shall have the right, upon not less than 30 days nor more than 60 days’ prior written notice to the Holders of such series of Notes (with a copy to the Trustee), given not more than 30 days following such purchase pursuant to the Change of Control Offer described in Section 4.02(b) above, to redeem all Notes of such series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83" w:lineRule="exact"/>
        <w:rPr>
          <w:rFonts w:ascii="Arial" w:cs="Arial" w:eastAsia="Arial" w:hAnsi="Arial"/>
          <w:sz w:val="18"/>
          <w:szCs w:val="18"/>
          <w:color w:val="auto"/>
        </w:rPr>
      </w:pPr>
    </w:p>
    <w:p>
      <w:pPr>
        <w:ind w:left="-20" w:firstLine="436"/>
        <w:spacing w:after="0" w:line="273" w:lineRule="auto"/>
        <w:tabs>
          <w:tab w:leader="none" w:pos="645" w:val="left"/>
        </w:tabs>
        <w:numPr>
          <w:ilvl w:val="0"/>
          <w:numId w:val="21"/>
        </w:numPr>
        <w:rPr>
          <w:rFonts w:ascii="Arial" w:cs="Arial" w:eastAsia="Arial" w:hAnsi="Arial"/>
          <w:sz w:val="17"/>
          <w:szCs w:val="17"/>
          <w:color w:val="auto"/>
        </w:rPr>
      </w:pPr>
      <w:r>
        <w:rPr>
          <w:rFonts w:ascii="Arial" w:cs="Arial" w:eastAsia="Arial" w:hAnsi="Arial"/>
          <w:sz w:val="17"/>
          <w:szCs w:val="17"/>
          <w:color w:val="auto"/>
        </w:rPr>
        <w:t>The Company shall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this Section 4.02, the Company shall comply with those securities laws and regulations and shall not be deemed to have breached its obligations under this Section 4.02 by virtue thereof; provided that the Company otherwise uses commercially reasonable efforts to permit Holders to exercise their rights and to fulfill its obligations in the time and in the manner specified in this Section 4.02 to the extent permitted by such securities laws or regulations.</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COVENANTS AND REMEDIES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i w:val="1"/>
          <w:iCs w:val="1"/>
          <w:color w:val="auto"/>
        </w:rPr>
        <w:t>Limitation on Liens.</w:t>
      </w:r>
    </w:p>
    <w:p>
      <w:pPr>
        <w:spacing w:after="0" w:line="117" w:lineRule="exact"/>
        <w:rPr>
          <w:sz w:val="20"/>
          <w:szCs w:val="20"/>
          <w:color w:val="auto"/>
        </w:rPr>
      </w:pPr>
    </w:p>
    <w:p>
      <w:pPr>
        <w:ind w:left="-20" w:right="20" w:firstLine="436"/>
        <w:spacing w:after="0" w:line="272" w:lineRule="auto"/>
        <w:tabs>
          <w:tab w:leader="none" w:pos="665"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Company shall not, and shall not permit any Guarantors to, or any of the Restricted Subsidiaries to, create or incur any Lien upon any Property of the Company, any Guarantor or any of the Restricted Subsidiaries (whether now existing or owned or hereafter created or acquired), in order to secure any Indebtedness or guarantees of the Company, any Guarantor or any of the Restricted Subsidiaries unless prior to or at the same time, the Notes (together with, at the Company’s option, any other Indebtedness or guarantees of the Company, the Guarantors or any of the Restricted Subsidiaries ranking equally in right of payment with the Notes) are equally and ratably secured with or, at the Company’s option, prior to, such secured Indebtedness or guarantees, until such time as such Indebtedness or guarantees are no longer secured by such Lien or such Property is no longer owned by the Company, a Guarantor or any of the Restricted Subsidiaries.</w:t>
      </w:r>
    </w:p>
    <w:p>
      <w:pPr>
        <w:spacing w:after="0" w:line="69" w:lineRule="exact"/>
        <w:rPr>
          <w:rFonts w:ascii="Arial" w:cs="Arial" w:eastAsia="Arial" w:hAnsi="Arial"/>
          <w:sz w:val="17"/>
          <w:szCs w:val="17"/>
          <w:color w:val="auto"/>
        </w:rPr>
      </w:pPr>
    </w:p>
    <w:p>
      <w:pPr>
        <w:ind w:left="680" w:hanging="264"/>
        <w:spacing w:after="0"/>
        <w:tabs>
          <w:tab w:leader="none" w:pos="6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foregoing restriction in Section 5.01(a) above shall not apply to:</w:t>
      </w:r>
    </w:p>
    <w:p>
      <w:pPr>
        <w:spacing w:after="0" w:line="117" w:lineRule="exact"/>
        <w:rPr>
          <w:rFonts w:ascii="Arial" w:cs="Arial" w:eastAsia="Arial" w:hAnsi="Arial"/>
          <w:sz w:val="18"/>
          <w:szCs w:val="18"/>
          <w:color w:val="auto"/>
        </w:rPr>
      </w:pPr>
    </w:p>
    <w:p>
      <w:pPr>
        <w:ind w:left="420" w:right="340" w:firstLine="948"/>
        <w:spacing w:after="0" w:line="277" w:lineRule="auto"/>
        <w:tabs>
          <w:tab w:leader="none" w:pos="1587" w:val="left"/>
        </w:tabs>
        <w:numPr>
          <w:ilvl w:val="1"/>
          <w:numId w:val="22"/>
        </w:numPr>
        <w:rPr>
          <w:rFonts w:ascii="Arial" w:cs="Arial" w:eastAsia="Arial" w:hAnsi="Arial"/>
          <w:sz w:val="18"/>
          <w:szCs w:val="18"/>
          <w:color w:val="auto"/>
        </w:rPr>
      </w:pPr>
      <w:r>
        <w:rPr>
          <w:rFonts w:ascii="Arial" w:cs="Arial" w:eastAsia="Arial" w:hAnsi="Arial"/>
          <w:sz w:val="18"/>
          <w:szCs w:val="18"/>
          <w:color w:val="auto"/>
        </w:rPr>
        <w:t xml:space="preserve">Liens existing with respect to any Person at the time such Person becomes a direct or indirect Subsidiary of the Company or a Guarantor,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such Lien was not incurred in anticipation of such Person becoming a Subsidiary;</w:t>
      </w:r>
    </w:p>
    <w:p>
      <w:pPr>
        <w:spacing w:after="0" w:line="62" w:lineRule="exact"/>
        <w:rPr>
          <w:rFonts w:ascii="Arial" w:cs="Arial" w:eastAsia="Arial" w:hAnsi="Arial"/>
          <w:sz w:val="18"/>
          <w:szCs w:val="18"/>
          <w:color w:val="auto"/>
        </w:rPr>
      </w:pPr>
    </w:p>
    <w:p>
      <w:pPr>
        <w:ind w:left="420" w:right="180" w:firstLine="948"/>
        <w:spacing w:after="0" w:line="263" w:lineRule="auto"/>
        <w:tabs>
          <w:tab w:leader="none" w:pos="1637" w:val="left"/>
        </w:tabs>
        <w:numPr>
          <w:ilvl w:val="1"/>
          <w:numId w:val="22"/>
        </w:numPr>
        <w:rPr>
          <w:rFonts w:ascii="Arial" w:cs="Arial" w:eastAsia="Arial" w:hAnsi="Arial"/>
          <w:sz w:val="18"/>
          <w:szCs w:val="18"/>
          <w:color w:val="auto"/>
        </w:rPr>
      </w:pPr>
      <w:r>
        <w:rPr>
          <w:rFonts w:ascii="Arial" w:cs="Arial" w:eastAsia="Arial" w:hAnsi="Arial"/>
          <w:sz w:val="18"/>
          <w:szCs w:val="18"/>
          <w:color w:val="auto"/>
        </w:rPr>
        <w:t xml:space="preserve">Liens existing on Property at the time of acquisition thereof or at the time of acquisition by the Company, any Guarantor or any of the Restricted Subsidiaries of any Person then owning such Property;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such Lien was not incurred in anticipation of such acquisition;</w:t>
      </w:r>
    </w:p>
    <w:p>
      <w:pPr>
        <w:spacing w:after="0" w:line="75" w:lineRule="exact"/>
        <w:rPr>
          <w:rFonts w:ascii="Arial" w:cs="Arial" w:eastAsia="Arial" w:hAnsi="Arial"/>
          <w:sz w:val="18"/>
          <w:szCs w:val="18"/>
          <w:color w:val="auto"/>
        </w:rPr>
      </w:pPr>
    </w:p>
    <w:p>
      <w:pPr>
        <w:ind w:left="420" w:right="100" w:firstLine="948"/>
        <w:spacing w:after="0" w:line="277" w:lineRule="auto"/>
        <w:tabs>
          <w:tab w:leader="none" w:pos="1687" w:val="left"/>
        </w:tabs>
        <w:numPr>
          <w:ilvl w:val="1"/>
          <w:numId w:val="22"/>
        </w:numPr>
        <w:rPr>
          <w:rFonts w:ascii="Arial" w:cs="Arial" w:eastAsia="Arial" w:hAnsi="Arial"/>
          <w:sz w:val="18"/>
          <w:szCs w:val="18"/>
          <w:color w:val="auto"/>
        </w:rPr>
      </w:pPr>
      <w:r>
        <w:rPr>
          <w:rFonts w:ascii="Arial" w:cs="Arial" w:eastAsia="Arial" w:hAnsi="Arial"/>
          <w:sz w:val="18"/>
          <w:szCs w:val="18"/>
          <w:color w:val="auto"/>
        </w:rPr>
        <w:t>Liens securing Indebtedness of the Company, any Guarantor or any of the Restricted Subsidiaries owing to the Company or any of its Subsidiaries;</w:t>
      </w:r>
    </w:p>
    <w:p>
      <w:pPr>
        <w:spacing w:after="0" w:line="62" w:lineRule="exact"/>
        <w:rPr>
          <w:rFonts w:ascii="Arial" w:cs="Arial" w:eastAsia="Arial" w:hAnsi="Arial"/>
          <w:sz w:val="18"/>
          <w:szCs w:val="18"/>
          <w:color w:val="auto"/>
        </w:rPr>
      </w:pPr>
    </w:p>
    <w:p>
      <w:pPr>
        <w:ind w:left="1680" w:hanging="312"/>
        <w:spacing w:after="0"/>
        <w:tabs>
          <w:tab w:leader="none" w:pos="1680" w:val="left"/>
        </w:tabs>
        <w:numPr>
          <w:ilvl w:val="1"/>
          <w:numId w:val="22"/>
        </w:numPr>
        <w:rPr>
          <w:rFonts w:ascii="Arial" w:cs="Arial" w:eastAsia="Arial" w:hAnsi="Arial"/>
          <w:sz w:val="18"/>
          <w:szCs w:val="18"/>
          <w:color w:val="auto"/>
        </w:rPr>
      </w:pPr>
      <w:r>
        <w:rPr>
          <w:rFonts w:ascii="Arial" w:cs="Arial" w:eastAsia="Arial" w:hAnsi="Arial"/>
          <w:sz w:val="18"/>
          <w:szCs w:val="18"/>
          <w:color w:val="auto"/>
        </w:rPr>
        <w:t>Liens existing on the date of issuance of the Initial Notes (excluding any Additional Notes);</w:t>
      </w:r>
    </w:p>
    <w:p>
      <w:pPr>
        <w:spacing w:after="0" w:line="117" w:lineRule="exact"/>
        <w:rPr>
          <w:rFonts w:ascii="Arial" w:cs="Arial" w:eastAsia="Arial" w:hAnsi="Arial"/>
          <w:sz w:val="18"/>
          <w:szCs w:val="18"/>
          <w:color w:val="auto"/>
        </w:rPr>
      </w:pPr>
    </w:p>
    <w:p>
      <w:pPr>
        <w:ind w:left="420" w:right="180" w:firstLine="948"/>
        <w:spacing w:after="0" w:line="257" w:lineRule="auto"/>
        <w:tabs>
          <w:tab w:leader="none" w:pos="1627" w:val="left"/>
        </w:tabs>
        <w:numPr>
          <w:ilvl w:val="1"/>
          <w:numId w:val="22"/>
        </w:numPr>
        <w:rPr>
          <w:rFonts w:ascii="Arial" w:cs="Arial" w:eastAsia="Arial" w:hAnsi="Arial"/>
          <w:sz w:val="18"/>
          <w:szCs w:val="18"/>
          <w:color w:val="auto"/>
        </w:rPr>
      </w:pPr>
      <w:r>
        <w:rPr>
          <w:rFonts w:ascii="Arial" w:cs="Arial" w:eastAsia="Arial" w:hAnsi="Arial"/>
          <w:sz w:val="18"/>
          <w:szCs w:val="18"/>
          <w:color w:val="auto"/>
        </w:rPr>
        <w:t xml:space="preserve">Liens on Property of a Person existing at the time such Person is merged into or consolidated with the Company, any Guarantor or any of the Restricted Subsidiaries, at the time such Person becomes a Subsidiary of the Company or any Guarantor, or at the time of a sale, lease or other disposition of all or substantially all of the Properties of a Person to the Company, any Guarantor or any of the Restricted Subsidiaries;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such Lien was not incurred in anticipation of the merger, consolidation, or sale, lease, other disposition or other such transaction;</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980"/>
          </w:cols>
          <w:pgMar w:left="460" w:top="274" w:right="459" w:bottom="1440" w:gutter="0" w:footer="0" w:header="0"/>
        </w:sectPr>
      </w:pPr>
    </w:p>
    <w:bookmarkStart w:id="22" w:name="page23"/>
    <w:bookmarkEnd w:id="22"/>
    <w:p>
      <w:pPr>
        <w:ind w:left="1260" w:hanging="312"/>
        <w:spacing w:after="0"/>
        <w:tabs>
          <w:tab w:leader="none" w:pos="1260" w:val="left"/>
        </w:tabs>
        <w:numPr>
          <w:ilvl w:val="0"/>
          <w:numId w:val="2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Liens created in connection with a project financed with, and created to secure, a Non-recourse Obligation;</w:t>
      </w:r>
    </w:p>
    <w:p>
      <w:pPr>
        <w:spacing w:after="0" w:line="117" w:lineRule="exact"/>
        <w:rPr>
          <w:rFonts w:ascii="Arial" w:cs="Arial" w:eastAsia="Arial" w:hAnsi="Arial"/>
          <w:sz w:val="18"/>
          <w:szCs w:val="18"/>
          <w:color w:val="auto"/>
        </w:rPr>
      </w:pPr>
    </w:p>
    <w:p>
      <w:pPr>
        <w:ind w:left="1300" w:hanging="352"/>
        <w:spacing w:after="0"/>
        <w:tabs>
          <w:tab w:leader="none" w:pos="1300" w:val="left"/>
        </w:tabs>
        <w:numPr>
          <w:ilvl w:val="0"/>
          <w:numId w:val="23"/>
        </w:numPr>
        <w:rPr>
          <w:rFonts w:ascii="Arial" w:cs="Arial" w:eastAsia="Arial" w:hAnsi="Arial"/>
          <w:sz w:val="18"/>
          <w:szCs w:val="18"/>
          <w:color w:val="auto"/>
        </w:rPr>
      </w:pPr>
      <w:r>
        <w:rPr>
          <w:rFonts w:ascii="Arial" w:cs="Arial" w:eastAsia="Arial" w:hAnsi="Arial"/>
          <w:sz w:val="18"/>
          <w:szCs w:val="18"/>
          <w:color w:val="auto"/>
        </w:rPr>
        <w:t>Liens created to secure each series of the Notes;</w:t>
      </w:r>
    </w:p>
    <w:p>
      <w:pPr>
        <w:spacing w:after="0" w:line="117" w:lineRule="exact"/>
        <w:rPr>
          <w:rFonts w:ascii="Arial" w:cs="Arial" w:eastAsia="Arial" w:hAnsi="Arial"/>
          <w:sz w:val="18"/>
          <w:szCs w:val="18"/>
          <w:color w:val="auto"/>
        </w:rPr>
      </w:pPr>
    </w:p>
    <w:p>
      <w:pPr>
        <w:ind w:firstLine="948"/>
        <w:spacing w:after="0" w:line="255" w:lineRule="auto"/>
        <w:tabs>
          <w:tab w:leader="none" w:pos="1357" w:val="left"/>
        </w:tabs>
        <w:numPr>
          <w:ilvl w:val="0"/>
          <w:numId w:val="23"/>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 or repairmen, carriers’, warehousemen’s and mechanic’s Liens and other similar Liens, in each case for sums not yet overdue by more than 90 calendar days or being contested in good faith by appropriate 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84" w:lineRule="exact"/>
        <w:rPr>
          <w:rFonts w:ascii="Arial" w:cs="Arial" w:eastAsia="Arial" w:hAnsi="Arial"/>
          <w:sz w:val="18"/>
          <w:szCs w:val="18"/>
          <w:color w:val="auto"/>
        </w:rPr>
      </w:pPr>
    </w:p>
    <w:p>
      <w:pPr>
        <w:ind w:right="180" w:firstLine="948"/>
        <w:spacing w:after="0" w:line="277" w:lineRule="auto"/>
        <w:tabs>
          <w:tab w:leader="none" w:pos="1257" w:val="left"/>
        </w:tabs>
        <w:numPr>
          <w:ilvl w:val="0"/>
          <w:numId w:val="23"/>
        </w:numPr>
        <w:rPr>
          <w:rFonts w:ascii="Arial" w:cs="Arial" w:eastAsia="Arial" w:hAnsi="Arial"/>
          <w:sz w:val="18"/>
          <w:szCs w:val="18"/>
          <w:color w:val="auto"/>
        </w:rPr>
      </w:pPr>
      <w:r>
        <w:rPr>
          <w:rFonts w:ascii="Arial" w:cs="Arial" w:eastAsia="Arial" w:hAnsi="Arial"/>
          <w:sz w:val="18"/>
          <w:szCs w:val="18"/>
          <w:color w:val="auto"/>
        </w:rPr>
        <w:t>Liens for taxes, assessments or other governmental charges or levies on Property not yet due or payable or subject to penalties for non-payment or which are being contested in good faith by appropriate proceedings;</w:t>
      </w:r>
    </w:p>
    <w:p>
      <w:pPr>
        <w:spacing w:after="0" w:line="62" w:lineRule="exact"/>
        <w:rPr>
          <w:rFonts w:ascii="Arial" w:cs="Arial" w:eastAsia="Arial" w:hAnsi="Arial"/>
          <w:sz w:val="18"/>
          <w:szCs w:val="18"/>
          <w:color w:val="auto"/>
        </w:rPr>
      </w:pPr>
    </w:p>
    <w:p>
      <w:pPr>
        <w:ind w:right="100" w:firstLine="948"/>
        <w:spacing w:after="0" w:line="308" w:lineRule="auto"/>
        <w:tabs>
          <w:tab w:leader="none" w:pos="1207" w:val="left"/>
        </w:tabs>
        <w:numPr>
          <w:ilvl w:val="0"/>
          <w:numId w:val="23"/>
        </w:numPr>
        <w:rPr>
          <w:rFonts w:ascii="Arial" w:cs="Arial" w:eastAsia="Arial" w:hAnsi="Arial"/>
          <w:sz w:val="17"/>
          <w:szCs w:val="17"/>
          <w:color w:val="auto"/>
        </w:rPr>
      </w:pPr>
      <w:r>
        <w:rPr>
          <w:rFonts w:ascii="Arial" w:cs="Arial" w:eastAsia="Arial" w:hAnsi="Arial"/>
          <w:sz w:val="17"/>
          <w:szCs w:val="17"/>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38" w:lineRule="exact"/>
        <w:rPr>
          <w:rFonts w:ascii="Arial" w:cs="Arial" w:eastAsia="Arial" w:hAnsi="Arial"/>
          <w:sz w:val="17"/>
          <w:szCs w:val="17"/>
          <w:color w:val="auto"/>
        </w:rPr>
      </w:pPr>
    </w:p>
    <w:p>
      <w:pPr>
        <w:ind w:right="40" w:firstLine="948"/>
        <w:spacing w:after="0" w:line="296" w:lineRule="auto"/>
        <w:tabs>
          <w:tab w:leader="none" w:pos="1257" w:val="left"/>
        </w:tabs>
        <w:numPr>
          <w:ilvl w:val="0"/>
          <w:numId w:val="23"/>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of America to secure surety, appeal or customs bonds, or deposits in litigation or other proceedings such as, but not limited to, interpleader proceedings;</w:t>
      </w:r>
    </w:p>
    <w:p>
      <w:pPr>
        <w:spacing w:after="0" w:line="53" w:lineRule="exact"/>
        <w:rPr>
          <w:rFonts w:ascii="Arial" w:cs="Arial" w:eastAsia="Arial" w:hAnsi="Arial"/>
          <w:sz w:val="16"/>
          <w:szCs w:val="16"/>
          <w:color w:val="auto"/>
        </w:rPr>
      </w:pPr>
    </w:p>
    <w:p>
      <w:pPr>
        <w:ind w:right="140" w:firstLine="948"/>
        <w:spacing w:after="0" w:line="311" w:lineRule="auto"/>
        <w:tabs>
          <w:tab w:leader="none" w:pos="1307" w:val="left"/>
        </w:tabs>
        <w:numPr>
          <w:ilvl w:val="0"/>
          <w:numId w:val="23"/>
        </w:numPr>
        <w:rPr>
          <w:rFonts w:ascii="Arial" w:cs="Arial" w:eastAsia="Arial" w:hAnsi="Arial"/>
          <w:sz w:val="16"/>
          <w:szCs w:val="16"/>
          <w:color w:val="auto"/>
        </w:rPr>
      </w:pPr>
      <w:r>
        <w:rPr>
          <w:rFonts w:ascii="Arial" w:cs="Arial" w:eastAsia="Arial" w:hAnsi="Arial"/>
          <w:sz w:val="16"/>
          <w:szCs w:val="16"/>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the Company’s opinion, materially detract from the value of such Properties;</w:t>
      </w:r>
    </w:p>
    <w:p>
      <w:pPr>
        <w:spacing w:after="0" w:line="40" w:lineRule="exact"/>
        <w:rPr>
          <w:rFonts w:ascii="Arial" w:cs="Arial" w:eastAsia="Arial" w:hAnsi="Arial"/>
          <w:sz w:val="16"/>
          <w:szCs w:val="16"/>
          <w:color w:val="auto"/>
        </w:rPr>
      </w:pPr>
    </w:p>
    <w:p>
      <w:pPr>
        <w:ind w:right="40" w:firstLine="948"/>
        <w:spacing w:after="0" w:line="257" w:lineRule="auto"/>
        <w:tabs>
          <w:tab w:leader="none" w:pos="1357" w:val="left"/>
        </w:tabs>
        <w:numPr>
          <w:ilvl w:val="0"/>
          <w:numId w:val="23"/>
        </w:numPr>
        <w:rPr>
          <w:rFonts w:ascii="Arial" w:cs="Arial" w:eastAsia="Arial" w:hAnsi="Arial"/>
          <w:sz w:val="18"/>
          <w:szCs w:val="18"/>
          <w:color w:val="auto"/>
        </w:rPr>
      </w:pPr>
      <w:r>
        <w:rPr>
          <w:rFonts w:ascii="Arial" w:cs="Arial" w:eastAsia="Arial" w:hAnsi="Arial"/>
          <w:sz w:val="18"/>
          <w:szCs w:val="18"/>
          <w:color w:val="auto"/>
        </w:rPr>
        <w:t>Liens in favor of the United States of America or any state, territory or possession thereof (or the District of Columbia), or any department, agency, instrumentality or political subdivision of the United States of America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79" w:lineRule="exact"/>
        <w:rPr>
          <w:rFonts w:ascii="Arial" w:cs="Arial" w:eastAsia="Arial" w:hAnsi="Arial"/>
          <w:sz w:val="18"/>
          <w:szCs w:val="18"/>
          <w:color w:val="auto"/>
        </w:rPr>
      </w:pPr>
    </w:p>
    <w:p>
      <w:pPr>
        <w:ind w:firstLine="948"/>
        <w:spacing w:after="0" w:line="253" w:lineRule="auto"/>
        <w:tabs>
          <w:tab w:leader="none" w:pos="1347" w:val="left"/>
        </w:tabs>
        <w:numPr>
          <w:ilvl w:val="0"/>
          <w:numId w:val="23"/>
        </w:numPr>
        <w:rPr>
          <w:rFonts w:ascii="Arial" w:cs="Arial" w:eastAsia="Arial" w:hAnsi="Arial"/>
          <w:sz w:val="18"/>
          <w:szCs w:val="18"/>
          <w:color w:val="auto"/>
        </w:rPr>
      </w:pPr>
      <w:r>
        <w:rPr>
          <w:rFonts w:ascii="Arial" w:cs="Arial" w:eastAsia="Arial" w:hAnsi="Arial"/>
          <w:sz w:val="18"/>
          <w:szCs w:val="18"/>
          <w:color w:val="auto"/>
        </w:rPr>
        <w:t xml:space="preserve">Liens securing Indebtedness incurred to finance the construction, acquisition (including acquisition through merger or consolidation), purchase or lease of, or repairs, improvements or additions to, Property (including shares of capital stock), plant or equipment of the Company, any Guarantor or the Restricted Subsidiaries;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however, that the Lien shall not extend to any other Property owned by the Company, any Guarantor or any of the Restricted Subsidiaries at the time the Lien is incurred (other than Property affixed or appurtenant thereto), and the Indebtedness (other than any interest thereon) secured by the Lien shall not be incurred more than 18 months after the later of the acquisition, completion of construction, repair, improvement, addition or commencement of full operation of the Property subject to the Lien; </w:t>
      </w:r>
      <w:r>
        <w:rPr>
          <w:rFonts w:ascii="Arial" w:cs="Arial" w:eastAsia="Arial" w:hAnsi="Arial"/>
          <w:sz w:val="18"/>
          <w:szCs w:val="18"/>
          <w:i w:val="1"/>
          <w:iCs w:val="1"/>
          <w:color w:val="auto"/>
        </w:rPr>
        <w:t>provided further</w:t>
      </w:r>
      <w:r>
        <w:rPr>
          <w:rFonts w:ascii="Arial" w:cs="Arial" w:eastAsia="Arial" w:hAnsi="Arial"/>
          <w:sz w:val="18"/>
          <w:szCs w:val="18"/>
          <w:color w:val="auto"/>
        </w:rPr>
        <w:t>, however, that individual financings of equipment or other fixed or capital assets otherwise permitted to be secured under the</w:t>
      </w:r>
      <w:r>
        <w:rPr>
          <w:rFonts w:ascii="Arial" w:cs="Arial" w:eastAsia="Arial" w:hAnsi="Arial"/>
          <w:sz w:val="18"/>
          <w:szCs w:val="18"/>
          <w:i w:val="1"/>
          <w:iCs w:val="1"/>
          <w:color w:val="auto"/>
        </w:rPr>
        <w:t xml:space="preserve"> </w:t>
      </w:r>
      <w:r>
        <w:rPr>
          <w:rFonts w:ascii="Arial" w:cs="Arial" w:eastAsia="Arial" w:hAnsi="Arial"/>
          <w:sz w:val="18"/>
          <w:szCs w:val="18"/>
          <w:color w:val="auto"/>
        </w:rPr>
        <w:t>Indenture provided by any Person (or its Affiliates) may be cross-collateralized to other such financings provided by such Person (or its Affiliates);</w:t>
      </w:r>
    </w:p>
    <w:p>
      <w:pPr>
        <w:spacing w:after="0" w:line="129" w:lineRule="exact"/>
        <w:rPr>
          <w:sz w:val="20"/>
          <w:szCs w:val="20"/>
          <w:color w:val="auto"/>
        </w:rPr>
      </w:pPr>
    </w:p>
    <w:p>
      <w:pPr>
        <w:jc w:val="center"/>
        <w:ind w:right="360"/>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500"/>
          </w:cols>
          <w:pgMar w:left="880" w:top="274" w:right="519" w:bottom="1440" w:gutter="0" w:footer="0" w:header="0"/>
        </w:sectPr>
      </w:pPr>
    </w:p>
    <w:bookmarkStart w:id="23" w:name="page24"/>
    <w:bookmarkEnd w:id="23"/>
    <w:p>
      <w:pPr>
        <w:ind w:left="400" w:right="20" w:firstLine="948"/>
        <w:spacing w:after="0" w:line="277" w:lineRule="auto"/>
        <w:tabs>
          <w:tab w:leader="none" w:pos="1697" w:val="left"/>
        </w:tabs>
        <w:numPr>
          <w:ilvl w:val="1"/>
          <w:numId w:val="2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Liens incurred to secure cash or investment management or custodial services in the ordinary course of business or on insurance policies and the proceeds thereof securing the financing of the premiums with respect thereto;</w:t>
      </w:r>
    </w:p>
    <w:p>
      <w:pPr>
        <w:spacing w:after="0" w:line="62" w:lineRule="exact"/>
        <w:rPr>
          <w:rFonts w:ascii="Arial" w:cs="Arial" w:eastAsia="Arial" w:hAnsi="Arial"/>
          <w:sz w:val="18"/>
          <w:szCs w:val="18"/>
          <w:color w:val="auto"/>
        </w:rPr>
      </w:pPr>
    </w:p>
    <w:p>
      <w:pPr>
        <w:ind w:left="400" w:right="100" w:firstLine="948"/>
        <w:spacing w:after="0" w:line="277" w:lineRule="auto"/>
        <w:tabs>
          <w:tab w:leader="none" w:pos="1747" w:val="left"/>
        </w:tabs>
        <w:numPr>
          <w:ilvl w:val="1"/>
          <w:numId w:val="24"/>
        </w:numPr>
        <w:rPr>
          <w:rFonts w:ascii="Arial" w:cs="Arial" w:eastAsia="Arial" w:hAnsi="Arial"/>
          <w:sz w:val="18"/>
          <w:szCs w:val="18"/>
          <w:color w:val="auto"/>
        </w:rPr>
      </w:pPr>
      <w:r>
        <w:rPr>
          <w:rFonts w:ascii="Arial" w:cs="Arial" w:eastAsia="Arial" w:hAnsi="Arial"/>
          <w:sz w:val="18"/>
          <w:szCs w:val="18"/>
          <w:color w:val="auto"/>
        </w:rPr>
        <w:t>Liens securing Hedging Obligations designed for protection from fluctuations in interest rates, currencies, equities or the price of commodities and not for speculative purposes;</w:t>
      </w:r>
    </w:p>
    <w:p>
      <w:pPr>
        <w:spacing w:after="0" w:line="62" w:lineRule="exact"/>
        <w:rPr>
          <w:rFonts w:ascii="Arial" w:cs="Arial" w:eastAsia="Arial" w:hAnsi="Arial"/>
          <w:sz w:val="18"/>
          <w:szCs w:val="18"/>
          <w:color w:val="auto"/>
        </w:rPr>
      </w:pPr>
    </w:p>
    <w:p>
      <w:pPr>
        <w:ind w:left="400" w:right="200" w:firstLine="948"/>
        <w:spacing w:after="0" w:line="277" w:lineRule="auto"/>
        <w:tabs>
          <w:tab w:leader="none" w:pos="1797" w:val="left"/>
        </w:tabs>
        <w:numPr>
          <w:ilvl w:val="1"/>
          <w:numId w:val="24"/>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62" w:lineRule="exact"/>
        <w:rPr>
          <w:rFonts w:ascii="Arial" w:cs="Arial" w:eastAsia="Arial" w:hAnsi="Arial"/>
          <w:sz w:val="18"/>
          <w:szCs w:val="18"/>
          <w:color w:val="auto"/>
        </w:rPr>
      </w:pPr>
    </w:p>
    <w:p>
      <w:pPr>
        <w:ind w:left="400" w:right="180" w:firstLine="948"/>
        <w:spacing w:after="0" w:line="263" w:lineRule="auto"/>
        <w:tabs>
          <w:tab w:leader="none" w:pos="1847" w:val="left"/>
        </w:tabs>
        <w:numPr>
          <w:ilvl w:val="1"/>
          <w:numId w:val="24"/>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75" w:lineRule="exact"/>
        <w:rPr>
          <w:rFonts w:ascii="Arial" w:cs="Arial" w:eastAsia="Arial" w:hAnsi="Arial"/>
          <w:sz w:val="18"/>
          <w:szCs w:val="18"/>
          <w:color w:val="auto"/>
        </w:rPr>
      </w:pPr>
    </w:p>
    <w:p>
      <w:pPr>
        <w:ind w:left="1740" w:hanging="392"/>
        <w:spacing w:after="0"/>
        <w:tabs>
          <w:tab w:leader="none" w:pos="1740" w:val="left"/>
        </w:tabs>
        <w:numPr>
          <w:ilvl w:val="1"/>
          <w:numId w:val="24"/>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Section 5.02 below; or</w:t>
      </w:r>
    </w:p>
    <w:p>
      <w:pPr>
        <w:spacing w:after="0" w:line="117" w:lineRule="exact"/>
        <w:rPr>
          <w:rFonts w:ascii="Arial" w:cs="Arial" w:eastAsia="Arial" w:hAnsi="Arial"/>
          <w:sz w:val="18"/>
          <w:szCs w:val="18"/>
          <w:color w:val="auto"/>
        </w:rPr>
      </w:pPr>
    </w:p>
    <w:p>
      <w:pPr>
        <w:ind w:left="400" w:right="20" w:firstLine="948"/>
        <w:spacing w:after="0" w:line="257" w:lineRule="auto"/>
        <w:tabs>
          <w:tab w:leader="none" w:pos="1697" w:val="left"/>
        </w:tabs>
        <w:numPr>
          <w:ilvl w:val="1"/>
          <w:numId w:val="24"/>
        </w:numPr>
        <w:rPr>
          <w:rFonts w:ascii="Arial" w:cs="Arial" w:eastAsia="Arial" w:hAnsi="Arial"/>
          <w:sz w:val="18"/>
          <w:szCs w:val="18"/>
          <w:color w:val="auto"/>
        </w:rPr>
      </w:pPr>
      <w:r>
        <w:rPr>
          <w:rFonts w:ascii="Arial" w:cs="Arial" w:eastAsia="Arial" w:hAnsi="Arial"/>
          <w:sz w:val="18"/>
          <w:szCs w:val="18"/>
          <w:color w:val="auto"/>
        </w:rPr>
        <w:t>any extensions, renewals, refinancing or replacements of any Lien referred to in clauses (i) through (xix) above without increase of the principal of the Indebtedness secured by such Lien (except to the extent of any fees or other costs associated with any such extension, renewal or replacement); provided, however, that any Liens permitted by any of clauses (i) through (xix) above shall not extend to or cover any Property of the Company, any Guarantor or any of the Restricted Subsidiaries, as the case may be, other than the Property specified in such clauses and improvements to such Property.</w:t>
      </w:r>
    </w:p>
    <w:p>
      <w:pPr>
        <w:spacing w:after="0" w:line="79" w:lineRule="exact"/>
        <w:rPr>
          <w:rFonts w:ascii="Arial" w:cs="Arial" w:eastAsia="Arial" w:hAnsi="Arial"/>
          <w:sz w:val="18"/>
          <w:szCs w:val="18"/>
          <w:color w:val="auto"/>
        </w:rPr>
      </w:pPr>
    </w:p>
    <w:p>
      <w:pPr>
        <w:ind w:left="-40" w:firstLine="436"/>
        <w:spacing w:after="0" w:line="270" w:lineRule="auto"/>
        <w:tabs>
          <w:tab w:leader="none" w:pos="645" w:val="left"/>
        </w:tabs>
        <w:numPr>
          <w:ilvl w:val="0"/>
          <w:numId w:val="25"/>
        </w:numPr>
        <w:rPr>
          <w:rFonts w:ascii="Arial" w:cs="Arial" w:eastAsia="Arial" w:hAnsi="Arial"/>
          <w:sz w:val="17"/>
          <w:szCs w:val="17"/>
          <w:color w:val="auto"/>
        </w:rPr>
      </w:pPr>
      <w:r>
        <w:rPr>
          <w:rFonts w:ascii="Arial" w:cs="Arial" w:eastAsia="Arial" w:hAnsi="Arial"/>
          <w:sz w:val="17"/>
          <w:szCs w:val="17"/>
          <w:color w:val="auto"/>
        </w:rPr>
        <w:t xml:space="preserve">Notwithstanding the restrictions set forth in Section 5.01(a) above, the Company, any Guarantor and the Restricted Subsidiaries shall be permitted to incur Indebtedness secured by Liens which would otherwise be subject to the restrictions set forth in Section 5.01(a) above without equally and ratably securing the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after giving effect to such Indebtedness and the retirement of any Indebtedness secured by Liens (other than Liens described in clauses (i) through (xx) of Section 5.01(b) above) that is being retired substantially concurrently with such incurrence, the aggregate amount of all Indebtedness secured by Liens (not including Liens permitted under clauses (i) through (xx) of Section 5.01(b) above), together with all Attributable Debt outstanding pursuant to Section 5.02(b) below, does not exceed 15% of the Company’s and any Guarantor’s Consolidated Net Tangible Assets, taken as a whole. The Company, any Guarantor and the Restricted Subsidiaries also may, without equally and ratably securing the Notes, create or incur Liens that extend, renew, substitute or replace (including successive extensions, renewals, substitutions or replacements), in whole or in part, any Lien permitted pursuant to the preceding sentence.</w:t>
      </w:r>
    </w:p>
    <w:p>
      <w:pPr>
        <w:spacing w:after="0" w:line="181" w:lineRule="exact"/>
        <w:rPr>
          <w:sz w:val="20"/>
          <w:szCs w:val="20"/>
          <w:color w:val="auto"/>
        </w:rPr>
      </w:pPr>
    </w:p>
    <w:p>
      <w:pPr>
        <w:ind w:left="400"/>
        <w:spacing w:after="0"/>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i w:val="1"/>
          <w:iCs w:val="1"/>
          <w:color w:val="auto"/>
        </w:rPr>
        <w:t>Limitation on Sale and Leaseback Transactions.</w:t>
      </w:r>
    </w:p>
    <w:p>
      <w:pPr>
        <w:spacing w:after="0" w:line="117" w:lineRule="exact"/>
        <w:rPr>
          <w:sz w:val="20"/>
          <w:szCs w:val="20"/>
          <w:color w:val="auto"/>
        </w:rPr>
      </w:pPr>
    </w:p>
    <w:p>
      <w:pPr>
        <w:ind w:left="-40" w:right="80" w:firstLine="436"/>
        <w:spacing w:after="0" w:line="277" w:lineRule="auto"/>
        <w:tabs>
          <w:tab w:leader="none" w:pos="645"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Company and any Guarantor shall not, and shall not permit any Guarantor or any of the Restricted Subsidiaries to, enter into any sale and leaseback transaction for the sale and leasing back of any Property, whether now owned or hereafter acquired, unless:</w:t>
      </w:r>
    </w:p>
    <w:p>
      <w:pPr>
        <w:spacing w:after="0" w:line="62" w:lineRule="exact"/>
        <w:rPr>
          <w:rFonts w:ascii="Arial" w:cs="Arial" w:eastAsia="Arial" w:hAnsi="Arial"/>
          <w:sz w:val="18"/>
          <w:szCs w:val="18"/>
          <w:color w:val="auto"/>
        </w:rPr>
      </w:pPr>
    </w:p>
    <w:p>
      <w:pPr>
        <w:ind w:left="1560" w:hanging="212"/>
        <w:spacing w:after="0"/>
        <w:tabs>
          <w:tab w:leader="none" w:pos="1560" w:val="left"/>
        </w:tabs>
        <w:numPr>
          <w:ilvl w:val="1"/>
          <w:numId w:val="26"/>
        </w:numPr>
        <w:rPr>
          <w:rFonts w:ascii="Arial" w:cs="Arial" w:eastAsia="Arial" w:hAnsi="Arial"/>
          <w:sz w:val="18"/>
          <w:szCs w:val="18"/>
          <w:color w:val="auto"/>
        </w:rPr>
      </w:pPr>
      <w:r>
        <w:rPr>
          <w:rFonts w:ascii="Arial" w:cs="Arial" w:eastAsia="Arial" w:hAnsi="Arial"/>
          <w:sz w:val="18"/>
          <w:szCs w:val="18"/>
          <w:color w:val="auto"/>
        </w:rPr>
        <w:t>such transaction was entered into prior to the date of issuance of the Initial Notes of each series;</w:t>
      </w:r>
    </w:p>
    <w:p>
      <w:pPr>
        <w:spacing w:after="0" w:line="117" w:lineRule="exact"/>
        <w:rPr>
          <w:rFonts w:ascii="Arial" w:cs="Arial" w:eastAsia="Arial" w:hAnsi="Arial"/>
          <w:sz w:val="18"/>
          <w:szCs w:val="18"/>
          <w:color w:val="auto"/>
        </w:rPr>
      </w:pPr>
    </w:p>
    <w:p>
      <w:pPr>
        <w:ind w:left="400" w:right="260" w:firstLine="948"/>
        <w:spacing w:after="0" w:line="308" w:lineRule="auto"/>
        <w:tabs>
          <w:tab w:leader="none" w:pos="1617" w:val="left"/>
        </w:tabs>
        <w:numPr>
          <w:ilvl w:val="1"/>
          <w:numId w:val="26"/>
        </w:numPr>
        <w:rPr>
          <w:rFonts w:ascii="Arial" w:cs="Arial" w:eastAsia="Arial" w:hAnsi="Arial"/>
          <w:sz w:val="17"/>
          <w:szCs w:val="17"/>
          <w:color w:val="auto"/>
        </w:rPr>
      </w:pPr>
      <w:r>
        <w:rPr>
          <w:rFonts w:ascii="Arial" w:cs="Arial" w:eastAsia="Arial" w:hAnsi="Arial"/>
          <w:sz w:val="17"/>
          <w:szCs w:val="17"/>
          <w:color w:val="auto"/>
        </w:rPr>
        <w:t>such transaction was for the sale and leasing back to the Company, any Guarantor or any of the Company’s or the Guarantor’s wholly-owned Subsidiaries of any Property by the Company, any Guarantor or any of the Restricted Subsidiaries;</w:t>
      </w:r>
    </w:p>
    <w:p>
      <w:pPr>
        <w:spacing w:after="0" w:line="38" w:lineRule="exact"/>
        <w:rPr>
          <w:rFonts w:ascii="Arial" w:cs="Arial" w:eastAsia="Arial" w:hAnsi="Arial"/>
          <w:sz w:val="17"/>
          <w:szCs w:val="17"/>
          <w:color w:val="auto"/>
        </w:rPr>
      </w:pPr>
    </w:p>
    <w:p>
      <w:pPr>
        <w:ind w:left="400" w:right="220" w:firstLine="948"/>
        <w:spacing w:after="0" w:line="277" w:lineRule="auto"/>
        <w:tabs>
          <w:tab w:leader="none" w:pos="1667" w:val="left"/>
        </w:tabs>
        <w:numPr>
          <w:ilvl w:val="1"/>
          <w:numId w:val="26"/>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the Company, any Guarantor or the Restricted Subsidiaries within a period of not more than five years);</w:t>
      </w:r>
    </w:p>
    <w:p>
      <w:pPr>
        <w:spacing w:after="0" w:line="62" w:lineRule="exact"/>
        <w:rPr>
          <w:rFonts w:ascii="Arial" w:cs="Arial" w:eastAsia="Arial" w:hAnsi="Arial"/>
          <w:sz w:val="18"/>
          <w:szCs w:val="18"/>
          <w:color w:val="auto"/>
        </w:rPr>
      </w:pPr>
    </w:p>
    <w:p>
      <w:pPr>
        <w:ind w:left="1660" w:hanging="312"/>
        <w:spacing w:after="0"/>
        <w:tabs>
          <w:tab w:leader="none" w:pos="1660" w:val="left"/>
        </w:tabs>
        <w:numPr>
          <w:ilvl w:val="1"/>
          <w:numId w:val="26"/>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the Company’s property listed below:</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40"/>
          </w:cols>
          <w:pgMar w:left="480" w:top="274" w:right="479" w:bottom="1440" w:gutter="0" w:footer="0" w:header="0"/>
        </w:sectPr>
      </w:pPr>
    </w:p>
    <w:bookmarkStart w:id="24" w:name="page25"/>
    <w:bookmarkEnd w:id="24"/>
    <w:p>
      <w:pPr>
        <w:ind w:left="196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Semiconductor, Inc. — Marvell Lane, Santa Clara, CA 95054</w:t>
      </w:r>
    </w:p>
    <w:p>
      <w:pPr>
        <w:spacing w:after="0" w:line="117" w:lineRule="exact"/>
        <w:rPr>
          <w:sz w:val="20"/>
          <w:szCs w:val="20"/>
          <w:color w:val="auto"/>
        </w:rPr>
      </w:pPr>
    </w:p>
    <w:p>
      <w:pPr>
        <w:ind w:left="1960"/>
        <w:spacing w:after="0"/>
        <w:rPr>
          <w:sz w:val="20"/>
          <w:szCs w:val="20"/>
          <w:color w:val="auto"/>
        </w:rPr>
      </w:pPr>
      <w:r>
        <w:rPr>
          <w:rFonts w:ascii="Arial" w:cs="Arial" w:eastAsia="Arial" w:hAnsi="Arial"/>
          <w:sz w:val="18"/>
          <w:szCs w:val="18"/>
          <w:color w:val="auto"/>
        </w:rPr>
        <w:t>Marvell Technology (Shanghai) Ltd. — Keyuan Rd. Pudong District, Shanghai, China 201203</w:t>
      </w:r>
    </w:p>
    <w:p>
      <w:pPr>
        <w:spacing w:after="0" w:line="117" w:lineRule="exact"/>
        <w:rPr>
          <w:sz w:val="20"/>
          <w:szCs w:val="20"/>
          <w:color w:val="auto"/>
        </w:rPr>
      </w:pPr>
    </w:p>
    <w:p>
      <w:pPr>
        <w:ind w:left="420" w:right="60" w:firstLine="948"/>
        <w:spacing w:after="0" w:line="286" w:lineRule="auto"/>
        <w:tabs>
          <w:tab w:leader="none" w:pos="1627" w:val="left"/>
        </w:tabs>
        <w:numPr>
          <w:ilvl w:val="0"/>
          <w:numId w:val="27"/>
        </w:numPr>
        <w:rPr>
          <w:rFonts w:ascii="Arial" w:cs="Arial" w:eastAsia="Arial" w:hAnsi="Arial"/>
          <w:sz w:val="17"/>
          <w:szCs w:val="17"/>
          <w:color w:val="auto"/>
        </w:rPr>
      </w:pPr>
      <w:r>
        <w:rPr>
          <w:rFonts w:ascii="Arial" w:cs="Arial" w:eastAsia="Arial" w:hAnsi="Arial"/>
          <w:sz w:val="17"/>
          <w:szCs w:val="17"/>
          <w:color w:val="auto"/>
        </w:rPr>
        <w:t>the Company, any Guarantor or any of the Restricted Subsidiaries would be entitled to incur Indebtedness secured by a Lien with respect to such sale and leaseback transaction without equally and ratably securing the Notes pursuant to Section 5.01(b) of this Second Supplemental Indenture (except with respect to a Lien permitted by Section 5.01(b)(xix) of this Second Supplemental Indenture); or</w:t>
      </w:r>
    </w:p>
    <w:p>
      <w:pPr>
        <w:spacing w:after="0" w:line="57" w:lineRule="exact"/>
        <w:rPr>
          <w:rFonts w:ascii="Arial" w:cs="Arial" w:eastAsia="Arial" w:hAnsi="Arial"/>
          <w:sz w:val="17"/>
          <w:szCs w:val="17"/>
          <w:color w:val="auto"/>
        </w:rPr>
      </w:pPr>
    </w:p>
    <w:p>
      <w:pPr>
        <w:ind w:left="420" w:right="120" w:firstLine="948"/>
        <w:spacing w:after="0" w:line="291" w:lineRule="auto"/>
        <w:tabs>
          <w:tab w:leader="none" w:pos="1677" w:val="left"/>
        </w:tabs>
        <w:numPr>
          <w:ilvl w:val="0"/>
          <w:numId w:val="27"/>
        </w:numPr>
        <w:rPr>
          <w:rFonts w:ascii="Arial" w:cs="Arial" w:eastAsia="Arial" w:hAnsi="Arial"/>
          <w:sz w:val="16"/>
          <w:szCs w:val="16"/>
          <w:color w:val="auto"/>
        </w:rPr>
      </w:pPr>
      <w:r>
        <w:rPr>
          <w:rFonts w:ascii="Arial" w:cs="Arial" w:eastAsia="Arial" w:hAnsi="Arial"/>
          <w:sz w:val="16"/>
          <w:szCs w:val="16"/>
          <w:color w:val="auto"/>
        </w:rPr>
        <w:t xml:space="preserve">the Company, any Guarantor or any of the Restricted Subsidiaries applies (or to the extent the proceeds are received directly by any of the Restricted Subsidiaries, such Restricted Subsidiary applies) an amount equal to the net proceeds from the sale of such Property to the purchase of other Property or assets used or useful in the Company’s, such Guarantor’s or such Restricted Subsidiary’s business or to the retirement of the Company’s, such Guarantor’s or such Restricted Subsidiary’s Indebtedness that is pari passu in right of payment with the Notes within 365 days before or after the effective date of any such sale and leaseback transaction;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in lieu of applying such amount to the retirement of pari passu Indebtedness, the Company may deliver Notes with an aggregate outstanding amount equal to such net proceeds to the Trustee for cancellation as provided in Section 3.03 of this Second Supplemental Indenture.</w:t>
      </w:r>
    </w:p>
    <w:p>
      <w:pPr>
        <w:spacing w:after="0" w:line="166" w:lineRule="exact"/>
        <w:rPr>
          <w:sz w:val="20"/>
          <w:szCs w:val="20"/>
          <w:color w:val="auto"/>
        </w:rPr>
      </w:pPr>
    </w:p>
    <w:p>
      <w:pPr>
        <w:ind w:left="-20" w:right="40" w:firstLine="436"/>
        <w:spacing w:after="0" w:line="275" w:lineRule="auto"/>
        <w:tabs>
          <w:tab w:leader="none" w:pos="675" w:val="left"/>
        </w:tabs>
        <w:numPr>
          <w:ilvl w:val="0"/>
          <w:numId w:val="28"/>
        </w:numPr>
        <w:rPr>
          <w:rFonts w:ascii="Arial" w:cs="Arial" w:eastAsia="Arial" w:hAnsi="Arial"/>
          <w:sz w:val="17"/>
          <w:szCs w:val="17"/>
          <w:color w:val="auto"/>
        </w:rPr>
      </w:pPr>
      <w:r>
        <w:rPr>
          <w:rFonts w:ascii="Arial" w:cs="Arial" w:eastAsia="Arial" w:hAnsi="Arial"/>
          <w:sz w:val="17"/>
          <w:szCs w:val="17"/>
          <w:color w:val="auto"/>
        </w:rPr>
        <w:t>Notwithstanding the restrictions set forth in Section 5.02(a) above, the Company, any Guarantor and the Restricted Subsidiaries may enter into any sale and leaseback transaction that would otherwise be subject to the restrictions set forth in Section 5.02(a) above, if after giving effect thereto the aggregate amount of all Attributable Debt with respect to such transactions (not including Attributable Debt permitted under clauses (i) through (vi) of Section 5.02(a) above), together with all Indebtedness outstanding pursuant to Section 5.01(c) of this Second Supplemental Indenture, does not exceed 15% of the Company’s and any Guarantor’s Consolidated Net Tangible Assets, taken as a whole.</w:t>
      </w:r>
    </w:p>
    <w:p>
      <w:pPr>
        <w:spacing w:after="0" w:line="17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i w:val="1"/>
          <w:iCs w:val="1"/>
          <w:color w:val="auto"/>
        </w:rPr>
        <w:t>Events of Default.</w:t>
      </w:r>
    </w:p>
    <w:p>
      <w:pPr>
        <w:spacing w:after="0" w:line="117" w:lineRule="exact"/>
        <w:rPr>
          <w:sz w:val="20"/>
          <w:szCs w:val="20"/>
          <w:color w:val="auto"/>
        </w:rPr>
      </w:pPr>
    </w:p>
    <w:p>
      <w:pPr>
        <w:ind w:left="-20" w:right="540" w:firstLine="436"/>
        <w:spacing w:after="0" w:line="277" w:lineRule="auto"/>
        <w:tabs>
          <w:tab w:leader="none" w:pos="665" w:val="left"/>
        </w:tabs>
        <w:numPr>
          <w:ilvl w:val="0"/>
          <w:numId w:val="29"/>
        </w:numPr>
        <w:rPr>
          <w:rFonts w:ascii="Arial" w:cs="Arial" w:eastAsia="Arial" w:hAnsi="Arial"/>
          <w:sz w:val="18"/>
          <w:szCs w:val="18"/>
          <w:color w:val="auto"/>
        </w:rPr>
      </w:pPr>
      <w:r>
        <w:rPr>
          <w:rFonts w:ascii="Arial" w:cs="Arial" w:eastAsia="Arial" w:hAnsi="Arial"/>
          <w:sz w:val="18"/>
          <w:szCs w:val="18"/>
          <w:color w:val="auto"/>
        </w:rPr>
        <w:t>Section 501 of the Base Indenture shall not apply to the Notes. Instead, each of the following events shall be an “</w:t>
      </w:r>
      <w:r>
        <w:rPr>
          <w:rFonts w:ascii="Arial" w:cs="Arial" w:eastAsia="Arial" w:hAnsi="Arial"/>
          <w:sz w:val="18"/>
          <w:szCs w:val="18"/>
          <w:u w:val="single" w:color="auto"/>
          <w:color w:val="auto"/>
        </w:rPr>
        <w:t>Event of Default</w:t>
      </w:r>
      <w:r>
        <w:rPr>
          <w:rFonts w:ascii="Arial" w:cs="Arial" w:eastAsia="Arial" w:hAnsi="Arial"/>
          <w:sz w:val="18"/>
          <w:szCs w:val="18"/>
          <w:color w:val="auto"/>
        </w:rPr>
        <w:t>” with respect to each series of Notes:</w:t>
      </w:r>
    </w:p>
    <w:p>
      <w:pPr>
        <w:spacing w:after="0" w:line="62" w:lineRule="exact"/>
        <w:rPr>
          <w:rFonts w:ascii="Arial" w:cs="Arial" w:eastAsia="Arial" w:hAnsi="Arial"/>
          <w:sz w:val="18"/>
          <w:szCs w:val="18"/>
          <w:color w:val="auto"/>
        </w:rPr>
      </w:pPr>
    </w:p>
    <w:p>
      <w:pPr>
        <w:ind w:left="420" w:right="40" w:firstLine="948"/>
        <w:spacing w:after="0" w:line="277" w:lineRule="auto"/>
        <w:tabs>
          <w:tab w:leader="none" w:pos="1587" w:val="left"/>
        </w:tabs>
        <w:numPr>
          <w:ilvl w:val="1"/>
          <w:numId w:val="29"/>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Note of such series when due and payable, and the continuance of that default for 30 days;</w:t>
      </w:r>
    </w:p>
    <w:p>
      <w:pPr>
        <w:spacing w:after="0" w:line="62" w:lineRule="exact"/>
        <w:rPr>
          <w:rFonts w:ascii="Arial" w:cs="Arial" w:eastAsia="Arial" w:hAnsi="Arial"/>
          <w:sz w:val="18"/>
          <w:szCs w:val="18"/>
          <w:color w:val="auto"/>
        </w:rPr>
      </w:pPr>
    </w:p>
    <w:p>
      <w:pPr>
        <w:ind w:left="420" w:right="440" w:firstLine="948"/>
        <w:spacing w:after="0" w:line="277" w:lineRule="auto"/>
        <w:tabs>
          <w:tab w:leader="none" w:pos="1637" w:val="left"/>
        </w:tabs>
        <w:numPr>
          <w:ilvl w:val="1"/>
          <w:numId w:val="29"/>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any Note of such series when due and payable (whether at its Stated Maturity, upon redemption or otherwise);</w:t>
      </w:r>
    </w:p>
    <w:p>
      <w:pPr>
        <w:spacing w:after="0" w:line="62" w:lineRule="exact"/>
        <w:rPr>
          <w:rFonts w:ascii="Arial" w:cs="Arial" w:eastAsia="Arial" w:hAnsi="Arial"/>
          <w:sz w:val="18"/>
          <w:szCs w:val="18"/>
          <w:color w:val="auto"/>
        </w:rPr>
      </w:pPr>
    </w:p>
    <w:p>
      <w:pPr>
        <w:ind w:left="420" w:right="280" w:firstLine="948"/>
        <w:spacing w:after="0" w:line="342" w:lineRule="auto"/>
        <w:tabs>
          <w:tab w:leader="none" w:pos="1687" w:val="left"/>
        </w:tabs>
        <w:numPr>
          <w:ilvl w:val="1"/>
          <w:numId w:val="29"/>
        </w:numPr>
        <w:rPr>
          <w:rFonts w:ascii="Arial" w:cs="Arial" w:eastAsia="Arial" w:hAnsi="Arial"/>
          <w:sz w:val="16"/>
          <w:szCs w:val="16"/>
          <w:color w:val="auto"/>
        </w:rPr>
      </w:pPr>
      <w:r>
        <w:rPr>
          <w:rFonts w:ascii="Arial" w:cs="Arial" w:eastAsia="Arial" w:hAnsi="Arial"/>
          <w:sz w:val="16"/>
          <w:szCs w:val="16"/>
          <w:color w:val="auto"/>
        </w:rPr>
        <w:t>a failure by the Company to repurchase Notes of such series tendered for repurchase following the occurrence of a Change of Control Repurchase Event with respect to such series of Notes in conformity with Section 4.02 of this Second Supplemental Indenture;</w:t>
      </w:r>
    </w:p>
    <w:p>
      <w:pPr>
        <w:spacing w:after="0" w:line="15" w:lineRule="exact"/>
        <w:rPr>
          <w:rFonts w:ascii="Arial" w:cs="Arial" w:eastAsia="Arial" w:hAnsi="Arial"/>
          <w:sz w:val="16"/>
          <w:szCs w:val="16"/>
          <w:color w:val="auto"/>
        </w:rPr>
      </w:pPr>
    </w:p>
    <w:p>
      <w:pPr>
        <w:ind w:left="420" w:right="20" w:firstLine="948"/>
        <w:spacing w:after="0" w:line="311" w:lineRule="auto"/>
        <w:tabs>
          <w:tab w:leader="none" w:pos="1677" w:val="left"/>
        </w:tabs>
        <w:numPr>
          <w:ilvl w:val="1"/>
          <w:numId w:val="29"/>
        </w:numPr>
        <w:rPr>
          <w:rFonts w:ascii="Arial" w:cs="Arial" w:eastAsia="Arial" w:hAnsi="Arial"/>
          <w:sz w:val="16"/>
          <w:szCs w:val="16"/>
          <w:color w:val="auto"/>
        </w:rPr>
      </w:pPr>
      <w:r>
        <w:rPr>
          <w:rFonts w:ascii="Arial" w:cs="Arial" w:eastAsia="Arial" w:hAnsi="Arial"/>
          <w:sz w:val="16"/>
          <w:szCs w:val="16"/>
          <w:color w:val="auto"/>
        </w:rPr>
        <w:t>a failure to observe or perform any other covenant or agreement in respect of such series of Notes, which failure continues for 90 days after written notice to the Company by the Trustee or to the Company and the Trustee by the Holders of not less than 25% in principal amount of outstanding Notes of such series (including any Additional Notes of such series), requiring the Company to remedy the same;</w:t>
      </w:r>
    </w:p>
    <w:p>
      <w:pPr>
        <w:spacing w:after="0" w:line="40" w:lineRule="exact"/>
        <w:rPr>
          <w:rFonts w:ascii="Arial" w:cs="Arial" w:eastAsia="Arial" w:hAnsi="Arial"/>
          <w:sz w:val="16"/>
          <w:szCs w:val="16"/>
          <w:color w:val="auto"/>
        </w:rPr>
      </w:pPr>
    </w:p>
    <w:p>
      <w:pPr>
        <w:ind w:left="420" w:firstLine="948"/>
        <w:spacing w:after="0" w:line="255" w:lineRule="auto"/>
        <w:tabs>
          <w:tab w:leader="none" w:pos="1627" w:val="left"/>
        </w:tabs>
        <w:numPr>
          <w:ilvl w:val="1"/>
          <w:numId w:val="29"/>
        </w:numPr>
        <w:rPr>
          <w:rFonts w:ascii="Arial" w:cs="Arial" w:eastAsia="Arial" w:hAnsi="Arial"/>
          <w:sz w:val="18"/>
          <w:szCs w:val="18"/>
          <w:color w:val="auto"/>
        </w:rPr>
      </w:pPr>
      <w:r>
        <w:rPr>
          <w:rFonts w:ascii="Arial" w:cs="Arial" w:eastAsia="Arial" w:hAnsi="Arial"/>
          <w:sz w:val="18"/>
          <w:szCs w:val="18"/>
          <w:color w:val="auto"/>
        </w:rPr>
        <w:t>(A) a failure to make any payment at maturity, including any applicable grace period, on any of the Company’s Indebtedness (other than Indebtedness the Company owes to any of its Subsidiaries) outstanding in an amount in excess of $100,000,000 or (B) a default on any of the Company’s Indebtedness (other than Indebtedness the Company owes to any of its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the Company by the Trustee or to the</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80"/>
          </w:cols>
          <w:pgMar w:left="460" w:top="274" w:right="459" w:bottom="1440" w:gutter="0" w:footer="0" w:header="0"/>
        </w:sectPr>
      </w:pPr>
    </w:p>
    <w:bookmarkStart w:id="25" w:name="page26"/>
    <w:bookmarkEnd w:id="25"/>
    <w:p>
      <w:pPr>
        <w:ind w:left="440" w:right="42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Company and the Trustee by the Holders of not less than 25% in principal amount of outstanding Notes of a series (including any Additional Notes of such series);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any failure, default or acceleration referred to in clause (A) or (B) above ceases or is cured, waived, rescinded or annulled, then the Event of Default shall be deemed cured;</w:t>
      </w:r>
    </w:p>
    <w:p>
      <w:pPr>
        <w:spacing w:after="0" w:line="76" w:lineRule="exact"/>
        <w:rPr>
          <w:sz w:val="20"/>
          <w:szCs w:val="20"/>
          <w:color w:val="auto"/>
        </w:rPr>
      </w:pPr>
    </w:p>
    <w:p>
      <w:pPr>
        <w:ind w:left="440" w:right="60" w:firstLine="948"/>
        <w:spacing w:after="0" w:line="279" w:lineRule="auto"/>
        <w:tabs>
          <w:tab w:leader="none" w:pos="1697" w:val="left"/>
        </w:tabs>
        <w:numPr>
          <w:ilvl w:val="1"/>
          <w:numId w:val="30"/>
        </w:numPr>
        <w:rPr>
          <w:rFonts w:ascii="Arial" w:cs="Arial" w:eastAsia="Arial" w:hAnsi="Arial"/>
          <w:sz w:val="17"/>
          <w:szCs w:val="17"/>
          <w:color w:val="auto"/>
        </w:rPr>
      </w:pPr>
      <w:r>
        <w:rPr>
          <w:rFonts w:ascii="Arial" w:cs="Arial" w:eastAsia="Arial" w:hAnsi="Arial"/>
          <w:sz w:val="17"/>
          <w:szCs w:val="17"/>
          <w:color w:val="auto"/>
        </w:rPr>
        <w:t>the Company pursuant to or within the meaning of any Bankruptcy Law (A) commences a voluntary case; (B) consents to the entry of an order for relief against it in an involuntary case; (C) consents to the appointment of a Custodian of it or for all or substantially all of its property; (D) makes a general assignment for the benefit of its creditors; or (E) admits in writing its inability to generally pay its debts as such debts become due; or takes any comparable action under any foreign laws relating to insolvency;</w:t>
      </w:r>
    </w:p>
    <w:p>
      <w:pPr>
        <w:spacing w:after="0" w:line="63" w:lineRule="exact"/>
        <w:rPr>
          <w:rFonts w:ascii="Arial" w:cs="Arial" w:eastAsia="Arial" w:hAnsi="Arial"/>
          <w:sz w:val="17"/>
          <w:szCs w:val="17"/>
          <w:color w:val="auto"/>
        </w:rPr>
      </w:pPr>
    </w:p>
    <w:p>
      <w:pPr>
        <w:ind w:left="440" w:right="60" w:firstLine="948"/>
        <w:spacing w:after="0" w:line="259" w:lineRule="auto"/>
        <w:tabs>
          <w:tab w:leader="none" w:pos="1747" w:val="left"/>
        </w:tabs>
        <w:numPr>
          <w:ilvl w:val="1"/>
          <w:numId w:val="30"/>
        </w:numPr>
        <w:rPr>
          <w:rFonts w:ascii="Arial" w:cs="Arial" w:eastAsia="Arial" w:hAnsi="Arial"/>
          <w:sz w:val="18"/>
          <w:szCs w:val="18"/>
          <w:color w:val="auto"/>
        </w:rPr>
      </w:pPr>
      <w:r>
        <w:rPr>
          <w:rFonts w:ascii="Arial" w:cs="Arial" w:eastAsia="Arial" w:hAnsi="Arial"/>
          <w:sz w:val="18"/>
          <w:szCs w:val="18"/>
          <w:color w:val="auto"/>
        </w:rPr>
        <w:t>a court of competent jurisdiction enters an order or decree under any Bankruptcy Law that (A) is for relief against the Company in an involuntary case; (B) appoints a Custodian of the Company or for all or substantially all of its property; or (C) orders the winding up or liquidation of the Company; or any similar relief is granted under any foreign laws; and the order or decree remains unstayed and in effect for 60 days; and</w:t>
      </w:r>
    </w:p>
    <w:p>
      <w:pPr>
        <w:spacing w:after="0" w:line="78" w:lineRule="exact"/>
        <w:rPr>
          <w:rFonts w:ascii="Arial" w:cs="Arial" w:eastAsia="Arial" w:hAnsi="Arial"/>
          <w:sz w:val="18"/>
          <w:szCs w:val="18"/>
          <w:color w:val="auto"/>
        </w:rPr>
      </w:pPr>
    </w:p>
    <w:p>
      <w:pPr>
        <w:ind w:left="440" w:firstLine="948"/>
        <w:spacing w:after="0" w:line="257" w:lineRule="auto"/>
        <w:tabs>
          <w:tab w:leader="none" w:pos="1797" w:val="left"/>
        </w:tabs>
        <w:numPr>
          <w:ilvl w:val="1"/>
          <w:numId w:val="30"/>
        </w:numPr>
        <w:rPr>
          <w:rFonts w:ascii="Arial" w:cs="Arial" w:eastAsia="Arial" w:hAnsi="Arial"/>
          <w:sz w:val="18"/>
          <w:szCs w:val="18"/>
          <w:color w:val="auto"/>
        </w:rPr>
      </w:pPr>
      <w:r>
        <w:rPr>
          <w:rFonts w:ascii="Arial" w:cs="Arial" w:eastAsia="Arial" w:hAnsi="Arial"/>
          <w:sz w:val="18"/>
          <w:szCs w:val="18"/>
          <w:color w:val="auto"/>
        </w:rPr>
        <w:t>any guarantee with respect to such series of Notes is not issued as required under Section 7.01 or any guarantee in respect of the Notes of that series ceases to be in full force and effect (except as contemplated by the terms of this Second Supplemental Indenture or such guarantee) or is declared null and void in a judicial proceeding or the Guarantor denies or disaffirms its obligations under this Second Supplemental Indenture or the guarantee, in each case unless the guarantee has been released pursuant to the terms of this Second Supplemental Indenture or such guarantee.</w:t>
      </w:r>
    </w:p>
    <w:p>
      <w:pPr>
        <w:spacing w:after="0" w:line="187" w:lineRule="exact"/>
        <w:rPr>
          <w:rFonts w:ascii="Arial" w:cs="Arial" w:eastAsia="Arial" w:hAnsi="Arial"/>
          <w:sz w:val="18"/>
          <w:szCs w:val="18"/>
          <w:color w:val="auto"/>
        </w:rPr>
      </w:pPr>
    </w:p>
    <w:p>
      <w:pPr>
        <w:ind w:right="120" w:firstLine="436"/>
        <w:spacing w:after="0" w:line="277" w:lineRule="auto"/>
        <w:tabs>
          <w:tab w:leader="none" w:pos="695" w:val="left"/>
        </w:tabs>
        <w:numPr>
          <w:ilvl w:val="0"/>
          <w:numId w:val="31"/>
        </w:numPr>
        <w:rPr>
          <w:rFonts w:ascii="Arial" w:cs="Arial" w:eastAsia="Arial" w:hAnsi="Arial"/>
          <w:sz w:val="18"/>
          <w:szCs w:val="18"/>
          <w:color w:val="auto"/>
        </w:rPr>
      </w:pPr>
      <w:r>
        <w:rPr>
          <w:rFonts w:ascii="Arial" w:cs="Arial" w:eastAsia="Arial" w:hAnsi="Arial"/>
          <w:sz w:val="18"/>
          <w:szCs w:val="18"/>
          <w:color w:val="auto"/>
        </w:rPr>
        <w:t>A notice of Default with respect to any Default given by the Trustee or Holders under this Section must specify the Default, demand that it be remedied and state that the notice is a “Notice of Default.”</w:t>
      </w:r>
    </w:p>
    <w:p>
      <w:pPr>
        <w:spacing w:after="0" w:line="170" w:lineRule="exact"/>
        <w:rPr>
          <w:sz w:val="20"/>
          <w:szCs w:val="20"/>
          <w:color w:val="auto"/>
        </w:rPr>
      </w:pPr>
    </w:p>
    <w:p>
      <w:pPr>
        <w:ind w:right="20" w:firstLine="440"/>
        <w:spacing w:after="0" w:line="342" w:lineRule="auto"/>
        <w:rPr>
          <w:sz w:val="20"/>
          <w:szCs w:val="20"/>
          <w:color w:val="auto"/>
        </w:rPr>
      </w:pPr>
      <w:r>
        <w:rPr>
          <w:rFonts w:ascii="Arial" w:cs="Arial" w:eastAsia="Arial" w:hAnsi="Arial"/>
          <w:sz w:val="16"/>
          <w:szCs w:val="16"/>
          <w:color w:val="auto"/>
        </w:rPr>
        <w:t xml:space="preserve">Section 5.04. </w:t>
      </w:r>
      <w:r>
        <w:rPr>
          <w:rFonts w:ascii="Arial" w:cs="Arial" w:eastAsia="Arial" w:hAnsi="Arial"/>
          <w:sz w:val="16"/>
          <w:szCs w:val="16"/>
          <w:i w:val="1"/>
          <w:iCs w:val="1"/>
          <w:color w:val="auto"/>
        </w:rPr>
        <w:t>References in Base Indenture.</w:t>
      </w:r>
      <w:r>
        <w:rPr>
          <w:rFonts w:ascii="Arial" w:cs="Arial" w:eastAsia="Arial" w:hAnsi="Arial"/>
          <w:sz w:val="16"/>
          <w:szCs w:val="16"/>
          <w:color w:val="auto"/>
        </w:rPr>
        <w:t xml:space="preserve"> References to “Section 501(4) or Section 501(5),” and “Section 501(3)” in the Base Indenture shall be deemed to refer to “Section 5.03(a)(vi) or Section 5.03(a)(vii)” and “Section 5.03(a)(iv)” of this Second Supplemental Indenture, respectively.</w:t>
      </w:r>
    </w:p>
    <w:p>
      <w:pPr>
        <w:spacing w:after="0" w:line="336" w:lineRule="exact"/>
        <w:rPr>
          <w:sz w:val="20"/>
          <w:szCs w:val="20"/>
          <w:color w:val="auto"/>
        </w:rPr>
      </w:pPr>
    </w:p>
    <w:p>
      <w:pPr>
        <w:ind w:left="4980"/>
        <w:spacing w:after="0"/>
        <w:rPr>
          <w:sz w:val="20"/>
          <w:szCs w:val="20"/>
          <w:color w:val="auto"/>
        </w:rPr>
      </w:pPr>
      <w:r>
        <w:rPr>
          <w:rFonts w:ascii="Arial" w:cs="Arial" w:eastAsia="Arial" w:hAnsi="Arial"/>
          <w:sz w:val="18"/>
          <w:szCs w:val="18"/>
          <w:b w:val="1"/>
          <w:bCs w:val="1"/>
          <w:u w:val="single" w:color="auto"/>
          <w:color w:val="auto"/>
        </w:rPr>
        <w:t>ARTICLE VI</w:t>
      </w:r>
    </w:p>
    <w:p>
      <w:pPr>
        <w:spacing w:after="0" w:line="27" w:lineRule="exact"/>
        <w:rPr>
          <w:sz w:val="20"/>
          <w:szCs w:val="20"/>
          <w:color w:val="auto"/>
        </w:rPr>
      </w:pPr>
    </w:p>
    <w:p>
      <w:pPr>
        <w:ind w:left="4920"/>
        <w:spacing w:after="0"/>
        <w:rPr>
          <w:sz w:val="20"/>
          <w:szCs w:val="20"/>
          <w:color w:val="auto"/>
        </w:rPr>
      </w:pPr>
      <w:r>
        <w:rPr>
          <w:rFonts w:ascii="Arial" w:cs="Arial" w:eastAsia="Arial" w:hAnsi="Arial"/>
          <w:sz w:val="18"/>
          <w:szCs w:val="18"/>
          <w:color w:val="auto"/>
        </w:rPr>
        <w:t>DEFEASANCE</w:t>
      </w:r>
    </w:p>
    <w:p>
      <w:pPr>
        <w:spacing w:after="0" w:line="211" w:lineRule="exact"/>
        <w:rPr>
          <w:sz w:val="20"/>
          <w:szCs w:val="20"/>
          <w:color w:val="auto"/>
        </w:rPr>
      </w:pPr>
    </w:p>
    <w:p>
      <w:pPr>
        <w:ind w:right="360" w:firstLine="440"/>
        <w:spacing w:after="0" w:line="286" w:lineRule="auto"/>
        <w:rPr>
          <w:sz w:val="20"/>
          <w:szCs w:val="20"/>
          <w:color w:val="auto"/>
        </w:rPr>
      </w:pPr>
      <w:r>
        <w:rPr>
          <w:rFonts w:ascii="Arial" w:cs="Arial" w:eastAsia="Arial" w:hAnsi="Arial"/>
          <w:sz w:val="17"/>
          <w:szCs w:val="17"/>
          <w:color w:val="auto"/>
        </w:rPr>
        <w:t xml:space="preserve">Section 6.01. </w:t>
      </w:r>
      <w:r>
        <w:rPr>
          <w:rFonts w:ascii="Arial" w:cs="Arial" w:eastAsia="Arial" w:hAnsi="Arial"/>
          <w:sz w:val="17"/>
          <w:szCs w:val="17"/>
          <w:i w:val="1"/>
          <w:iCs w:val="1"/>
          <w:color w:val="auto"/>
        </w:rPr>
        <w:t>Covenant Defeasance</w:t>
      </w:r>
      <w:r>
        <w:rPr>
          <w:rFonts w:ascii="Arial" w:cs="Arial" w:eastAsia="Arial" w:hAnsi="Arial"/>
          <w:sz w:val="17"/>
          <w:szCs w:val="17"/>
          <w:color w:val="auto"/>
        </w:rPr>
        <w:t>. In addition to the covenants specified in Section 1303 of the Base Indenture, the Company may omit to comply with respect to a series of Notes with any term, provision or condition set forth in Sections 4.02, 5.01 and 5.02 of this Second Supplemental Indenture by complying with the requirements of Section 1303 of the Base Indenture in respect of such series.</w:t>
      </w:r>
    </w:p>
    <w:p>
      <w:pPr>
        <w:spacing w:after="0" w:line="377" w:lineRule="exact"/>
        <w:rPr>
          <w:sz w:val="20"/>
          <w:szCs w:val="20"/>
          <w:color w:val="auto"/>
        </w:rPr>
      </w:pPr>
    </w:p>
    <w:p>
      <w:pPr>
        <w:ind w:left="4940"/>
        <w:spacing w:after="0"/>
        <w:rPr>
          <w:sz w:val="20"/>
          <w:szCs w:val="20"/>
          <w:color w:val="auto"/>
        </w:rPr>
      </w:pPr>
      <w:r>
        <w:rPr>
          <w:rFonts w:ascii="Arial" w:cs="Arial" w:eastAsia="Arial" w:hAnsi="Arial"/>
          <w:sz w:val="18"/>
          <w:szCs w:val="18"/>
          <w:b w:val="1"/>
          <w:bCs w:val="1"/>
          <w:u w:val="single" w:color="auto"/>
          <w:color w:val="auto"/>
        </w:rPr>
        <w:t>ARTICLE VII</w:t>
      </w:r>
    </w:p>
    <w:p>
      <w:pPr>
        <w:spacing w:after="0" w:line="27"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GUARANTEE</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i w:val="1"/>
          <w:iCs w:val="1"/>
          <w:color w:val="auto"/>
        </w:rPr>
        <w:t>Guarantee.</w:t>
      </w:r>
    </w:p>
    <w:p>
      <w:pPr>
        <w:spacing w:after="0" w:line="117" w:lineRule="exact"/>
        <w:rPr>
          <w:sz w:val="20"/>
          <w:szCs w:val="20"/>
          <w:color w:val="auto"/>
        </w:rPr>
      </w:pPr>
    </w:p>
    <w:p>
      <w:pPr>
        <w:ind w:right="20" w:firstLine="436"/>
        <w:spacing w:after="0" w:line="291" w:lineRule="auto"/>
        <w:tabs>
          <w:tab w:leader="none" w:pos="685" w:val="left"/>
        </w:tabs>
        <w:numPr>
          <w:ilvl w:val="0"/>
          <w:numId w:val="32"/>
        </w:numPr>
        <w:rPr>
          <w:rFonts w:ascii="Arial" w:cs="Arial" w:eastAsia="Arial" w:hAnsi="Arial"/>
          <w:sz w:val="16"/>
          <w:szCs w:val="16"/>
          <w:color w:val="auto"/>
        </w:rPr>
      </w:pPr>
      <w:r>
        <w:rPr>
          <w:rFonts w:ascii="Arial" w:cs="Arial" w:eastAsia="Arial" w:hAnsi="Arial"/>
          <w:sz w:val="16"/>
          <w:szCs w:val="16"/>
          <w:color w:val="auto"/>
        </w:rPr>
        <w:t>Subject to the provisions of this Article VII, any future Guarantor that is required to provide a guarantee, upon execution of a supplemental indenture hereto (substantially in the form of Exhibit C), will fully, unconditionally and irrevocably guarantee, as primary obligor and not merely as surety, jointly and severally with each other Guarantor, to each Holder and the Trustee, the full and punctual payment when due, whether at maturity, by acceleration, by redemption or otherwise, of the principal of, premium, if any, and interest on the Notes and all other obligations and liabilities of the Company under this Second Supplemental Indenture (including, without limitation, interest accruing after the filing of any petition in bankruptcy, or the commencement of any insolvency, reorganization or like proceeding, relating to the Company or any Guarantor, whether or not a claim for post-filing or post-petition interest is allowed in such proceeding (all the foregoing being hereinafter collectively called the “</w:t>
      </w:r>
      <w:r>
        <w:rPr>
          <w:rFonts w:ascii="Arial" w:cs="Arial" w:eastAsia="Arial" w:hAnsi="Arial"/>
          <w:sz w:val="16"/>
          <w:szCs w:val="16"/>
          <w:u w:val="single" w:color="auto"/>
          <w:color w:val="auto"/>
        </w:rPr>
        <w:t>Guaranteed Obligations</w:t>
      </w:r>
      <w:r>
        <w:rPr>
          <w:rFonts w:ascii="Arial" w:cs="Arial" w:eastAsia="Arial" w:hAnsi="Arial"/>
          <w:sz w:val="16"/>
          <w:szCs w:val="16"/>
          <w:color w:val="auto"/>
        </w:rPr>
        <w:t>”).</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00"/>
          </w:cols>
          <w:pgMar w:left="440" w:top="274" w:right="459" w:bottom="1440" w:gutter="0" w:footer="0" w:header="0"/>
        </w:sectPr>
      </w:pPr>
    </w:p>
    <w:bookmarkStart w:id="26" w:name="page27"/>
    <w:bookmarkEnd w:id="26"/>
    <w:p>
      <w:pPr>
        <w:ind w:left="4" w:right="300" w:firstLine="436"/>
        <w:spacing w:after="0" w:line="277" w:lineRule="auto"/>
        <w:tabs>
          <w:tab w:leader="none" w:pos="699" w:val="left"/>
        </w:tabs>
        <w:numPr>
          <w:ilvl w:val="1"/>
          <w:numId w:val="3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Guarantors shall include each existing and future domestic subsidiary of the Company that becomes a borrower or guarantor under the Revolving Credit Agreement or the Term Loan Agreement, on a senior, unsecured basis.</w:t>
      </w:r>
    </w:p>
    <w:p>
      <w:pPr>
        <w:spacing w:after="0" w:line="62" w:lineRule="exact"/>
        <w:rPr>
          <w:rFonts w:ascii="Arial" w:cs="Arial" w:eastAsia="Arial" w:hAnsi="Arial"/>
          <w:sz w:val="18"/>
          <w:szCs w:val="18"/>
          <w:color w:val="auto"/>
        </w:rPr>
      </w:pPr>
    </w:p>
    <w:p>
      <w:pPr>
        <w:ind w:left="4" w:right="40" w:firstLine="436"/>
        <w:spacing w:after="0" w:line="275" w:lineRule="auto"/>
        <w:tabs>
          <w:tab w:leader="none" w:pos="689" w:val="left"/>
        </w:tabs>
        <w:numPr>
          <w:ilvl w:val="1"/>
          <w:numId w:val="33"/>
        </w:numPr>
        <w:rPr>
          <w:rFonts w:ascii="Arial" w:cs="Arial" w:eastAsia="Arial" w:hAnsi="Arial"/>
          <w:sz w:val="17"/>
          <w:szCs w:val="17"/>
          <w:color w:val="auto"/>
        </w:rPr>
      </w:pPr>
      <w:r>
        <w:rPr>
          <w:rFonts w:ascii="Arial" w:cs="Arial" w:eastAsia="Arial" w:hAnsi="Arial"/>
          <w:sz w:val="17"/>
          <w:szCs w:val="17"/>
          <w:color w:val="auto"/>
        </w:rPr>
        <w:t>Each Guarantor shall agree that the Guaranteed Obligations will rank equally in right of payment with all of such Guarantor’s existing and future senior, unsecured Indebtedness, will rank senior in right of payment to all of such Guarantor’s existing and future unsecured, subordinated Indebtedness, will be effectively subordinated to all of such Guarantor’s existing and future secured Indebtedness, to the extent of the value of the assets securing such Indebtedness, and will be structurally subordinated to all of the existing and future Indebtedness (including trade payables) of such Guarantor’s non-Guarantor Subsidiaries (other than Indebtedness and liabilities owed to such Guarantor, if any).</w:t>
      </w:r>
    </w:p>
    <w:p>
      <w:pPr>
        <w:spacing w:after="0" w:line="68" w:lineRule="exact"/>
        <w:rPr>
          <w:rFonts w:ascii="Arial" w:cs="Arial" w:eastAsia="Arial" w:hAnsi="Arial"/>
          <w:sz w:val="17"/>
          <w:szCs w:val="17"/>
          <w:color w:val="auto"/>
        </w:rPr>
      </w:pPr>
    </w:p>
    <w:p>
      <w:pPr>
        <w:ind w:left="4" w:right="140" w:firstLine="436"/>
        <w:spacing w:after="0" w:line="277" w:lineRule="auto"/>
        <w:tabs>
          <w:tab w:leader="none" w:pos="699" w:val="left"/>
        </w:tabs>
        <w:numPr>
          <w:ilvl w:val="1"/>
          <w:numId w:val="33"/>
        </w:numPr>
        <w:rPr>
          <w:rFonts w:ascii="Arial" w:cs="Arial" w:eastAsia="Arial" w:hAnsi="Arial"/>
          <w:sz w:val="18"/>
          <w:szCs w:val="18"/>
          <w:color w:val="auto"/>
        </w:rPr>
      </w:pPr>
      <w:r>
        <w:rPr>
          <w:rFonts w:ascii="Arial" w:cs="Arial" w:eastAsia="Arial" w:hAnsi="Arial"/>
          <w:sz w:val="18"/>
          <w:szCs w:val="18"/>
          <w:color w:val="auto"/>
        </w:rPr>
        <w:t>Each Guarantor shall agree that its guarantee set forth in this Section 7.01 shall remain in full force and effect notwithstanding the absence of the endorsement of any notation of such guarantee on the Notes.</w:t>
      </w:r>
    </w:p>
    <w:p>
      <w:pPr>
        <w:spacing w:after="0" w:line="62" w:lineRule="exact"/>
        <w:rPr>
          <w:rFonts w:ascii="Arial" w:cs="Arial" w:eastAsia="Arial" w:hAnsi="Arial"/>
          <w:sz w:val="18"/>
          <w:szCs w:val="18"/>
          <w:color w:val="auto"/>
        </w:rPr>
      </w:pPr>
    </w:p>
    <w:p>
      <w:pPr>
        <w:ind w:left="4" w:right="160" w:firstLine="436"/>
        <w:spacing w:after="0" w:line="263" w:lineRule="auto"/>
        <w:tabs>
          <w:tab w:leader="none" w:pos="689" w:val="left"/>
        </w:tabs>
        <w:numPr>
          <w:ilvl w:val="1"/>
          <w:numId w:val="33"/>
        </w:numPr>
        <w:rPr>
          <w:rFonts w:ascii="Arial" w:cs="Arial" w:eastAsia="Arial" w:hAnsi="Arial"/>
          <w:sz w:val="18"/>
          <w:szCs w:val="18"/>
          <w:color w:val="auto"/>
        </w:rPr>
      </w:pPr>
      <w:r>
        <w:rPr>
          <w:rFonts w:ascii="Arial" w:cs="Arial" w:eastAsia="Arial" w:hAnsi="Arial"/>
          <w:sz w:val="18"/>
          <w:szCs w:val="18"/>
          <w:color w:val="auto"/>
        </w:rPr>
        <w:t>Each Guarantor shall further agree (to the extent permitted by law) that the Guaranteed Obligations may be extended or renewed, in whole or in part, without notice or further assent from it, and that it will remain bound under this Article VII notwithstanding any extension or renewal of any Guaranteed Obligation.</w:t>
      </w:r>
    </w:p>
    <w:p>
      <w:pPr>
        <w:spacing w:after="0" w:line="75" w:lineRule="exact"/>
        <w:rPr>
          <w:rFonts w:ascii="Arial" w:cs="Arial" w:eastAsia="Arial" w:hAnsi="Arial"/>
          <w:sz w:val="18"/>
          <w:szCs w:val="18"/>
          <w:color w:val="auto"/>
        </w:rPr>
      </w:pPr>
    </w:p>
    <w:p>
      <w:pPr>
        <w:ind w:left="4" w:right="260" w:firstLine="436"/>
        <w:spacing w:after="0" w:line="342" w:lineRule="auto"/>
        <w:tabs>
          <w:tab w:leader="none" w:pos="669" w:val="left"/>
        </w:tabs>
        <w:numPr>
          <w:ilvl w:val="1"/>
          <w:numId w:val="33"/>
        </w:numPr>
        <w:rPr>
          <w:rFonts w:ascii="Arial" w:cs="Arial" w:eastAsia="Arial" w:hAnsi="Arial"/>
          <w:sz w:val="16"/>
          <w:szCs w:val="16"/>
          <w:color w:val="auto"/>
        </w:rPr>
      </w:pPr>
      <w:r>
        <w:rPr>
          <w:rFonts w:ascii="Arial" w:cs="Arial" w:eastAsia="Arial" w:hAnsi="Arial"/>
          <w:sz w:val="16"/>
          <w:szCs w:val="16"/>
          <w:color w:val="auto"/>
        </w:rPr>
        <w:t>Each Guarantor shall waive presentation to, demand of payment from and protest to the Company of any of the Guaranteed Obligations and shall also waive notice of protest for nonpayment. Each Guarantor shall waive notice of any default under the Notes or the Guaranteed Obligations.</w:t>
      </w:r>
    </w:p>
    <w:p>
      <w:pPr>
        <w:spacing w:after="0" w:line="15" w:lineRule="exact"/>
        <w:rPr>
          <w:rFonts w:ascii="Arial" w:cs="Arial" w:eastAsia="Arial" w:hAnsi="Arial"/>
          <w:sz w:val="16"/>
          <w:szCs w:val="16"/>
          <w:color w:val="auto"/>
        </w:rPr>
      </w:pPr>
    </w:p>
    <w:p>
      <w:pPr>
        <w:ind w:left="4" w:firstLine="436"/>
        <w:spacing w:after="0" w:line="342" w:lineRule="auto"/>
        <w:tabs>
          <w:tab w:leader="none" w:pos="699" w:val="left"/>
        </w:tabs>
        <w:numPr>
          <w:ilvl w:val="1"/>
          <w:numId w:val="33"/>
        </w:numPr>
        <w:rPr>
          <w:rFonts w:ascii="Arial" w:cs="Arial" w:eastAsia="Arial" w:hAnsi="Arial"/>
          <w:sz w:val="16"/>
          <w:szCs w:val="16"/>
          <w:color w:val="auto"/>
        </w:rPr>
      </w:pPr>
      <w:r>
        <w:rPr>
          <w:rFonts w:ascii="Arial" w:cs="Arial" w:eastAsia="Arial" w:hAnsi="Arial"/>
          <w:sz w:val="16"/>
          <w:szCs w:val="16"/>
          <w:color w:val="auto"/>
        </w:rPr>
        <w:t>Each Guarantor shall further agree that its guarantee herein will constitute a guarantee of payment when due (and not a guarantee of collection) and shall waive any right to require that any resort be had by any Holder to any security held for payment of the Guaranteed Obligations.</w:t>
      </w:r>
    </w:p>
    <w:p>
      <w:pPr>
        <w:spacing w:after="0" w:line="15" w:lineRule="exact"/>
        <w:rPr>
          <w:rFonts w:ascii="Arial" w:cs="Arial" w:eastAsia="Arial" w:hAnsi="Arial"/>
          <w:sz w:val="16"/>
          <w:szCs w:val="16"/>
          <w:color w:val="auto"/>
        </w:rPr>
      </w:pPr>
    </w:p>
    <w:p>
      <w:pPr>
        <w:ind w:left="4" w:firstLine="436"/>
        <w:spacing w:after="0" w:line="284" w:lineRule="auto"/>
        <w:tabs>
          <w:tab w:leader="none" w:pos="699" w:val="left"/>
        </w:tabs>
        <w:numPr>
          <w:ilvl w:val="1"/>
          <w:numId w:val="33"/>
        </w:numPr>
        <w:rPr>
          <w:rFonts w:ascii="Arial" w:cs="Arial" w:eastAsia="Arial" w:hAnsi="Arial"/>
          <w:sz w:val="16"/>
          <w:szCs w:val="16"/>
          <w:color w:val="auto"/>
        </w:rPr>
      </w:pPr>
      <w:r>
        <w:rPr>
          <w:rFonts w:ascii="Arial" w:cs="Arial" w:eastAsia="Arial" w:hAnsi="Arial"/>
          <w:sz w:val="16"/>
          <w:szCs w:val="16"/>
          <w:color w:val="auto"/>
        </w:rPr>
        <w:t>Except as set forth in Section 7.02, the obligations of each Guarantor hereunder shall not be subject to any reduction, limitation, impairment or termination for any reason (other than payment of the Guaranteed Obligations in full), including any claim of waiver, release, surrender, alteration or compromise, and shall not be subject to any defense of setoff, counterclaim, recoupment or termination whatsoever or by reason of the invalidity, illegality or unenforceability of the Guaranteed Obligations or otherwise. Without limiting the generality of the foregoing, the Guaranteed Obligations of each Guarantor herein shall not be discharged or impaired or otherwise affected by (a) the failure of any Holder to assert any claim or demand or to enforce any right or remedy against the Company or any other person under this Second Supplemental Indenture, the Notes or any other agreement or otherwise; (b) any extension or renewal of any thereof; (c) any rescission, waiver, amendment or modification of any of the terms or provisions of this Second Supplemental Indenture, the Notes or any other agreement; (d) the release of any security held by any Holder for the Guaranteed Obligations;</w:t>
      </w:r>
    </w:p>
    <w:p>
      <w:pPr>
        <w:ind w:left="4" w:right="40" w:hanging="4"/>
        <w:spacing w:after="0" w:line="253" w:lineRule="auto"/>
        <w:tabs>
          <w:tab w:leader="none" w:pos="249"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 failure of any Holder to exercise any right or remedy against any other Guarantor; (f) any change in the ownership of the Company; (g) any default, failure or delay, willful or otherwise, in the performance of the Guaranteed Obligations; or (h) any other act or thing or omission or delay to do any other act or thing that may or might in any manner or to any extent vary the risk of any Guarantor or would otherwise operate as a discharge of such Guarantor as a matter of law or equity.</w:t>
      </w:r>
    </w:p>
    <w:p>
      <w:pPr>
        <w:spacing w:after="0" w:line="84" w:lineRule="exact"/>
        <w:rPr>
          <w:rFonts w:ascii="Arial" w:cs="Arial" w:eastAsia="Arial" w:hAnsi="Arial"/>
          <w:sz w:val="18"/>
          <w:szCs w:val="18"/>
          <w:color w:val="auto"/>
        </w:rPr>
      </w:pPr>
    </w:p>
    <w:p>
      <w:pPr>
        <w:ind w:left="4" w:right="80" w:firstLine="436"/>
        <w:spacing w:after="0" w:line="257" w:lineRule="auto"/>
        <w:tabs>
          <w:tab w:leader="none" w:pos="659" w:val="left"/>
        </w:tabs>
        <w:numPr>
          <w:ilvl w:val="1"/>
          <w:numId w:val="34"/>
        </w:numPr>
        <w:rPr>
          <w:rFonts w:ascii="Arial" w:cs="Arial" w:eastAsia="Arial" w:hAnsi="Arial"/>
          <w:sz w:val="18"/>
          <w:szCs w:val="18"/>
          <w:color w:val="auto"/>
        </w:rPr>
      </w:pPr>
      <w:r>
        <w:rPr>
          <w:rFonts w:ascii="Arial" w:cs="Arial" w:eastAsia="Arial" w:hAnsi="Arial"/>
          <w:sz w:val="18"/>
          <w:szCs w:val="18"/>
          <w:color w:val="auto"/>
        </w:rPr>
        <w:t>Each Guarantor shall agree that its guarantee herein shall remain in full force and effect until payment in full of all the Guaranteed Obligations or such Guarantor is released from its guarantee in compliance with Section 7.02. Each Guarantor shall further agree that its guarantee herein shall continue to be effective or be reinstated, as the case may be, if at any time payment, or any part thereof, of principal of, premium, if any, interest on any of the Guaranteed Obligations is rescinded or must otherwise be restored by any Holder upon the bankruptcy or reorganization of the Company or otherwise.</w:t>
      </w:r>
    </w:p>
    <w:p>
      <w:pPr>
        <w:spacing w:after="0" w:line="79" w:lineRule="exact"/>
        <w:rPr>
          <w:rFonts w:ascii="Arial" w:cs="Arial" w:eastAsia="Arial" w:hAnsi="Arial"/>
          <w:sz w:val="18"/>
          <w:szCs w:val="18"/>
          <w:color w:val="auto"/>
        </w:rPr>
      </w:pPr>
    </w:p>
    <w:p>
      <w:pPr>
        <w:ind w:left="4" w:firstLine="436"/>
        <w:spacing w:after="0" w:line="275" w:lineRule="auto"/>
        <w:tabs>
          <w:tab w:leader="none" w:pos="659" w:val="left"/>
        </w:tabs>
        <w:numPr>
          <w:ilvl w:val="1"/>
          <w:numId w:val="34"/>
        </w:numPr>
        <w:rPr>
          <w:rFonts w:ascii="Arial" w:cs="Arial" w:eastAsia="Arial" w:hAnsi="Arial"/>
          <w:sz w:val="17"/>
          <w:szCs w:val="17"/>
          <w:color w:val="auto"/>
        </w:rPr>
      </w:pPr>
      <w:r>
        <w:rPr>
          <w:rFonts w:ascii="Arial" w:cs="Arial" w:eastAsia="Arial" w:hAnsi="Arial"/>
          <w:sz w:val="17"/>
          <w:szCs w:val="17"/>
          <w:color w:val="auto"/>
        </w:rPr>
        <w:t>In furtherance of the foregoing and not in limitation of any other right that any Holder has at law or in equity against any Guarantor by virtue hereof, upon the failure of the Company to pay any of the Guaranteed Obligations when and as the same shall become due, whether at maturity, by acceleration, by redemption or otherwise, each Guarantor shall promise to and will, upon receipt of written demand by the Trustee, forthwith pay, or cause to be paid, in cash, to the Holders or the Trustee on behalf of the Holders, an amount equal to the sum of (i) the unpaid amount of such Guaranteed Obligations then due and owing and (ii) accrued and unpaid interest on such Guaranteed</w:t>
      </w:r>
    </w:p>
    <w:p>
      <w:pPr>
        <w:spacing w:after="0" w:line="10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4"/>
          </w:cols>
          <w:pgMar w:left="436" w:top="274" w:right="459" w:bottom="1440" w:gutter="0" w:footer="0" w:header="0"/>
        </w:sectPr>
      </w:pPr>
    </w:p>
    <w:bookmarkStart w:id="27" w:name="page28"/>
    <w:bookmarkEnd w:id="27"/>
    <w:p>
      <w:pPr>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Obligations then due and owing (but only to the extent not prohibited by law) (including interest accruing after the filing of any petition in bankruptcy or the commencement of any insolvency, reorganization or like proceeding relating to the Company or any Guarantor whether or not a claim for post-filing or post-petition interest is allowed in such proceeding).</w:t>
      </w:r>
    </w:p>
    <w:p>
      <w:pPr>
        <w:spacing w:after="0" w:line="76" w:lineRule="exact"/>
        <w:rPr>
          <w:sz w:val="20"/>
          <w:szCs w:val="20"/>
          <w:color w:val="auto"/>
        </w:rPr>
      </w:pPr>
    </w:p>
    <w:p>
      <w:pPr>
        <w:ind w:firstLine="436"/>
        <w:spacing w:after="0" w:line="296" w:lineRule="auto"/>
        <w:tabs>
          <w:tab w:leader="none" w:pos="695" w:val="left"/>
        </w:tabs>
        <w:numPr>
          <w:ilvl w:val="0"/>
          <w:numId w:val="35"/>
        </w:numPr>
        <w:rPr>
          <w:rFonts w:ascii="Arial" w:cs="Arial" w:eastAsia="Arial" w:hAnsi="Arial"/>
          <w:sz w:val="16"/>
          <w:szCs w:val="16"/>
          <w:color w:val="auto"/>
        </w:rPr>
      </w:pPr>
      <w:r>
        <w:rPr>
          <w:rFonts w:ascii="Arial" w:cs="Arial" w:eastAsia="Arial" w:hAnsi="Arial"/>
          <w:sz w:val="16"/>
          <w:szCs w:val="16"/>
          <w:color w:val="auto"/>
        </w:rPr>
        <w:t>Each Guarantor shall further agree that, as between such Guarantor, on the one hand, and the Holders, on the other hand, (x) the maturity of the Guaranteed Obligations guaranteed hereby may be accelerated as provided in this Second Supplemental Indenture for the purposes of its guarantee herein, notwithstanding any stay, injunction or other prohibition preventing such acceleration in respect of the Guaranteed Obligations guaranteed hereby and (y) in the event of any such declaration of acceleration of such Guaranteed Obligations, such Guaranteed Obligations (whether or not due and payable) shall forthwith become due and payable by the Guarantor for the purposes of its guarantee.</w:t>
      </w:r>
    </w:p>
    <w:p>
      <w:pPr>
        <w:spacing w:after="0" w:line="53" w:lineRule="exact"/>
        <w:rPr>
          <w:rFonts w:ascii="Arial" w:cs="Arial" w:eastAsia="Arial" w:hAnsi="Arial"/>
          <w:sz w:val="16"/>
          <w:szCs w:val="16"/>
          <w:color w:val="auto"/>
        </w:rPr>
      </w:pPr>
    </w:p>
    <w:p>
      <w:pPr>
        <w:ind w:right="100" w:firstLine="436"/>
        <w:spacing w:after="0" w:line="277" w:lineRule="auto"/>
        <w:tabs>
          <w:tab w:leader="none" w:pos="655" w:val="left"/>
        </w:tabs>
        <w:numPr>
          <w:ilvl w:val="0"/>
          <w:numId w:val="35"/>
        </w:numPr>
        <w:rPr>
          <w:rFonts w:ascii="Arial" w:cs="Arial" w:eastAsia="Arial" w:hAnsi="Arial"/>
          <w:sz w:val="18"/>
          <w:szCs w:val="18"/>
          <w:color w:val="auto"/>
        </w:rPr>
      </w:pPr>
      <w:r>
        <w:rPr>
          <w:rFonts w:ascii="Arial" w:cs="Arial" w:eastAsia="Arial" w:hAnsi="Arial"/>
          <w:sz w:val="18"/>
          <w:szCs w:val="18"/>
          <w:color w:val="auto"/>
        </w:rPr>
        <w:t>Each Guarantor shall also agree to pay any and all fees, costs and expenses (including attorneys’ fees and expenses) incurred by the Trustee or the Holders in enforcing any rights under this Section 7.01.</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7.02. </w:t>
      </w:r>
      <w:r>
        <w:rPr>
          <w:rFonts w:ascii="Arial" w:cs="Arial" w:eastAsia="Arial" w:hAnsi="Arial"/>
          <w:sz w:val="18"/>
          <w:szCs w:val="18"/>
          <w:i w:val="1"/>
          <w:iCs w:val="1"/>
          <w:color w:val="auto"/>
        </w:rPr>
        <w:t>Limitation on Liability; Termination, Release and Discharge.</w:t>
      </w:r>
    </w:p>
    <w:p>
      <w:pPr>
        <w:spacing w:after="0" w:line="117" w:lineRule="exact"/>
        <w:rPr>
          <w:sz w:val="20"/>
          <w:szCs w:val="20"/>
          <w:color w:val="auto"/>
        </w:rPr>
      </w:pPr>
    </w:p>
    <w:p>
      <w:pPr>
        <w:ind w:right="20" w:firstLine="436"/>
        <w:spacing w:after="0" w:line="255" w:lineRule="auto"/>
        <w:tabs>
          <w:tab w:leader="none" w:pos="685" w:val="left"/>
        </w:tabs>
        <w:numPr>
          <w:ilvl w:val="0"/>
          <w:numId w:val="36"/>
        </w:numPr>
        <w:rPr>
          <w:rFonts w:ascii="Arial" w:cs="Arial" w:eastAsia="Arial" w:hAnsi="Arial"/>
          <w:sz w:val="18"/>
          <w:szCs w:val="18"/>
          <w:color w:val="auto"/>
        </w:rPr>
      </w:pPr>
      <w:r>
        <w:rPr>
          <w:rFonts w:ascii="Arial" w:cs="Arial" w:eastAsia="Arial" w:hAnsi="Arial"/>
          <w:sz w:val="18"/>
          <w:szCs w:val="18"/>
          <w:color w:val="auto"/>
        </w:rPr>
        <w:t>Any term or provision of this Second Supplemental Indenture to the contrary notwithstanding, the obligations of each Guarantor hereunder will be limited to the maximum amount as will, after giving effect to all other contingent and fixed liabilities of such Guarantor and after giving effect to any collections from or payments made by or on behalf of any other Guarantor in respect of the obligations of such other Guarantor under its guarantee or pursuant to its contribution obligations under this Second Supplemental Indenture, result in the obligations of such Guarantor under its guarantee not constituting a fraudulent conveyance or fraudulent transfer under federal, foreign, state or provincial law and not otherwise being void or voidable under any similar laws affecting the rights of creditors generally.</w:t>
      </w:r>
    </w:p>
    <w:p>
      <w:pPr>
        <w:spacing w:after="0" w:line="84" w:lineRule="exact"/>
        <w:rPr>
          <w:rFonts w:ascii="Arial" w:cs="Arial" w:eastAsia="Arial" w:hAnsi="Arial"/>
          <w:sz w:val="18"/>
          <w:szCs w:val="18"/>
          <w:color w:val="auto"/>
        </w:rPr>
      </w:pPr>
    </w:p>
    <w:p>
      <w:pPr>
        <w:ind w:right="380" w:firstLine="436"/>
        <w:spacing w:after="0" w:line="342" w:lineRule="auto"/>
        <w:tabs>
          <w:tab w:leader="none" w:pos="695" w:val="left"/>
        </w:tabs>
        <w:numPr>
          <w:ilvl w:val="0"/>
          <w:numId w:val="36"/>
        </w:numPr>
        <w:rPr>
          <w:rFonts w:ascii="Arial" w:cs="Arial" w:eastAsia="Arial" w:hAnsi="Arial"/>
          <w:sz w:val="16"/>
          <w:szCs w:val="16"/>
          <w:color w:val="auto"/>
        </w:rPr>
      </w:pPr>
      <w:r>
        <w:rPr>
          <w:rFonts w:ascii="Arial" w:cs="Arial" w:eastAsia="Arial" w:hAnsi="Arial"/>
          <w:sz w:val="16"/>
          <w:szCs w:val="16"/>
          <w:color w:val="auto"/>
        </w:rPr>
        <w:t>Any Guarantor will be released and discharged automatically and unconditionally from all its obligations under this Second Supplemental Indenture and its guarantee and will cease to be a Guarantor, without any further action required on the part of the Trustee or any Holder:</w:t>
      </w:r>
    </w:p>
    <w:p>
      <w:pPr>
        <w:spacing w:after="0" w:line="15" w:lineRule="exact"/>
        <w:rPr>
          <w:rFonts w:ascii="Arial" w:cs="Arial" w:eastAsia="Arial" w:hAnsi="Arial"/>
          <w:sz w:val="16"/>
          <w:szCs w:val="16"/>
          <w:color w:val="auto"/>
        </w:rPr>
      </w:pPr>
    </w:p>
    <w:p>
      <w:pPr>
        <w:ind w:left="440" w:right="380" w:firstLine="948"/>
        <w:spacing w:after="0" w:line="277" w:lineRule="auto"/>
        <w:tabs>
          <w:tab w:leader="none" w:pos="1607" w:val="left"/>
        </w:tabs>
        <w:numPr>
          <w:ilvl w:val="1"/>
          <w:numId w:val="36"/>
        </w:numPr>
        <w:rPr>
          <w:rFonts w:ascii="Arial" w:cs="Arial" w:eastAsia="Arial" w:hAnsi="Arial"/>
          <w:sz w:val="18"/>
          <w:szCs w:val="18"/>
          <w:color w:val="auto"/>
        </w:rPr>
      </w:pPr>
      <w:r>
        <w:rPr>
          <w:rFonts w:ascii="Arial" w:cs="Arial" w:eastAsia="Arial" w:hAnsi="Arial"/>
          <w:sz w:val="18"/>
          <w:szCs w:val="18"/>
          <w:color w:val="auto"/>
        </w:rPr>
        <w:t>if the Company exercises its legal defeasance or its covenant defeasance options with respect to the Notes or if its obligations under the Indenture are discharged in accordance with the terms of the Indenture;</w:t>
      </w:r>
    </w:p>
    <w:p>
      <w:pPr>
        <w:spacing w:after="0" w:line="62" w:lineRule="exact"/>
        <w:rPr>
          <w:rFonts w:ascii="Arial" w:cs="Arial" w:eastAsia="Arial" w:hAnsi="Arial"/>
          <w:sz w:val="18"/>
          <w:szCs w:val="18"/>
          <w:color w:val="auto"/>
        </w:rPr>
      </w:pPr>
    </w:p>
    <w:p>
      <w:pPr>
        <w:ind w:left="1660" w:hanging="272"/>
        <w:spacing w:after="0"/>
        <w:tabs>
          <w:tab w:leader="none" w:pos="1660" w:val="left"/>
        </w:tabs>
        <w:numPr>
          <w:ilvl w:val="1"/>
          <w:numId w:val="36"/>
        </w:numPr>
        <w:rPr>
          <w:rFonts w:ascii="Arial" w:cs="Arial" w:eastAsia="Arial" w:hAnsi="Arial"/>
          <w:sz w:val="18"/>
          <w:szCs w:val="18"/>
          <w:color w:val="auto"/>
        </w:rPr>
      </w:pPr>
      <w:r>
        <w:rPr>
          <w:rFonts w:ascii="Arial" w:cs="Arial" w:eastAsia="Arial" w:hAnsi="Arial"/>
          <w:sz w:val="18"/>
          <w:szCs w:val="18"/>
          <w:color w:val="auto"/>
        </w:rPr>
        <w:t>if no Event of Default has occurred and is then continuing, upon the liquidation or dissolution of such Guarantor; and</w:t>
      </w:r>
    </w:p>
    <w:p>
      <w:pPr>
        <w:spacing w:after="0" w:line="117" w:lineRule="exact"/>
        <w:rPr>
          <w:rFonts w:ascii="Arial" w:cs="Arial" w:eastAsia="Arial" w:hAnsi="Arial"/>
          <w:sz w:val="18"/>
          <w:szCs w:val="18"/>
          <w:color w:val="auto"/>
        </w:rPr>
      </w:pPr>
    </w:p>
    <w:p>
      <w:pPr>
        <w:ind w:left="1700" w:hanging="312"/>
        <w:spacing w:after="0"/>
        <w:tabs>
          <w:tab w:leader="none" w:pos="1700" w:val="left"/>
        </w:tabs>
        <w:numPr>
          <w:ilvl w:val="1"/>
          <w:numId w:val="36"/>
        </w:numPr>
        <w:rPr>
          <w:rFonts w:ascii="Arial" w:cs="Arial" w:eastAsia="Arial" w:hAnsi="Arial"/>
          <w:sz w:val="17"/>
          <w:szCs w:val="17"/>
          <w:color w:val="auto"/>
        </w:rPr>
      </w:pPr>
      <w:r>
        <w:rPr>
          <w:rFonts w:ascii="Arial" w:cs="Arial" w:eastAsia="Arial" w:hAnsi="Arial"/>
          <w:sz w:val="17"/>
          <w:szCs w:val="17"/>
          <w:color w:val="auto"/>
        </w:rPr>
        <w:t>upon the release or discharge of such Guarantor’s obligations under the Revolving Credit Agreement and the Term Loan</w:t>
      </w:r>
    </w:p>
    <w:p>
      <w:pPr>
        <w:spacing w:after="0" w:line="34" w:lineRule="exact"/>
        <w:rPr>
          <w:rFonts w:ascii="Arial" w:cs="Arial" w:eastAsia="Arial" w:hAnsi="Arial"/>
          <w:sz w:val="17"/>
          <w:szCs w:val="17"/>
          <w:color w:val="auto"/>
        </w:rPr>
      </w:pPr>
    </w:p>
    <w:p>
      <w:pPr>
        <w:ind w:left="440"/>
        <w:spacing w:after="0"/>
        <w:rPr>
          <w:rFonts w:ascii="Arial" w:cs="Arial" w:eastAsia="Arial" w:hAnsi="Arial"/>
          <w:sz w:val="17"/>
          <w:szCs w:val="17"/>
          <w:color w:val="auto"/>
        </w:rPr>
      </w:pPr>
      <w:r>
        <w:rPr>
          <w:rFonts w:ascii="Arial" w:cs="Arial" w:eastAsia="Arial" w:hAnsi="Arial"/>
          <w:sz w:val="18"/>
          <w:szCs w:val="18"/>
          <w:color w:val="auto"/>
        </w:rPr>
        <w:t>Agreement.</w:t>
      </w:r>
    </w:p>
    <w:p>
      <w:pPr>
        <w:spacing w:after="0" w:line="102" w:lineRule="exact"/>
        <w:rPr>
          <w:rFonts w:ascii="Arial" w:cs="Arial" w:eastAsia="Arial" w:hAnsi="Arial"/>
          <w:sz w:val="17"/>
          <w:szCs w:val="17"/>
          <w:color w:val="auto"/>
        </w:rPr>
      </w:pPr>
    </w:p>
    <w:p>
      <w:pPr>
        <w:ind w:right="360" w:firstLine="436"/>
        <w:spacing w:after="0" w:line="259" w:lineRule="auto"/>
        <w:tabs>
          <w:tab w:leader="none" w:pos="685" w:val="left"/>
        </w:tabs>
        <w:numPr>
          <w:ilvl w:val="0"/>
          <w:numId w:val="36"/>
        </w:numPr>
        <w:rPr>
          <w:rFonts w:ascii="Arial" w:cs="Arial" w:eastAsia="Arial" w:hAnsi="Arial"/>
          <w:sz w:val="18"/>
          <w:szCs w:val="18"/>
          <w:color w:val="auto"/>
        </w:rPr>
      </w:pPr>
      <w:r>
        <w:rPr>
          <w:rFonts w:ascii="Arial" w:cs="Arial" w:eastAsia="Arial" w:hAnsi="Arial"/>
          <w:sz w:val="18"/>
          <w:szCs w:val="18"/>
          <w:color w:val="auto"/>
        </w:rPr>
        <w:t>Upon delivery by the Company to the Trustee of an Officer’s Certificate and an Opinion of Counsel to the effect that any of the conditions described above has occurred, the Trustee shall, at the Company’s expense, execute any supplemental indenture or other documents reasonably requested by the Company in order to evidence the release of a Guarantor from its obligations under its guarantee and this Second Supplemental Indenture.</w:t>
      </w:r>
    </w:p>
    <w:p>
      <w:pPr>
        <w:spacing w:after="0" w:line="187" w:lineRule="exact"/>
        <w:rPr>
          <w:sz w:val="20"/>
          <w:szCs w:val="20"/>
          <w:color w:val="auto"/>
        </w:rPr>
      </w:pPr>
    </w:p>
    <w:p>
      <w:pPr>
        <w:ind w:right="180" w:firstLine="440"/>
        <w:spacing w:after="0" w:line="257" w:lineRule="auto"/>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i w:val="1"/>
          <w:iCs w:val="1"/>
          <w:color w:val="auto"/>
        </w:rPr>
        <w:t>Right of Contribution.</w:t>
      </w:r>
      <w:r>
        <w:rPr>
          <w:rFonts w:ascii="Arial" w:cs="Arial" w:eastAsia="Arial" w:hAnsi="Arial"/>
          <w:sz w:val="18"/>
          <w:szCs w:val="18"/>
          <w:color w:val="auto"/>
        </w:rPr>
        <w:t xml:space="preserve"> Each Guarantor shall agree that to the extent that any Guarantor shall have paid more than its proportionate share of any payment made on the obligations under the guarantees, such Guarantor shall be entitled to seek and receive contribution from and against the Company or any other Guarantor who has not paid its proportionate share of such payment. The provisions of this Section 7.03 shall in no respect limit the obligations and liabilities of each Guarantor to the Trustee and the Holders and each Guarantor shall remain liable to the Trustee and the Holders for the full amount guaranteed by such Guarantor hereunder.</w:t>
      </w: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28" w:name="page29"/>
    <w:bookmarkEnd w:id="28"/>
    <w:p>
      <w:pPr>
        <w:ind w:right="80" w:firstLine="44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7.04. </w:t>
      </w:r>
      <w:r>
        <w:rPr>
          <w:rFonts w:ascii="Arial" w:cs="Arial" w:eastAsia="Arial" w:hAnsi="Arial"/>
          <w:sz w:val="17"/>
          <w:szCs w:val="17"/>
          <w:i w:val="1"/>
          <w:iCs w:val="1"/>
          <w:color w:val="auto"/>
        </w:rPr>
        <w:t>No Subrogation</w:t>
      </w:r>
      <w:r>
        <w:rPr>
          <w:rFonts w:ascii="Arial" w:cs="Arial" w:eastAsia="Arial" w:hAnsi="Arial"/>
          <w:sz w:val="17"/>
          <w:szCs w:val="17"/>
          <w:color w:val="auto"/>
        </w:rPr>
        <w:t>. Notwithstanding any payment or payments made by each Guarantor hereunder, no Guarantor shall be entitled to be subrogated to any of the rights of the Trustee or any Holder against the Company or any other Guarantor or guarantee or right of offset held by the Trustee or any Holder for the payment of the Guaranteed Obligations, nor shall any Guarantor seek or be entitled to seek any contribution or reimbursement from the Company or any other Guarantor in respect of payments made by such Guarantor hereunder, until all amounts owing to the Trustee and the Holders by the Company on account of the Guaranteed Obligations are paid in full. If any amount shall be paid to any Guarantor on account of such subrogation rights at any time when all of the Guaranteed Obligations shall not have been paid in full, such amount shall be held by such Guarantor in trust for the Trustee and the Holders, segregated from other funds of such Guarantor, and shall, forthwith upon receipt by such Guarantor, be turned over to the Trustee in the exact form received by such Guarantor (duly indorsed by such Guarantor to the Trustee, if required), to be applied against the Guaranteed Obligations.</w:t>
      </w: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VIII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MISCELLANEOUS</w:t>
      </w:r>
    </w:p>
    <w:p>
      <w:pPr>
        <w:spacing w:after="0" w:line="211"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 xml:space="preserve">Section 8.01. </w:t>
      </w:r>
      <w:r>
        <w:rPr>
          <w:rFonts w:ascii="Arial" w:cs="Arial" w:eastAsia="Arial" w:hAnsi="Arial"/>
          <w:sz w:val="17"/>
          <w:szCs w:val="17"/>
          <w:i w:val="1"/>
          <w:iCs w:val="1"/>
          <w:color w:val="auto"/>
        </w:rPr>
        <w:t>Counterparts.</w:t>
      </w:r>
      <w:r>
        <w:rPr>
          <w:rFonts w:ascii="Arial" w:cs="Arial" w:eastAsia="Arial" w:hAnsi="Arial"/>
          <w:sz w:val="17"/>
          <w:szCs w:val="17"/>
          <w:color w:val="auto"/>
        </w:rPr>
        <w:t xml:space="preserve"> This Second Supplemental Indenture may be executed in any number of counterparts, each of which so executed shall be deemed to be an original, but all such counterparts shall together constitute but one and the same instrument. The Trustee shall have the right to accept and act upon any notice, instruction, or other communication, including any funds transfer instruction, (each, a “</w:t>
      </w:r>
      <w:r>
        <w:rPr>
          <w:rFonts w:ascii="Arial" w:cs="Arial" w:eastAsia="Arial" w:hAnsi="Arial"/>
          <w:sz w:val="17"/>
          <w:szCs w:val="17"/>
          <w:u w:val="single" w:color="auto"/>
          <w:color w:val="auto"/>
        </w:rPr>
        <w:t>Notice</w:t>
      </w:r>
      <w:r>
        <w:rPr>
          <w:rFonts w:ascii="Arial" w:cs="Arial" w:eastAsia="Arial" w:hAnsi="Arial"/>
          <w:sz w:val="17"/>
          <w:szCs w:val="17"/>
          <w:color w:val="auto"/>
        </w:rPr>
        <w:t>”) received pursuant to this Second Supplemental Indenture by electronic transmission (including by e-mail, facsimile transmission, web portal or other electronic methods) and shall not have any duty to confirm that the Person sending such Notice is, in fact, a person authorized to do so.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Second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79" w:lineRule="exact"/>
        <w:rPr>
          <w:sz w:val="20"/>
          <w:szCs w:val="20"/>
          <w:color w:val="auto"/>
        </w:rPr>
      </w:pPr>
    </w:p>
    <w:p>
      <w:pPr>
        <w:ind w:right="580" w:firstLine="440"/>
        <w:spacing w:after="0" w:line="277" w:lineRule="auto"/>
        <w:rPr>
          <w:sz w:val="20"/>
          <w:szCs w:val="20"/>
          <w:color w:val="auto"/>
        </w:rPr>
      </w:pPr>
      <w:r>
        <w:rPr>
          <w:rFonts w:ascii="Arial" w:cs="Arial" w:eastAsia="Arial" w:hAnsi="Arial"/>
          <w:sz w:val="18"/>
          <w:szCs w:val="18"/>
          <w:color w:val="auto"/>
        </w:rPr>
        <w:t xml:space="preserve">Section 8.02. </w:t>
      </w:r>
      <w:r>
        <w:rPr>
          <w:rFonts w:ascii="Arial" w:cs="Arial" w:eastAsia="Arial" w:hAnsi="Arial"/>
          <w:sz w:val="18"/>
          <w:szCs w:val="18"/>
          <w:i w:val="1"/>
          <w:iCs w:val="1"/>
          <w:color w:val="auto"/>
        </w:rPr>
        <w:t>Governing Law.</w:t>
      </w:r>
      <w:r>
        <w:rPr>
          <w:rFonts w:ascii="Arial" w:cs="Arial" w:eastAsia="Arial" w:hAnsi="Arial"/>
          <w:sz w:val="18"/>
          <w:szCs w:val="18"/>
          <w:color w:val="auto"/>
        </w:rPr>
        <w:t xml:space="preserve"> THIS SECOND SUPPLEMENTAL INDENTURE AND THE NOTES SHALL BE GOVERNED BY, AND CONSTRUED IN ACCORDANCE WITH, THE LAW OF THE STATE OF NEW YORK.</w:t>
      </w:r>
    </w:p>
    <w:p>
      <w:pPr>
        <w:spacing w:after="0" w:line="170" w:lineRule="exact"/>
        <w:rPr>
          <w:sz w:val="20"/>
          <w:szCs w:val="20"/>
          <w:color w:val="auto"/>
        </w:rPr>
      </w:pPr>
    </w:p>
    <w:p>
      <w:pPr>
        <w:ind w:right="60" w:firstLine="440"/>
        <w:spacing w:after="0" w:line="296" w:lineRule="auto"/>
        <w:rPr>
          <w:sz w:val="20"/>
          <w:szCs w:val="20"/>
          <w:color w:val="auto"/>
        </w:rPr>
      </w:pPr>
      <w:r>
        <w:rPr>
          <w:rFonts w:ascii="Arial" w:cs="Arial" w:eastAsia="Arial" w:hAnsi="Arial"/>
          <w:sz w:val="16"/>
          <w:szCs w:val="16"/>
          <w:color w:val="auto"/>
        </w:rPr>
        <w:t xml:space="preserve">Section 8.03. </w:t>
      </w:r>
      <w:r>
        <w:rPr>
          <w:rFonts w:ascii="Arial" w:cs="Arial" w:eastAsia="Arial" w:hAnsi="Arial"/>
          <w:sz w:val="16"/>
          <w:szCs w:val="16"/>
          <w:i w:val="1"/>
          <w:iCs w:val="1"/>
          <w:color w:val="auto"/>
        </w:rPr>
        <w:t>Recitals by the Company and the Guarantors</w:t>
      </w:r>
      <w:r>
        <w:rPr>
          <w:rFonts w:ascii="Arial" w:cs="Arial" w:eastAsia="Arial" w:hAnsi="Arial"/>
          <w:sz w:val="16"/>
          <w:szCs w:val="16"/>
          <w:color w:val="auto"/>
        </w:rPr>
        <w:t>. The recitals in this Second Supplemental Indenture are made by the Company and the Guarantors only and not by the Trustee, and the Trustee assumes no responsibility for their correctness. The Trustee makes no representations as to the validity or sufficiency of this Second Supplemental Indenture or of the Notes. The Trustee shall not be accountable for the use or application by the Company of the Notes. All of the provisions contained in the Base Indenture in respect of the rights, privileges, immunities, powers and duties of the Trustee shall be applicable in respect of the Notes and of this Second Supplemental Indenture as fully and with like effect as if set forth herein in full.</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Pages Follow</w:t>
      </w:r>
      <w:r>
        <w:rPr>
          <w:rFonts w:ascii="Arial" w:cs="Arial" w:eastAsia="Arial" w:hAnsi="Arial"/>
          <w:sz w:val="18"/>
          <w:szCs w:val="18"/>
          <w:color w:val="auto"/>
        </w:rPr>
        <w:t>]</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20"/>
          </w:cols>
          <w:pgMar w:left="440" w:top="274" w:right="439" w:bottom="1440" w:gutter="0" w:footer="0" w:header="0"/>
        </w:sectPr>
      </w:pPr>
    </w:p>
    <w:bookmarkStart w:id="29" w:name="page30"/>
    <w:bookmarkEnd w:id="29"/>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parties have caused this Second Supplemental Indenture to be duly executed as of the date first written above.</w:t>
      </w:r>
    </w:p>
    <w:p>
      <w:pPr>
        <w:spacing w:after="0" w:line="271"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INC.</w:t>
      </w:r>
      <w:r>
        <w:rPr>
          <w:rFonts w:ascii="Arial" w:cs="Arial" w:eastAsia="Arial" w:hAnsi="Arial"/>
          <w:sz w:val="18"/>
          <w:szCs w:val="18"/>
          <w:color w:val="auto"/>
        </w:rPr>
        <w:t>,</w:t>
      </w:r>
    </w:p>
    <w:p>
      <w:pPr>
        <w:spacing w:after="0" w:line="27"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25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0"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Name: Jean Hu</w:t>
      </w:r>
    </w:p>
    <w:p>
      <w:pPr>
        <w:spacing w:after="0" w:line="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Title: President and Chief Financial Officer</w:t>
      </w:r>
    </w:p>
    <w:p>
      <w:pPr>
        <w:spacing w:after="0" w:line="211" w:lineRule="exact"/>
        <w:rPr>
          <w:sz w:val="20"/>
          <w:szCs w:val="20"/>
          <w:color w:val="auto"/>
        </w:rPr>
      </w:pPr>
    </w:p>
    <w:p>
      <w:pPr>
        <w:jc w:val="center"/>
        <w:ind w:right="40"/>
        <w:spacing w:after="0"/>
        <w:rPr>
          <w:sz w:val="20"/>
          <w:szCs w:val="20"/>
          <w:color w:val="auto"/>
        </w:rPr>
      </w:pPr>
      <w:r>
        <w:rPr>
          <w:rFonts w:ascii="Arial" w:cs="Arial" w:eastAsia="Arial" w:hAnsi="Arial"/>
          <w:sz w:val="18"/>
          <w:szCs w:val="18"/>
          <w:i w:val="1"/>
          <w:iCs w:val="1"/>
          <w:color w:val="auto"/>
        </w:rPr>
        <w:t>[Signature Page – Second Supplemental Indenture]</w:t>
      </w:r>
    </w:p>
    <w:p>
      <w:pPr>
        <w:sectPr>
          <w:pgSz w:w="11900" w:h="16838" w:orient="portrait"/>
          <w:cols w:equalWidth="0" w:num="1">
            <w:col w:w="10180"/>
          </w:cols>
          <w:pgMar w:left="880" w:top="274" w:right="839" w:bottom="1440" w:gutter="0" w:footer="0" w:header="0"/>
        </w:sectPr>
      </w:pPr>
    </w:p>
    <w:bookmarkStart w:id="30" w:name="page31"/>
    <w:bookmarkEnd w:id="30"/>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U.S. BANK NATIONAL ASSOCIATION</w:t>
      </w:r>
      <w:r>
        <w:rPr>
          <w:rFonts w:ascii="Arial" w:cs="Arial" w:eastAsia="Arial" w:hAnsi="Arial"/>
          <w:sz w:val="17"/>
          <w:szCs w:val="17"/>
          <w:color w:val="auto"/>
        </w:rPr>
        <w:t>,</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David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30"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David Jason</w:t>
      </w:r>
    </w:p>
    <w:p>
      <w:pPr>
        <w:spacing w:after="0" w:line="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Vice President</w:t>
      </w:r>
    </w:p>
    <w:p>
      <w:pPr>
        <w:spacing w:after="0" w:line="224" w:lineRule="exact"/>
        <w:rPr>
          <w:sz w:val="20"/>
          <w:szCs w:val="20"/>
          <w:color w:val="auto"/>
        </w:rPr>
      </w:pPr>
    </w:p>
    <w:p>
      <w:pPr>
        <w:jc w:val="center"/>
        <w:ind w:right="19"/>
        <w:spacing w:after="0"/>
        <w:rPr>
          <w:sz w:val="20"/>
          <w:szCs w:val="20"/>
          <w:color w:val="auto"/>
        </w:rPr>
      </w:pPr>
      <w:r>
        <w:rPr>
          <w:rFonts w:ascii="Arial" w:cs="Arial" w:eastAsia="Arial" w:hAnsi="Arial"/>
          <w:sz w:val="16"/>
          <w:szCs w:val="16"/>
          <w:i w:val="1"/>
          <w:iCs w:val="1"/>
          <w:color w:val="auto"/>
        </w:rPr>
        <w:t>[Signature Page – Second Supplemental Indenture]</w:t>
      </w:r>
    </w:p>
    <w:p>
      <w:pPr>
        <w:sectPr>
          <w:pgSz w:w="11900" w:h="16838" w:orient="portrait"/>
          <w:cols w:equalWidth="0" w:num="1">
            <w:col w:w="9019"/>
          </w:cols>
          <w:pgMar w:left="1440" w:top="270" w:right="1440" w:bottom="1440" w:gutter="0" w:footer="0" w:header="0"/>
        </w:sectPr>
      </w:pPr>
    </w:p>
    <w:bookmarkStart w:id="31" w:name="page32"/>
    <w:bookmarkEnd w:id="31"/>
    <w:p>
      <w:pPr>
        <w:ind w:left="1020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ANNEX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CERTIFICATE TO BE DELIVERED IN CONNECTION WITH TRANSFERS PURSUANT TO REGULATIONS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Attention: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Inc. (the “Company”) [applicable series of Notes] (the “Securities”)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In connection with our proposed sale of $[•] aggregate principal amount of the Securities, we confirm that such sale has been effected pursuant to and in accordance with Regulation S under the U.S. Securities Act of 1933, as amended (the “Securities Act”), and, accordingly, we represent that:</w:t>
      </w:r>
    </w:p>
    <w:p>
      <w:pPr>
        <w:spacing w:after="0" w:line="29" w:lineRule="exact"/>
        <w:rPr>
          <w:sz w:val="20"/>
          <w:szCs w:val="20"/>
          <w:color w:val="auto"/>
        </w:rPr>
      </w:pPr>
    </w:p>
    <w:p>
      <w:pPr>
        <w:ind w:left="960" w:hanging="532"/>
        <w:spacing w:after="0"/>
        <w:tabs>
          <w:tab w:leader="none" w:pos="9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offer of the Securities was not made to a person in the United States;</w:t>
      </w:r>
    </w:p>
    <w:p>
      <w:pPr>
        <w:spacing w:after="0" w:line="130" w:lineRule="exact"/>
        <w:rPr>
          <w:rFonts w:ascii="Arial" w:cs="Arial" w:eastAsia="Arial" w:hAnsi="Arial"/>
          <w:sz w:val="18"/>
          <w:szCs w:val="18"/>
          <w:color w:val="auto"/>
        </w:rPr>
      </w:pPr>
    </w:p>
    <w:p>
      <w:pPr>
        <w:ind w:left="960" w:right="20" w:hanging="532"/>
        <w:spacing w:after="0" w:line="259" w:lineRule="auto"/>
        <w:tabs>
          <w:tab w:leader="none" w:pos="9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either (a) at the time the buy offer was originated, the transferee was outside the United States or we and any person acting on our behalf reasonably believed that the transferee was outside the United States, or (b) the transaction was executed in, on or through the facilities of a designated offshore securities market and neither we nor any person acting on our behalf knows that the transaction has been prearranged with a buyer in the United States;</w:t>
      </w:r>
    </w:p>
    <w:p>
      <w:pPr>
        <w:spacing w:after="0" w:line="92" w:lineRule="exact"/>
        <w:rPr>
          <w:rFonts w:ascii="Arial" w:cs="Arial" w:eastAsia="Arial" w:hAnsi="Arial"/>
          <w:sz w:val="18"/>
          <w:szCs w:val="18"/>
          <w:color w:val="auto"/>
        </w:rPr>
      </w:pPr>
    </w:p>
    <w:p>
      <w:pPr>
        <w:ind w:left="960" w:right="60" w:hanging="532"/>
        <w:spacing w:after="0" w:line="277" w:lineRule="auto"/>
        <w:tabs>
          <w:tab w:leader="none" w:pos="9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no directed selling efforts have been made in the United States in contravention of the requirements of Rule 903 or Rule 904 of Regulation S, as applicable;</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the transaction is not part of a plan or scheme to evade the registration requirements of the Securities Act; and</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we have advised the transferee of the transfer restrictions applicable to the Securities.</w:t>
      </w:r>
    </w:p>
    <w:p>
      <w:pPr>
        <w:spacing w:after="0" w:line="225" w:lineRule="exact"/>
        <w:rPr>
          <w:sz w:val="20"/>
          <w:szCs w:val="20"/>
          <w:color w:val="auto"/>
        </w:rPr>
      </w:pPr>
    </w:p>
    <w:p>
      <w:pPr>
        <w:ind w:right="120"/>
        <w:spacing w:after="0" w:line="263" w:lineRule="auto"/>
        <w:rPr>
          <w:sz w:val="20"/>
          <w:szCs w:val="20"/>
          <w:color w:val="auto"/>
        </w:rPr>
      </w:pPr>
      <w:r>
        <w:rPr>
          <w:rFonts w:ascii="Arial" w:cs="Arial" w:eastAsia="Arial" w:hAnsi="Arial"/>
          <w:sz w:val="18"/>
          <w:szCs w:val="18"/>
          <w:color w:val="auto"/>
        </w:rPr>
        <w:t>You and the Company are entitled to rely upon this letter and are irrevocably authorized to produce this letter or a copy hereof to any interested party in any administrative or legal proceedings or official inquiry with respect to the matters covered hereby. Terms used in this certificate have the meanings set forth in Regulation 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[Name of Transferor]</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25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27" w:lineRule="exact"/>
        <w:rPr>
          <w:sz w:val="20"/>
          <w:szCs w:val="20"/>
          <w:color w:val="auto"/>
        </w:rPr>
      </w:pPr>
    </w:p>
    <w:p>
      <w:pPr>
        <w:spacing w:after="0"/>
        <w:rPr>
          <w:sz w:val="20"/>
          <w:szCs w:val="20"/>
          <w:color w:val="auto"/>
        </w:rPr>
      </w:pPr>
      <w:r>
        <w:rPr>
          <w:rFonts w:ascii="Arial" w:cs="Arial" w:eastAsia="Arial" w:hAnsi="Arial"/>
          <w:sz w:val="18"/>
          <w:szCs w:val="18"/>
          <w:color w:val="auto"/>
        </w:rPr>
        <w:t>Authorized Signature</w:t>
      </w:r>
    </w:p>
    <w:p>
      <w:pPr>
        <w:sectPr>
          <w:pgSz w:w="11900" w:h="16838" w:orient="portrait"/>
          <w:cols w:equalWidth="0" w:num="1">
            <w:col w:w="11020"/>
          </w:cols>
          <w:pgMar w:left="440" w:top="270" w:right="439" w:bottom="1440" w:gutter="0" w:footer="0" w:header="0"/>
        </w:sectPr>
      </w:pPr>
    </w:p>
    <w:bookmarkStart w:id="32" w:name="page33"/>
    <w:bookmarkEnd w:id="3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2023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Insert the Global Note Legend, if applicable, pursuant to the provisions of the Indenture</w:t>
      </w:r>
      <w:r>
        <w:rPr>
          <w:rFonts w:ascii="Arial" w:cs="Arial" w:eastAsia="Arial" w:hAnsi="Arial"/>
          <w:sz w:val="16"/>
          <w:szCs w:val="16"/>
          <w:color w:val="auto"/>
        </w:rPr>
        <w:t>]</w:t>
      </w:r>
    </w:p>
    <w:p>
      <w:pPr>
        <w:sectPr>
          <w:pgSz w:w="11900" w:h="16838" w:orient="portrait"/>
          <w:cols w:equalWidth="0" w:num="1">
            <w:col w:w="9019"/>
          </w:cols>
          <w:pgMar w:left="1440" w:top="270" w:right="1440" w:bottom="1440" w:gutter="0" w:footer="0" w:header="0"/>
        </w:sectPr>
      </w:pPr>
    </w:p>
    <w:bookmarkStart w:id="33" w:name="page34"/>
    <w:bookmarkEnd w:id="3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4.200% Senior Notes due 2023</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CUSIP / ISIN: 573874 AK0 / US573874AK05 (144A)</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U5739D AD7 / USU5739DAD76 (Reg S)</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Exchanges of Securities attached hereto on June 22, 2023.</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June 22 and December 22.</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June 7 and December 7.</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Additional provisions of this Security are set forth on the reverse hereof.</w:t>
      </w:r>
    </w:p>
    <w:p>
      <w:pPr>
        <w:sectPr>
          <w:pgSz w:w="11900" w:h="16838" w:orient="portrait"/>
          <w:cols w:equalWidth="0" w:num="1">
            <w:col w:w="11020"/>
          </w:cols>
          <w:pgMar w:left="440" w:top="270" w:right="439" w:bottom="1440" w:gutter="0" w:footer="0" w:header="0"/>
        </w:sectPr>
      </w:pPr>
    </w:p>
    <w:bookmarkStart w:id="34" w:name="page35"/>
    <w:bookmarkEnd w:id="34"/>
    <w:p>
      <w:pPr>
        <w:jc w:val="cente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Company has caused this Security to be signed manually or by facsimile by its duly authorized officers.</w:t>
      </w:r>
    </w:p>
    <w:p>
      <w:pPr>
        <w:spacing w:after="0" w:line="260"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r>
        <w:rPr>
          <w:rFonts w:ascii="Arial" w:cs="Arial" w:eastAsia="Arial" w:hAnsi="Arial"/>
          <w:sz w:val="18"/>
          <w:szCs w:val="18"/>
          <w:color w:val="auto"/>
        </w:rPr>
        <w:t>,</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7"/>
          <w:szCs w:val="17"/>
          <w:b w:val="1"/>
          <w:bCs w:val="1"/>
          <w:color w:val="auto"/>
        </w:rPr>
        <w:t xml:space="preserve">U.S. BANK NATIONAL ASSOCIATION, </w:t>
      </w:r>
      <w:r>
        <w:rPr>
          <w:rFonts w:ascii="Arial" w:cs="Arial" w:eastAsia="Arial" w:hAnsi="Arial"/>
          <w:sz w:val="17"/>
          <w:szCs w:val="17"/>
          <w:color w:val="auto"/>
        </w:rPr>
        <w:t>as Trustee</w:t>
      </w:r>
    </w:p>
    <w:p>
      <w:pPr>
        <w:spacing w:after="0" w:line="24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 Authorized Signatory</w:t>
      </w:r>
    </w:p>
    <w:p>
      <w:pPr>
        <w:sectPr>
          <w:pgSz w:w="11900" w:h="16838" w:orient="portrait"/>
          <w:cols w:equalWidth="0" w:num="1">
            <w:col w:w="10600"/>
          </w:cols>
          <w:pgMar w:left="440" w:top="274" w:right="859" w:bottom="1440" w:gutter="0" w:footer="0" w:header="0"/>
        </w:sectPr>
      </w:pPr>
    </w:p>
    <w:bookmarkStart w:id="35" w:name="page36"/>
    <w:bookmarkEnd w:id="35"/>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(REVERSE OF NOTE)</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4.200% Senior Notes due 2023</w:t>
      </w:r>
    </w:p>
    <w:p>
      <w:pPr>
        <w:spacing w:after="0" w:line="121" w:lineRule="exact"/>
        <w:rPr>
          <w:sz w:val="20"/>
          <w:szCs w:val="20"/>
          <w:color w:val="auto"/>
        </w:rPr>
      </w:pPr>
    </w:p>
    <w:p>
      <w:pPr>
        <w:jc w:val="both"/>
        <w:ind w:right="260" w:firstLine="436"/>
        <w:spacing w:after="0" w:line="301" w:lineRule="auto"/>
        <w:tabs>
          <w:tab w:leader="none" w:pos="695" w:val="left"/>
        </w:tabs>
        <w:numPr>
          <w:ilvl w:val="0"/>
          <w:numId w:val="38"/>
        </w:numPr>
        <w:rPr>
          <w:rFonts w:ascii="Arial" w:cs="Arial" w:eastAsia="Arial" w:hAnsi="Arial"/>
          <w:sz w:val="16"/>
          <w:szCs w:val="16"/>
          <w:color w:val="auto"/>
        </w:rPr>
      </w:pPr>
      <w:r>
        <w:rPr>
          <w:rFonts w:ascii="Arial" w:cs="Arial" w:eastAsia="Arial" w:hAnsi="Arial"/>
          <w:sz w:val="16"/>
          <w:szCs w:val="16"/>
          <w:i w:val="1"/>
          <w:iCs w:val="1"/>
          <w:color w:val="auto"/>
        </w:rPr>
        <w:t>Interest</w:t>
      </w:r>
      <w:r>
        <w:rPr>
          <w:rFonts w:ascii="Arial" w:cs="Arial" w:eastAsia="Arial" w:hAnsi="Arial"/>
          <w:sz w:val="16"/>
          <w:szCs w:val="16"/>
          <w:color w:val="auto"/>
        </w:rPr>
        <w:t>. Marvell Technology, Inc., a Delaware corporation (such corporation, and its successors and assigns under the Indenture referred to</w:t>
      </w:r>
      <w:r>
        <w:rPr>
          <w:rFonts w:ascii="Arial" w:cs="Arial" w:eastAsia="Arial" w:hAnsi="Arial"/>
          <w:sz w:val="16"/>
          <w:szCs w:val="16"/>
          <w:i w:val="1"/>
          <w:iCs w:val="1"/>
          <w:color w:val="auto"/>
        </w:rPr>
        <w:t xml:space="preserve"> </w:t>
      </w:r>
      <w:r>
        <w:rPr>
          <w:rFonts w:ascii="Arial" w:cs="Arial" w:eastAsia="Arial" w:hAnsi="Arial"/>
          <w:sz w:val="16"/>
          <w:szCs w:val="16"/>
          <w:color w:val="auto"/>
        </w:rPr>
        <w:t>below, being herein called the “</w:t>
      </w:r>
      <w:r>
        <w:rPr>
          <w:rFonts w:ascii="Arial" w:cs="Arial" w:eastAsia="Arial" w:hAnsi="Arial"/>
          <w:sz w:val="16"/>
          <w:szCs w:val="16"/>
          <w:u w:val="single" w:color="auto"/>
          <w:color w:val="auto"/>
        </w:rPr>
        <w:t>Company</w:t>
      </w:r>
      <w:r>
        <w:rPr>
          <w:rFonts w:ascii="Arial" w:cs="Arial" w:eastAsia="Arial" w:hAnsi="Arial"/>
          <w:sz w:val="16"/>
          <w:szCs w:val="16"/>
          <w:color w:val="auto"/>
        </w:rPr>
        <w:t>”), promises to pay interest on the principal amount of this Note at the interest rate per annum shown above. The Company shall pay interest semiannually in arrears on June 22 and December 22 of each year, beginning on June 22, 2021. Interest on the Securities shall accrue from December 22, 2020 and shall be computed on the basis of a 360-day year consisting of twelve 30-day months.</w:t>
      </w:r>
    </w:p>
    <w:p>
      <w:pPr>
        <w:spacing w:after="0" w:line="157" w:lineRule="exact"/>
        <w:rPr>
          <w:rFonts w:ascii="Arial" w:cs="Arial" w:eastAsia="Arial" w:hAnsi="Arial"/>
          <w:sz w:val="16"/>
          <w:szCs w:val="16"/>
          <w:color w:val="auto"/>
        </w:rPr>
      </w:pPr>
    </w:p>
    <w:p>
      <w:pPr>
        <w:ind w:right="80" w:firstLine="436"/>
        <w:spacing w:after="0" w:line="273" w:lineRule="auto"/>
        <w:tabs>
          <w:tab w:leader="none" w:pos="695" w:val="left"/>
        </w:tabs>
        <w:numPr>
          <w:ilvl w:val="0"/>
          <w:numId w:val="38"/>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177" w:lineRule="exact"/>
        <w:rPr>
          <w:rFonts w:ascii="Arial" w:cs="Arial" w:eastAsia="Arial" w:hAnsi="Arial"/>
          <w:sz w:val="17"/>
          <w:szCs w:val="17"/>
          <w:color w:val="auto"/>
        </w:rPr>
      </w:pPr>
    </w:p>
    <w:p>
      <w:pPr>
        <w:ind w:firstLine="436"/>
        <w:spacing w:after="0" w:line="259" w:lineRule="auto"/>
        <w:tabs>
          <w:tab w:leader="none" w:pos="695" w:val="left"/>
        </w:tabs>
        <w:numPr>
          <w:ilvl w:val="0"/>
          <w:numId w:val="38"/>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National Association, a national banking association, as trustee (the</w:t>
      </w:r>
      <w:r>
        <w:rPr>
          <w:rFonts w:ascii="Arial" w:cs="Arial" w:eastAsia="Arial" w:hAnsi="Arial"/>
          <w:sz w:val="18"/>
          <w:szCs w:val="18"/>
          <w:i w:val="1"/>
          <w:iCs w:val="1"/>
          <w:color w:val="auto"/>
        </w:rPr>
        <w:t xml:space="preserve"> </w:t>
      </w:r>
      <w:r>
        <w:rPr>
          <w:rFonts w:ascii="Arial" w:cs="Arial" w:eastAsia="Arial" w:hAnsi="Arial"/>
          <w:sz w:val="18"/>
          <w:szCs w:val="18"/>
          <w:color w:val="auto"/>
        </w:rPr>
        <w:t>“</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may act as Paying Agent, transfer agent, Securities Registrar or co-registrar.</w:t>
      </w:r>
    </w:p>
    <w:p>
      <w:pPr>
        <w:spacing w:after="0" w:line="186" w:lineRule="exact"/>
        <w:rPr>
          <w:rFonts w:ascii="Arial" w:cs="Arial" w:eastAsia="Arial" w:hAnsi="Arial"/>
          <w:sz w:val="18"/>
          <w:szCs w:val="18"/>
          <w:color w:val="auto"/>
        </w:rPr>
      </w:pPr>
    </w:p>
    <w:p>
      <w:pPr>
        <w:ind w:left="700" w:hanging="264"/>
        <w:spacing w:after="0"/>
        <w:tabs>
          <w:tab w:leader="none" w:pos="700" w:val="left"/>
        </w:tabs>
        <w:numPr>
          <w:ilvl w:val="0"/>
          <w:numId w:val="38"/>
        </w:numPr>
        <w:rPr>
          <w:rFonts w:ascii="Arial" w:cs="Arial" w:eastAsia="Arial" w:hAnsi="Arial"/>
          <w:sz w:val="17"/>
          <w:szCs w:val="17"/>
          <w:color w:val="auto"/>
        </w:rPr>
      </w:pPr>
      <w:r>
        <w:rPr>
          <w:rFonts w:ascii="Arial" w:cs="Arial" w:eastAsia="Arial" w:hAnsi="Arial"/>
          <w:sz w:val="17"/>
          <w:szCs w:val="17"/>
          <w:i w:val="1"/>
          <w:iCs w:val="1"/>
          <w:color w:val="auto"/>
        </w:rPr>
        <w:t>Indenture</w:t>
      </w:r>
      <w:r>
        <w:rPr>
          <w:rFonts w:ascii="Arial" w:cs="Arial" w:eastAsia="Arial" w:hAnsi="Arial"/>
          <w:sz w:val="17"/>
          <w:szCs w:val="17"/>
          <w:color w:val="auto"/>
        </w:rPr>
        <w:t>. This Note is a “Security” and the Notes are “Securities” issued under the Indenture, dated as of April 12, 2021 (the “</w:t>
      </w:r>
      <w:r>
        <w:rPr>
          <w:rFonts w:ascii="Arial" w:cs="Arial" w:eastAsia="Arial" w:hAnsi="Arial"/>
          <w:sz w:val="17"/>
          <w:szCs w:val="17"/>
          <w:u w:val="single" w:color="auto"/>
          <w:color w:val="auto"/>
        </w:rPr>
        <w:t>Base</w:t>
      </w:r>
    </w:p>
    <w:p>
      <w:pPr>
        <w:spacing w:after="0" w:line="35" w:lineRule="exact"/>
        <w:rPr>
          <w:sz w:val="20"/>
          <w:szCs w:val="20"/>
          <w:color w:val="auto"/>
        </w:rPr>
      </w:pPr>
    </w:p>
    <w:p>
      <w:pPr>
        <w:spacing w:after="0" w:line="270" w:lineRule="auto"/>
        <w:rPr>
          <w:sz w:val="20"/>
          <w:szCs w:val="20"/>
          <w:color w:val="auto"/>
        </w:rPr>
      </w:pPr>
      <w:r>
        <w:rPr>
          <w:rFonts w:ascii="Arial" w:cs="Arial" w:eastAsia="Arial" w:hAnsi="Arial"/>
          <w:sz w:val="17"/>
          <w:szCs w:val="17"/>
          <w:u w:val="single" w:color="auto"/>
          <w:color w:val="auto"/>
        </w:rPr>
        <w:t>Indenture</w:t>
      </w:r>
      <w:r>
        <w:rPr>
          <w:rFonts w:ascii="Arial" w:cs="Arial" w:eastAsia="Arial" w:hAnsi="Arial"/>
          <w:sz w:val="17"/>
          <w:szCs w:val="17"/>
          <w:color w:val="auto"/>
        </w:rPr>
        <w:t>”), as supplemented by the Second Supplemental Indenture, dated as of May 4, 2021, (the “</w:t>
      </w:r>
      <w:r>
        <w:rPr>
          <w:rFonts w:ascii="Arial" w:cs="Arial" w:eastAsia="Arial" w:hAnsi="Arial"/>
          <w:sz w:val="17"/>
          <w:szCs w:val="17"/>
          <w:u w:val="single" w:color="auto"/>
          <w:color w:val="auto"/>
        </w:rPr>
        <w:t>Second Supplemental Indenture</w:t>
      </w:r>
      <w:r>
        <w:rPr>
          <w:rFonts w:ascii="Arial" w:cs="Arial" w:eastAsia="Arial" w:hAnsi="Arial"/>
          <w:sz w:val="17"/>
          <w:szCs w:val="17"/>
          <w:color w:val="auto"/>
        </w:rPr>
        <w:t>” and, together with the Base Indenture, the “</w:t>
      </w:r>
      <w:r>
        <w:rPr>
          <w:rFonts w:ascii="Arial" w:cs="Arial" w:eastAsia="Arial" w:hAnsi="Arial"/>
          <w:sz w:val="17"/>
          <w:szCs w:val="17"/>
          <w:u w:val="single" w:color="auto"/>
          <w:color w:val="auto"/>
        </w:rPr>
        <w:t>Indenture</w:t>
      </w:r>
      <w:r>
        <w:rPr>
          <w:rFonts w:ascii="Arial" w:cs="Arial" w:eastAsia="Arial" w:hAnsi="Arial"/>
          <w:sz w:val="17"/>
          <w:szCs w:val="17"/>
          <w:color w:val="auto"/>
        </w:rPr>
        <w:t>”), between the Company and the Trustee. The Securities are unsecured general obligations of the Company and constitute the “4.200% Senior Notes due 2023,” initially limited to $433,817,000 in aggregate principal amount. The terms of the Securities include those stated in the Indenture. Capitalized terms used herein but not defined herein are used as defined in the Indenture. The Securities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178" w:lineRule="exact"/>
        <w:rPr>
          <w:sz w:val="20"/>
          <w:szCs w:val="20"/>
          <w:color w:val="auto"/>
        </w:rPr>
      </w:pPr>
    </w:p>
    <w:p>
      <w:pPr>
        <w:ind w:right="20" w:firstLine="436"/>
        <w:spacing w:after="0" w:line="277" w:lineRule="auto"/>
        <w:tabs>
          <w:tab w:leader="none" w:pos="695" w:val="left"/>
        </w:tabs>
        <w:numPr>
          <w:ilvl w:val="0"/>
          <w:numId w:val="39"/>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w:t>
      </w:r>
      <w:r>
        <w:rPr>
          <w:rFonts w:ascii="Arial" w:cs="Arial" w:eastAsia="Arial" w:hAnsi="Arial"/>
          <w:sz w:val="18"/>
          <w:szCs w:val="18"/>
          <w:i w:val="1"/>
          <w:iCs w:val="1"/>
          <w:color w:val="auto"/>
        </w:rPr>
        <w:t xml:space="preserve"> </w:t>
      </w:r>
      <w:r>
        <w:rPr>
          <w:rFonts w:ascii="Arial" w:cs="Arial" w:eastAsia="Arial" w:hAnsi="Arial"/>
          <w:sz w:val="18"/>
          <w:szCs w:val="18"/>
          <w:color w:val="auto"/>
        </w:rPr>
        <w:t>at its option, pursuant to the following terms:</w:t>
      </w:r>
    </w:p>
    <w:p>
      <w:pPr>
        <w:spacing w:after="0" w:line="62" w:lineRule="exact"/>
        <w:rPr>
          <w:rFonts w:ascii="Arial" w:cs="Arial" w:eastAsia="Arial" w:hAnsi="Arial"/>
          <w:sz w:val="18"/>
          <w:szCs w:val="18"/>
          <w:color w:val="auto"/>
        </w:rPr>
      </w:pPr>
    </w:p>
    <w:p>
      <w:pPr>
        <w:ind w:left="440" w:firstLine="948"/>
        <w:spacing w:after="0" w:line="296" w:lineRule="auto"/>
        <w:tabs>
          <w:tab w:leader="none" w:pos="1636" w:val="left"/>
        </w:tabs>
        <w:numPr>
          <w:ilvl w:val="1"/>
          <w:numId w:val="39"/>
        </w:numPr>
        <w:rPr>
          <w:rFonts w:ascii="Arial" w:cs="Arial" w:eastAsia="Arial" w:hAnsi="Arial"/>
          <w:sz w:val="16"/>
          <w:szCs w:val="16"/>
          <w:color w:val="auto"/>
        </w:rPr>
      </w:pPr>
      <w:r>
        <w:rPr>
          <w:rFonts w:ascii="Arial" w:cs="Arial" w:eastAsia="Arial" w:hAnsi="Arial"/>
          <w:sz w:val="16"/>
          <w:szCs w:val="16"/>
          <w:color w:val="auto"/>
        </w:rPr>
        <w:t>At any time before May 22, 2023,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25 basis points, plus accrued and unpaid interest thereon to, but excluding, the redemption date. The redemption price shall be determined by the Company and the Trustee shall have no duty to verify any such determination made by the Company.</w:t>
      </w:r>
    </w:p>
    <w:p>
      <w:pPr>
        <w:spacing w:after="0" w:line="53" w:lineRule="exact"/>
        <w:rPr>
          <w:rFonts w:ascii="Arial" w:cs="Arial" w:eastAsia="Arial" w:hAnsi="Arial"/>
          <w:sz w:val="16"/>
          <w:szCs w:val="16"/>
          <w:color w:val="auto"/>
        </w:rPr>
      </w:pPr>
    </w:p>
    <w:p>
      <w:pPr>
        <w:ind w:left="440" w:right="460" w:firstLine="948"/>
        <w:spacing w:after="0" w:line="277" w:lineRule="auto"/>
        <w:tabs>
          <w:tab w:leader="none" w:pos="1647" w:val="left"/>
        </w:tabs>
        <w:numPr>
          <w:ilvl w:val="1"/>
          <w:numId w:val="39"/>
        </w:numPr>
        <w:rPr>
          <w:rFonts w:ascii="Arial" w:cs="Arial" w:eastAsia="Arial" w:hAnsi="Arial"/>
          <w:sz w:val="18"/>
          <w:szCs w:val="18"/>
          <w:color w:val="auto"/>
        </w:rPr>
      </w:pPr>
      <w:r>
        <w:rPr>
          <w:rFonts w:ascii="Arial" w:cs="Arial" w:eastAsia="Arial" w:hAnsi="Arial"/>
          <w:sz w:val="18"/>
          <w:szCs w:val="18"/>
          <w:color w:val="auto"/>
        </w:rPr>
        <w:t>At any time on or after May 22, 2023, the redemption price shall be equal to 100% of the aggregate principal amount of the Securities to be redeemed, plus accrued and unpaid interest thereon to, but excluding, the redemption date.</w:t>
      </w:r>
    </w:p>
    <w:p>
      <w:pPr>
        <w:spacing w:after="0" w:line="170" w:lineRule="exact"/>
        <w:rPr>
          <w:sz w:val="20"/>
          <w:szCs w:val="20"/>
          <w:color w:val="auto"/>
        </w:rPr>
      </w:pPr>
    </w:p>
    <w:p>
      <w:pPr>
        <w:ind w:right="28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Securities that are due and payable on Interest Payment Dates falling on or prior to a redemption date shall be payable on the Interest Payment Date to the registered Holders as of the close of business on the relevant Record Date in accordance with the provisions of the Securities and the Indenture.</w:t>
      </w:r>
    </w:p>
    <w:p>
      <w:pPr>
        <w:sectPr>
          <w:pgSz w:w="11900" w:h="16838" w:orient="portrait"/>
          <w:cols w:equalWidth="0" w:num="1">
            <w:col w:w="11000"/>
          </w:cols>
          <w:pgMar w:left="440" w:top="274" w:right="459" w:bottom="1440" w:gutter="0" w:footer="0" w:header="0"/>
        </w:sectPr>
      </w:pPr>
    </w:p>
    <w:bookmarkStart w:id="36" w:name="page37"/>
    <w:bookmarkEnd w:id="36"/>
    <w:p>
      <w:pPr>
        <w:ind w:right="20" w:firstLine="440"/>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On and after the redemption date for the Securities, interest shall cease to accrue on such Securities or any portion thereof called for redemption, unless the Company defaults in the payment of the redemption price and accrued interest, if any. On or before the redemption date 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unless otherwise required by law or applicable stock exchange or Depositary requirements;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 no event shall Securities of a principal amount of $2,000 or less be redeemed in part.</w:t>
      </w:r>
    </w:p>
    <w:p>
      <w:pPr>
        <w:spacing w:after="0" w:line="177" w:lineRule="exact"/>
        <w:rPr>
          <w:sz w:val="20"/>
          <w:szCs w:val="20"/>
          <w:color w:val="auto"/>
        </w:rPr>
      </w:pPr>
    </w:p>
    <w:p>
      <w:pPr>
        <w:ind w:right="20" w:firstLine="440"/>
        <w:spacing w:after="0" w:line="270" w:lineRule="auto"/>
        <w:rPr>
          <w:sz w:val="20"/>
          <w:szCs w:val="20"/>
          <w:color w:val="auto"/>
        </w:rPr>
      </w:pPr>
      <w:r>
        <w:rPr>
          <w:rFonts w:ascii="Arial" w:cs="Arial" w:eastAsia="Arial" w:hAnsi="Arial"/>
          <w:sz w:val="17"/>
          <w:szCs w:val="17"/>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181" w:lineRule="exact"/>
        <w:rPr>
          <w:sz w:val="20"/>
          <w:szCs w:val="20"/>
          <w:color w:val="auto"/>
        </w:rPr>
      </w:pPr>
    </w:p>
    <w:p>
      <w:pPr>
        <w:ind w:right="60" w:firstLine="436"/>
        <w:spacing w:after="0" w:line="257" w:lineRule="auto"/>
        <w:tabs>
          <w:tab w:leader="none" w:pos="695" w:val="left"/>
        </w:tabs>
        <w:numPr>
          <w:ilvl w:val="0"/>
          <w:numId w:val="40"/>
        </w:numPr>
        <w:rPr>
          <w:rFonts w:ascii="Arial" w:cs="Arial" w:eastAsia="Arial" w:hAnsi="Arial"/>
          <w:sz w:val="18"/>
          <w:szCs w:val="18"/>
          <w:color w:val="auto"/>
        </w:rPr>
      </w:pPr>
      <w:r>
        <w:rPr>
          <w:rFonts w:ascii="Arial" w:cs="Arial" w:eastAsia="Arial" w:hAnsi="Arial"/>
          <w:sz w:val="18"/>
          <w:szCs w:val="18"/>
          <w:i w:val="1"/>
          <w:iCs w:val="1"/>
          <w:color w:val="auto"/>
        </w:rPr>
        <w:t>Change of Control Repurchase Event</w:t>
      </w:r>
      <w:r>
        <w:rPr>
          <w:rFonts w:ascii="Arial" w:cs="Arial" w:eastAsia="Arial" w:hAnsi="Arial"/>
          <w:sz w:val="18"/>
          <w:szCs w:val="18"/>
          <w:color w:val="auto"/>
        </w:rPr>
        <w:t>. If a Change of Control Repurchase Event occurs with respect to the Securities, unless the Company</w:t>
      </w:r>
      <w:r>
        <w:rPr>
          <w:rFonts w:ascii="Arial" w:cs="Arial" w:eastAsia="Arial" w:hAnsi="Arial"/>
          <w:sz w:val="18"/>
          <w:szCs w:val="18"/>
          <w:i w:val="1"/>
          <w:iCs w:val="1"/>
          <w:color w:val="auto"/>
        </w:rPr>
        <w:t xml:space="preserve"> </w:t>
      </w:r>
      <w:r>
        <w:rPr>
          <w:rFonts w:ascii="Arial" w:cs="Arial" w:eastAsia="Arial" w:hAnsi="Arial"/>
          <w:sz w:val="18"/>
          <w:szCs w:val="18"/>
          <w:color w:val="auto"/>
        </w:rPr>
        <w:t>shall have exercised its option pursuant to Section (5)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Securities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31" w:lineRule="exact"/>
        <w:rPr>
          <w:sz w:val="20"/>
          <w:szCs w:val="20"/>
          <w:color w:val="auto"/>
        </w:rPr>
      </w:pPr>
    </w:p>
    <w:p>
      <w:pPr>
        <w:ind w:left="960" w:hanging="532"/>
        <w:spacing w:after="0"/>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accept for payment all the Securities or portions of the Securities properly tendered pursuant to the Change of Control Notice;</w:t>
      </w:r>
    </w:p>
    <w:p>
      <w:pPr>
        <w:spacing w:after="0" w:line="130" w:lineRule="exact"/>
        <w:rPr>
          <w:rFonts w:ascii="Arial" w:cs="Arial" w:eastAsia="Arial" w:hAnsi="Arial"/>
          <w:sz w:val="18"/>
          <w:szCs w:val="18"/>
          <w:color w:val="auto"/>
        </w:rPr>
      </w:pPr>
    </w:p>
    <w:p>
      <w:pPr>
        <w:ind w:left="960" w:right="120" w:hanging="532"/>
        <w:spacing w:after="0" w:line="277" w:lineRule="auto"/>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75" w:lineRule="exact"/>
        <w:rPr>
          <w:rFonts w:ascii="Arial" w:cs="Arial" w:eastAsia="Arial" w:hAnsi="Arial"/>
          <w:sz w:val="18"/>
          <w:szCs w:val="18"/>
          <w:color w:val="auto"/>
        </w:rPr>
      </w:pPr>
    </w:p>
    <w:p>
      <w:pPr>
        <w:ind w:left="960" w:right="100" w:hanging="532"/>
        <w:spacing w:after="0" w:line="277" w:lineRule="auto"/>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ectPr>
          <w:pgSz w:w="11900" w:h="16838" w:orient="portrait"/>
          <w:cols w:equalWidth="0" w:num="1">
            <w:col w:w="10980"/>
          </w:cols>
          <w:pgMar w:left="440" w:top="274" w:right="479" w:bottom="1440" w:gutter="0" w:footer="0" w:header="0"/>
        </w:sectPr>
      </w:pPr>
    </w:p>
    <w:bookmarkStart w:id="37" w:name="page38"/>
    <w:bookmarkEnd w:id="37"/>
    <w:p>
      <w:pPr>
        <w:ind w:firstLine="44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4.02(d) of the Second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6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(6), the Company shall comply with those securities laws and regulations and shall not be deemed to have breached its obligations under this Section (6)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(6) to the extent permitted by such securities laws or regulations.</w:t>
      </w:r>
    </w:p>
    <w:p>
      <w:pPr>
        <w:spacing w:after="0" w:line="70" w:lineRule="exact"/>
        <w:rPr>
          <w:sz w:val="20"/>
          <w:szCs w:val="20"/>
          <w:color w:val="auto"/>
        </w:rPr>
      </w:pPr>
    </w:p>
    <w:p>
      <w:pPr>
        <w:ind w:right="60" w:firstLine="436"/>
        <w:spacing w:after="0" w:line="272" w:lineRule="auto"/>
        <w:tabs>
          <w:tab w:leader="none" w:pos="695" w:val="left"/>
        </w:tabs>
        <w:numPr>
          <w:ilvl w:val="0"/>
          <w:numId w:val="42"/>
        </w:numPr>
        <w:rPr>
          <w:rFonts w:ascii="Arial" w:cs="Arial" w:eastAsia="Arial" w:hAnsi="Arial"/>
          <w:sz w:val="17"/>
          <w:szCs w:val="17"/>
          <w:color w:val="auto"/>
        </w:rPr>
      </w:pPr>
      <w:r>
        <w:rPr>
          <w:rFonts w:ascii="Arial" w:cs="Arial" w:eastAsia="Arial" w:hAnsi="Arial"/>
          <w:sz w:val="17"/>
          <w:szCs w:val="17"/>
          <w:i w:val="1"/>
          <w:iCs w:val="1"/>
          <w:color w:val="auto"/>
        </w:rPr>
        <w:t>Denominations; Transfer; Exchange</w:t>
      </w:r>
      <w:r>
        <w:rPr>
          <w:rFonts w:ascii="Arial" w:cs="Arial" w:eastAsia="Arial" w:hAnsi="Arial"/>
          <w:sz w:val="17"/>
          <w:szCs w:val="17"/>
          <w:color w:val="auto"/>
        </w:rPr>
        <w:t>. The Securities are in registered form without coupons in minimum denominations of $2,000 and any</w:t>
      </w:r>
      <w:r>
        <w:rPr>
          <w:rFonts w:ascii="Arial" w:cs="Arial" w:eastAsia="Arial" w:hAnsi="Arial"/>
          <w:sz w:val="17"/>
          <w:szCs w:val="17"/>
          <w:i w:val="1"/>
          <w:iCs w:val="1"/>
          <w:color w:val="auto"/>
        </w:rPr>
        <w:t xml:space="preserve"> </w:t>
      </w:r>
      <w:r>
        <w:rPr>
          <w:rFonts w:ascii="Arial" w:cs="Arial" w:eastAsia="Arial" w:hAnsi="Arial"/>
          <w:sz w:val="17"/>
          <w:szCs w:val="17"/>
          <w:color w:val="auto"/>
        </w:rPr>
        <w:t>multiple 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 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69" w:lineRule="exact"/>
        <w:rPr>
          <w:rFonts w:ascii="Arial" w:cs="Arial" w:eastAsia="Arial" w:hAnsi="Arial"/>
          <w:sz w:val="17"/>
          <w:szCs w:val="17"/>
          <w:color w:val="auto"/>
        </w:rPr>
      </w:pPr>
    </w:p>
    <w:p>
      <w:pPr>
        <w:ind w:right="200" w:firstLine="436"/>
        <w:spacing w:after="0" w:line="263" w:lineRule="auto"/>
        <w:tabs>
          <w:tab w:leader="none" w:pos="695" w:val="left"/>
        </w:tabs>
        <w:numPr>
          <w:ilvl w:val="0"/>
          <w:numId w:val="42"/>
        </w:numPr>
        <w:rPr>
          <w:rFonts w:ascii="Arial" w:cs="Arial" w:eastAsia="Arial" w:hAnsi="Arial"/>
          <w:sz w:val="18"/>
          <w:szCs w:val="18"/>
          <w:color w:val="auto"/>
        </w:rPr>
      </w:pPr>
      <w:r>
        <w:rPr>
          <w:rFonts w:ascii="Arial" w:cs="Arial" w:eastAsia="Arial" w:hAnsi="Arial"/>
          <w:sz w:val="18"/>
          <w:szCs w:val="18"/>
          <w:i w:val="1"/>
          <w:iCs w:val="1"/>
          <w:color w:val="auto"/>
        </w:rPr>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Securities and the Indenture if the Company deposits with the Trustee money and/or U.S. Government Obligations for the payment of principal and interest on the Securities to their Stated Maturity.</w:t>
      </w:r>
    </w:p>
    <w:p>
      <w:pPr>
        <w:spacing w:after="0" w:line="75" w:lineRule="exact"/>
        <w:rPr>
          <w:rFonts w:ascii="Arial" w:cs="Arial" w:eastAsia="Arial" w:hAnsi="Arial"/>
          <w:sz w:val="18"/>
          <w:szCs w:val="18"/>
          <w:color w:val="auto"/>
        </w:rPr>
      </w:pPr>
    </w:p>
    <w:p>
      <w:pPr>
        <w:ind w:right="420" w:firstLine="436"/>
        <w:spacing w:after="0" w:line="342" w:lineRule="auto"/>
        <w:tabs>
          <w:tab w:leader="none" w:pos="695" w:val="left"/>
        </w:tabs>
        <w:numPr>
          <w:ilvl w:val="0"/>
          <w:numId w:val="42"/>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5" w:lineRule="exact"/>
        <w:rPr>
          <w:rFonts w:ascii="Arial" w:cs="Arial" w:eastAsia="Arial" w:hAnsi="Arial"/>
          <w:sz w:val="16"/>
          <w:szCs w:val="16"/>
          <w:color w:val="auto"/>
        </w:rPr>
      </w:pPr>
    </w:p>
    <w:p>
      <w:pPr>
        <w:ind w:right="80" w:firstLine="436"/>
        <w:spacing w:after="0" w:line="290" w:lineRule="auto"/>
        <w:tabs>
          <w:tab w:leader="none" w:pos="785" w:val="left"/>
        </w:tabs>
        <w:numPr>
          <w:ilvl w:val="0"/>
          <w:numId w:val="42"/>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w:t>
      </w:r>
      <w:r>
        <w:rPr>
          <w:rFonts w:ascii="Arial" w:cs="Arial" w:eastAsia="Arial" w:hAnsi="Arial"/>
          <w:sz w:val="16"/>
          <w:szCs w:val="16"/>
          <w:i w:val="1"/>
          <w:iCs w:val="1"/>
          <w:color w:val="auto"/>
        </w:rPr>
        <w:t xml:space="preserve"> </w:t>
      </w:r>
      <w:r>
        <w:rPr>
          <w:rFonts w:ascii="Arial" w:cs="Arial" w:eastAsia="Arial" w:hAnsi="Arial"/>
          <w:sz w:val="16"/>
          <w:szCs w:val="16"/>
          <w:color w:val="auto"/>
        </w:rPr>
        <w:t>this 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mistake, omission, defect or inconsistency, to provide for the assumption of the Company’s obligations to Holders of this series or to provide for uncertificated Securities or Securities registered under the Securities Act and offered in exchange for this series, to provide for guarantees with respect to, or security for, the Securities,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165" w:lineRule="exact"/>
        <w:rPr>
          <w:rFonts w:ascii="Arial" w:cs="Arial" w:eastAsia="Arial" w:hAnsi="Arial"/>
          <w:sz w:val="16"/>
          <w:szCs w:val="16"/>
          <w:color w:val="auto"/>
        </w:rPr>
      </w:pPr>
    </w:p>
    <w:p>
      <w:pPr>
        <w:ind w:right="20" w:firstLine="436"/>
        <w:spacing w:after="0" w:line="279" w:lineRule="auto"/>
        <w:tabs>
          <w:tab w:leader="none" w:pos="778" w:val="left"/>
        </w:tabs>
        <w:numPr>
          <w:ilvl w:val="0"/>
          <w:numId w:val="42"/>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w:t>
      </w:r>
    </w:p>
    <w:p>
      <w:pPr>
        <w:sectPr>
          <w:pgSz w:w="11900" w:h="16838" w:orient="portrait"/>
          <w:cols w:equalWidth="0" w:num="1">
            <w:col w:w="11020"/>
          </w:cols>
          <w:pgMar w:left="440" w:top="274" w:right="439" w:bottom="1440" w:gutter="0" w:footer="0" w:header="0"/>
        </w:sectPr>
      </w:pPr>
    </w:p>
    <w:bookmarkStart w:id="38" w:name="page39"/>
    <w:bookmarkEnd w:id="38"/>
    <w:p>
      <w:pPr>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57" w:lineRule="exact"/>
        <w:rPr>
          <w:sz w:val="20"/>
          <w:szCs w:val="20"/>
          <w:color w:val="auto"/>
        </w:rPr>
      </w:pPr>
    </w:p>
    <w:p>
      <w:pPr>
        <w:ind w:right="240" w:firstLine="436"/>
        <w:spacing w:after="0" w:line="286" w:lineRule="auto"/>
        <w:tabs>
          <w:tab w:leader="none" w:pos="785" w:val="left"/>
        </w:tabs>
        <w:numPr>
          <w:ilvl w:val="0"/>
          <w:numId w:val="43"/>
        </w:numPr>
        <w:rPr>
          <w:rFonts w:ascii="Arial" w:cs="Arial" w:eastAsia="Arial" w:hAnsi="Arial"/>
          <w:sz w:val="17"/>
          <w:szCs w:val="17"/>
          <w:color w:val="auto"/>
        </w:rPr>
      </w:pPr>
      <w:r>
        <w:rPr>
          <w:rFonts w:ascii="Arial" w:cs="Arial" w:eastAsia="Arial" w:hAnsi="Arial"/>
          <w:sz w:val="17"/>
          <w:szCs w:val="17"/>
          <w:i w:val="1"/>
          <w:iCs w:val="1"/>
          <w:color w:val="auto"/>
        </w:rPr>
        <w:t xml:space="preserve">Trustee Dealings with Company. </w:t>
      </w:r>
      <w:r>
        <w:rPr>
          <w:rFonts w:ascii="Arial" w:cs="Arial" w:eastAsia="Arial" w:hAnsi="Arial"/>
          <w:sz w:val="17"/>
          <w:szCs w:val="17"/>
          <w:color w:val="auto"/>
        </w:rPr>
        <w:t>Subject to the provisions of the Trust Indenture Act, if applicable, the Trustee under the Indenture, in its</w:t>
      </w:r>
      <w:r>
        <w:rPr>
          <w:rFonts w:ascii="Arial" w:cs="Arial" w:eastAsia="Arial" w:hAnsi="Arial"/>
          <w:sz w:val="17"/>
          <w:szCs w:val="17"/>
          <w:i w:val="1"/>
          <w:iCs w:val="1"/>
          <w:color w:val="auto"/>
        </w:rPr>
        <w:t xml:space="preserve"> </w:t>
      </w:r>
      <w:r>
        <w:rPr>
          <w:rFonts w:ascii="Arial" w:cs="Arial" w:eastAsia="Arial" w:hAnsi="Arial"/>
          <w:sz w:val="17"/>
          <w:szCs w:val="17"/>
          <w:color w:val="auto"/>
        </w:rPr>
        <w:t>individual or any other capacity, may make loans to, accept deposits from, and perform services for the Company or its Affiliates, and may otherwise deal with the Company or its Affiliates, as if it were not Trustee. The Trustee shall initially be U.S. Bank National Association.</w:t>
      </w:r>
    </w:p>
    <w:p>
      <w:pPr>
        <w:spacing w:after="0" w:line="57" w:lineRule="exact"/>
        <w:rPr>
          <w:rFonts w:ascii="Arial" w:cs="Arial" w:eastAsia="Arial" w:hAnsi="Arial"/>
          <w:sz w:val="17"/>
          <w:szCs w:val="17"/>
          <w:color w:val="auto"/>
        </w:rPr>
      </w:pPr>
    </w:p>
    <w:p>
      <w:pPr>
        <w:ind w:right="320" w:firstLine="436"/>
        <w:spacing w:after="0" w:line="279" w:lineRule="auto"/>
        <w:tabs>
          <w:tab w:leader="none" w:pos="785" w:val="left"/>
        </w:tabs>
        <w:numPr>
          <w:ilvl w:val="0"/>
          <w:numId w:val="43"/>
        </w:numPr>
        <w:rPr>
          <w:rFonts w:ascii="Arial" w:cs="Arial" w:eastAsia="Arial" w:hAnsi="Arial"/>
          <w:sz w:val="17"/>
          <w:szCs w:val="17"/>
          <w:color w:val="auto"/>
        </w:rPr>
      </w:pPr>
      <w:r>
        <w:rPr>
          <w:rFonts w:ascii="Arial" w:cs="Arial" w:eastAsia="Arial" w:hAnsi="Arial"/>
          <w:sz w:val="17"/>
          <w:szCs w:val="17"/>
          <w:i w:val="1"/>
          <w:iCs w:val="1"/>
          <w:color w:val="auto"/>
        </w:rPr>
        <w:t xml:space="preserve">No Recourse Against Others. </w:t>
      </w:r>
      <w:r>
        <w:rPr>
          <w:rFonts w:ascii="Arial" w:cs="Arial" w:eastAsia="Arial" w:hAnsi="Arial"/>
          <w:sz w:val="17"/>
          <w:szCs w:val="17"/>
          <w:color w:val="auto"/>
        </w:rPr>
        <w:t>A director, officer, incorporator or shareholder, as such, past, present or future, of the Company or any</w:t>
      </w:r>
      <w:r>
        <w:rPr>
          <w:rFonts w:ascii="Arial" w:cs="Arial" w:eastAsia="Arial" w:hAnsi="Arial"/>
          <w:sz w:val="17"/>
          <w:szCs w:val="17"/>
          <w:i w:val="1"/>
          <w:iCs w:val="1"/>
          <w:color w:val="auto"/>
        </w:rPr>
        <w:t xml:space="preserve"> </w:t>
      </w:r>
      <w:r>
        <w:rPr>
          <w:rFonts w:ascii="Arial" w:cs="Arial" w:eastAsia="Arial" w:hAnsi="Arial"/>
          <w:sz w:val="17"/>
          <w:szCs w:val="17"/>
          <w:color w:val="auto"/>
        </w:rPr>
        <w:t>successor corporation of the Company, shall not have any liability for any obligations of the Company or any Guarantor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63" w:lineRule="exact"/>
        <w:rPr>
          <w:rFonts w:ascii="Arial" w:cs="Arial" w:eastAsia="Arial" w:hAnsi="Arial"/>
          <w:sz w:val="17"/>
          <w:szCs w:val="17"/>
          <w:color w:val="auto"/>
        </w:rPr>
      </w:pPr>
    </w:p>
    <w:p>
      <w:pPr>
        <w:ind w:right="280" w:firstLine="436"/>
        <w:spacing w:after="0" w:line="277" w:lineRule="auto"/>
        <w:tabs>
          <w:tab w:leader="none" w:pos="785" w:val="left"/>
        </w:tabs>
        <w:numPr>
          <w:ilvl w:val="0"/>
          <w:numId w:val="43"/>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62" w:lineRule="exact"/>
        <w:rPr>
          <w:rFonts w:ascii="Arial" w:cs="Arial" w:eastAsia="Arial" w:hAnsi="Arial"/>
          <w:sz w:val="18"/>
          <w:szCs w:val="18"/>
          <w:color w:val="auto"/>
        </w:rPr>
      </w:pPr>
    </w:p>
    <w:p>
      <w:pPr>
        <w:jc w:val="both"/>
        <w:ind w:right="300" w:firstLine="436"/>
        <w:spacing w:after="0" w:line="263" w:lineRule="auto"/>
        <w:tabs>
          <w:tab w:leader="none" w:pos="785" w:val="left"/>
        </w:tabs>
        <w:numPr>
          <w:ilvl w:val="0"/>
          <w:numId w:val="43"/>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75" w:lineRule="exact"/>
        <w:rPr>
          <w:rFonts w:ascii="Arial" w:cs="Arial" w:eastAsia="Arial" w:hAnsi="Arial"/>
          <w:sz w:val="18"/>
          <w:szCs w:val="18"/>
          <w:color w:val="auto"/>
        </w:rPr>
      </w:pPr>
    </w:p>
    <w:p>
      <w:pPr>
        <w:ind w:right="560" w:firstLine="436"/>
        <w:spacing w:after="0" w:line="277" w:lineRule="auto"/>
        <w:tabs>
          <w:tab w:leader="none" w:pos="785" w:val="left"/>
        </w:tabs>
        <w:numPr>
          <w:ilvl w:val="0"/>
          <w:numId w:val="43"/>
        </w:numPr>
        <w:rPr>
          <w:rFonts w:ascii="Arial" w:cs="Arial" w:eastAsia="Arial" w:hAnsi="Arial"/>
          <w:sz w:val="18"/>
          <w:szCs w:val="18"/>
          <w:color w:val="auto"/>
        </w:rPr>
      </w:pPr>
      <w:r>
        <w:rPr>
          <w:rFonts w:ascii="Arial" w:cs="Arial" w:eastAsia="Arial" w:hAnsi="Arial"/>
          <w:sz w:val="18"/>
          <w:szCs w:val="18"/>
          <w:i w:val="1"/>
          <w:iCs w:val="1"/>
          <w:color w:val="auto"/>
        </w:rPr>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right="60" w:firstLine="440"/>
        <w:spacing w:after="0" w:line="286" w:lineRule="auto"/>
        <w:rPr>
          <w:sz w:val="20"/>
          <w:szCs w:val="20"/>
          <w:color w:val="auto"/>
        </w:rPr>
      </w:pPr>
      <w:r>
        <w:rPr>
          <w:rFonts w:ascii="Arial" w:cs="Arial" w:eastAsia="Arial" w:hAnsi="Arial"/>
          <w:sz w:val="17"/>
          <w:szCs w:val="17"/>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65" w:lineRule="exact"/>
        <w:rPr>
          <w:sz w:val="20"/>
          <w:szCs w:val="20"/>
          <w:color w:val="auto"/>
        </w:rPr>
      </w:pPr>
    </w:p>
    <w:p>
      <w:pPr>
        <w:ind w:right="220" w:firstLine="440"/>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SECURITY, IN TWELVE-POINT TYPE. REQUESTS MAY BE MADE TO: MARVELL TECHNOLOGY, INC., 1000 N. WEST STREET, SUITE 1200, WILMINGTON, DE 19801, ATTENTION: CORPORATE SECRETARY.</w:t>
      </w:r>
    </w:p>
    <w:p>
      <w:pPr>
        <w:sectPr>
          <w:pgSz w:w="11900" w:h="16838" w:orient="portrait"/>
          <w:cols w:equalWidth="0" w:num="1">
            <w:col w:w="10980"/>
          </w:cols>
          <w:pgMar w:left="440" w:top="274" w:right="479" w:bottom="1440" w:gutter="0" w:footer="0" w:header="0"/>
        </w:sectPr>
      </w:pPr>
    </w:p>
    <w:bookmarkStart w:id="39" w:name="page40"/>
    <w:bookmarkEnd w:id="39"/>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or we assign and transfer this Security to</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(Insert assignee’s soc. sec. or tax I.D. No.)</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880" w:type="dxa"/>
            <w:vAlign w:val="bottom"/>
            <w:gridSpan w:val="2"/>
          </w:tcPr>
          <w:p>
            <w:pPr>
              <w:spacing w:after="0"/>
              <w:rPr>
                <w:sz w:val="20"/>
                <w:szCs w:val="20"/>
                <w:color w:val="auto"/>
              </w:rPr>
            </w:pPr>
            <w:r>
              <w:rPr>
                <w:rFonts w:ascii="Arial" w:cs="Arial" w:eastAsia="Arial" w:hAnsi="Arial"/>
                <w:sz w:val="18"/>
                <w:szCs w:val="18"/>
                <w:color w:val="auto"/>
                <w:w w:val="99"/>
              </w:rPr>
              <w:t>and irrevocably appoint</w:t>
            </w:r>
          </w:p>
        </w:tc>
        <w:tc>
          <w:tcPr>
            <w:tcW w:w="9140" w:type="dxa"/>
            <w:vAlign w:val="bottom"/>
            <w:gridSpan w:val="4"/>
          </w:tcPr>
          <w:p>
            <w:pPr>
              <w:ind w:left="900"/>
              <w:spacing w:after="0"/>
              <w:rPr>
                <w:sz w:val="20"/>
                <w:szCs w:val="20"/>
                <w:color w:val="auto"/>
              </w:rPr>
            </w:pPr>
            <w:r>
              <w:rPr>
                <w:rFonts w:ascii="Arial" w:cs="Arial" w:eastAsia="Arial" w:hAnsi="Arial"/>
                <w:sz w:val="18"/>
                <w:szCs w:val="18"/>
                <w:color w:val="auto"/>
                <w:w w:val="94"/>
              </w:rPr>
              <w:t>agent to transfer this Security on the books of the Company. The agent may substitute another to act for him.</w:t>
            </w:r>
          </w:p>
        </w:tc>
      </w:tr>
      <w:tr>
        <w:trPr>
          <w:trHeight w:val="459"/>
        </w:trPr>
        <w:tc>
          <w:tcPr>
            <w:tcW w:w="1880" w:type="dxa"/>
            <w:vAlign w:val="bottom"/>
            <w:gridSpan w:val="2"/>
          </w:tcPr>
          <w:p>
            <w:pPr>
              <w:spacing w:after="0"/>
              <w:rPr>
                <w:sz w:val="20"/>
                <w:szCs w:val="20"/>
                <w:color w:val="auto"/>
              </w:rPr>
            </w:pPr>
            <w:r>
              <w:rPr>
                <w:rFonts w:ascii="Arial" w:cs="Arial" w:eastAsia="Arial" w:hAnsi="Arial"/>
                <w:sz w:val="18"/>
                <w:szCs w:val="18"/>
                <w:color w:val="auto"/>
              </w:rPr>
              <w:t>Dated:</w:t>
            </w:r>
          </w:p>
        </w:tc>
        <w:tc>
          <w:tcPr>
            <w:tcW w:w="32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280" w:type="dxa"/>
            <w:vAlign w:val="bottom"/>
            <w:gridSpan w:val="2"/>
          </w:tcPr>
          <w:p>
            <w:pPr>
              <w:ind w:left="220"/>
              <w:spacing w:after="0"/>
              <w:rPr>
                <w:sz w:val="20"/>
                <w:szCs w:val="20"/>
                <w:color w:val="auto"/>
              </w:rPr>
            </w:pPr>
            <w:r>
              <w:rPr>
                <w:rFonts w:ascii="Arial" w:cs="Arial" w:eastAsia="Arial" w:hAnsi="Arial"/>
                <w:sz w:val="18"/>
                <w:szCs w:val="18"/>
                <w:color w:val="auto"/>
              </w:rPr>
              <w:t>Signed:</w:t>
            </w:r>
          </w:p>
        </w:tc>
      </w:tr>
      <w:tr>
        <w:trPr>
          <w:trHeight w:val="209"/>
        </w:trPr>
        <w:tc>
          <w:tcPr>
            <w:tcW w:w="680" w:type="dxa"/>
            <w:vAlign w:val="bottom"/>
          </w:tcPr>
          <w:p>
            <w:pPr>
              <w:spacing w:after="0"/>
              <w:rPr>
                <w:sz w:val="18"/>
                <w:szCs w:val="18"/>
                <w:color w:val="auto"/>
              </w:rPr>
            </w:pPr>
          </w:p>
        </w:tc>
        <w:tc>
          <w:tcPr>
            <w:tcW w:w="1200" w:type="dxa"/>
            <w:vAlign w:val="bottom"/>
            <w:tcBorders>
              <w:top w:val="single" w:sz="8" w:color="auto"/>
            </w:tcBorders>
          </w:tcPr>
          <w:p>
            <w:pPr>
              <w:spacing w:after="0"/>
              <w:rPr>
                <w:sz w:val="18"/>
                <w:szCs w:val="18"/>
                <w:color w:val="auto"/>
              </w:rPr>
            </w:pPr>
          </w:p>
        </w:tc>
        <w:tc>
          <w:tcPr>
            <w:tcW w:w="3200" w:type="dxa"/>
            <w:vAlign w:val="bottom"/>
            <w:tcBorders>
              <w:top w:val="single" w:sz="8" w:color="auto"/>
            </w:tcBorders>
          </w:tcPr>
          <w:p>
            <w:pPr>
              <w:spacing w:after="0"/>
              <w:rPr>
                <w:sz w:val="18"/>
                <w:szCs w:val="18"/>
                <w:color w:val="auto"/>
              </w:rPr>
            </w:pPr>
          </w:p>
        </w:tc>
        <w:tc>
          <w:tcPr>
            <w:tcW w:w="6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430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89"/>
              </w:rPr>
              <w:t>(Sign exactly as your name appears on the other side of this</w:t>
            </w:r>
          </w:p>
        </w:tc>
      </w:tr>
      <w:tr>
        <w:trPr>
          <w:trHeight w:val="230"/>
        </w:trPr>
        <w:tc>
          <w:tcPr>
            <w:tcW w:w="68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32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4300" w:type="dxa"/>
            <w:vAlign w:val="bottom"/>
          </w:tcPr>
          <w:p>
            <w:pPr>
              <w:spacing w:after="0"/>
              <w:rPr>
                <w:sz w:val="20"/>
                <w:szCs w:val="20"/>
                <w:color w:val="auto"/>
              </w:rPr>
            </w:pPr>
            <w:r>
              <w:rPr>
                <w:rFonts w:ascii="Arial" w:cs="Arial" w:eastAsia="Arial" w:hAnsi="Arial"/>
                <w:sz w:val="18"/>
                <w:szCs w:val="18"/>
                <w:color w:val="auto"/>
              </w:rPr>
              <w:t>Security)</w:t>
            </w:r>
          </w:p>
        </w:tc>
      </w:tr>
      <w:tr>
        <w:trPr>
          <w:trHeight w:val="418"/>
        </w:trPr>
        <w:tc>
          <w:tcPr>
            <w:tcW w:w="1880" w:type="dxa"/>
            <w:vAlign w:val="bottom"/>
            <w:gridSpan w:val="2"/>
          </w:tcPr>
          <w:p>
            <w:pPr>
              <w:spacing w:after="0"/>
              <w:rPr>
                <w:sz w:val="20"/>
                <w:szCs w:val="20"/>
                <w:color w:val="auto"/>
              </w:rPr>
            </w:pPr>
            <w:r>
              <w:rPr>
                <w:rFonts w:ascii="Arial" w:cs="Arial" w:eastAsia="Arial" w:hAnsi="Arial"/>
                <w:sz w:val="18"/>
                <w:szCs w:val="18"/>
                <w:color w:val="auto"/>
              </w:rPr>
              <w:t>Signature Guarantee:</w:t>
            </w:r>
          </w:p>
        </w:tc>
        <w:tc>
          <w:tcPr>
            <w:tcW w:w="3200" w:type="dxa"/>
            <w:vAlign w:val="bottom"/>
            <w:tcBorders>
              <w:bottom w:val="single" w:sz="8" w:color="auto"/>
            </w:tcBorders>
          </w:tcPr>
          <w:p>
            <w:pPr>
              <w:spacing w:after="0"/>
              <w:rPr>
                <w:sz w:val="24"/>
                <w:szCs w:val="24"/>
                <w:color w:val="auto"/>
              </w:rPr>
            </w:pPr>
          </w:p>
        </w:tc>
        <w:tc>
          <w:tcPr>
            <w:tcW w:w="660" w:type="dxa"/>
            <w:vAlign w:val="bottom"/>
            <w:tcBorders>
              <w:bottom w:val="single" w:sz="8" w:color="auto"/>
            </w:tcBorders>
          </w:tcPr>
          <w:p>
            <w:pPr>
              <w:spacing w:after="0"/>
              <w:rPr>
                <w:sz w:val="24"/>
                <w:szCs w:val="24"/>
                <w:color w:val="auto"/>
              </w:rPr>
            </w:pPr>
          </w:p>
        </w:tc>
        <w:tc>
          <w:tcPr>
            <w:tcW w:w="980" w:type="dxa"/>
            <w:vAlign w:val="bottom"/>
          </w:tcPr>
          <w:p>
            <w:pPr>
              <w:spacing w:after="0"/>
              <w:rPr>
                <w:sz w:val="24"/>
                <w:szCs w:val="24"/>
                <w:color w:val="auto"/>
              </w:rPr>
            </w:pPr>
          </w:p>
        </w:tc>
        <w:tc>
          <w:tcPr>
            <w:tcW w:w="4300" w:type="dxa"/>
            <w:vAlign w:val="bottom"/>
          </w:tcPr>
          <w:p>
            <w:pPr>
              <w:spacing w:after="0"/>
              <w:rPr>
                <w:sz w:val="24"/>
                <w:szCs w:val="24"/>
                <w:color w:val="auto"/>
              </w:rPr>
            </w:pPr>
          </w:p>
        </w:tc>
      </w:tr>
    </w:tbl>
    <w:p>
      <w:pPr>
        <w:spacing w:after="0" w:line="229"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ectPr>
          <w:pgSz w:w="11900" w:h="16838" w:orient="portrait"/>
          <w:cols w:equalWidth="0" w:num="1">
            <w:col w:w="11020"/>
          </w:cols>
          <w:pgMar w:left="440" w:top="270" w:right="439" w:bottom="1440" w:gutter="0" w:footer="0" w:header="0"/>
        </w:sectPr>
      </w:pPr>
    </w:p>
    <w:bookmarkStart w:id="40" w:name="page41"/>
    <w:bookmarkEnd w:id="40"/>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FORM OF TRANSFER CERTIFICATE</w:t>
      </w:r>
    </w:p>
    <w:p>
      <w:pPr>
        <w:spacing w:after="0" w:line="229"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In connection with any transfer of any of the Securities evidenced by this certificate occurring prior to the expiration of the period referred to in Rule 144 under the Securities Act (“Rule 144”) after the later of the date of original issuance of such Securities and the last date, if any, on which such Securities were owned by the Company or any Affiliate of the Company (as such term is defined in Rule 144), the undersigned confirms that such Securities are being transferred in accordance with its terms: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CHECK ONE BOX BELOW</w:t>
      </w:r>
    </w:p>
    <w:p>
      <w:pPr>
        <w:spacing w:after="0" w:line="98" w:lineRule="exact"/>
        <w:rPr>
          <w:sz w:val="20"/>
          <w:szCs w:val="20"/>
          <w:color w:val="auto"/>
        </w:rPr>
      </w:pPr>
    </w:p>
    <w:p>
      <w:pPr>
        <w:ind w:left="720" w:hanging="184"/>
        <w:spacing w:after="0" w:line="207" w:lineRule="exact"/>
        <w:tabs>
          <w:tab w:leader="none" w:pos="720" w:val="left"/>
        </w:tabs>
        <w:numPr>
          <w:ilvl w:val="0"/>
          <w:numId w:val="44"/>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to the Company; or</w:t>
      </w:r>
    </w:p>
    <w:p>
      <w:pPr>
        <w:spacing w:after="0" w:line="130" w:lineRule="exact"/>
        <w:rPr>
          <w:rFonts w:ascii="Arial" w:cs="Arial" w:eastAsia="Arial" w:hAnsi="Arial"/>
          <w:sz w:val="18"/>
          <w:szCs w:val="18"/>
          <w:color w:val="auto"/>
        </w:rPr>
      </w:pPr>
    </w:p>
    <w:p>
      <w:pPr>
        <w:ind w:left="720" w:hanging="184"/>
        <w:spacing w:after="0" w:line="207" w:lineRule="exact"/>
        <w:tabs>
          <w:tab w:leader="none" w:pos="720" w:val="left"/>
        </w:tabs>
        <w:numPr>
          <w:ilvl w:val="0"/>
          <w:numId w:val="44"/>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an effective registration statement under the Securities Act; or</w:t>
      </w:r>
    </w:p>
    <w:p>
      <w:pPr>
        <w:spacing w:after="0" w:line="130" w:lineRule="exact"/>
        <w:rPr>
          <w:rFonts w:ascii="Arial" w:cs="Arial" w:eastAsia="Arial" w:hAnsi="Arial"/>
          <w:sz w:val="18"/>
          <w:szCs w:val="18"/>
          <w:color w:val="auto"/>
        </w:rPr>
      </w:pPr>
    </w:p>
    <w:p>
      <w:pPr>
        <w:ind w:left="1180" w:right="80" w:hanging="644"/>
        <w:spacing w:after="0" w:line="228" w:lineRule="exact"/>
        <w:tabs>
          <w:tab w:leader="none" w:pos="712" w:val="left"/>
        </w:tabs>
        <w:numPr>
          <w:ilvl w:val="0"/>
          <w:numId w:val="44"/>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inside the United States to a person reasonably believed to be a “qualified institutional buyer” (as defined in Rule 144A under the Securities Act) that purchases for its own account or for the account of a qualified institutional buyer to whom notice is given that such transfer is being made in reliance on Rule 144A, in each case pursuant to and in compliance with Rule 144A under the Securities Act; or</w:t>
      </w:r>
    </w:p>
    <w:p>
      <w:pPr>
        <w:spacing w:after="0" w:line="74" w:lineRule="exact"/>
        <w:rPr>
          <w:rFonts w:ascii="Arial" w:cs="Arial" w:eastAsia="Arial" w:hAnsi="Arial"/>
          <w:sz w:val="18"/>
          <w:szCs w:val="18"/>
          <w:color w:val="auto"/>
        </w:rPr>
      </w:pPr>
    </w:p>
    <w:p>
      <w:pPr>
        <w:ind w:left="720" w:hanging="184"/>
        <w:spacing w:after="0" w:line="207" w:lineRule="exact"/>
        <w:tabs>
          <w:tab w:leader="none" w:pos="720" w:val="left"/>
        </w:tabs>
        <w:numPr>
          <w:ilvl w:val="0"/>
          <w:numId w:val="44"/>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 an offshore transaction in compliance with Rule 903 or Rule 904 of Regulation S under the Securities Act; or</w:t>
      </w:r>
    </w:p>
    <w:p>
      <w:pPr>
        <w:spacing w:after="0" w:line="130" w:lineRule="exact"/>
        <w:rPr>
          <w:rFonts w:ascii="Arial" w:cs="Arial" w:eastAsia="Arial" w:hAnsi="Arial"/>
          <w:sz w:val="18"/>
          <w:szCs w:val="18"/>
          <w:color w:val="auto"/>
        </w:rPr>
      </w:pPr>
    </w:p>
    <w:p>
      <w:pPr>
        <w:ind w:left="1180" w:right="200" w:hanging="644"/>
        <w:spacing w:after="0" w:line="239" w:lineRule="exact"/>
        <w:tabs>
          <w:tab w:leader="none" w:pos="712" w:val="left"/>
        </w:tabs>
        <w:numPr>
          <w:ilvl w:val="0"/>
          <w:numId w:val="44"/>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the exemption from registration provided by Rule 144 under the Securities Act or any other available exemption from the registration requirements of the Securities Act.</w:t>
      </w:r>
    </w:p>
    <w:p>
      <w:pPr>
        <w:spacing w:after="0" w:line="95" w:lineRule="exact"/>
        <w:rPr>
          <w:sz w:val="20"/>
          <w:szCs w:val="20"/>
          <w:color w:val="auto"/>
        </w:rPr>
      </w:pPr>
    </w:p>
    <w:p>
      <w:pPr>
        <w:ind w:left="540"/>
        <w:spacing w:after="0" w:line="257" w:lineRule="auto"/>
        <w:rPr>
          <w:sz w:val="20"/>
          <w:szCs w:val="20"/>
          <w:color w:val="auto"/>
        </w:rPr>
      </w:pPr>
      <w:r>
        <w:rPr>
          <w:rFonts w:ascii="Arial" w:cs="Arial" w:eastAsia="Arial" w:hAnsi="Arial"/>
          <w:sz w:val="18"/>
          <w:szCs w:val="18"/>
          <w:color w:val="auto"/>
        </w:rPr>
        <w:t>Unless one of the boxes is checked, the Trustee shall refuse to register any of the Securities evidenced by this certificate in the name of any person other than the registered holder thereof; provided, however, that if box (5) is checked, the Trustee shall be entitled to require, prior to registering any such transfer of the Securities, such legal opinions, certifications and other information as the Company has reasonably requested to confirm that such transfer is being made pursuant to an exemption from, or in a transaction not subject to, the registration requirements of the Securities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282575</wp:posOffset>
            </wp:positionV>
            <wp:extent cx="2794635" cy="825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8460"/>
        <w:spacing w:after="0"/>
        <w:rPr>
          <w:sz w:val="20"/>
          <w:szCs w:val="20"/>
          <w:color w:val="auto"/>
        </w:rPr>
      </w:pPr>
      <w:r>
        <w:rPr>
          <w:rFonts w:ascii="Arial" w:cs="Arial" w:eastAsia="Arial" w:hAnsi="Arial"/>
          <w:sz w:val="18"/>
          <w:szCs w:val="18"/>
          <w:color w:val="auto"/>
        </w:rPr>
        <w:t>Signature</w:t>
      </w:r>
    </w:p>
    <w:p>
      <w:pPr>
        <w:sectPr>
          <w:pgSz w:w="11900" w:h="16838" w:orient="portrait"/>
          <w:cols w:equalWidth="0" w:num="1">
            <w:col w:w="10980"/>
          </w:cols>
          <w:pgMar w:left="440" w:top="270" w:right="479" w:bottom="1440" w:gutter="0" w:footer="0" w:header="0"/>
        </w:sectPr>
      </w:pPr>
    </w:p>
    <w:bookmarkStart w:id="41" w:name="page42"/>
    <w:bookmarkEnd w:id="41"/>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BE COMPLETED BY PURCHASER IF (3) ABOVE IS CHECKED.</w:t>
      </w:r>
    </w:p>
    <w:p>
      <w:pPr>
        <w:spacing w:after="0" w:line="229"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The undersigned represents and warrants that it is purchasing this Security for its own account or an account with respect to which it exercises sole investment discretion and that it and any such account is a “qualified institutional buyer” within the meaning of Rule 144A under the Securities Act, and is aware that the sale to it is being made in reliance on Rule 144A and acknowledges that it has received such information regarding the Company as the undersigned has requested pursuant to Rule 144A or has determined not to request such information and that it is aware that the transferor is relying upon the undersigned’s foregoing representations in order to claim the exemption from registration provided by Rule 144A.</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Dated:_________________</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Notice: To be executed by an executive officer</w:t>
      </w:r>
    </w:p>
    <w:p>
      <w:pPr>
        <w:sectPr>
          <w:pgSz w:w="11900" w:h="16838" w:orient="portrait"/>
          <w:cols w:equalWidth="0" w:num="1">
            <w:col w:w="10980"/>
          </w:cols>
          <w:pgMar w:left="440" w:top="270" w:right="479" w:bottom="1440" w:gutter="0" w:footer="0" w:header="0"/>
        </w:sectPr>
      </w:pPr>
    </w:p>
    <w:bookmarkStart w:id="42" w:name="page43"/>
    <w:bookmarkEnd w:id="4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FORM OF EXCHANGE CERTIFICATE</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One California Street, Suite 1000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D. Jason (Marvell Technology)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Re: Senior Notes due 2023</w:t>
      </w:r>
    </w:p>
    <w:p>
      <w:pPr>
        <w:spacing w:after="0" w:line="117" w:lineRule="exact"/>
        <w:rPr>
          <w:sz w:val="20"/>
          <w:szCs w:val="20"/>
          <w:color w:val="auto"/>
        </w:rPr>
      </w:pPr>
    </w:p>
    <w:p>
      <w:pPr>
        <w:ind w:right="200" w:firstLine="440"/>
        <w:spacing w:after="0" w:line="259" w:lineRule="auto"/>
        <w:rPr>
          <w:sz w:val="20"/>
          <w:szCs w:val="20"/>
          <w:color w:val="auto"/>
        </w:rPr>
      </w:pPr>
      <w:r>
        <w:rPr>
          <w:rFonts w:ascii="Arial" w:cs="Arial" w:eastAsia="Arial" w:hAnsi="Arial"/>
          <w:sz w:val="18"/>
          <w:szCs w:val="18"/>
          <w:color w:val="auto"/>
        </w:rPr>
        <w:t>Reference is hereby made to the Indenture, dated as of April 12, 2021 (the “Base Indenture”), as supplemented by the Second Supplemental Indenture, dated as of May 4, 2021 (together with the Base Indenture, the “Indenture”), between Marvell Technology, Inc., a Delaware corporation, as issuer (the “Company”), and U.S. Bank National Association, as trustee (the “Trustee”). Capitalized terms used but not defined herein shall have the meanings given to them in the Indenture.</w:t>
      </w:r>
    </w:p>
    <w:p>
      <w:pPr>
        <w:spacing w:after="0" w:line="187" w:lineRule="exact"/>
        <w:rPr>
          <w:sz w:val="20"/>
          <w:szCs w:val="20"/>
          <w:color w:val="auto"/>
        </w:rPr>
      </w:pPr>
    </w:p>
    <w:p>
      <w:pPr>
        <w:ind w:firstLine="436"/>
        <w:spacing w:after="0" w:line="255" w:lineRule="auto"/>
        <w:tabs>
          <w:tab w:leader="none" w:pos="668"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“Owner”) owns and proposes to exchange the Security[ies] or interest in such Security[ies] specified herein, in the principal amount of $[•] in such Security[ies] or interests (the “Exchange”). The Owner hereby certifies that in connection with the Exchange of the Owner’s Regulation S Global Note for a beneficial interest in the Rule 144A Global Note, with an equal principal amount, the Security[ies] or interest in such Security[ies] specified herein [is][are]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certificate and the statements contained herein are made for your benefit and the benefit of the Company and are dated [•].</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[Insert 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ectPr>
          <w:pgSz w:w="11900" w:h="16838" w:orient="portrait"/>
          <w:cols w:equalWidth="0" w:num="1">
            <w:col w:w="11000"/>
          </w:cols>
          <w:pgMar w:left="440" w:top="270" w:right="459" w:bottom="1440" w:gutter="0" w:footer="0" w:header="0"/>
        </w:sectPr>
      </w:pPr>
    </w:p>
    <w:bookmarkStart w:id="43" w:name="page44"/>
    <w:bookmarkEnd w:id="4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SCHEDULE OF EXCHANGES OF SECURITIES</w:t>
      </w:r>
    </w:p>
    <w:p>
      <w:pPr>
        <w:spacing w:after="0" w:line="229" w:lineRule="exact"/>
        <w:rPr>
          <w:sz w:val="20"/>
          <w:szCs w:val="20"/>
          <w:color w:val="auto"/>
        </w:rPr>
      </w:pPr>
    </w:p>
    <w:p>
      <w:pPr>
        <w:spacing w:after="0"/>
        <w:tabs>
          <w:tab w:leader="none" w:pos="4160" w:val="left"/>
          <w:tab w:leader="none" w:pos="5920" w:val="left"/>
        </w:tabs>
        <w:rPr>
          <w:sz w:val="20"/>
          <w:szCs w:val="20"/>
          <w:color w:val="auto"/>
        </w:rPr>
      </w:pPr>
      <w:r>
        <w:rPr>
          <w:rFonts w:ascii="Arial" w:cs="Arial" w:eastAsia="Arial" w:hAnsi="Arial"/>
          <w:sz w:val="18"/>
          <w:szCs w:val="18"/>
          <w:color w:val="auto"/>
        </w:rPr>
        <w:t>The initial principal amount of this Global Note is</w:t>
      </w:r>
      <w:r>
        <w:rPr>
          <w:sz w:val="20"/>
          <w:szCs w:val="20"/>
          <w:color w:val="auto"/>
        </w:rPr>
        <w:tab/>
      </w:r>
      <w:r>
        <w:rPr>
          <w:rFonts w:ascii="Arial" w:cs="Arial" w:eastAsia="Arial" w:hAnsi="Arial"/>
          <w:sz w:val="18"/>
          <w:szCs w:val="18"/>
          <w:color w:val="auto"/>
        </w:rPr>
        <w:t>DOLLARS ($</w:t>
      </w:r>
      <w:r>
        <w:rPr>
          <w:sz w:val="20"/>
          <w:szCs w:val="20"/>
          <w:color w:val="auto"/>
        </w:rPr>
        <w:tab/>
      </w:r>
      <w:r>
        <w:rPr>
          <w:rFonts w:ascii="Arial" w:cs="Arial" w:eastAsia="Arial" w:hAnsi="Arial"/>
          <w:sz w:val="16"/>
          <w:szCs w:val="16"/>
          <w:color w:val="auto"/>
        </w:rPr>
        <w:t>). The following exchanges of a part of this Global Note for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certificated Securities or a part of another Global Note have been made:</w:t>
      </w:r>
    </w:p>
    <w:p>
      <w:pPr>
        <w:sectPr>
          <w:pgSz w:w="11900" w:h="16838" w:orient="portrait"/>
          <w:cols w:equalWidth="0" w:num="1">
            <w:col w:w="11020"/>
          </w:cols>
          <w:pgMar w:left="440" w:top="270" w:right="439" w:bottom="1440" w:gutter="0" w:footer="0" w:header="0"/>
        </w:sectPr>
      </w:pPr>
    </w:p>
    <w:p>
      <w:pPr>
        <w:spacing w:after="0" w:line="200" w:lineRule="exact"/>
        <w:rPr>
          <w:sz w:val="20"/>
          <w:szCs w:val="20"/>
          <w:color w:val="auto"/>
        </w:rPr>
      </w:pPr>
    </w:p>
    <w:p>
      <w:pPr>
        <w:spacing w:after="0" w:line="31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100" w:type="dxa"/>
            <w:vAlign w:val="bottom"/>
          </w:tcPr>
          <w:p>
            <w:pPr>
              <w:spacing w:after="0"/>
              <w:rPr>
                <w:sz w:val="14"/>
                <w:szCs w:val="14"/>
                <w:color w:val="auto"/>
              </w:rPr>
            </w:pPr>
          </w:p>
        </w:tc>
        <w:tc>
          <w:tcPr>
            <w:tcW w:w="2100" w:type="dxa"/>
            <w:vAlign w:val="bottom"/>
          </w:tcPr>
          <w:p>
            <w:pPr>
              <w:jc w:val="center"/>
              <w:spacing w:after="0"/>
              <w:rPr>
                <w:sz w:val="20"/>
                <w:szCs w:val="20"/>
                <w:color w:val="auto"/>
              </w:rPr>
            </w:pPr>
            <w:r>
              <w:rPr>
                <w:rFonts w:ascii="Arial" w:cs="Arial" w:eastAsia="Arial" w:hAnsi="Arial"/>
                <w:sz w:val="14"/>
                <w:szCs w:val="14"/>
                <w:b w:val="1"/>
                <w:bCs w:val="1"/>
                <w:color w:val="auto"/>
                <w:w w:val="90"/>
              </w:rPr>
              <w:t>Amount of decrease</w:t>
            </w:r>
          </w:p>
        </w:tc>
      </w:tr>
      <w:tr>
        <w:trPr>
          <w:trHeight w:val="149"/>
        </w:trPr>
        <w:tc>
          <w:tcPr>
            <w:tcW w:w="2100" w:type="dxa"/>
            <w:vAlign w:val="bottom"/>
          </w:tcPr>
          <w:p>
            <w:pPr>
              <w:spacing w:after="0"/>
              <w:rPr>
                <w:sz w:val="12"/>
                <w:szCs w:val="12"/>
                <w:color w:val="auto"/>
              </w:rPr>
            </w:pPr>
          </w:p>
        </w:tc>
        <w:tc>
          <w:tcPr>
            <w:tcW w:w="21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in principal amount</w:t>
            </w:r>
          </w:p>
        </w:tc>
      </w:tr>
      <w:tr>
        <w:trPr>
          <w:trHeight w:val="185"/>
        </w:trPr>
        <w:tc>
          <w:tcPr>
            <w:tcW w:w="2100" w:type="dxa"/>
            <w:vAlign w:val="bottom"/>
          </w:tcPr>
          <w:p>
            <w:pPr>
              <w:spacing w:after="0"/>
              <w:rPr>
                <w:sz w:val="20"/>
                <w:szCs w:val="20"/>
                <w:color w:val="auto"/>
              </w:rPr>
            </w:pPr>
            <w:r>
              <w:rPr>
                <w:rFonts w:ascii="Arial" w:cs="Arial" w:eastAsia="Arial" w:hAnsi="Arial"/>
                <w:sz w:val="14"/>
                <w:szCs w:val="14"/>
                <w:b w:val="1"/>
                <w:bCs w:val="1"/>
                <w:color w:val="auto"/>
              </w:rPr>
              <w:t>Date of Exchange</w:t>
            </w:r>
          </w:p>
        </w:tc>
        <w:tc>
          <w:tcPr>
            <w:tcW w:w="21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of this Global Note</w:t>
            </w:r>
          </w:p>
        </w:tc>
      </w:tr>
    </w:tbl>
    <w:p>
      <w:pPr>
        <w:spacing w:after="0" w:line="20" w:lineRule="exact"/>
        <w:rPr>
          <w:sz w:val="20"/>
          <w:szCs w:val="20"/>
          <w:color w:val="auto"/>
        </w:rPr>
      </w:pPr>
      <w:r>
        <w:rPr>
          <w:sz w:val="20"/>
          <w:szCs w:val="20"/>
          <w:color w:val="auto"/>
        </w:rPr>
        <w:br w:type="column"/>
      </w:r>
    </w:p>
    <w:p>
      <w:pPr>
        <w:spacing w:after="0" w:line="19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2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3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3"/>
              </w:rPr>
              <w:t>Principal amount of</w:t>
            </w:r>
          </w:p>
        </w:tc>
        <w:tc>
          <w:tcPr>
            <w:tcW w:w="2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320" w:type="dxa"/>
            <w:vAlign w:val="bottom"/>
            <w:gridSpan w:val="2"/>
            <w:vMerge w:val="restart"/>
          </w:tcPr>
          <w:p>
            <w:pPr>
              <w:jc w:val="center"/>
              <w:ind w:right="120"/>
              <w:spacing w:after="0"/>
              <w:rPr>
                <w:sz w:val="20"/>
                <w:szCs w:val="20"/>
                <w:color w:val="auto"/>
              </w:rPr>
            </w:pPr>
            <w:r>
              <w:rPr>
                <w:rFonts w:ascii="Arial" w:cs="Arial" w:eastAsia="Arial" w:hAnsi="Arial"/>
                <w:sz w:val="14"/>
                <w:szCs w:val="14"/>
                <w:b w:val="1"/>
                <w:bCs w:val="1"/>
                <w:color w:val="auto"/>
                <w:w w:val="91"/>
              </w:rPr>
              <w:t>Amount of increase</w:t>
            </w:r>
          </w:p>
        </w:tc>
        <w:tc>
          <w:tcPr>
            <w:tcW w:w="230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this Global Note</w:t>
            </w:r>
          </w:p>
        </w:tc>
        <w:tc>
          <w:tcPr>
            <w:tcW w:w="21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 of</w:t>
            </w:r>
          </w:p>
        </w:tc>
        <w:tc>
          <w:tcPr>
            <w:tcW w:w="0" w:type="dxa"/>
            <w:vAlign w:val="bottom"/>
          </w:tcPr>
          <w:p>
            <w:pPr>
              <w:spacing w:after="0"/>
              <w:rPr>
                <w:sz w:val="1"/>
                <w:szCs w:val="1"/>
                <w:color w:val="auto"/>
              </w:rPr>
            </w:pPr>
          </w:p>
        </w:tc>
      </w:tr>
      <w:tr>
        <w:trPr>
          <w:trHeight w:val="148"/>
        </w:trPr>
        <w:tc>
          <w:tcPr>
            <w:tcW w:w="2320" w:type="dxa"/>
            <w:vAlign w:val="bottom"/>
            <w:gridSpan w:val="2"/>
            <w:vMerge w:val="continue"/>
          </w:tcPr>
          <w:p>
            <w:pPr>
              <w:spacing w:after="0"/>
              <w:rPr>
                <w:sz w:val="12"/>
                <w:szCs w:val="12"/>
                <w:color w:val="auto"/>
              </w:rPr>
            </w:pPr>
          </w:p>
        </w:tc>
        <w:tc>
          <w:tcPr>
            <w:tcW w:w="23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1"/>
              </w:rPr>
              <w:t>following such</w:t>
            </w:r>
          </w:p>
        </w:tc>
        <w:tc>
          <w:tcPr>
            <w:tcW w:w="21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32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4"/>
              </w:rPr>
              <w:t>in principal amount</w:t>
            </w:r>
          </w:p>
        </w:tc>
        <w:tc>
          <w:tcPr>
            <w:tcW w:w="23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88"/>
              </w:rPr>
              <w:t>decrease</w:t>
            </w:r>
          </w:p>
        </w:tc>
        <w:tc>
          <w:tcPr>
            <w:tcW w:w="21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authorized signatory of</w:t>
            </w:r>
          </w:p>
        </w:tc>
        <w:tc>
          <w:tcPr>
            <w:tcW w:w="0" w:type="dxa"/>
            <w:vAlign w:val="bottom"/>
          </w:tcPr>
          <w:p>
            <w:pPr>
              <w:spacing w:after="0"/>
              <w:rPr>
                <w:sz w:val="1"/>
                <w:szCs w:val="1"/>
                <w:color w:val="auto"/>
              </w:rPr>
            </w:pPr>
          </w:p>
        </w:tc>
      </w:tr>
      <w:tr>
        <w:trPr>
          <w:trHeight w:val="185"/>
        </w:trPr>
        <w:tc>
          <w:tcPr>
            <w:tcW w:w="22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of this Global Note</w:t>
            </w:r>
          </w:p>
        </w:tc>
        <w:tc>
          <w:tcPr>
            <w:tcW w:w="120" w:type="dxa"/>
            <w:vAlign w:val="bottom"/>
          </w:tcPr>
          <w:p>
            <w:pPr>
              <w:spacing w:after="0"/>
              <w:rPr>
                <w:sz w:val="16"/>
                <w:szCs w:val="16"/>
                <w:color w:val="auto"/>
              </w:rPr>
            </w:pPr>
          </w:p>
        </w:tc>
        <w:tc>
          <w:tcPr>
            <w:tcW w:w="22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2"/>
              </w:rPr>
              <w:t>(or increase)</w:t>
            </w:r>
          </w:p>
        </w:tc>
        <w:tc>
          <w:tcPr>
            <w:tcW w:w="100" w:type="dxa"/>
            <w:vAlign w:val="bottom"/>
          </w:tcPr>
          <w:p>
            <w:pPr>
              <w:spacing w:after="0"/>
              <w:rPr>
                <w:sz w:val="16"/>
                <w:szCs w:val="16"/>
                <w:color w:val="auto"/>
              </w:rPr>
            </w:pPr>
          </w:p>
        </w:tc>
        <w:tc>
          <w:tcPr>
            <w:tcW w:w="21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bl>
    <w:p>
      <w:pPr>
        <w:sectPr>
          <w:pgSz w:w="11900" w:h="16838" w:orient="portrait"/>
          <w:cols w:equalWidth="0" w:num="2">
            <w:col w:w="4200" w:space="100"/>
            <w:col w:w="6720"/>
          </w:cols>
          <w:pgMar w:left="440" w:top="270" w:right="439" w:bottom="1440" w:gutter="0" w:footer="0" w:header="0"/>
          <w:type w:val="continuous"/>
        </w:sectPr>
      </w:pPr>
    </w:p>
    <w:bookmarkStart w:id="44" w:name="page45"/>
    <w:bookmarkEnd w:id="44"/>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Security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330200</wp:posOffset>
            </wp:positionH>
            <wp:positionV relativeFrom="paragraph">
              <wp:posOffset>-10160</wp:posOffset>
            </wp:positionV>
            <wp:extent cx="3370580"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1">
                      <a:extLst>
                        <a:ext uri="{28A0092B-C50C-407E-A947-70E740481C1C}"/>
                      </a:extLst>
                    </a:blip>
                    <a:srcRect/>
                    <a:stretch>
                      <a:fillRect/>
                    </a:stretch>
                  </pic:blipFill>
                  <pic:spPr bwMode="auto">
                    <a:xfrm>
                      <a:off x="0" y="0"/>
                      <a:ext cx="3370580" cy="8255"/>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495300</wp:posOffset>
            </wp:positionH>
            <wp:positionV relativeFrom="paragraph">
              <wp:posOffset>-10160</wp:posOffset>
            </wp:positionV>
            <wp:extent cx="319913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2">
                      <a:extLst>
                        <a:ext uri="{28A0092B-C50C-407E-A947-70E740481C1C}"/>
                      </a:extLst>
                    </a:blip>
                    <a:srcRect/>
                    <a:stretch>
                      <a:fillRect/>
                    </a:stretch>
                  </pic:blipFill>
                  <pic:spPr bwMode="auto">
                    <a:xfrm>
                      <a:off x="0" y="0"/>
                      <a:ext cx="3199130" cy="8890"/>
                    </a:xfrm>
                    <a:prstGeom prst="rect">
                      <a:avLst/>
                    </a:prstGeom>
                    <a:noFill/>
                  </pic:spPr>
                </pic:pic>
              </a:graphicData>
            </a:graphic>
          </wp:anchor>
        </w:drawing>
      </w:r>
    </w:p>
    <w:p>
      <w:pPr>
        <w:spacing w:after="0" w:line="20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3">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ectPr>
          <w:pgSz w:w="11900" w:h="16838" w:orient="portrait"/>
          <w:cols w:equalWidth="0" w:num="1">
            <w:col w:w="10960"/>
          </w:cols>
          <w:pgMar w:left="440" w:top="270" w:right="499" w:bottom="1440" w:gutter="0" w:footer="0" w:header="0"/>
        </w:sectPr>
      </w:pPr>
    </w:p>
    <w:bookmarkStart w:id="45" w:name="page46"/>
    <w:bookmarkEnd w:id="4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B</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2028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Insert the Global Note Legend, if applicable, pursuant to the provisions of the Indenture</w:t>
      </w:r>
      <w:r>
        <w:rPr>
          <w:rFonts w:ascii="Arial" w:cs="Arial" w:eastAsia="Arial" w:hAnsi="Arial"/>
          <w:sz w:val="16"/>
          <w:szCs w:val="16"/>
          <w:color w:val="auto"/>
        </w:rPr>
        <w:t>]</w:t>
      </w:r>
    </w:p>
    <w:p>
      <w:pPr>
        <w:sectPr>
          <w:pgSz w:w="11900" w:h="16838" w:orient="portrait"/>
          <w:cols w:equalWidth="0" w:num="1">
            <w:col w:w="9019"/>
          </w:cols>
          <w:pgMar w:left="1440" w:top="270" w:right="1440" w:bottom="1440" w:gutter="0" w:footer="0" w:header="0"/>
        </w:sectPr>
      </w:pPr>
    </w:p>
    <w:bookmarkStart w:id="46" w:name="page47"/>
    <w:bookmarkEnd w:id="4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4.875% Senior Notes due 2028</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tabs>
          <w:tab w:leader="none" w:pos="2900" w:val="left"/>
        </w:tabs>
        <w:rPr>
          <w:sz w:val="20"/>
          <w:szCs w:val="20"/>
          <w:color w:val="auto"/>
        </w:rPr>
      </w:pPr>
      <w:r>
        <w:rPr>
          <w:rFonts w:ascii="Arial" w:cs="Arial" w:eastAsia="Arial" w:hAnsi="Arial"/>
          <w:sz w:val="18"/>
          <w:szCs w:val="18"/>
          <w:color w:val="auto"/>
        </w:rPr>
        <w:t>CUSIP/ ISIN:</w:t>
      </w:r>
      <w:r>
        <w:rPr>
          <w:sz w:val="20"/>
          <w:szCs w:val="20"/>
          <w:color w:val="auto"/>
        </w:rPr>
        <w:tab/>
      </w:r>
      <w:r>
        <w:rPr>
          <w:rFonts w:ascii="Arial" w:cs="Arial" w:eastAsia="Arial" w:hAnsi="Arial"/>
          <w:sz w:val="17"/>
          <w:szCs w:val="17"/>
          <w:color w:val="auto"/>
        </w:rPr>
        <w:t>573874 AM6 / US573874AM60 (144A)</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U5739D AE5 / USU5739DAE59 (Reg S)</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Exchanges of Securities attached hereto on June 22, 2028.</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June 22 and December 22.</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June 7 and December 7.</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Additional provisions of this Security are set forth on the reverse hereof.</w:t>
      </w:r>
    </w:p>
    <w:p>
      <w:pPr>
        <w:sectPr>
          <w:pgSz w:w="11900" w:h="16838" w:orient="portrait"/>
          <w:cols w:equalWidth="0" w:num="1">
            <w:col w:w="11020"/>
          </w:cols>
          <w:pgMar w:left="440" w:top="270" w:right="439" w:bottom="1440" w:gutter="0" w:footer="0" w:header="0"/>
        </w:sectPr>
      </w:pPr>
    </w:p>
    <w:bookmarkStart w:id="47" w:name="page48"/>
    <w:bookmarkEnd w:id="47"/>
    <w:p>
      <w:pPr>
        <w:ind w:left="44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Company has caused this Security to be signed manually or by facsimile by its duly authorized officers.</w:t>
      </w:r>
    </w:p>
    <w:p>
      <w:pPr>
        <w:spacing w:after="0" w:line="271"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r>
        <w:rPr>
          <w:rFonts w:ascii="Arial" w:cs="Arial" w:eastAsia="Arial" w:hAnsi="Arial"/>
          <w:sz w:val="18"/>
          <w:szCs w:val="18"/>
          <w:color w:val="auto"/>
        </w:rPr>
        <w:t>,</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7">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 Authorized Signatory</w:t>
      </w:r>
    </w:p>
    <w:p>
      <w:pPr>
        <w:sectPr>
          <w:pgSz w:w="11900" w:h="16838" w:orient="portrait"/>
          <w:cols w:equalWidth="0" w:num="1">
            <w:col w:w="10180"/>
          </w:cols>
          <w:pgMar w:left="440" w:top="274" w:right="1279" w:bottom="1440" w:gutter="0" w:footer="0" w:header="0"/>
        </w:sectPr>
      </w:pPr>
    </w:p>
    <w:bookmarkStart w:id="48" w:name="page49"/>
    <w:bookmarkEnd w:id="48"/>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(REVERSE OF NOTE)</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4.875% Senior Notes due 2028</w:t>
      </w:r>
    </w:p>
    <w:p>
      <w:pPr>
        <w:spacing w:after="0" w:line="229" w:lineRule="exact"/>
        <w:rPr>
          <w:sz w:val="20"/>
          <w:szCs w:val="20"/>
          <w:color w:val="auto"/>
        </w:rPr>
      </w:pPr>
    </w:p>
    <w:p>
      <w:pPr>
        <w:jc w:val="both"/>
        <w:ind w:right="260" w:firstLine="436"/>
        <w:spacing w:after="0" w:line="301" w:lineRule="auto"/>
        <w:tabs>
          <w:tab w:leader="none" w:pos="695" w:val="left"/>
        </w:tabs>
        <w:numPr>
          <w:ilvl w:val="0"/>
          <w:numId w:val="46"/>
        </w:numPr>
        <w:rPr>
          <w:rFonts w:ascii="Arial" w:cs="Arial" w:eastAsia="Arial" w:hAnsi="Arial"/>
          <w:sz w:val="16"/>
          <w:szCs w:val="16"/>
          <w:color w:val="auto"/>
        </w:rPr>
      </w:pPr>
      <w:r>
        <w:rPr>
          <w:rFonts w:ascii="Arial" w:cs="Arial" w:eastAsia="Arial" w:hAnsi="Arial"/>
          <w:sz w:val="16"/>
          <w:szCs w:val="16"/>
          <w:i w:val="1"/>
          <w:iCs w:val="1"/>
          <w:color w:val="auto"/>
        </w:rPr>
        <w:t>Interest</w:t>
      </w:r>
      <w:r>
        <w:rPr>
          <w:rFonts w:ascii="Arial" w:cs="Arial" w:eastAsia="Arial" w:hAnsi="Arial"/>
          <w:sz w:val="16"/>
          <w:szCs w:val="16"/>
          <w:color w:val="auto"/>
        </w:rPr>
        <w:t>. Marvell Technology, Inc., a Delaware corporation (such corporation, and its successors and assigns under the Indenture referred to</w:t>
      </w:r>
      <w:r>
        <w:rPr>
          <w:rFonts w:ascii="Arial" w:cs="Arial" w:eastAsia="Arial" w:hAnsi="Arial"/>
          <w:sz w:val="16"/>
          <w:szCs w:val="16"/>
          <w:i w:val="1"/>
          <w:iCs w:val="1"/>
          <w:color w:val="auto"/>
        </w:rPr>
        <w:t xml:space="preserve"> </w:t>
      </w:r>
      <w:r>
        <w:rPr>
          <w:rFonts w:ascii="Arial" w:cs="Arial" w:eastAsia="Arial" w:hAnsi="Arial"/>
          <w:sz w:val="16"/>
          <w:szCs w:val="16"/>
          <w:color w:val="auto"/>
        </w:rPr>
        <w:t>below, being herein called the “</w:t>
      </w:r>
      <w:r>
        <w:rPr>
          <w:rFonts w:ascii="Arial" w:cs="Arial" w:eastAsia="Arial" w:hAnsi="Arial"/>
          <w:sz w:val="16"/>
          <w:szCs w:val="16"/>
          <w:u w:val="single" w:color="auto"/>
          <w:color w:val="auto"/>
        </w:rPr>
        <w:t>Company</w:t>
      </w:r>
      <w:r>
        <w:rPr>
          <w:rFonts w:ascii="Arial" w:cs="Arial" w:eastAsia="Arial" w:hAnsi="Arial"/>
          <w:sz w:val="16"/>
          <w:szCs w:val="16"/>
          <w:color w:val="auto"/>
        </w:rPr>
        <w:t>”), promises to pay interest on the principal amount of this Note at the interest rate per annum shown above. The Company shall pay interest semiannually in arrears on June 22 and December 22 of each year, beginning on June 22, 2021. Interest on the Securities shall accrue from December 22, 2020 and shall be computed on the basis of a 360-day year consisting of twelve 30-day months.</w:t>
      </w:r>
    </w:p>
    <w:p>
      <w:pPr>
        <w:spacing w:after="0" w:line="49" w:lineRule="exact"/>
        <w:rPr>
          <w:rFonts w:ascii="Arial" w:cs="Arial" w:eastAsia="Arial" w:hAnsi="Arial"/>
          <w:sz w:val="16"/>
          <w:szCs w:val="16"/>
          <w:color w:val="auto"/>
        </w:rPr>
      </w:pPr>
    </w:p>
    <w:p>
      <w:pPr>
        <w:ind w:right="80" w:firstLine="436"/>
        <w:spacing w:after="0" w:line="273" w:lineRule="auto"/>
        <w:tabs>
          <w:tab w:leader="none" w:pos="695" w:val="left"/>
        </w:tabs>
        <w:numPr>
          <w:ilvl w:val="0"/>
          <w:numId w:val="46"/>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69" w:lineRule="exact"/>
        <w:rPr>
          <w:rFonts w:ascii="Arial" w:cs="Arial" w:eastAsia="Arial" w:hAnsi="Arial"/>
          <w:sz w:val="17"/>
          <w:szCs w:val="17"/>
          <w:color w:val="auto"/>
        </w:rPr>
      </w:pPr>
    </w:p>
    <w:p>
      <w:pPr>
        <w:ind w:firstLine="436"/>
        <w:spacing w:after="0" w:line="259" w:lineRule="auto"/>
        <w:tabs>
          <w:tab w:leader="none" w:pos="695" w:val="left"/>
        </w:tabs>
        <w:numPr>
          <w:ilvl w:val="0"/>
          <w:numId w:val="46"/>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National Association, a national banking association, as trustee (the</w:t>
      </w:r>
      <w:r>
        <w:rPr>
          <w:rFonts w:ascii="Arial" w:cs="Arial" w:eastAsia="Arial" w:hAnsi="Arial"/>
          <w:sz w:val="18"/>
          <w:szCs w:val="18"/>
          <w:i w:val="1"/>
          <w:iCs w:val="1"/>
          <w:color w:val="auto"/>
        </w:rPr>
        <w:t xml:space="preserve"> </w:t>
      </w:r>
      <w:r>
        <w:rPr>
          <w:rFonts w:ascii="Arial" w:cs="Arial" w:eastAsia="Arial" w:hAnsi="Arial"/>
          <w:sz w:val="18"/>
          <w:szCs w:val="18"/>
          <w:color w:val="auto"/>
        </w:rPr>
        <w:t>“</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may act as Paying Agent, transfer agent, Securities Registrar or co-registrar.</w:t>
      </w:r>
    </w:p>
    <w:p>
      <w:pPr>
        <w:spacing w:after="0" w:line="78" w:lineRule="exact"/>
        <w:rPr>
          <w:rFonts w:ascii="Arial" w:cs="Arial" w:eastAsia="Arial" w:hAnsi="Arial"/>
          <w:sz w:val="18"/>
          <w:szCs w:val="18"/>
          <w:color w:val="auto"/>
        </w:rPr>
      </w:pPr>
    </w:p>
    <w:p>
      <w:pPr>
        <w:ind w:left="700" w:hanging="264"/>
        <w:spacing w:after="0"/>
        <w:tabs>
          <w:tab w:leader="none" w:pos="700" w:val="left"/>
        </w:tabs>
        <w:numPr>
          <w:ilvl w:val="0"/>
          <w:numId w:val="46"/>
        </w:numPr>
        <w:rPr>
          <w:rFonts w:ascii="Arial" w:cs="Arial" w:eastAsia="Arial" w:hAnsi="Arial"/>
          <w:sz w:val="17"/>
          <w:szCs w:val="17"/>
          <w:color w:val="auto"/>
        </w:rPr>
      </w:pPr>
      <w:r>
        <w:rPr>
          <w:rFonts w:ascii="Arial" w:cs="Arial" w:eastAsia="Arial" w:hAnsi="Arial"/>
          <w:sz w:val="17"/>
          <w:szCs w:val="17"/>
          <w:i w:val="1"/>
          <w:iCs w:val="1"/>
          <w:color w:val="auto"/>
        </w:rPr>
        <w:t>Indenture</w:t>
      </w:r>
      <w:r>
        <w:rPr>
          <w:rFonts w:ascii="Arial" w:cs="Arial" w:eastAsia="Arial" w:hAnsi="Arial"/>
          <w:sz w:val="17"/>
          <w:szCs w:val="17"/>
          <w:color w:val="auto"/>
        </w:rPr>
        <w:t>. This Note is a “Security” and the Notes are “Securities” issued under the Indenture, dated as of April 12, 2021 (the “</w:t>
      </w:r>
      <w:r>
        <w:rPr>
          <w:rFonts w:ascii="Arial" w:cs="Arial" w:eastAsia="Arial" w:hAnsi="Arial"/>
          <w:sz w:val="17"/>
          <w:szCs w:val="17"/>
          <w:u w:val="single" w:color="auto"/>
          <w:color w:val="auto"/>
        </w:rPr>
        <w:t>Base</w:t>
      </w:r>
    </w:p>
    <w:p>
      <w:pPr>
        <w:spacing w:after="0" w:line="35"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u w:val="single" w:color="auto"/>
          <w:color w:val="auto"/>
        </w:rPr>
        <w:t>Indenture</w:t>
      </w:r>
      <w:r>
        <w:rPr>
          <w:rFonts w:ascii="Arial" w:cs="Arial" w:eastAsia="Arial" w:hAnsi="Arial"/>
          <w:sz w:val="17"/>
          <w:szCs w:val="17"/>
          <w:color w:val="auto"/>
        </w:rPr>
        <w:t>”), as supplemented by the Second Supplemental Indenture, dated as of May 4, 2021 (the “</w:t>
      </w:r>
      <w:r>
        <w:rPr>
          <w:rFonts w:ascii="Arial" w:cs="Arial" w:eastAsia="Arial" w:hAnsi="Arial"/>
          <w:sz w:val="17"/>
          <w:szCs w:val="17"/>
          <w:u w:val="single" w:color="auto"/>
          <w:color w:val="auto"/>
        </w:rPr>
        <w:t>Second Supplemental Indenture</w:t>
      </w:r>
      <w:r>
        <w:rPr>
          <w:rFonts w:ascii="Arial" w:cs="Arial" w:eastAsia="Arial" w:hAnsi="Arial"/>
          <w:sz w:val="17"/>
          <w:szCs w:val="17"/>
          <w:color w:val="auto"/>
        </w:rPr>
        <w:t>” and, together with the Base Indenture, the “</w:t>
      </w:r>
      <w:r>
        <w:rPr>
          <w:rFonts w:ascii="Arial" w:cs="Arial" w:eastAsia="Arial" w:hAnsi="Arial"/>
          <w:sz w:val="17"/>
          <w:szCs w:val="17"/>
          <w:u w:val="single" w:color="auto"/>
          <w:color w:val="auto"/>
        </w:rPr>
        <w:t>Indenture</w:t>
      </w:r>
      <w:r>
        <w:rPr>
          <w:rFonts w:ascii="Arial" w:cs="Arial" w:eastAsia="Arial" w:hAnsi="Arial"/>
          <w:sz w:val="17"/>
          <w:szCs w:val="17"/>
          <w:color w:val="auto"/>
        </w:rPr>
        <w:t>”), between the Company and the Trustee. The Securities are unsecured general obligations of the Company and constitute the “4.875% Senior Notes due 2028,” initially limited to $479,394,000 in aggregate principal amount. The terms of the Securities include those stated in the Indenture. Capitalized terms used herein but not defined herein are used as defined in the Indenture. The Securities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70" w:lineRule="exact"/>
        <w:rPr>
          <w:sz w:val="20"/>
          <w:szCs w:val="20"/>
          <w:color w:val="auto"/>
        </w:rPr>
      </w:pPr>
    </w:p>
    <w:p>
      <w:pPr>
        <w:ind w:right="20" w:firstLine="436"/>
        <w:spacing w:after="0" w:line="277" w:lineRule="auto"/>
        <w:tabs>
          <w:tab w:leader="none" w:pos="695" w:val="left"/>
        </w:tabs>
        <w:numPr>
          <w:ilvl w:val="0"/>
          <w:numId w:val="47"/>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w:t>
      </w:r>
      <w:r>
        <w:rPr>
          <w:rFonts w:ascii="Arial" w:cs="Arial" w:eastAsia="Arial" w:hAnsi="Arial"/>
          <w:sz w:val="18"/>
          <w:szCs w:val="18"/>
          <w:i w:val="1"/>
          <w:iCs w:val="1"/>
          <w:color w:val="auto"/>
        </w:rPr>
        <w:t xml:space="preserve"> </w:t>
      </w:r>
      <w:r>
        <w:rPr>
          <w:rFonts w:ascii="Arial" w:cs="Arial" w:eastAsia="Arial" w:hAnsi="Arial"/>
          <w:sz w:val="18"/>
          <w:szCs w:val="18"/>
          <w:color w:val="auto"/>
        </w:rPr>
        <w:t>at its option, pursuant to the following terms:</w:t>
      </w:r>
    </w:p>
    <w:p>
      <w:pPr>
        <w:spacing w:after="0" w:line="62" w:lineRule="exact"/>
        <w:rPr>
          <w:rFonts w:ascii="Arial" w:cs="Arial" w:eastAsia="Arial" w:hAnsi="Arial"/>
          <w:sz w:val="18"/>
          <w:szCs w:val="18"/>
          <w:color w:val="auto"/>
        </w:rPr>
      </w:pPr>
    </w:p>
    <w:p>
      <w:pPr>
        <w:ind w:left="440" w:right="60" w:firstLine="419"/>
        <w:spacing w:after="0" w:line="296" w:lineRule="auto"/>
        <w:tabs>
          <w:tab w:leader="none" w:pos="1108" w:val="left"/>
        </w:tabs>
        <w:numPr>
          <w:ilvl w:val="1"/>
          <w:numId w:val="47"/>
        </w:numPr>
        <w:rPr>
          <w:rFonts w:ascii="Arial" w:cs="Arial" w:eastAsia="Arial" w:hAnsi="Arial"/>
          <w:sz w:val="16"/>
          <w:szCs w:val="16"/>
          <w:color w:val="auto"/>
        </w:rPr>
      </w:pPr>
      <w:r>
        <w:rPr>
          <w:rFonts w:ascii="Arial" w:cs="Arial" w:eastAsia="Arial" w:hAnsi="Arial"/>
          <w:sz w:val="16"/>
          <w:szCs w:val="16"/>
          <w:color w:val="auto"/>
        </w:rPr>
        <w:t>At any time before March 22, 2028,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30 basis points, plus accrued and unpaid interest thereon to, but excluding, the redemption date. The redemption price shall be determined by the Company and the Trustee shall have no duty to verify any such determination made by the Company.</w:t>
      </w:r>
    </w:p>
    <w:p>
      <w:pPr>
        <w:spacing w:after="0" w:line="53" w:lineRule="exact"/>
        <w:rPr>
          <w:rFonts w:ascii="Arial" w:cs="Arial" w:eastAsia="Arial" w:hAnsi="Arial"/>
          <w:sz w:val="16"/>
          <w:szCs w:val="16"/>
          <w:color w:val="auto"/>
        </w:rPr>
      </w:pPr>
    </w:p>
    <w:p>
      <w:pPr>
        <w:ind w:left="440" w:right="100" w:firstLine="419"/>
        <w:spacing w:after="0" w:line="277" w:lineRule="auto"/>
        <w:tabs>
          <w:tab w:leader="none" w:pos="1118" w:val="left"/>
        </w:tabs>
        <w:numPr>
          <w:ilvl w:val="1"/>
          <w:numId w:val="47"/>
        </w:numPr>
        <w:rPr>
          <w:rFonts w:ascii="Arial" w:cs="Arial" w:eastAsia="Arial" w:hAnsi="Arial"/>
          <w:sz w:val="18"/>
          <w:szCs w:val="18"/>
          <w:color w:val="auto"/>
        </w:rPr>
      </w:pPr>
      <w:r>
        <w:rPr>
          <w:rFonts w:ascii="Arial" w:cs="Arial" w:eastAsia="Arial" w:hAnsi="Arial"/>
          <w:sz w:val="18"/>
          <w:szCs w:val="18"/>
          <w:color w:val="auto"/>
        </w:rPr>
        <w:t>At any time on or after March 22, 2028, the redemption price shall be equal to 100% of the aggregate principal amount of the Securities to be redeemed, plus accrued and unpaid interest thereon to, but excluding, the redemption date.</w:t>
      </w:r>
    </w:p>
    <w:p>
      <w:pPr>
        <w:spacing w:after="0" w:line="170" w:lineRule="exact"/>
        <w:rPr>
          <w:sz w:val="20"/>
          <w:szCs w:val="20"/>
          <w:color w:val="auto"/>
        </w:rPr>
      </w:pPr>
    </w:p>
    <w:p>
      <w:pPr>
        <w:ind w:right="28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Securities that are due and payable on Interest Payment Dates falling on or prior to a redemption date shall be payable on the Interest Payment Date to the registered Holders as of the close of business on the relevant Record Date in accordance with the provisions of the Securities and the Indenture.</w:t>
      </w:r>
    </w:p>
    <w:p>
      <w:pPr>
        <w:sectPr>
          <w:pgSz w:w="11900" w:h="16838" w:orient="portrait"/>
          <w:cols w:equalWidth="0" w:num="1">
            <w:col w:w="11000"/>
          </w:cols>
          <w:pgMar w:left="440" w:top="274" w:right="459" w:bottom="1440" w:gutter="0" w:footer="0" w:header="0"/>
        </w:sectPr>
      </w:pPr>
    </w:p>
    <w:bookmarkStart w:id="49" w:name="page50"/>
    <w:bookmarkEnd w:id="49"/>
    <w:p>
      <w:pPr>
        <w:ind w:right="20" w:firstLine="440"/>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On and after the redemption date for the Securities, interest shall cease to accrue on such Securities or any portion thereof called for redemption, unless the Company defaults in the payment of the redemption price and accrued interest, if any. On or before the redemption date 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unless otherwise required by law or applicable stock exchange or Depositary requirements;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 no event shall Securities of a principal amount of $2,000 or less be redeemed in part.</w:t>
      </w:r>
    </w:p>
    <w:p>
      <w:pPr>
        <w:spacing w:after="0" w:line="177" w:lineRule="exact"/>
        <w:rPr>
          <w:sz w:val="20"/>
          <w:szCs w:val="20"/>
          <w:color w:val="auto"/>
        </w:rPr>
      </w:pPr>
    </w:p>
    <w:p>
      <w:pPr>
        <w:ind w:right="20" w:firstLine="440"/>
        <w:spacing w:after="0" w:line="270" w:lineRule="auto"/>
        <w:rPr>
          <w:sz w:val="20"/>
          <w:szCs w:val="20"/>
          <w:color w:val="auto"/>
        </w:rPr>
      </w:pPr>
      <w:r>
        <w:rPr>
          <w:rFonts w:ascii="Arial" w:cs="Arial" w:eastAsia="Arial" w:hAnsi="Arial"/>
          <w:sz w:val="17"/>
          <w:szCs w:val="17"/>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73" w:lineRule="exact"/>
        <w:rPr>
          <w:sz w:val="20"/>
          <w:szCs w:val="20"/>
          <w:color w:val="auto"/>
        </w:rPr>
      </w:pPr>
    </w:p>
    <w:p>
      <w:pPr>
        <w:ind w:right="60" w:firstLine="436"/>
        <w:spacing w:after="0" w:line="257" w:lineRule="auto"/>
        <w:tabs>
          <w:tab w:leader="none" w:pos="695" w:val="left"/>
        </w:tabs>
        <w:numPr>
          <w:ilvl w:val="0"/>
          <w:numId w:val="48"/>
        </w:numPr>
        <w:rPr>
          <w:rFonts w:ascii="Arial" w:cs="Arial" w:eastAsia="Arial" w:hAnsi="Arial"/>
          <w:sz w:val="18"/>
          <w:szCs w:val="18"/>
          <w:color w:val="auto"/>
        </w:rPr>
      </w:pPr>
      <w:r>
        <w:rPr>
          <w:rFonts w:ascii="Arial" w:cs="Arial" w:eastAsia="Arial" w:hAnsi="Arial"/>
          <w:sz w:val="18"/>
          <w:szCs w:val="18"/>
          <w:i w:val="1"/>
          <w:iCs w:val="1"/>
          <w:color w:val="auto"/>
        </w:rPr>
        <w:t>Change of Control Repurchase Event</w:t>
      </w:r>
      <w:r>
        <w:rPr>
          <w:rFonts w:ascii="Arial" w:cs="Arial" w:eastAsia="Arial" w:hAnsi="Arial"/>
          <w:sz w:val="18"/>
          <w:szCs w:val="18"/>
          <w:color w:val="auto"/>
        </w:rPr>
        <w:t>. If a Change of Control Repurchase Event occurs with respect to the Securities, unless the Company</w:t>
      </w:r>
      <w:r>
        <w:rPr>
          <w:rFonts w:ascii="Arial" w:cs="Arial" w:eastAsia="Arial" w:hAnsi="Arial"/>
          <w:sz w:val="18"/>
          <w:szCs w:val="18"/>
          <w:i w:val="1"/>
          <w:iCs w:val="1"/>
          <w:color w:val="auto"/>
        </w:rPr>
        <w:t xml:space="preserve"> </w:t>
      </w:r>
      <w:r>
        <w:rPr>
          <w:rFonts w:ascii="Arial" w:cs="Arial" w:eastAsia="Arial" w:hAnsi="Arial"/>
          <w:sz w:val="18"/>
          <w:szCs w:val="18"/>
          <w:color w:val="auto"/>
        </w:rPr>
        <w:t>shall have exercised its option pursuant to Section (5)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Securities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17" w:lineRule="exact"/>
        <w:rPr>
          <w:sz w:val="20"/>
          <w:szCs w:val="20"/>
          <w:color w:val="auto"/>
        </w:rPr>
      </w:pPr>
    </w:p>
    <w:p>
      <w:pPr>
        <w:ind w:left="1080" w:hanging="221"/>
        <w:spacing w:after="0"/>
        <w:tabs>
          <w:tab w:leader="none" w:pos="1080" w:val="left"/>
        </w:tabs>
        <w:numPr>
          <w:ilvl w:val="0"/>
          <w:numId w:val="49"/>
        </w:numPr>
        <w:rPr>
          <w:rFonts w:ascii="Arial" w:cs="Arial" w:eastAsia="Arial" w:hAnsi="Arial"/>
          <w:sz w:val="17"/>
          <w:szCs w:val="17"/>
          <w:color w:val="auto"/>
        </w:rPr>
      </w:pPr>
      <w:r>
        <w:rPr>
          <w:rFonts w:ascii="Arial" w:cs="Arial" w:eastAsia="Arial" w:hAnsi="Arial"/>
          <w:sz w:val="17"/>
          <w:szCs w:val="17"/>
          <w:color w:val="auto"/>
        </w:rPr>
        <w:t>accept for payment all the Securities or portions of the Securities properly tendered pursuant to the Change of Control Notice;</w:t>
      </w:r>
    </w:p>
    <w:p>
      <w:pPr>
        <w:spacing w:after="0" w:line="128" w:lineRule="exact"/>
        <w:rPr>
          <w:rFonts w:ascii="Arial" w:cs="Arial" w:eastAsia="Arial" w:hAnsi="Arial"/>
          <w:sz w:val="17"/>
          <w:szCs w:val="17"/>
          <w:color w:val="auto"/>
        </w:rPr>
      </w:pPr>
    </w:p>
    <w:p>
      <w:pPr>
        <w:ind w:left="440" w:right="160" w:firstLine="419"/>
        <w:spacing w:after="0" w:line="277" w:lineRule="auto"/>
        <w:tabs>
          <w:tab w:leader="none" w:pos="1128" w:val="left"/>
        </w:tabs>
        <w:numPr>
          <w:ilvl w:val="0"/>
          <w:numId w:val="49"/>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62" w:lineRule="exact"/>
        <w:rPr>
          <w:rFonts w:ascii="Arial" w:cs="Arial" w:eastAsia="Arial" w:hAnsi="Arial"/>
          <w:sz w:val="18"/>
          <w:szCs w:val="18"/>
          <w:color w:val="auto"/>
        </w:rPr>
      </w:pPr>
    </w:p>
    <w:p>
      <w:pPr>
        <w:ind w:left="440" w:right="640" w:firstLine="419"/>
        <w:spacing w:after="0" w:line="277" w:lineRule="auto"/>
        <w:tabs>
          <w:tab w:leader="none" w:pos="1178" w:val="left"/>
        </w:tabs>
        <w:numPr>
          <w:ilvl w:val="0"/>
          <w:numId w:val="49"/>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ectPr>
          <w:pgSz w:w="11900" w:h="16838" w:orient="portrait"/>
          <w:cols w:equalWidth="0" w:num="1">
            <w:col w:w="10980"/>
          </w:cols>
          <w:pgMar w:left="440" w:top="274" w:right="479" w:bottom="1440" w:gutter="0" w:footer="0" w:header="0"/>
        </w:sectPr>
      </w:pPr>
    </w:p>
    <w:bookmarkStart w:id="50" w:name="page51"/>
    <w:bookmarkEnd w:id="50"/>
    <w:p>
      <w:pPr>
        <w:ind w:firstLine="44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4.02(d) of the Second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6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(6), the Company shall comply with those securities laws and regulations and shall not be deemed to have breached its obligations under this Section (6)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(6) to the extent permitted by such securities laws or regulations.</w:t>
      </w:r>
    </w:p>
    <w:p>
      <w:pPr>
        <w:spacing w:after="0" w:line="70" w:lineRule="exact"/>
        <w:rPr>
          <w:sz w:val="20"/>
          <w:szCs w:val="20"/>
          <w:color w:val="auto"/>
        </w:rPr>
      </w:pPr>
    </w:p>
    <w:p>
      <w:pPr>
        <w:ind w:right="60" w:firstLine="436"/>
        <w:spacing w:after="0" w:line="272" w:lineRule="auto"/>
        <w:tabs>
          <w:tab w:leader="none" w:pos="695" w:val="left"/>
        </w:tabs>
        <w:numPr>
          <w:ilvl w:val="0"/>
          <w:numId w:val="50"/>
        </w:numPr>
        <w:rPr>
          <w:rFonts w:ascii="Arial" w:cs="Arial" w:eastAsia="Arial" w:hAnsi="Arial"/>
          <w:sz w:val="17"/>
          <w:szCs w:val="17"/>
          <w:color w:val="auto"/>
        </w:rPr>
      </w:pPr>
      <w:r>
        <w:rPr>
          <w:rFonts w:ascii="Arial" w:cs="Arial" w:eastAsia="Arial" w:hAnsi="Arial"/>
          <w:sz w:val="17"/>
          <w:szCs w:val="17"/>
          <w:i w:val="1"/>
          <w:iCs w:val="1"/>
          <w:color w:val="auto"/>
        </w:rPr>
        <w:t>Denominations; Transfer; Exchange</w:t>
      </w:r>
      <w:r>
        <w:rPr>
          <w:rFonts w:ascii="Arial" w:cs="Arial" w:eastAsia="Arial" w:hAnsi="Arial"/>
          <w:sz w:val="17"/>
          <w:szCs w:val="17"/>
          <w:color w:val="auto"/>
        </w:rPr>
        <w:t>. The Securities are in registered form without coupons in minimum denominations of $2,000 and any</w:t>
      </w:r>
      <w:r>
        <w:rPr>
          <w:rFonts w:ascii="Arial" w:cs="Arial" w:eastAsia="Arial" w:hAnsi="Arial"/>
          <w:sz w:val="17"/>
          <w:szCs w:val="17"/>
          <w:i w:val="1"/>
          <w:iCs w:val="1"/>
          <w:color w:val="auto"/>
        </w:rPr>
        <w:t xml:space="preserve"> </w:t>
      </w:r>
      <w:r>
        <w:rPr>
          <w:rFonts w:ascii="Arial" w:cs="Arial" w:eastAsia="Arial" w:hAnsi="Arial"/>
          <w:sz w:val="17"/>
          <w:szCs w:val="17"/>
          <w:color w:val="auto"/>
        </w:rPr>
        <w:t>multiple 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 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69" w:lineRule="exact"/>
        <w:rPr>
          <w:rFonts w:ascii="Arial" w:cs="Arial" w:eastAsia="Arial" w:hAnsi="Arial"/>
          <w:sz w:val="17"/>
          <w:szCs w:val="17"/>
          <w:color w:val="auto"/>
        </w:rPr>
      </w:pPr>
    </w:p>
    <w:p>
      <w:pPr>
        <w:ind w:right="200" w:firstLine="436"/>
        <w:spacing w:after="0" w:line="263" w:lineRule="auto"/>
        <w:tabs>
          <w:tab w:leader="none" w:pos="695" w:val="left"/>
        </w:tabs>
        <w:numPr>
          <w:ilvl w:val="0"/>
          <w:numId w:val="50"/>
        </w:numPr>
        <w:rPr>
          <w:rFonts w:ascii="Arial" w:cs="Arial" w:eastAsia="Arial" w:hAnsi="Arial"/>
          <w:sz w:val="18"/>
          <w:szCs w:val="18"/>
          <w:color w:val="auto"/>
        </w:rPr>
      </w:pPr>
      <w:r>
        <w:rPr>
          <w:rFonts w:ascii="Arial" w:cs="Arial" w:eastAsia="Arial" w:hAnsi="Arial"/>
          <w:sz w:val="18"/>
          <w:szCs w:val="18"/>
          <w:i w:val="1"/>
          <w:iCs w:val="1"/>
          <w:color w:val="auto"/>
        </w:rPr>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Securities and the Indenture if the Company deposits with the Trustee money and/or U.S. Government Obligations for the payment of principal and interest on the Securities to their Stated Maturity.</w:t>
      </w:r>
    </w:p>
    <w:p>
      <w:pPr>
        <w:spacing w:after="0" w:line="75" w:lineRule="exact"/>
        <w:rPr>
          <w:rFonts w:ascii="Arial" w:cs="Arial" w:eastAsia="Arial" w:hAnsi="Arial"/>
          <w:sz w:val="18"/>
          <w:szCs w:val="18"/>
          <w:color w:val="auto"/>
        </w:rPr>
      </w:pPr>
    </w:p>
    <w:p>
      <w:pPr>
        <w:ind w:right="420" w:firstLine="436"/>
        <w:spacing w:after="0" w:line="342" w:lineRule="auto"/>
        <w:tabs>
          <w:tab w:leader="none" w:pos="695" w:val="left"/>
        </w:tabs>
        <w:numPr>
          <w:ilvl w:val="0"/>
          <w:numId w:val="50"/>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5" w:lineRule="exact"/>
        <w:rPr>
          <w:rFonts w:ascii="Arial" w:cs="Arial" w:eastAsia="Arial" w:hAnsi="Arial"/>
          <w:sz w:val="16"/>
          <w:szCs w:val="16"/>
          <w:color w:val="auto"/>
        </w:rPr>
      </w:pPr>
    </w:p>
    <w:p>
      <w:pPr>
        <w:ind w:right="80" w:firstLine="436"/>
        <w:spacing w:after="0" w:line="290" w:lineRule="auto"/>
        <w:tabs>
          <w:tab w:leader="none" w:pos="785" w:val="left"/>
        </w:tabs>
        <w:numPr>
          <w:ilvl w:val="0"/>
          <w:numId w:val="50"/>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w:t>
      </w:r>
      <w:r>
        <w:rPr>
          <w:rFonts w:ascii="Arial" w:cs="Arial" w:eastAsia="Arial" w:hAnsi="Arial"/>
          <w:sz w:val="16"/>
          <w:szCs w:val="16"/>
          <w:i w:val="1"/>
          <w:iCs w:val="1"/>
          <w:color w:val="auto"/>
        </w:rPr>
        <w:t xml:space="preserve"> </w:t>
      </w:r>
      <w:r>
        <w:rPr>
          <w:rFonts w:ascii="Arial" w:cs="Arial" w:eastAsia="Arial" w:hAnsi="Arial"/>
          <w:sz w:val="16"/>
          <w:szCs w:val="16"/>
          <w:color w:val="auto"/>
        </w:rPr>
        <w:t>this 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mistake, omission, defect or inconsistency, to provide for the assumption of the Company’s obligations to Holders of this series or to provide for uncertificated Securities or Securities registered under the Securities Act and offered in exchange for this series, to provide for guarantees with respect to, or security for, the Securities,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57" w:lineRule="exact"/>
        <w:rPr>
          <w:rFonts w:ascii="Arial" w:cs="Arial" w:eastAsia="Arial" w:hAnsi="Arial"/>
          <w:sz w:val="16"/>
          <w:szCs w:val="16"/>
          <w:color w:val="auto"/>
        </w:rPr>
      </w:pPr>
    </w:p>
    <w:p>
      <w:pPr>
        <w:ind w:right="20" w:firstLine="436"/>
        <w:spacing w:after="0" w:line="279" w:lineRule="auto"/>
        <w:tabs>
          <w:tab w:leader="none" w:pos="778" w:val="left"/>
        </w:tabs>
        <w:numPr>
          <w:ilvl w:val="0"/>
          <w:numId w:val="50"/>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w:t>
      </w:r>
    </w:p>
    <w:p>
      <w:pPr>
        <w:sectPr>
          <w:pgSz w:w="11900" w:h="16838" w:orient="portrait"/>
          <w:cols w:equalWidth="0" w:num="1">
            <w:col w:w="11020"/>
          </w:cols>
          <w:pgMar w:left="440" w:top="274" w:right="439" w:bottom="1440" w:gutter="0" w:footer="0" w:header="0"/>
        </w:sectPr>
      </w:pPr>
    </w:p>
    <w:bookmarkStart w:id="51" w:name="page52"/>
    <w:bookmarkEnd w:id="51"/>
    <w:p>
      <w:pPr>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57" w:lineRule="exact"/>
        <w:rPr>
          <w:sz w:val="20"/>
          <w:szCs w:val="20"/>
          <w:color w:val="auto"/>
        </w:rPr>
      </w:pPr>
    </w:p>
    <w:p>
      <w:pPr>
        <w:ind w:right="240" w:firstLine="436"/>
        <w:spacing w:after="0" w:line="286" w:lineRule="auto"/>
        <w:tabs>
          <w:tab w:leader="none" w:pos="785" w:val="left"/>
        </w:tabs>
        <w:numPr>
          <w:ilvl w:val="0"/>
          <w:numId w:val="51"/>
        </w:numPr>
        <w:rPr>
          <w:rFonts w:ascii="Arial" w:cs="Arial" w:eastAsia="Arial" w:hAnsi="Arial"/>
          <w:sz w:val="17"/>
          <w:szCs w:val="17"/>
          <w:color w:val="auto"/>
        </w:rPr>
      </w:pPr>
      <w:r>
        <w:rPr>
          <w:rFonts w:ascii="Arial" w:cs="Arial" w:eastAsia="Arial" w:hAnsi="Arial"/>
          <w:sz w:val="17"/>
          <w:szCs w:val="17"/>
          <w:i w:val="1"/>
          <w:iCs w:val="1"/>
          <w:color w:val="auto"/>
        </w:rPr>
        <w:t xml:space="preserve">Trustee Dealings with Company. </w:t>
      </w:r>
      <w:r>
        <w:rPr>
          <w:rFonts w:ascii="Arial" w:cs="Arial" w:eastAsia="Arial" w:hAnsi="Arial"/>
          <w:sz w:val="17"/>
          <w:szCs w:val="17"/>
          <w:color w:val="auto"/>
        </w:rPr>
        <w:t>Subject to the provisions of the Trust Indenture Act, if applicable, the Trustee under the Indenture, in its</w:t>
      </w:r>
      <w:r>
        <w:rPr>
          <w:rFonts w:ascii="Arial" w:cs="Arial" w:eastAsia="Arial" w:hAnsi="Arial"/>
          <w:sz w:val="17"/>
          <w:szCs w:val="17"/>
          <w:i w:val="1"/>
          <w:iCs w:val="1"/>
          <w:color w:val="auto"/>
        </w:rPr>
        <w:t xml:space="preserve"> </w:t>
      </w:r>
      <w:r>
        <w:rPr>
          <w:rFonts w:ascii="Arial" w:cs="Arial" w:eastAsia="Arial" w:hAnsi="Arial"/>
          <w:sz w:val="17"/>
          <w:szCs w:val="17"/>
          <w:color w:val="auto"/>
        </w:rPr>
        <w:t>individual or any other capacity, may make loans to, accept deposits from, and perform services for the Company or its Affiliates, and may otherwise deal with the Company or its Affiliates, as if it were not Trustee. The Trustee shall initially be U.S. Bank National Association.</w:t>
      </w:r>
    </w:p>
    <w:p>
      <w:pPr>
        <w:spacing w:after="0" w:line="57" w:lineRule="exact"/>
        <w:rPr>
          <w:rFonts w:ascii="Arial" w:cs="Arial" w:eastAsia="Arial" w:hAnsi="Arial"/>
          <w:sz w:val="17"/>
          <w:szCs w:val="17"/>
          <w:color w:val="auto"/>
        </w:rPr>
      </w:pPr>
    </w:p>
    <w:p>
      <w:pPr>
        <w:ind w:right="320" w:firstLine="436"/>
        <w:spacing w:after="0" w:line="279" w:lineRule="auto"/>
        <w:tabs>
          <w:tab w:leader="none" w:pos="785" w:val="left"/>
        </w:tabs>
        <w:numPr>
          <w:ilvl w:val="0"/>
          <w:numId w:val="51"/>
        </w:numPr>
        <w:rPr>
          <w:rFonts w:ascii="Arial" w:cs="Arial" w:eastAsia="Arial" w:hAnsi="Arial"/>
          <w:sz w:val="17"/>
          <w:szCs w:val="17"/>
          <w:color w:val="auto"/>
        </w:rPr>
      </w:pPr>
      <w:r>
        <w:rPr>
          <w:rFonts w:ascii="Arial" w:cs="Arial" w:eastAsia="Arial" w:hAnsi="Arial"/>
          <w:sz w:val="17"/>
          <w:szCs w:val="17"/>
          <w:i w:val="1"/>
          <w:iCs w:val="1"/>
          <w:color w:val="auto"/>
        </w:rPr>
        <w:t xml:space="preserve">No Recourse Against Others. </w:t>
      </w:r>
      <w:r>
        <w:rPr>
          <w:rFonts w:ascii="Arial" w:cs="Arial" w:eastAsia="Arial" w:hAnsi="Arial"/>
          <w:sz w:val="17"/>
          <w:szCs w:val="17"/>
          <w:color w:val="auto"/>
        </w:rPr>
        <w:t>A director, officer, incorporator or shareholder, as such, past, present or future, of the Company or any</w:t>
      </w:r>
      <w:r>
        <w:rPr>
          <w:rFonts w:ascii="Arial" w:cs="Arial" w:eastAsia="Arial" w:hAnsi="Arial"/>
          <w:sz w:val="17"/>
          <w:szCs w:val="17"/>
          <w:i w:val="1"/>
          <w:iCs w:val="1"/>
          <w:color w:val="auto"/>
        </w:rPr>
        <w:t xml:space="preserve"> </w:t>
      </w:r>
      <w:r>
        <w:rPr>
          <w:rFonts w:ascii="Arial" w:cs="Arial" w:eastAsia="Arial" w:hAnsi="Arial"/>
          <w:sz w:val="17"/>
          <w:szCs w:val="17"/>
          <w:color w:val="auto"/>
        </w:rPr>
        <w:t>successor corporation of the Company, shall not have any liability for any obligations of the Company or any Guarantor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63" w:lineRule="exact"/>
        <w:rPr>
          <w:rFonts w:ascii="Arial" w:cs="Arial" w:eastAsia="Arial" w:hAnsi="Arial"/>
          <w:sz w:val="17"/>
          <w:szCs w:val="17"/>
          <w:color w:val="auto"/>
        </w:rPr>
      </w:pPr>
    </w:p>
    <w:p>
      <w:pPr>
        <w:ind w:right="280" w:firstLine="436"/>
        <w:spacing w:after="0" w:line="277" w:lineRule="auto"/>
        <w:tabs>
          <w:tab w:leader="none" w:pos="785" w:val="left"/>
        </w:tabs>
        <w:numPr>
          <w:ilvl w:val="0"/>
          <w:numId w:val="51"/>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62" w:lineRule="exact"/>
        <w:rPr>
          <w:rFonts w:ascii="Arial" w:cs="Arial" w:eastAsia="Arial" w:hAnsi="Arial"/>
          <w:sz w:val="18"/>
          <w:szCs w:val="18"/>
          <w:color w:val="auto"/>
        </w:rPr>
      </w:pPr>
    </w:p>
    <w:p>
      <w:pPr>
        <w:jc w:val="both"/>
        <w:ind w:right="300" w:firstLine="436"/>
        <w:spacing w:after="0" w:line="263" w:lineRule="auto"/>
        <w:tabs>
          <w:tab w:leader="none" w:pos="785" w:val="left"/>
        </w:tabs>
        <w:numPr>
          <w:ilvl w:val="0"/>
          <w:numId w:val="51"/>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75" w:lineRule="exact"/>
        <w:rPr>
          <w:rFonts w:ascii="Arial" w:cs="Arial" w:eastAsia="Arial" w:hAnsi="Arial"/>
          <w:sz w:val="18"/>
          <w:szCs w:val="18"/>
          <w:color w:val="auto"/>
        </w:rPr>
      </w:pPr>
    </w:p>
    <w:p>
      <w:pPr>
        <w:ind w:right="560" w:firstLine="436"/>
        <w:spacing w:after="0" w:line="277" w:lineRule="auto"/>
        <w:tabs>
          <w:tab w:leader="none" w:pos="785" w:val="left"/>
        </w:tabs>
        <w:numPr>
          <w:ilvl w:val="0"/>
          <w:numId w:val="51"/>
        </w:numPr>
        <w:rPr>
          <w:rFonts w:ascii="Arial" w:cs="Arial" w:eastAsia="Arial" w:hAnsi="Arial"/>
          <w:sz w:val="18"/>
          <w:szCs w:val="18"/>
          <w:color w:val="auto"/>
        </w:rPr>
      </w:pPr>
      <w:r>
        <w:rPr>
          <w:rFonts w:ascii="Arial" w:cs="Arial" w:eastAsia="Arial" w:hAnsi="Arial"/>
          <w:sz w:val="18"/>
          <w:szCs w:val="18"/>
          <w:i w:val="1"/>
          <w:iCs w:val="1"/>
          <w:color w:val="auto"/>
        </w:rPr>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right="60" w:firstLine="440"/>
        <w:spacing w:after="0" w:line="286" w:lineRule="auto"/>
        <w:rPr>
          <w:sz w:val="20"/>
          <w:szCs w:val="20"/>
          <w:color w:val="auto"/>
        </w:rPr>
      </w:pPr>
      <w:r>
        <w:rPr>
          <w:rFonts w:ascii="Arial" w:cs="Arial" w:eastAsia="Arial" w:hAnsi="Arial"/>
          <w:sz w:val="17"/>
          <w:szCs w:val="17"/>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65" w:lineRule="exact"/>
        <w:rPr>
          <w:sz w:val="20"/>
          <w:szCs w:val="20"/>
          <w:color w:val="auto"/>
        </w:rPr>
      </w:pPr>
    </w:p>
    <w:p>
      <w:pPr>
        <w:jc w:val="both"/>
        <w:ind w:right="40"/>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SECURITY, IN TWELVE-POINT TYPE. REQUESTS MAY BE MADE TO: MARVELL TECHNOLOGY, INC., 1000 N. WEST STREET, SUITE 1200, WILMINGTON, DE 19801, ATTENTION: CORPORATE SECRETARY.</w:t>
      </w:r>
    </w:p>
    <w:p>
      <w:pPr>
        <w:sectPr>
          <w:pgSz w:w="11900" w:h="16838" w:orient="portrait"/>
          <w:cols w:equalWidth="0" w:num="1">
            <w:col w:w="10980"/>
          </w:cols>
          <w:pgMar w:left="440" w:top="274" w:right="479" w:bottom="1440" w:gutter="0" w:footer="0" w:header="0"/>
        </w:sectPr>
      </w:pPr>
    </w:p>
    <w:bookmarkStart w:id="52" w:name="page53"/>
    <w:bookmarkEnd w:id="5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 or we assign and transfer this Security to</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(Insert assignee’s soc. sec. or tax I.D. No.)</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160" w:type="dxa"/>
            <w:vAlign w:val="bottom"/>
            <w:gridSpan w:val="3"/>
          </w:tcPr>
          <w:p>
            <w:pPr>
              <w:spacing w:after="0"/>
              <w:rPr>
                <w:sz w:val="20"/>
                <w:szCs w:val="20"/>
                <w:color w:val="auto"/>
              </w:rPr>
            </w:pPr>
            <w:r>
              <w:rPr>
                <w:rFonts w:ascii="Arial" w:cs="Arial" w:eastAsia="Arial" w:hAnsi="Arial"/>
                <w:sz w:val="18"/>
                <w:szCs w:val="18"/>
                <w:color w:val="auto"/>
              </w:rPr>
              <w:t>and irrevocably appoint</w:t>
            </w:r>
          </w:p>
        </w:tc>
        <w:tc>
          <w:tcPr>
            <w:tcW w:w="8860" w:type="dxa"/>
            <w:vAlign w:val="bottom"/>
            <w:gridSpan w:val="4"/>
          </w:tcPr>
          <w:p>
            <w:pPr>
              <w:ind w:left="440"/>
              <w:spacing w:after="0"/>
              <w:rPr>
                <w:sz w:val="20"/>
                <w:szCs w:val="20"/>
                <w:color w:val="auto"/>
              </w:rPr>
            </w:pPr>
            <w:r>
              <w:rPr>
                <w:rFonts w:ascii="Arial" w:cs="Arial" w:eastAsia="Arial" w:hAnsi="Arial"/>
                <w:sz w:val="18"/>
                <w:szCs w:val="18"/>
                <w:color w:val="auto"/>
                <w:w w:val="96"/>
              </w:rPr>
              <w:t>agent to transfer this Security on the books of the Company. The agent may substitute another to act for him.</w:t>
            </w:r>
          </w:p>
        </w:tc>
      </w:tr>
      <w:tr>
        <w:trPr>
          <w:trHeight w:val="418"/>
        </w:trPr>
        <w:tc>
          <w:tcPr>
            <w:tcW w:w="2160" w:type="dxa"/>
            <w:vAlign w:val="bottom"/>
            <w:gridSpan w:val="3"/>
          </w:tcPr>
          <w:p>
            <w:pPr>
              <w:spacing w:after="0"/>
              <w:rPr>
                <w:sz w:val="20"/>
                <w:szCs w:val="20"/>
                <w:color w:val="auto"/>
              </w:rPr>
            </w:pPr>
            <w:r>
              <w:rPr>
                <w:rFonts w:ascii="Arial" w:cs="Arial" w:eastAsia="Arial" w:hAnsi="Arial"/>
                <w:sz w:val="18"/>
                <w:szCs w:val="18"/>
                <w:color w:val="auto"/>
              </w:rPr>
              <w:t>Dated:</w:t>
            </w:r>
          </w:p>
        </w:tc>
        <w:tc>
          <w:tcPr>
            <w:tcW w:w="2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0" w:type="dxa"/>
            <w:vAlign w:val="bottom"/>
            <w:gridSpan w:val="2"/>
          </w:tcPr>
          <w:p>
            <w:pPr>
              <w:ind w:left="680"/>
              <w:spacing w:after="0"/>
              <w:rPr>
                <w:sz w:val="20"/>
                <w:szCs w:val="20"/>
                <w:color w:val="auto"/>
              </w:rPr>
            </w:pPr>
            <w:r>
              <w:rPr>
                <w:rFonts w:ascii="Arial" w:cs="Arial" w:eastAsia="Arial" w:hAnsi="Arial"/>
                <w:sz w:val="18"/>
                <w:szCs w:val="18"/>
                <w:color w:val="auto"/>
              </w:rPr>
              <w:t>Signed:</w:t>
            </w:r>
          </w:p>
        </w:tc>
      </w:tr>
      <w:tr>
        <w:trPr>
          <w:trHeight w:val="20"/>
        </w:trPr>
        <w:tc>
          <w:tcPr>
            <w:tcW w:w="480" w:type="dxa"/>
            <w:vAlign w:val="bottom"/>
          </w:tcPr>
          <w:p>
            <w:pPr>
              <w:spacing w:after="0" w:line="20" w:lineRule="exact"/>
              <w:rPr>
                <w:sz w:val="1"/>
                <w:szCs w:val="1"/>
                <w:color w:val="auto"/>
              </w:rPr>
            </w:pPr>
          </w:p>
        </w:tc>
        <w:tc>
          <w:tcPr>
            <w:tcW w:w="1040" w:type="dxa"/>
            <w:vAlign w:val="bottom"/>
            <w:tcBorders>
              <w:top w:val="single" w:sz="8" w:color="auto"/>
            </w:tcBorders>
          </w:tcPr>
          <w:p>
            <w:pPr>
              <w:spacing w:after="0" w:line="20" w:lineRule="exact"/>
              <w:rPr>
                <w:sz w:val="1"/>
                <w:szCs w:val="1"/>
                <w:color w:val="auto"/>
              </w:rPr>
            </w:pPr>
          </w:p>
        </w:tc>
        <w:tc>
          <w:tcPr>
            <w:tcW w:w="640" w:type="dxa"/>
            <w:vAlign w:val="bottom"/>
            <w:tcBorders>
              <w:top w:val="single" w:sz="8" w:color="auto"/>
            </w:tcBorders>
          </w:tcPr>
          <w:p>
            <w:pPr>
              <w:spacing w:after="0" w:line="20" w:lineRule="exact"/>
              <w:rPr>
                <w:sz w:val="1"/>
                <w:szCs w:val="1"/>
                <w:color w:val="auto"/>
              </w:rPr>
            </w:pPr>
          </w:p>
        </w:tc>
        <w:tc>
          <w:tcPr>
            <w:tcW w:w="2360" w:type="dxa"/>
            <w:vAlign w:val="bottom"/>
            <w:tcBorders>
              <w:top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4960" w:type="dxa"/>
            <w:vAlign w:val="bottom"/>
            <w:tcBorders>
              <w:bottom w:val="single" w:sz="8" w:color="auto"/>
            </w:tcBorders>
          </w:tcPr>
          <w:p>
            <w:pPr>
              <w:spacing w:after="0" w:line="20" w:lineRule="exact"/>
              <w:rPr>
                <w:sz w:val="1"/>
                <w:szCs w:val="1"/>
                <w:color w:val="auto"/>
              </w:rPr>
            </w:pPr>
          </w:p>
        </w:tc>
      </w:tr>
      <w:tr>
        <w:trPr>
          <w:trHeight w:val="209"/>
        </w:trPr>
        <w:tc>
          <w:tcPr>
            <w:tcW w:w="4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4960" w:type="dxa"/>
            <w:vAlign w:val="bottom"/>
          </w:tcPr>
          <w:p>
            <w:pPr>
              <w:spacing w:after="0"/>
              <w:rPr>
                <w:sz w:val="20"/>
                <w:szCs w:val="20"/>
                <w:color w:val="auto"/>
              </w:rPr>
            </w:pPr>
            <w:r>
              <w:rPr>
                <w:rFonts w:ascii="Arial" w:cs="Arial" w:eastAsia="Arial" w:hAnsi="Arial"/>
                <w:sz w:val="18"/>
                <w:szCs w:val="18"/>
                <w:color w:val="auto"/>
              </w:rPr>
              <w:t>(Sign exactly as your name appears on the other side of this</w:t>
            </w:r>
          </w:p>
        </w:tc>
      </w:tr>
      <w:tr>
        <w:trPr>
          <w:trHeight w:val="230"/>
        </w:trPr>
        <w:tc>
          <w:tcPr>
            <w:tcW w:w="48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2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0" w:type="dxa"/>
            <w:vAlign w:val="bottom"/>
            <w:gridSpan w:val="2"/>
          </w:tcPr>
          <w:p>
            <w:pPr>
              <w:ind w:left="1440"/>
              <w:spacing w:after="0"/>
              <w:rPr>
                <w:sz w:val="20"/>
                <w:szCs w:val="20"/>
                <w:color w:val="auto"/>
              </w:rPr>
            </w:pPr>
            <w:r>
              <w:rPr>
                <w:rFonts w:ascii="Arial" w:cs="Arial" w:eastAsia="Arial" w:hAnsi="Arial"/>
                <w:sz w:val="18"/>
                <w:szCs w:val="18"/>
                <w:color w:val="auto"/>
              </w:rPr>
              <w:t>Security)</w:t>
            </w:r>
          </w:p>
        </w:tc>
      </w:tr>
      <w:tr>
        <w:trPr>
          <w:trHeight w:val="418"/>
        </w:trPr>
        <w:tc>
          <w:tcPr>
            <w:tcW w:w="1520" w:type="dxa"/>
            <w:vAlign w:val="bottom"/>
            <w:gridSpan w:val="2"/>
          </w:tcPr>
          <w:p>
            <w:pPr>
              <w:spacing w:after="0"/>
              <w:rPr>
                <w:sz w:val="20"/>
                <w:szCs w:val="20"/>
                <w:color w:val="auto"/>
              </w:rPr>
            </w:pPr>
            <w:r>
              <w:rPr>
                <w:rFonts w:ascii="Arial" w:cs="Arial" w:eastAsia="Arial" w:hAnsi="Arial"/>
                <w:sz w:val="18"/>
                <w:szCs w:val="18"/>
                <w:color w:val="auto"/>
                <w:w w:val="87"/>
              </w:rPr>
              <w:t>Signature Guarantee:</w:t>
            </w:r>
          </w:p>
        </w:tc>
        <w:tc>
          <w:tcPr>
            <w:tcW w:w="640" w:type="dxa"/>
            <w:vAlign w:val="bottom"/>
            <w:tcBorders>
              <w:bottom w:val="single" w:sz="8" w:color="auto"/>
            </w:tcBorders>
          </w:tcPr>
          <w:p>
            <w:pPr>
              <w:spacing w:after="0"/>
              <w:rPr>
                <w:sz w:val="24"/>
                <w:szCs w:val="24"/>
                <w:color w:val="auto"/>
              </w:rPr>
            </w:pPr>
          </w:p>
        </w:tc>
        <w:tc>
          <w:tcPr>
            <w:tcW w:w="23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440" w:type="dxa"/>
            <w:vAlign w:val="bottom"/>
          </w:tcPr>
          <w:p>
            <w:pPr>
              <w:spacing w:after="0"/>
              <w:rPr>
                <w:sz w:val="24"/>
                <w:szCs w:val="24"/>
                <w:color w:val="auto"/>
              </w:rPr>
            </w:pPr>
          </w:p>
        </w:tc>
        <w:tc>
          <w:tcPr>
            <w:tcW w:w="4960" w:type="dxa"/>
            <w:vAlign w:val="bottom"/>
          </w:tcPr>
          <w:p>
            <w:pPr>
              <w:spacing w:after="0"/>
              <w:rPr>
                <w:sz w:val="24"/>
                <w:szCs w:val="24"/>
                <w:color w:val="auto"/>
              </w:rPr>
            </w:pPr>
          </w:p>
        </w:tc>
      </w:tr>
    </w:tbl>
    <w:p>
      <w:pPr>
        <w:spacing w:after="0" w:line="229"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ectPr>
          <w:pgSz w:w="11900" w:h="16838" w:orient="portrait"/>
          <w:cols w:equalWidth="0" w:num="1">
            <w:col w:w="11020"/>
          </w:cols>
          <w:pgMar w:left="440" w:top="270" w:right="439" w:bottom="1440" w:gutter="0" w:footer="0" w:header="0"/>
        </w:sectPr>
      </w:pPr>
    </w:p>
    <w:bookmarkStart w:id="53" w:name="page54"/>
    <w:bookmarkEnd w:id="53"/>
    <w:p>
      <w:pPr>
        <w:jc w:val="center"/>
        <w:ind w:right="4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FORM OF TRANSFER CERTIFICATE</w:t>
      </w:r>
    </w:p>
    <w:p>
      <w:pPr>
        <w:spacing w:after="0" w:line="225" w:lineRule="exact"/>
        <w:rPr>
          <w:sz w:val="20"/>
          <w:szCs w:val="20"/>
          <w:color w:val="auto"/>
        </w:rPr>
      </w:pPr>
    </w:p>
    <w:p>
      <w:pPr>
        <w:ind w:left="20" w:right="20"/>
        <w:spacing w:after="0" w:line="259" w:lineRule="auto"/>
        <w:rPr>
          <w:sz w:val="20"/>
          <w:szCs w:val="20"/>
          <w:color w:val="auto"/>
        </w:rPr>
      </w:pPr>
      <w:r>
        <w:rPr>
          <w:rFonts w:ascii="Arial" w:cs="Arial" w:eastAsia="Arial" w:hAnsi="Arial"/>
          <w:sz w:val="18"/>
          <w:szCs w:val="18"/>
          <w:color w:val="auto"/>
        </w:rPr>
        <w:t>In connection with any transfer of any of the Securities evidenced by this certificate occurring prior to the expiration of the period referred to in Rule 144 under the Securities Act (“Rule 144”) after the later of the date of original issuance of such Securities and the last date, if any, on which such Securities were owned by the Company or any Affiliate of the Company (as such term is defined in Rule 144), the undersigned confirms that such Securities are being transferred in accordance with its terms:</w:t>
      </w:r>
    </w:p>
    <w:p>
      <w:pPr>
        <w:spacing w:after="0" w:line="79" w:lineRule="exact"/>
        <w:rPr>
          <w:sz w:val="20"/>
          <w:szCs w:val="20"/>
          <w:color w:val="auto"/>
        </w:rPr>
      </w:pPr>
    </w:p>
    <w:p>
      <w:pPr>
        <w:ind w:left="20"/>
        <w:spacing w:after="0"/>
        <w:rPr>
          <w:sz w:val="20"/>
          <w:szCs w:val="20"/>
          <w:color w:val="auto"/>
        </w:rPr>
      </w:pPr>
      <w:r>
        <w:rPr>
          <w:rFonts w:ascii="Arial" w:cs="Arial" w:eastAsia="Arial" w:hAnsi="Arial"/>
          <w:sz w:val="18"/>
          <w:szCs w:val="18"/>
          <w:color w:val="auto"/>
        </w:rPr>
        <w:t>CHECK ONE BOX BELOW</w:t>
      </w:r>
    </w:p>
    <w:p>
      <w:pPr>
        <w:spacing w:after="0" w:line="98" w:lineRule="exact"/>
        <w:rPr>
          <w:sz w:val="20"/>
          <w:szCs w:val="20"/>
          <w:color w:val="auto"/>
        </w:rPr>
      </w:pPr>
    </w:p>
    <w:p>
      <w:pPr>
        <w:ind w:left="180" w:hanging="172"/>
        <w:spacing w:after="0" w:line="207" w:lineRule="exact"/>
        <w:tabs>
          <w:tab w:leader="none" w:pos="180" w:val="left"/>
        </w:tabs>
        <w:numPr>
          <w:ilvl w:val="0"/>
          <w:numId w:val="52"/>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to the Company; or</w:t>
      </w:r>
    </w:p>
    <w:p>
      <w:pPr>
        <w:spacing w:after="0" w:line="130" w:lineRule="exact"/>
        <w:rPr>
          <w:rFonts w:ascii="Arial" w:cs="Arial" w:eastAsia="Arial" w:hAnsi="Arial"/>
          <w:sz w:val="18"/>
          <w:szCs w:val="18"/>
          <w:color w:val="auto"/>
        </w:rPr>
      </w:pPr>
    </w:p>
    <w:p>
      <w:pPr>
        <w:ind w:left="180" w:hanging="172"/>
        <w:spacing w:after="0" w:line="207" w:lineRule="exact"/>
        <w:tabs>
          <w:tab w:leader="none" w:pos="180" w:val="left"/>
        </w:tabs>
        <w:numPr>
          <w:ilvl w:val="0"/>
          <w:numId w:val="52"/>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an effective registration statement under the Securities Act; or</w:t>
      </w:r>
    </w:p>
    <w:p>
      <w:pPr>
        <w:spacing w:after="0" w:line="130" w:lineRule="exact"/>
        <w:rPr>
          <w:rFonts w:ascii="Arial" w:cs="Arial" w:eastAsia="Arial" w:hAnsi="Arial"/>
          <w:sz w:val="18"/>
          <w:szCs w:val="18"/>
          <w:color w:val="auto"/>
        </w:rPr>
      </w:pPr>
    </w:p>
    <w:p>
      <w:pPr>
        <w:ind w:left="540" w:right="180" w:hanging="532"/>
        <w:spacing w:after="0" w:line="232" w:lineRule="exact"/>
        <w:tabs>
          <w:tab w:leader="none" w:pos="180" w:val="left"/>
        </w:tabs>
        <w:numPr>
          <w:ilvl w:val="0"/>
          <w:numId w:val="52"/>
        </w:numPr>
        <w:rPr>
          <w:rFonts w:ascii="Arial" w:cs="Arial" w:eastAsia="Arial" w:hAnsi="Arial"/>
          <w:sz w:val="16"/>
          <w:szCs w:val="16"/>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inside the United States to a person reasonably believed to be a “qualified institutional buyer” (as defined in Rule 144A under the Securities Act) that purchases for its own account or for the account of a qualified institutional buyer to whom notice is given that such transfer is being made in reliance on Rule 144A, in each case pursuant to and in compliance with Rule 144A under the Securities Act; or</w:t>
      </w:r>
    </w:p>
    <w:p>
      <w:pPr>
        <w:spacing w:after="0" w:line="74" w:lineRule="exact"/>
        <w:rPr>
          <w:rFonts w:ascii="Arial" w:cs="Arial" w:eastAsia="Arial" w:hAnsi="Arial"/>
          <w:sz w:val="16"/>
          <w:szCs w:val="16"/>
          <w:color w:val="auto"/>
        </w:rPr>
      </w:pPr>
    </w:p>
    <w:p>
      <w:pPr>
        <w:ind w:left="180" w:hanging="172"/>
        <w:spacing w:after="0" w:line="207" w:lineRule="exact"/>
        <w:tabs>
          <w:tab w:leader="none" w:pos="180" w:val="left"/>
        </w:tabs>
        <w:numPr>
          <w:ilvl w:val="0"/>
          <w:numId w:val="52"/>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 an offshore transaction in compliance with Rule 903 or Rule 904 of Regulation S under the Securities Act; or</w:t>
      </w:r>
    </w:p>
    <w:p>
      <w:pPr>
        <w:spacing w:after="0" w:line="130" w:lineRule="exact"/>
        <w:rPr>
          <w:rFonts w:ascii="Arial" w:cs="Arial" w:eastAsia="Arial" w:hAnsi="Arial"/>
          <w:sz w:val="18"/>
          <w:szCs w:val="18"/>
          <w:color w:val="auto"/>
        </w:rPr>
      </w:pPr>
    </w:p>
    <w:p>
      <w:pPr>
        <w:ind w:left="540" w:right="420" w:hanging="532"/>
        <w:spacing w:after="0" w:line="239" w:lineRule="exact"/>
        <w:tabs>
          <w:tab w:leader="none" w:pos="180" w:val="left"/>
        </w:tabs>
        <w:numPr>
          <w:ilvl w:val="0"/>
          <w:numId w:val="52"/>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the exemption from registration provided by Rule 144 under the Securities Act or any other available exemption from the registration requirements of the Securities Act.</w:t>
      </w:r>
    </w:p>
    <w:p>
      <w:pPr>
        <w:spacing w:after="0" w:line="95" w:lineRule="exact"/>
        <w:rPr>
          <w:sz w:val="20"/>
          <w:szCs w:val="20"/>
          <w:color w:val="auto"/>
        </w:rPr>
      </w:pPr>
    </w:p>
    <w:p>
      <w:pPr>
        <w:ind w:left="20"/>
        <w:spacing w:after="0" w:line="257" w:lineRule="auto"/>
        <w:rPr>
          <w:sz w:val="20"/>
          <w:szCs w:val="20"/>
          <w:color w:val="auto"/>
        </w:rPr>
      </w:pPr>
      <w:r>
        <w:rPr>
          <w:rFonts w:ascii="Arial" w:cs="Arial" w:eastAsia="Arial" w:hAnsi="Arial"/>
          <w:sz w:val="18"/>
          <w:szCs w:val="18"/>
          <w:color w:val="auto"/>
        </w:rPr>
        <w:t>Unless one of the boxes is checked, the Trustee shall refuse to register any of the Securities evidenced by this certificate in the name of any person other than the registered holder thereof; provided, however, that if box (5) is checked, the Trustee shall be entitled to require, prior to registering any such transfer of the Securities, such legal opinions, certifications and other information as the Company has reasonably requested to confirm that such transfer is being made pursuant to an exemption from, or in a transaction not subject to, the registration requirements of the Securities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3931285</wp:posOffset>
            </wp:positionH>
            <wp:positionV relativeFrom="paragraph">
              <wp:posOffset>282575</wp:posOffset>
            </wp:positionV>
            <wp:extent cx="2794635"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ind w:left="8040"/>
        <w:spacing w:after="0"/>
        <w:rPr>
          <w:sz w:val="20"/>
          <w:szCs w:val="20"/>
          <w:color w:val="auto"/>
        </w:rPr>
      </w:pPr>
      <w:r>
        <w:rPr>
          <w:rFonts w:ascii="Arial" w:cs="Arial" w:eastAsia="Arial" w:hAnsi="Arial"/>
          <w:sz w:val="18"/>
          <w:szCs w:val="18"/>
          <w:color w:val="auto"/>
        </w:rPr>
        <w:t>Signature</w:t>
      </w:r>
    </w:p>
    <w:p>
      <w:pPr>
        <w:sectPr>
          <w:pgSz w:w="11900" w:h="16838" w:orient="portrait"/>
          <w:cols w:equalWidth="0" w:num="1">
            <w:col w:w="10560"/>
          </w:cols>
          <w:pgMar w:left="860" w:top="274" w:right="479" w:bottom="1440" w:gutter="0" w:footer="0" w:header="0"/>
        </w:sectPr>
      </w:pPr>
    </w:p>
    <w:bookmarkStart w:id="54" w:name="page55"/>
    <w:bookmarkEnd w:id="54"/>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BE COMPLETED BY PURCHASER IF (3) ABOVE IS CHECKED.</w:t>
      </w:r>
    </w:p>
    <w:p>
      <w:pPr>
        <w:spacing w:after="0" w:line="229"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The undersigned represents and warrants that it is purchasing this Security for its own account or an account with respect to which it exercises sole investment discretion and that it and any such account is a “qualified institutional buyer” within the meaning of Rule 144A under the Securities Act, and is aware that the sale to it is being made in reliance on Rule 144A and acknowledges that it has received such information regarding the Company as the undersigned has requested pursuant to Rule 144A or has determined not to request such information and that it is aware that the transferor is relying upon the undersigned’s foregoing representations in order to claim the exemption from registration provided by Rule 144A.</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Dated:_________________</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Notice: To be executed by an executive officer</w:t>
      </w:r>
    </w:p>
    <w:p>
      <w:pPr>
        <w:sectPr>
          <w:pgSz w:w="11900" w:h="16838" w:orient="portrait"/>
          <w:cols w:equalWidth="0" w:num="1">
            <w:col w:w="10980"/>
          </w:cols>
          <w:pgMar w:left="440" w:top="270" w:right="479" w:bottom="1440" w:gutter="0" w:footer="0" w:header="0"/>
        </w:sectPr>
      </w:pPr>
    </w:p>
    <w:bookmarkStart w:id="55" w:name="page56"/>
    <w:bookmarkEnd w:id="5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FORM OF EXCHANGE CERTIFICATE</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One California Street, Suite 1000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D. Jason (Marvell Technology)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Re: Senior Notes due 2028</w:t>
      </w:r>
    </w:p>
    <w:p>
      <w:pPr>
        <w:spacing w:after="0" w:line="225" w:lineRule="exact"/>
        <w:rPr>
          <w:sz w:val="20"/>
          <w:szCs w:val="20"/>
          <w:color w:val="auto"/>
        </w:rPr>
      </w:pPr>
    </w:p>
    <w:p>
      <w:pPr>
        <w:ind w:right="200" w:firstLine="440"/>
        <w:spacing w:after="0" w:line="259" w:lineRule="auto"/>
        <w:rPr>
          <w:sz w:val="20"/>
          <w:szCs w:val="20"/>
          <w:color w:val="auto"/>
        </w:rPr>
      </w:pPr>
      <w:r>
        <w:rPr>
          <w:rFonts w:ascii="Arial" w:cs="Arial" w:eastAsia="Arial" w:hAnsi="Arial"/>
          <w:sz w:val="18"/>
          <w:szCs w:val="18"/>
          <w:color w:val="auto"/>
        </w:rPr>
        <w:t>Reference is hereby made to the Indenture, dated as of April 12, 2021 (the “Base Indenture”), as supplemented by the Second Supplemental Indenture, dated as of May 4, 2021 (together with the Base Indenture, the “Indenture”), between Marvell Technology, Inc., a Delaware corporation, as issuer (the “Company”), and U.S. Bank National Association, as trustee (the “Trustee”). Capitalized terms used but not defined herein shall have the meanings given to them in the Indenture.</w:t>
      </w:r>
    </w:p>
    <w:p>
      <w:pPr>
        <w:spacing w:after="0" w:line="187" w:lineRule="exact"/>
        <w:rPr>
          <w:sz w:val="20"/>
          <w:szCs w:val="20"/>
          <w:color w:val="auto"/>
        </w:rPr>
      </w:pPr>
    </w:p>
    <w:p>
      <w:pPr>
        <w:ind w:firstLine="436"/>
        <w:spacing w:after="0" w:line="255" w:lineRule="auto"/>
        <w:tabs>
          <w:tab w:leader="none" w:pos="668"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“Owner”) owns and proposes to exchange the Security[ies] or interest in such Security[ies] specified herein, in the principal amount of $[•] in such Security[ies] or interests (the “Exchange”). The Owner hereby certifies that in connection with the Exchange of the Owner’s Regulation S Global Note for a beneficial interest in the Rule 144A Global Note, with an equal principal amount, the Security[ies] or interest in such Security[ies] specified herein [is][are]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certificate and the statements contained herein are made for your benefit and the benefit of the Company and are dated [•].</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[Insert 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8">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ectPr>
          <w:pgSz w:w="11900" w:h="16838" w:orient="portrait"/>
          <w:cols w:equalWidth="0" w:num="1">
            <w:col w:w="11000"/>
          </w:cols>
          <w:pgMar w:left="440" w:top="270" w:right="459" w:bottom="1440" w:gutter="0" w:footer="0" w:header="0"/>
        </w:sectPr>
      </w:pPr>
    </w:p>
    <w:bookmarkStart w:id="56" w:name="page57"/>
    <w:bookmarkEnd w:id="56"/>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SCHEDULE OF EXCHANGES OF SECURITIES</w:t>
      </w:r>
    </w:p>
    <w:p>
      <w:pPr>
        <w:spacing w:after="0" w:line="229" w:lineRule="exact"/>
        <w:rPr>
          <w:sz w:val="20"/>
          <w:szCs w:val="20"/>
          <w:color w:val="auto"/>
        </w:rPr>
      </w:pPr>
    </w:p>
    <w:p>
      <w:pPr>
        <w:spacing w:after="0"/>
        <w:tabs>
          <w:tab w:leader="none" w:pos="3980" w:val="left"/>
          <w:tab w:leader="none" w:pos="5560" w:val="left"/>
        </w:tabs>
        <w:rPr>
          <w:sz w:val="20"/>
          <w:szCs w:val="20"/>
          <w:color w:val="auto"/>
        </w:rPr>
      </w:pPr>
      <w:r>
        <w:rPr>
          <w:rFonts w:ascii="Arial" w:cs="Arial" w:eastAsia="Arial" w:hAnsi="Arial"/>
          <w:sz w:val="18"/>
          <w:szCs w:val="18"/>
          <w:color w:val="auto"/>
        </w:rPr>
        <w:t>The initial principal amount of this Global Note is</w:t>
      </w:r>
      <w:r>
        <w:rPr>
          <w:sz w:val="20"/>
          <w:szCs w:val="20"/>
          <w:color w:val="auto"/>
        </w:rPr>
        <w:tab/>
      </w:r>
      <w:r>
        <w:rPr>
          <w:rFonts w:ascii="Arial" w:cs="Arial" w:eastAsia="Arial" w:hAnsi="Arial"/>
          <w:sz w:val="18"/>
          <w:szCs w:val="18"/>
          <w:color w:val="auto"/>
        </w:rPr>
        <w:t>DOLLARS ($</w:t>
      </w:r>
      <w:r>
        <w:rPr>
          <w:sz w:val="20"/>
          <w:szCs w:val="20"/>
          <w:color w:val="auto"/>
        </w:rPr>
        <w:tab/>
      </w:r>
      <w:r>
        <w:rPr>
          <w:rFonts w:ascii="Arial" w:cs="Arial" w:eastAsia="Arial" w:hAnsi="Arial"/>
          <w:sz w:val="16"/>
          <w:szCs w:val="16"/>
          <w:color w:val="auto"/>
        </w:rPr>
        <w:t>). The following exchanges of a part of this Global Note for certificated</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Securities or a part of another Global Note have been made:</w:t>
      </w:r>
    </w:p>
    <w:p>
      <w:pPr>
        <w:sectPr>
          <w:pgSz w:w="11900" w:h="16838" w:orient="portrait"/>
          <w:cols w:equalWidth="0" w:num="1">
            <w:col w:w="11020"/>
          </w:cols>
          <w:pgMar w:left="440" w:top="270" w:right="439" w:bottom="1440" w:gutter="0" w:footer="0" w:header="0"/>
        </w:sectPr>
      </w:pPr>
    </w:p>
    <w:p>
      <w:pPr>
        <w:spacing w:after="0" w:line="200" w:lineRule="exact"/>
        <w:rPr>
          <w:sz w:val="20"/>
          <w:szCs w:val="20"/>
          <w:color w:val="auto"/>
        </w:rPr>
      </w:pPr>
    </w:p>
    <w:p>
      <w:pPr>
        <w:spacing w:after="0" w:line="314" w:lineRule="exact"/>
        <w:rPr>
          <w:sz w:val="20"/>
          <w:szCs w:val="20"/>
          <w:color w:val="auto"/>
        </w:rPr>
      </w:pPr>
    </w:p>
    <w:tbl>
      <w:tblPr>
        <w:tblLayout w:type="fixed"/>
        <w:tblInd w:w="660" w:type="dxa"/>
        <w:tblCellMar>
          <w:top w:w="0" w:type="dxa"/>
          <w:left w:w="0" w:type="dxa"/>
          <w:bottom w:w="0" w:type="dxa"/>
          <w:right w:w="0" w:type="dxa"/>
        </w:tblCellMar>
      </w:tblPr>
      <w:tr>
        <w:trPr>
          <w:trHeight w:val="161"/>
        </w:trPr>
        <w:tc>
          <w:tcPr>
            <w:tcW w:w="1900" w:type="dxa"/>
            <w:vAlign w:val="bottom"/>
          </w:tcPr>
          <w:p>
            <w:pPr>
              <w:spacing w:after="0"/>
              <w:rPr>
                <w:sz w:val="14"/>
                <w:szCs w:val="14"/>
                <w:color w:val="auto"/>
              </w:rPr>
            </w:pPr>
          </w:p>
        </w:tc>
        <w:tc>
          <w:tcPr>
            <w:tcW w:w="2100" w:type="dxa"/>
            <w:vAlign w:val="bottom"/>
          </w:tcPr>
          <w:p>
            <w:pPr>
              <w:jc w:val="center"/>
              <w:spacing w:after="0"/>
              <w:rPr>
                <w:sz w:val="20"/>
                <w:szCs w:val="20"/>
                <w:color w:val="auto"/>
              </w:rPr>
            </w:pPr>
            <w:r>
              <w:rPr>
                <w:rFonts w:ascii="Arial" w:cs="Arial" w:eastAsia="Arial" w:hAnsi="Arial"/>
                <w:sz w:val="14"/>
                <w:szCs w:val="14"/>
                <w:b w:val="1"/>
                <w:bCs w:val="1"/>
                <w:color w:val="auto"/>
                <w:w w:val="90"/>
              </w:rPr>
              <w:t>Amount of decrease</w:t>
            </w:r>
          </w:p>
        </w:tc>
      </w:tr>
      <w:tr>
        <w:trPr>
          <w:trHeight w:val="148"/>
        </w:trPr>
        <w:tc>
          <w:tcPr>
            <w:tcW w:w="1900" w:type="dxa"/>
            <w:vAlign w:val="bottom"/>
          </w:tcPr>
          <w:p>
            <w:pPr>
              <w:spacing w:after="0"/>
              <w:rPr>
                <w:sz w:val="12"/>
                <w:szCs w:val="12"/>
                <w:color w:val="auto"/>
              </w:rPr>
            </w:pPr>
          </w:p>
        </w:tc>
        <w:tc>
          <w:tcPr>
            <w:tcW w:w="21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in principal amount</w:t>
            </w:r>
          </w:p>
        </w:tc>
      </w:tr>
      <w:tr>
        <w:trPr>
          <w:trHeight w:val="200"/>
        </w:trPr>
        <w:tc>
          <w:tcPr>
            <w:tcW w:w="1900" w:type="dxa"/>
            <w:vAlign w:val="bottom"/>
          </w:tcPr>
          <w:p>
            <w:pPr>
              <w:spacing w:after="0"/>
              <w:rPr>
                <w:sz w:val="20"/>
                <w:szCs w:val="20"/>
                <w:color w:val="auto"/>
              </w:rPr>
            </w:pPr>
            <w:r>
              <w:rPr>
                <w:rFonts w:ascii="Arial" w:cs="Arial" w:eastAsia="Arial" w:hAnsi="Arial"/>
                <w:sz w:val="14"/>
                <w:szCs w:val="14"/>
                <w:b w:val="1"/>
                <w:bCs w:val="1"/>
                <w:color w:val="auto"/>
              </w:rPr>
              <w:t>Date of Exchange</w:t>
            </w:r>
          </w:p>
        </w:tc>
        <w:tc>
          <w:tcPr>
            <w:tcW w:w="2100" w:type="dxa"/>
            <w:vAlign w:val="bottom"/>
          </w:tcPr>
          <w:p>
            <w:pPr>
              <w:jc w:val="center"/>
              <w:spacing w:after="0"/>
              <w:rPr>
                <w:sz w:val="20"/>
                <w:szCs w:val="20"/>
                <w:color w:val="auto"/>
              </w:rPr>
            </w:pPr>
            <w:r>
              <w:rPr>
                <w:rFonts w:ascii="Arial" w:cs="Arial" w:eastAsia="Arial" w:hAnsi="Arial"/>
                <w:sz w:val="14"/>
                <w:szCs w:val="14"/>
                <w:b w:val="1"/>
                <w:bCs w:val="1"/>
                <w:color w:val="auto"/>
                <w:w w:val="91"/>
              </w:rPr>
              <w:t>of this Global Note</w:t>
            </w:r>
          </w:p>
        </w:tc>
      </w:tr>
      <w:tr>
        <w:trPr>
          <w:trHeight w:val="134"/>
        </w:trPr>
        <w:tc>
          <w:tcPr>
            <w:tcW w:w="1900" w:type="dxa"/>
            <w:vAlign w:val="bottom"/>
          </w:tcPr>
          <w:p>
            <w:pPr>
              <w:spacing w:after="0"/>
              <w:rPr>
                <w:sz w:val="11"/>
                <w:szCs w:val="11"/>
                <w:color w:val="auto"/>
              </w:rPr>
            </w:pPr>
          </w:p>
        </w:tc>
        <w:tc>
          <w:tcPr>
            <w:tcW w:w="2100" w:type="dxa"/>
            <w:vAlign w:val="bottom"/>
            <w:tcBorders>
              <w:bottom w:val="single" w:sz="8" w:color="auto"/>
            </w:tcBorders>
          </w:tcPr>
          <w:p>
            <w:pPr>
              <w:spacing w:after="0"/>
              <w:rPr>
                <w:sz w:val="11"/>
                <w:szCs w:val="11"/>
                <w:color w:val="auto"/>
              </w:rPr>
            </w:pPr>
          </w:p>
        </w:tc>
      </w:tr>
    </w:tbl>
    <w:p>
      <w:pPr>
        <w:spacing w:after="0" w:line="20" w:lineRule="exact"/>
        <w:rPr>
          <w:sz w:val="20"/>
          <w:szCs w:val="20"/>
          <w:color w:val="auto"/>
        </w:rPr>
      </w:pPr>
      <w:r>
        <w:rPr>
          <w:sz w:val="20"/>
          <w:szCs w:val="20"/>
          <w:color w:val="auto"/>
        </w:rPr>
        <w:br w:type="column"/>
      </w:r>
    </w:p>
    <w:p>
      <w:pPr>
        <w:spacing w:after="0" w:line="19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4"/>
              </w:rPr>
              <w:t>Principal amount of</w:t>
            </w:r>
          </w:p>
        </w:tc>
        <w:tc>
          <w:tcPr>
            <w:tcW w:w="120" w:type="dxa"/>
            <w:vAlign w:val="bottom"/>
          </w:tcPr>
          <w:p>
            <w:pPr>
              <w:spacing w:after="0"/>
              <w:rPr>
                <w:sz w:val="14"/>
                <w:szCs w:val="14"/>
                <w:color w:val="auto"/>
              </w:rPr>
            </w:pPr>
          </w:p>
        </w:tc>
        <w:tc>
          <w:tcPr>
            <w:tcW w:w="1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20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1"/>
              </w:rPr>
              <w:t>Amount of increase</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this Global Note</w:t>
            </w:r>
          </w:p>
        </w:tc>
        <w:tc>
          <w:tcPr>
            <w:tcW w:w="120" w:type="dxa"/>
            <w:vAlign w:val="bottom"/>
          </w:tcPr>
          <w:p>
            <w:pPr>
              <w:spacing w:after="0"/>
              <w:rPr>
                <w:sz w:val="12"/>
                <w:szCs w:val="12"/>
                <w:color w:val="auto"/>
              </w:rPr>
            </w:pPr>
          </w:p>
        </w:tc>
        <w:tc>
          <w:tcPr>
            <w:tcW w:w="17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 of</w:t>
            </w:r>
          </w:p>
        </w:tc>
        <w:tc>
          <w:tcPr>
            <w:tcW w:w="0" w:type="dxa"/>
            <w:vAlign w:val="bottom"/>
          </w:tcPr>
          <w:p>
            <w:pPr>
              <w:spacing w:after="0"/>
              <w:rPr>
                <w:sz w:val="1"/>
                <w:szCs w:val="1"/>
                <w:color w:val="auto"/>
              </w:rPr>
            </w:pPr>
          </w:p>
        </w:tc>
      </w:tr>
      <w:tr>
        <w:trPr>
          <w:trHeight w:val="149"/>
        </w:trPr>
        <w:tc>
          <w:tcPr>
            <w:tcW w:w="2200" w:type="dxa"/>
            <w:vAlign w:val="bottom"/>
            <w:vMerge w:val="continue"/>
          </w:tcPr>
          <w:p>
            <w:pPr>
              <w:spacing w:after="0"/>
              <w:rPr>
                <w:sz w:val="12"/>
                <w:szCs w:val="12"/>
                <w:color w:val="auto"/>
              </w:rPr>
            </w:pP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9"/>
              </w:rPr>
              <w:t>following such</w:t>
            </w:r>
          </w:p>
        </w:tc>
        <w:tc>
          <w:tcPr>
            <w:tcW w:w="120" w:type="dxa"/>
            <w:vAlign w:val="bottom"/>
          </w:tcPr>
          <w:p>
            <w:pPr>
              <w:spacing w:after="0"/>
              <w:rPr>
                <w:sz w:val="12"/>
                <w:szCs w:val="12"/>
                <w:color w:val="auto"/>
              </w:rPr>
            </w:pPr>
          </w:p>
        </w:tc>
        <w:tc>
          <w:tcPr>
            <w:tcW w:w="1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2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in principal amount</w:t>
            </w:r>
          </w:p>
        </w:tc>
        <w:tc>
          <w:tcPr>
            <w:tcW w:w="320" w:type="dxa"/>
            <w:vAlign w:val="bottom"/>
          </w:tcPr>
          <w:p>
            <w:pPr>
              <w:spacing w:after="0"/>
              <w:rPr>
                <w:sz w:val="12"/>
                <w:szCs w:val="12"/>
                <w:color w:val="auto"/>
              </w:rPr>
            </w:pPr>
          </w:p>
        </w:tc>
        <w:tc>
          <w:tcPr>
            <w:tcW w:w="18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5"/>
              </w:rPr>
              <w:t>decrease</w:t>
            </w:r>
          </w:p>
        </w:tc>
        <w:tc>
          <w:tcPr>
            <w:tcW w:w="120" w:type="dxa"/>
            <w:vAlign w:val="bottom"/>
          </w:tcPr>
          <w:p>
            <w:pPr>
              <w:spacing w:after="0"/>
              <w:rPr>
                <w:sz w:val="12"/>
                <w:szCs w:val="12"/>
                <w:color w:val="auto"/>
              </w:rPr>
            </w:pP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authorized signatory of</w:t>
            </w:r>
          </w:p>
        </w:tc>
        <w:tc>
          <w:tcPr>
            <w:tcW w:w="0" w:type="dxa"/>
            <w:vAlign w:val="bottom"/>
          </w:tcPr>
          <w:p>
            <w:pPr>
              <w:spacing w:after="0"/>
              <w:rPr>
                <w:sz w:val="1"/>
                <w:szCs w:val="1"/>
                <w:color w:val="auto"/>
              </w:rPr>
            </w:pPr>
          </w:p>
        </w:tc>
      </w:tr>
      <w:tr>
        <w:trPr>
          <w:trHeight w:val="186"/>
        </w:trPr>
        <w:tc>
          <w:tcPr>
            <w:tcW w:w="2200" w:type="dxa"/>
            <w:vAlign w:val="bottom"/>
          </w:tcPr>
          <w:p>
            <w:pPr>
              <w:jc w:val="center"/>
              <w:spacing w:after="0"/>
              <w:rPr>
                <w:sz w:val="20"/>
                <w:szCs w:val="20"/>
                <w:color w:val="auto"/>
              </w:rPr>
            </w:pPr>
            <w:r>
              <w:rPr>
                <w:rFonts w:ascii="Arial" w:cs="Arial" w:eastAsia="Arial" w:hAnsi="Arial"/>
                <w:sz w:val="14"/>
                <w:szCs w:val="14"/>
                <w:b w:val="1"/>
                <w:bCs w:val="1"/>
                <w:color w:val="auto"/>
                <w:w w:val="93"/>
              </w:rPr>
              <w:t>of this Global Note</w:t>
            </w:r>
          </w:p>
        </w:tc>
        <w:tc>
          <w:tcPr>
            <w:tcW w:w="320" w:type="dxa"/>
            <w:vAlign w:val="bottom"/>
          </w:tcPr>
          <w:p>
            <w:pPr>
              <w:spacing w:after="0"/>
              <w:rPr>
                <w:sz w:val="16"/>
                <w:szCs w:val="16"/>
                <w:color w:val="auto"/>
              </w:rPr>
            </w:pPr>
          </w:p>
        </w:tc>
        <w:tc>
          <w:tcPr>
            <w:tcW w:w="1860" w:type="dxa"/>
            <w:vAlign w:val="bottom"/>
          </w:tcPr>
          <w:p>
            <w:pPr>
              <w:jc w:val="center"/>
              <w:spacing w:after="0"/>
              <w:rPr>
                <w:sz w:val="20"/>
                <w:szCs w:val="20"/>
                <w:color w:val="auto"/>
              </w:rPr>
            </w:pPr>
            <w:r>
              <w:rPr>
                <w:rFonts w:ascii="Arial" w:cs="Arial" w:eastAsia="Arial" w:hAnsi="Arial"/>
                <w:sz w:val="14"/>
                <w:szCs w:val="14"/>
                <w:b w:val="1"/>
                <w:bCs w:val="1"/>
                <w:color w:val="auto"/>
                <w:w w:val="90"/>
              </w:rPr>
              <w:t>(or increase)</w:t>
            </w:r>
          </w:p>
        </w:tc>
        <w:tc>
          <w:tcPr>
            <w:tcW w:w="120" w:type="dxa"/>
            <w:vAlign w:val="bottom"/>
          </w:tcPr>
          <w:p>
            <w:pPr>
              <w:spacing w:after="0"/>
              <w:rPr>
                <w:sz w:val="16"/>
                <w:szCs w:val="16"/>
                <w:color w:val="auto"/>
              </w:rPr>
            </w:pPr>
          </w:p>
        </w:tc>
        <w:tc>
          <w:tcPr>
            <w:tcW w:w="1760" w:type="dxa"/>
            <w:vAlign w:val="bottom"/>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r>
        <w:trPr>
          <w:trHeight w:val="147"/>
        </w:trPr>
        <w:tc>
          <w:tcPr>
            <w:tcW w:w="2200" w:type="dxa"/>
            <w:vAlign w:val="bottom"/>
            <w:tcBorders>
              <w:bottom w:val="single" w:sz="8" w:color="auto"/>
            </w:tcBorders>
          </w:tcPr>
          <w:p>
            <w:pPr>
              <w:spacing w:after="0"/>
              <w:rPr>
                <w:sz w:val="12"/>
                <w:szCs w:val="12"/>
                <w:color w:val="auto"/>
              </w:rPr>
            </w:pPr>
          </w:p>
        </w:tc>
        <w:tc>
          <w:tcPr>
            <w:tcW w:w="320" w:type="dxa"/>
            <w:vAlign w:val="bottom"/>
          </w:tcPr>
          <w:p>
            <w:pPr>
              <w:spacing w:after="0"/>
              <w:rPr>
                <w:sz w:val="12"/>
                <w:szCs w:val="12"/>
                <w:color w:val="auto"/>
              </w:rPr>
            </w:pPr>
          </w:p>
        </w:tc>
        <w:tc>
          <w:tcPr>
            <w:tcW w:w="1860" w:type="dxa"/>
            <w:vAlign w:val="bottom"/>
            <w:tcBorders>
              <w:bottom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176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bl>
    <w:p>
      <w:pPr>
        <w:sectPr>
          <w:pgSz w:w="11900" w:h="16838" w:orient="portrait"/>
          <w:cols w:equalWidth="0" w:num="2">
            <w:col w:w="4660" w:space="100"/>
            <w:col w:w="6260"/>
          </w:cols>
          <w:pgMar w:left="440" w:top="270" w:right="439" w:bottom="1440" w:gutter="0" w:footer="0" w:header="0"/>
          <w:type w:val="continuous"/>
        </w:sectPr>
      </w:pPr>
    </w:p>
    <w:bookmarkStart w:id="57" w:name="page58"/>
    <w:bookmarkEnd w:id="57"/>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Security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301625</wp:posOffset>
            </wp:positionH>
            <wp:positionV relativeFrom="paragraph">
              <wp:posOffset>-10160</wp:posOffset>
            </wp:positionV>
            <wp:extent cx="2799080"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1">
                      <a:extLst>
                        <a:ext uri="{28A0092B-C50C-407E-A947-70E740481C1C}"/>
                      </a:extLst>
                    </a:blip>
                    <a:srcRect/>
                    <a:stretch>
                      <a:fillRect/>
                    </a:stretch>
                  </pic:blipFill>
                  <pic:spPr bwMode="auto">
                    <a:xfrm>
                      <a:off x="0" y="0"/>
                      <a:ext cx="2799080" cy="8255"/>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467360</wp:posOffset>
            </wp:positionH>
            <wp:positionV relativeFrom="paragraph">
              <wp:posOffset>-10160</wp:posOffset>
            </wp:positionV>
            <wp:extent cx="2684780"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2">
                      <a:extLst>
                        <a:ext uri="{28A0092B-C50C-407E-A947-70E740481C1C}"/>
                      </a:extLst>
                    </a:blip>
                    <a:srcRect/>
                    <a:stretch>
                      <a:fillRect/>
                    </a:stretch>
                  </pic:blipFill>
                  <pic:spPr bwMode="auto">
                    <a:xfrm>
                      <a:off x="0" y="0"/>
                      <a:ext cx="2684780" cy="8255"/>
                    </a:xfrm>
                    <a:prstGeom prst="rect">
                      <a:avLst/>
                    </a:prstGeom>
                    <a:noFill/>
                  </pic:spPr>
                </pic:pic>
              </a:graphicData>
            </a:graphic>
          </wp:anchor>
        </w:drawing>
      </w:r>
    </w:p>
    <w:p>
      <w:pPr>
        <w:spacing w:after="0" w:line="20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25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ectPr>
          <w:pgSz w:w="11900" w:h="16838" w:orient="portrait"/>
          <w:cols w:equalWidth="0" w:num="1">
            <w:col w:w="10960"/>
          </w:cols>
          <w:pgMar w:left="440" w:top="270" w:right="499" w:bottom="1440" w:gutter="0" w:footer="0" w:header="0"/>
        </w:sectPr>
      </w:pPr>
    </w:p>
    <w:bookmarkStart w:id="58" w:name="page59"/>
    <w:bookmarkEnd w:id="58"/>
    <w:tbl>
      <w:tblPr>
        <w:tblLayout w:type="fixed"/>
        <w:tblInd w:w="0" w:type="dxa"/>
        <w:tblCellMar>
          <w:top w:w="0" w:type="dxa"/>
          <w:left w:w="0" w:type="dxa"/>
          <w:bottom w:w="0" w:type="dxa"/>
          <w:right w:w="0" w:type="dxa"/>
        </w:tblCellMar>
      </w:tblPr>
      <w:tr>
        <w:trPr>
          <w:trHeight w:val="234"/>
        </w:trPr>
        <w:tc>
          <w:tcPr>
            <w:tcW w:w="420" w:type="dxa"/>
            <w:vAlign w:val="bottom"/>
          </w:tcPr>
          <w:p>
            <w:pPr>
              <w:spacing w:after="0"/>
              <w:rPr>
                <w:sz w:val="20"/>
                <w:szCs w:val="20"/>
                <w:color w:val="auto"/>
              </w:rPr>
            </w:pPr>
          </w:p>
        </w:tc>
        <w:tc>
          <w:tcPr>
            <w:tcW w:w="346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3980" w:type="dxa"/>
            <w:vAlign w:val="bottom"/>
          </w:tcPr>
          <w:p>
            <w:pPr>
              <w:ind w:left="3020"/>
              <w:spacing w:after="0"/>
              <w:rPr>
                <w:sz w:val="20"/>
                <w:szCs w:val="20"/>
                <w:color w:val="auto"/>
              </w:rPr>
            </w:pPr>
            <w:r>
              <w:rPr>
                <w:rFonts w:ascii="Arial" w:cs="Arial" w:eastAsia="Arial" w:hAnsi="Arial"/>
                <w:sz w:val="18"/>
                <w:szCs w:val="18"/>
                <w:b w:val="1"/>
                <w:bCs w:val="1"/>
                <w:color w:val="auto"/>
              </w:rPr>
              <w:t>EXHIBIT C</w:t>
            </w:r>
          </w:p>
        </w:tc>
      </w:tr>
      <w:tr>
        <w:trPr>
          <w:trHeight w:val="648"/>
        </w:trPr>
        <w:tc>
          <w:tcPr>
            <w:tcW w:w="420" w:type="dxa"/>
            <w:vAlign w:val="bottom"/>
          </w:tcPr>
          <w:p>
            <w:pPr>
              <w:spacing w:after="0"/>
              <w:rPr>
                <w:sz w:val="24"/>
                <w:szCs w:val="24"/>
                <w:color w:val="auto"/>
              </w:rPr>
            </w:pPr>
          </w:p>
        </w:tc>
        <w:tc>
          <w:tcPr>
            <w:tcW w:w="10600" w:type="dxa"/>
            <w:vAlign w:val="bottom"/>
            <w:gridSpan w:val="4"/>
          </w:tcPr>
          <w:p>
            <w:pPr>
              <w:ind w:left="3060"/>
              <w:spacing w:after="0"/>
              <w:rPr>
                <w:sz w:val="20"/>
                <w:szCs w:val="20"/>
                <w:color w:val="auto"/>
              </w:rPr>
            </w:pPr>
            <w:r>
              <w:rPr>
                <w:rFonts w:ascii="Arial" w:cs="Arial" w:eastAsia="Arial" w:hAnsi="Arial"/>
                <w:sz w:val="18"/>
                <w:szCs w:val="18"/>
                <w:b w:val="1"/>
                <w:bCs w:val="1"/>
                <w:color w:val="auto"/>
              </w:rPr>
              <w:t>Form of Supplemental Indenture to Add Guarantors</w:t>
            </w:r>
          </w:p>
        </w:tc>
      </w:tr>
      <w:tr>
        <w:trPr>
          <w:trHeight w:val="283"/>
        </w:trPr>
        <w:tc>
          <w:tcPr>
            <w:tcW w:w="420" w:type="dxa"/>
            <w:vAlign w:val="bottom"/>
          </w:tcPr>
          <w:p>
            <w:pPr>
              <w:jc w:val="right"/>
              <w:ind w:right="270"/>
              <w:spacing w:after="0"/>
              <w:rPr>
                <w:sz w:val="20"/>
                <w:szCs w:val="20"/>
                <w:color w:val="auto"/>
              </w:rPr>
            </w:pPr>
            <w:r>
              <w:rPr>
                <w:rFonts w:ascii="Arial" w:cs="Arial" w:eastAsia="Arial" w:hAnsi="Arial"/>
                <w:sz w:val="18"/>
                <w:szCs w:val="18"/>
                <w:color w:val="auto"/>
                <w:w w:val="78"/>
              </w:rPr>
              <w:t>[</w:t>
            </w:r>
          </w:p>
        </w:tc>
        <w:tc>
          <w:tcPr>
            <w:tcW w:w="6620" w:type="dxa"/>
            <w:vAlign w:val="bottom"/>
            <w:gridSpan w:val="3"/>
          </w:tcPr>
          <w:p>
            <w:pPr>
              <w:ind w:left="360"/>
              <w:spacing w:after="0"/>
              <w:rPr>
                <w:sz w:val="20"/>
                <w:szCs w:val="20"/>
                <w:color w:val="auto"/>
              </w:rPr>
            </w:pPr>
            <w:r>
              <w:rPr>
                <w:rFonts w:ascii="Arial" w:cs="Arial" w:eastAsia="Arial" w:hAnsi="Arial"/>
                <w:sz w:val="18"/>
                <w:szCs w:val="18"/>
                <w:color w:val="auto"/>
                <w:w w:val="99"/>
              </w:rPr>
              <w:t>] SUPPLEMENTAL INDENTURE, (this “Supplemental Indenture”) dated as of [</w:t>
            </w:r>
          </w:p>
        </w:tc>
        <w:tc>
          <w:tcPr>
            <w:tcW w:w="3980" w:type="dxa"/>
            <w:vAlign w:val="bottom"/>
          </w:tcPr>
          <w:p>
            <w:pPr>
              <w:ind w:left="400"/>
              <w:spacing w:after="0"/>
              <w:rPr>
                <w:sz w:val="20"/>
                <w:szCs w:val="20"/>
                <w:color w:val="auto"/>
              </w:rPr>
            </w:pPr>
            <w:r>
              <w:rPr>
                <w:rFonts w:ascii="Arial" w:cs="Arial" w:eastAsia="Arial" w:hAnsi="Arial"/>
                <w:sz w:val="18"/>
                <w:szCs w:val="18"/>
                <w:color w:val="auto"/>
                <w:w w:val="94"/>
              </w:rPr>
              <w:t>], by and among the parties that are signatories</w:t>
            </w:r>
          </w:p>
        </w:tc>
      </w:tr>
      <w:tr>
        <w:trPr>
          <w:trHeight w:val="20"/>
        </w:trPr>
        <w:tc>
          <w:tcPr>
            <w:tcW w:w="420" w:type="dxa"/>
            <w:vAlign w:val="bottom"/>
          </w:tcPr>
          <w:p>
            <w:pPr>
              <w:spacing w:after="0" w:line="20" w:lineRule="exact"/>
              <w:rPr>
                <w:sz w:val="1"/>
                <w:szCs w:val="1"/>
                <w:color w:val="auto"/>
              </w:rPr>
            </w:pPr>
          </w:p>
        </w:tc>
        <w:tc>
          <w:tcPr>
            <w:tcW w:w="3460" w:type="dxa"/>
            <w:vAlign w:val="bottom"/>
          </w:tcPr>
          <w:p>
            <w:pPr>
              <w:spacing w:after="0" w:line="20" w:lineRule="exact"/>
              <w:rPr>
                <w:sz w:val="1"/>
                <w:szCs w:val="1"/>
                <w:color w:val="auto"/>
              </w:rPr>
            </w:pPr>
          </w:p>
        </w:tc>
        <w:tc>
          <w:tcPr>
            <w:tcW w:w="1720" w:type="dxa"/>
            <w:vAlign w:val="bottom"/>
            <w:shd w:val="clear" w:color="auto" w:fill="000000"/>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bl>
    <w:p>
      <w:pPr>
        <w:spacing w:after="0" w:line="1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rPr>
          <w:sz w:val="20"/>
          <w:szCs w:val="20"/>
          <w:color w:val="auto"/>
        </w:rPr>
      </w:pPr>
      <w:r>
        <w:rPr>
          <w:rFonts w:ascii="Arial" w:cs="Arial" w:eastAsia="Arial" w:hAnsi="Arial"/>
          <w:sz w:val="16"/>
          <w:szCs w:val="16"/>
          <w:color w:val="auto"/>
        </w:rPr>
        <w:t>hereto as Guarantors (the “</w:t>
      </w:r>
      <w:r>
        <w:rPr>
          <w:rFonts w:ascii="Arial" w:cs="Arial" w:eastAsia="Arial" w:hAnsi="Arial"/>
          <w:sz w:val="16"/>
          <w:szCs w:val="16"/>
          <w:u w:val="single" w:color="auto"/>
          <w:color w:val="auto"/>
        </w:rPr>
        <w:t>Guaranteeing Entities</w:t>
      </w:r>
      <w:r>
        <w:rPr>
          <w:rFonts w:ascii="Arial" w:cs="Arial" w:eastAsia="Arial" w:hAnsi="Arial"/>
          <w:sz w:val="16"/>
          <w:szCs w:val="16"/>
          <w:color w:val="auto"/>
        </w:rPr>
        <w:t>” and each a “</w:t>
      </w:r>
      <w:r>
        <w:rPr>
          <w:rFonts w:ascii="Arial" w:cs="Arial" w:eastAsia="Arial" w:hAnsi="Arial"/>
          <w:sz w:val="16"/>
          <w:szCs w:val="16"/>
          <w:u w:val="single" w:color="auto"/>
          <w:color w:val="auto"/>
        </w:rPr>
        <w:t>Guaranteeing Entity</w:t>
      </w:r>
      <w:r>
        <w:rPr>
          <w:rFonts w:ascii="Arial" w:cs="Arial" w:eastAsia="Arial" w:hAnsi="Arial"/>
          <w:sz w:val="16"/>
          <w:szCs w:val="16"/>
          <w:color w:val="auto"/>
        </w:rPr>
        <w:t>”), Marvell Technology, Inc., as issuer (the “</w:t>
      </w:r>
      <w:r>
        <w:rPr>
          <w:rFonts w:ascii="Arial" w:cs="Arial" w:eastAsia="Arial" w:hAnsi="Arial"/>
          <w:sz w:val="16"/>
          <w:szCs w:val="16"/>
          <w:u w:val="single" w:color="auto"/>
          <w:color w:val="auto"/>
        </w:rPr>
        <w:t>Company</w:t>
      </w:r>
      <w:r>
        <w:rPr>
          <w:rFonts w:ascii="Arial" w:cs="Arial" w:eastAsia="Arial" w:hAnsi="Arial"/>
          <w:sz w:val="16"/>
          <w:szCs w:val="16"/>
          <w:color w:val="auto"/>
        </w:rPr>
        <w:t>”), and U.S.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Bank National Association, a national banking association, as Trustee under the Indenture referred to below.</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W I T N E S S E T H</w:t>
      </w:r>
      <w:r>
        <w:rPr>
          <w:rFonts w:ascii="Arial" w:cs="Arial" w:eastAsia="Arial" w:hAnsi="Arial"/>
          <w:sz w:val="18"/>
          <w:szCs w:val="18"/>
          <w:color w:val="auto"/>
        </w:rPr>
        <w:t>:</w:t>
      </w:r>
    </w:p>
    <w:p>
      <w:pPr>
        <w:spacing w:after="0" w:line="225" w:lineRule="exact"/>
        <w:rPr>
          <w:sz w:val="20"/>
          <w:szCs w:val="20"/>
          <w:color w:val="auto"/>
        </w:rPr>
      </w:pPr>
    </w:p>
    <w:p>
      <w:pPr>
        <w:ind w:right="340" w:firstLine="440"/>
        <w:spacing w:after="0" w:line="301" w:lineRule="auto"/>
        <w:rPr>
          <w:sz w:val="20"/>
          <w:szCs w:val="20"/>
          <w:color w:val="auto"/>
        </w:rPr>
      </w:pPr>
      <w:r>
        <w:rPr>
          <w:rFonts w:ascii="Arial" w:cs="Arial" w:eastAsia="Arial" w:hAnsi="Arial"/>
          <w:sz w:val="16"/>
          <w:szCs w:val="16"/>
          <w:color w:val="auto"/>
        </w:rPr>
        <w:t>WHEREAS, each of the Company and the Trustee has heretofore executed and delivered an Indenture, dated as of April 12, 2021, as supplemented by the Second Supplemental Indenture, dated as of May 4, 2021, between the Company and the Trustee (as further amended, supplemented, waived or otherwise modified, the “</w:t>
      </w:r>
      <w:r>
        <w:rPr>
          <w:rFonts w:ascii="Arial" w:cs="Arial" w:eastAsia="Arial" w:hAnsi="Arial"/>
          <w:sz w:val="16"/>
          <w:szCs w:val="16"/>
          <w:u w:val="single" w:color="auto"/>
          <w:color w:val="auto"/>
        </w:rPr>
        <w:t>Indenture</w:t>
      </w:r>
      <w:r>
        <w:rPr>
          <w:rFonts w:ascii="Arial" w:cs="Arial" w:eastAsia="Arial" w:hAnsi="Arial"/>
          <w:sz w:val="16"/>
          <w:szCs w:val="16"/>
          <w:color w:val="auto"/>
        </w:rPr>
        <w:t>”), providing for the issuance of $433,817,000 in aggregate principal amount of 4.200% Senior Notes due 2023 and $479,394,000 in aggregate principal amount of 4.875% Senior Notes due 2028 of the Company (the “</w:t>
      </w:r>
      <w:r>
        <w:rPr>
          <w:rFonts w:ascii="Arial" w:cs="Arial" w:eastAsia="Arial" w:hAnsi="Arial"/>
          <w:sz w:val="16"/>
          <w:szCs w:val="16"/>
          <w:u w:val="single" w:color="auto"/>
          <w:color w:val="auto"/>
        </w:rPr>
        <w:t>Notes</w:t>
      </w:r>
      <w:r>
        <w:rPr>
          <w:rFonts w:ascii="Arial" w:cs="Arial" w:eastAsia="Arial" w:hAnsi="Arial"/>
          <w:sz w:val="16"/>
          <w:szCs w:val="16"/>
          <w:color w:val="auto"/>
        </w:rPr>
        <w:t>”);</w:t>
      </w:r>
    </w:p>
    <w:p>
      <w:pPr>
        <w:spacing w:after="0" w:line="157"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WHEREAS, the Indenture provides that under certain circumstances, each Guaranteeing Entity shall execute and deliver to the Trustee a supplemental indenture pursuant to which such Guaranteeing Entity shall unconditionally guarantee, on a joint and several basis with the other Guarantors, all of the Company’s obligations under the Notes and the Indenture on the terms and conditions set forth herein and under the Indenture (the “</w:t>
      </w:r>
      <w:r>
        <w:rPr>
          <w:rFonts w:ascii="Arial" w:cs="Arial" w:eastAsia="Arial" w:hAnsi="Arial"/>
          <w:sz w:val="18"/>
          <w:szCs w:val="18"/>
          <w:u w:val="single" w:color="auto"/>
          <w:color w:val="auto"/>
        </w:rPr>
        <w:t>guarantee</w:t>
      </w:r>
      <w:r>
        <w:rPr>
          <w:rFonts w:ascii="Arial" w:cs="Arial" w:eastAsia="Arial" w:hAnsi="Arial"/>
          <w:sz w:val="18"/>
          <w:szCs w:val="18"/>
          <w:color w:val="auto"/>
        </w:rPr>
        <w:t>”); and</w:t>
      </w:r>
    </w:p>
    <w:p>
      <w:pPr>
        <w:spacing w:after="0" w:line="187" w:lineRule="exact"/>
        <w:rPr>
          <w:sz w:val="20"/>
          <w:szCs w:val="20"/>
          <w:color w:val="auto"/>
        </w:rPr>
      </w:pPr>
    </w:p>
    <w:p>
      <w:pPr>
        <w:ind w:right="580" w:firstLine="440"/>
        <w:spacing w:after="0" w:line="277" w:lineRule="auto"/>
        <w:rPr>
          <w:sz w:val="20"/>
          <w:szCs w:val="20"/>
          <w:color w:val="auto"/>
        </w:rPr>
      </w:pPr>
      <w:r>
        <w:rPr>
          <w:rFonts w:ascii="Arial" w:cs="Arial" w:eastAsia="Arial" w:hAnsi="Arial"/>
          <w:sz w:val="18"/>
          <w:szCs w:val="18"/>
          <w:color w:val="auto"/>
        </w:rPr>
        <w:t>WHEREAS, pursuant to Section 901 of the Indenture, the Company, any Guarantor and the Trustee are authorized to execute and deliver a supplemental indenture to add additional Guarantors, without the consent of any Holder.</w:t>
      </w:r>
    </w:p>
    <w:p>
      <w:pPr>
        <w:spacing w:after="0" w:line="170" w:lineRule="exact"/>
        <w:rPr>
          <w:sz w:val="20"/>
          <w:szCs w:val="20"/>
          <w:color w:val="auto"/>
        </w:rPr>
      </w:pPr>
    </w:p>
    <w:p>
      <w:pPr>
        <w:ind w:right="520" w:firstLine="440"/>
        <w:spacing w:after="0" w:line="263" w:lineRule="auto"/>
        <w:rPr>
          <w:sz w:val="20"/>
          <w:szCs w:val="20"/>
          <w:color w:val="auto"/>
        </w:rPr>
      </w:pPr>
      <w:r>
        <w:rPr>
          <w:rFonts w:ascii="Arial" w:cs="Arial" w:eastAsia="Arial" w:hAnsi="Arial"/>
          <w:sz w:val="18"/>
          <w:szCs w:val="18"/>
          <w:color w:val="auto"/>
        </w:rPr>
        <w:t>NOW, THEREFORE, in consideration of the foregoing and for other good and valuable consideration, the receipt of which is hereby acknowledged, the Guaranteeing Entity, the Company, the other Guarantors and the Trustee mutually covenant and agree for the equal and ratable benefit of the Holders as follows:</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DEFINITIONS</w:t>
      </w:r>
    </w:p>
    <w:p>
      <w:pPr>
        <w:spacing w:after="0" w:line="225"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i w:val="1"/>
          <w:iCs w:val="1"/>
          <w:color w:val="auto"/>
        </w:rPr>
        <w:t>Defined Terms</w:t>
      </w:r>
      <w:r>
        <w:rPr>
          <w:rFonts w:ascii="Arial" w:cs="Arial" w:eastAsia="Arial" w:hAnsi="Arial"/>
          <w:sz w:val="18"/>
          <w:szCs w:val="18"/>
          <w:color w:val="auto"/>
        </w:rPr>
        <w:t>. As used in this Supplemental Indenture, terms defined in the Indenture or in the preamble or recitals hereto are used herein as therein defined. The words “herein,” “hereof” and “hereby” and other words of similar import used in this Supplemental Indenture refer to this Supplemental Indenture as a whole and not to any particular Section hereof.</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TO BE BOUND; GUARANTEE</w:t>
      </w:r>
    </w:p>
    <w:p>
      <w:pPr>
        <w:spacing w:after="0" w:line="225"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i w:val="1"/>
          <w:iCs w:val="1"/>
          <w:color w:val="auto"/>
        </w:rPr>
        <w:t>Agreement to be Bound</w:t>
      </w:r>
      <w:r>
        <w:rPr>
          <w:rFonts w:ascii="Arial" w:cs="Arial" w:eastAsia="Arial" w:hAnsi="Arial"/>
          <w:sz w:val="18"/>
          <w:szCs w:val="18"/>
          <w:color w:val="auto"/>
        </w:rPr>
        <w:t>. Each Guaranteeing Entity hereby becomes a party to the Indenture as a Guarantor and as such will have all of the rights and be subject to all of the obligations and agreements of a Guarantor under the Indenture.</w:t>
      </w:r>
    </w:p>
    <w:p>
      <w:pPr>
        <w:spacing w:after="0" w:line="170" w:lineRule="exact"/>
        <w:rPr>
          <w:sz w:val="20"/>
          <w:szCs w:val="20"/>
          <w:color w:val="auto"/>
        </w:rPr>
      </w:pPr>
    </w:p>
    <w:p>
      <w:pPr>
        <w:jc w:val="both"/>
        <w:ind w:right="60" w:firstLine="440"/>
        <w:spacing w:after="0" w:line="263" w:lineRule="auto"/>
        <w:rPr>
          <w:sz w:val="20"/>
          <w:szCs w:val="20"/>
          <w:color w:val="auto"/>
        </w:rPr>
      </w:pPr>
      <w:r>
        <w:rPr>
          <w:rFonts w:ascii="Arial" w:cs="Arial" w:eastAsia="Arial" w:hAnsi="Arial"/>
          <w:sz w:val="18"/>
          <w:szCs w:val="18"/>
          <w:color w:val="auto"/>
        </w:rPr>
        <w:t xml:space="preserve">Section 2.2. </w:t>
      </w:r>
      <w:r>
        <w:rPr>
          <w:rFonts w:ascii="Arial" w:cs="Arial" w:eastAsia="Arial" w:hAnsi="Arial"/>
          <w:sz w:val="18"/>
          <w:szCs w:val="18"/>
          <w:i w:val="1"/>
          <w:iCs w:val="1"/>
          <w:color w:val="auto"/>
        </w:rPr>
        <w:t>Guarantee</w:t>
      </w:r>
      <w:r>
        <w:rPr>
          <w:rFonts w:ascii="Arial" w:cs="Arial" w:eastAsia="Arial" w:hAnsi="Arial"/>
          <w:sz w:val="18"/>
          <w:szCs w:val="18"/>
          <w:color w:val="auto"/>
        </w:rPr>
        <w:t>. Each Guaranteeing Entity agrees, on a joint and several basis with all the existing Guarantors [and the other Guaranteeing Entities], to fully, unconditionally and irrevocably guarantee to each Holder of the Notes and the Trustee the Guaranteed Obligations pursuant to Article VII of the Second Supplemental Indenture on a senior basis.</w:t>
      </w:r>
    </w:p>
    <w:p>
      <w:pPr>
        <w:sectPr>
          <w:pgSz w:w="11900" w:h="16838" w:orient="portrait"/>
          <w:cols w:equalWidth="0" w:num="1">
            <w:col w:w="11020"/>
          </w:cols>
          <w:pgMar w:left="440" w:top="270" w:right="439" w:bottom="1440" w:gutter="0" w:footer="0" w:header="0"/>
        </w:sectPr>
      </w:pPr>
    </w:p>
    <w:bookmarkStart w:id="59" w:name="page60"/>
    <w:bookmarkEnd w:id="59"/>
    <w:p>
      <w:pPr>
        <w:jc w:val="center"/>
        <w:ind w:right="-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III</w:t>
      </w:r>
    </w:p>
    <w:p>
      <w:pPr>
        <w:spacing w:after="0" w:line="2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MISCELLANEOUS</w:t>
      </w:r>
    </w:p>
    <w:p>
      <w:pPr>
        <w:spacing w:after="0" w:line="211" w:lineRule="exact"/>
        <w:rPr>
          <w:sz w:val="20"/>
          <w:szCs w:val="20"/>
          <w:color w:val="auto"/>
        </w:rPr>
      </w:pPr>
    </w:p>
    <w:p>
      <w:pPr>
        <w:ind w:right="540" w:firstLine="440"/>
        <w:spacing w:after="0" w:line="342" w:lineRule="auto"/>
        <w:rPr>
          <w:sz w:val="20"/>
          <w:szCs w:val="20"/>
          <w:color w:val="auto"/>
        </w:rPr>
      </w:pPr>
      <w:r>
        <w:rPr>
          <w:rFonts w:ascii="Arial" w:cs="Arial" w:eastAsia="Arial" w:hAnsi="Arial"/>
          <w:sz w:val="16"/>
          <w:szCs w:val="16"/>
          <w:color w:val="auto"/>
        </w:rPr>
        <w:t xml:space="preserve">Section 3.1. </w:t>
      </w:r>
      <w:r>
        <w:rPr>
          <w:rFonts w:ascii="Arial" w:cs="Arial" w:eastAsia="Arial" w:hAnsi="Arial"/>
          <w:sz w:val="16"/>
          <w:szCs w:val="16"/>
          <w:i w:val="1"/>
          <w:iCs w:val="1"/>
          <w:color w:val="auto"/>
        </w:rPr>
        <w:t>Notices</w:t>
      </w:r>
      <w:r>
        <w:rPr>
          <w:rFonts w:ascii="Arial" w:cs="Arial" w:eastAsia="Arial" w:hAnsi="Arial"/>
          <w:sz w:val="16"/>
          <w:szCs w:val="16"/>
          <w:color w:val="auto"/>
        </w:rPr>
        <w:t>. All notices and other communications to the Guaranteeing Entities shall be given as provided in the Indenture to such Guaranteeing Entities, at their addresses set forth below, with a copy to the Company as provided in the Indenture for notices to the Company.</w:t>
      </w:r>
    </w:p>
    <w:p>
      <w:pPr>
        <w:spacing w:after="0" w:line="1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[INSERT ADDRESS]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6"/>
          <w:szCs w:val="16"/>
          <w:color w:val="auto"/>
        </w:rPr>
        <w:t xml:space="preserve">Section 3.2. </w:t>
      </w:r>
      <w:r>
        <w:rPr>
          <w:rFonts w:ascii="Arial" w:cs="Arial" w:eastAsia="Arial" w:hAnsi="Arial"/>
          <w:sz w:val="16"/>
          <w:szCs w:val="16"/>
          <w:i w:val="1"/>
          <w:iCs w:val="1"/>
          <w:color w:val="auto"/>
        </w:rPr>
        <w:t>Release of Guarantee</w:t>
      </w:r>
      <w:r>
        <w:rPr>
          <w:rFonts w:ascii="Arial" w:cs="Arial" w:eastAsia="Arial" w:hAnsi="Arial"/>
          <w:sz w:val="16"/>
          <w:szCs w:val="16"/>
          <w:color w:val="auto"/>
        </w:rPr>
        <w:t>. This guarantee shall be released in accordance with Section 7.02 of the Second Supplemental Indenture.</w:t>
      </w:r>
    </w:p>
    <w:p>
      <w:pPr>
        <w:spacing w:after="0" w:line="248"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 xml:space="preserve">Section 3.3. </w:t>
      </w:r>
      <w:r>
        <w:rPr>
          <w:rFonts w:ascii="Arial" w:cs="Arial" w:eastAsia="Arial" w:hAnsi="Arial"/>
          <w:sz w:val="18"/>
          <w:szCs w:val="18"/>
          <w:i w:val="1"/>
          <w:iCs w:val="1"/>
          <w:color w:val="auto"/>
        </w:rPr>
        <w:t>Parties</w:t>
      </w:r>
      <w:r>
        <w:rPr>
          <w:rFonts w:ascii="Arial" w:cs="Arial" w:eastAsia="Arial" w:hAnsi="Arial"/>
          <w:sz w:val="18"/>
          <w:szCs w:val="18"/>
          <w:color w:val="auto"/>
        </w:rPr>
        <w:t>. Nothing expressed or mentioned herein is intended or shall be construed to give any Person, firm or corporation, other than the Holders and the Trustee, any legal or equitable right, remedy or claim under or in respect of this Supplemental Indenture or the Indenture or any provision herein or therein contained.</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6"/>
          <w:szCs w:val="16"/>
          <w:color w:val="auto"/>
        </w:rPr>
        <w:t xml:space="preserve">Section 3.4. </w:t>
      </w:r>
      <w:r>
        <w:rPr>
          <w:rFonts w:ascii="Arial" w:cs="Arial" w:eastAsia="Arial" w:hAnsi="Arial"/>
          <w:sz w:val="16"/>
          <w:szCs w:val="16"/>
          <w:i w:val="1"/>
          <w:iCs w:val="1"/>
          <w:color w:val="auto"/>
        </w:rPr>
        <w:t>Governing Law</w:t>
      </w:r>
      <w:r>
        <w:rPr>
          <w:rFonts w:ascii="Arial" w:cs="Arial" w:eastAsia="Arial" w:hAnsi="Arial"/>
          <w:sz w:val="16"/>
          <w:szCs w:val="16"/>
          <w:color w:val="auto"/>
        </w:rPr>
        <w:t>. This Supplemental Indenture shall be governed by, and construed in accordance with, the laws of the State of New</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York.</w:t>
      </w:r>
    </w:p>
    <w:p>
      <w:pPr>
        <w:spacing w:after="0" w:line="211" w:lineRule="exact"/>
        <w:rPr>
          <w:sz w:val="20"/>
          <w:szCs w:val="20"/>
          <w:color w:val="auto"/>
        </w:rPr>
      </w:pPr>
    </w:p>
    <w:p>
      <w:pPr>
        <w:jc w:val="both"/>
        <w:ind w:right="40" w:firstLine="440"/>
        <w:spacing w:after="0" w:line="263" w:lineRule="auto"/>
        <w:rPr>
          <w:sz w:val="20"/>
          <w:szCs w:val="20"/>
          <w:color w:val="auto"/>
        </w:rPr>
      </w:pPr>
      <w:r>
        <w:rPr>
          <w:rFonts w:ascii="Arial" w:cs="Arial" w:eastAsia="Arial" w:hAnsi="Arial"/>
          <w:sz w:val="18"/>
          <w:szCs w:val="18"/>
          <w:color w:val="auto"/>
        </w:rPr>
        <w:t xml:space="preserve">Section 3.5. </w:t>
      </w:r>
      <w:r>
        <w:rPr>
          <w:rFonts w:ascii="Arial" w:cs="Arial" w:eastAsia="Arial" w:hAnsi="Arial"/>
          <w:sz w:val="18"/>
          <w:szCs w:val="18"/>
          <w:i w:val="1"/>
          <w:iCs w:val="1"/>
          <w:color w:val="auto"/>
        </w:rPr>
        <w:t>Severability</w:t>
      </w:r>
      <w:r>
        <w:rPr>
          <w:rFonts w:ascii="Arial" w:cs="Arial" w:eastAsia="Arial" w:hAnsi="Arial"/>
          <w:sz w:val="18"/>
          <w:szCs w:val="18"/>
          <w:color w:val="auto"/>
        </w:rPr>
        <w:t>. In case any provision in this Supplemental Indenture shall be invalid, illegal or unenforceable, the validity, legality and enforceability of the remaining provisions shall not in any way be affected or impaired thereby and such provision shall be ineffective only to the extent of such invalidity, illegality or unenforceability.</w:t>
      </w:r>
    </w:p>
    <w:p>
      <w:pPr>
        <w:spacing w:after="0" w:line="184" w:lineRule="exact"/>
        <w:rPr>
          <w:sz w:val="20"/>
          <w:szCs w:val="20"/>
          <w:color w:val="auto"/>
        </w:rPr>
      </w:pPr>
    </w:p>
    <w:p>
      <w:pPr>
        <w:ind w:right="180" w:firstLine="440"/>
        <w:spacing w:after="0" w:line="259" w:lineRule="auto"/>
        <w:rPr>
          <w:sz w:val="20"/>
          <w:szCs w:val="20"/>
          <w:color w:val="auto"/>
        </w:rPr>
      </w:pPr>
      <w:r>
        <w:rPr>
          <w:rFonts w:ascii="Arial" w:cs="Arial" w:eastAsia="Arial" w:hAnsi="Arial"/>
          <w:sz w:val="18"/>
          <w:szCs w:val="18"/>
          <w:color w:val="auto"/>
        </w:rPr>
        <w:t xml:space="preserve">Section 3.6. </w:t>
      </w:r>
      <w:r>
        <w:rPr>
          <w:rFonts w:ascii="Arial" w:cs="Arial" w:eastAsia="Arial" w:hAnsi="Arial"/>
          <w:sz w:val="18"/>
          <w:szCs w:val="18"/>
          <w:i w:val="1"/>
          <w:iCs w:val="1"/>
          <w:color w:val="auto"/>
        </w:rPr>
        <w:t>Benefits Acknowledged</w:t>
      </w:r>
      <w:r>
        <w:rPr>
          <w:rFonts w:ascii="Arial" w:cs="Arial" w:eastAsia="Arial" w:hAnsi="Arial"/>
          <w:sz w:val="18"/>
          <w:szCs w:val="18"/>
          <w:color w:val="auto"/>
        </w:rPr>
        <w:t>. Each Guaranteeing Entity’s guarantee is subject to the terms and conditions set forth in the Indenture. Each Guaranteeing Entity acknowledges that it will receive direct and indirect benefits from the financing arrangements contemplated by the Indenture and this Supplemental Indenture and that the guarantee and waivers made by it pursuant to this guarantee are knowingly made in contemplation of such benefits.</w:t>
      </w:r>
    </w:p>
    <w:p>
      <w:pPr>
        <w:spacing w:after="0" w:line="187" w:lineRule="exact"/>
        <w:rPr>
          <w:sz w:val="20"/>
          <w:szCs w:val="20"/>
          <w:color w:val="auto"/>
        </w:rPr>
      </w:pPr>
    </w:p>
    <w:p>
      <w:pPr>
        <w:ind w:right="100" w:firstLine="440"/>
        <w:spacing w:after="0" w:line="311" w:lineRule="auto"/>
        <w:rPr>
          <w:sz w:val="20"/>
          <w:szCs w:val="20"/>
          <w:color w:val="auto"/>
        </w:rPr>
      </w:pPr>
      <w:r>
        <w:rPr>
          <w:rFonts w:ascii="Arial" w:cs="Arial" w:eastAsia="Arial" w:hAnsi="Arial"/>
          <w:sz w:val="16"/>
          <w:szCs w:val="16"/>
          <w:color w:val="auto"/>
        </w:rPr>
        <w:t xml:space="preserve">Section 3.7. </w:t>
      </w:r>
      <w:r>
        <w:rPr>
          <w:rFonts w:ascii="Arial" w:cs="Arial" w:eastAsia="Arial" w:hAnsi="Arial"/>
          <w:sz w:val="16"/>
          <w:szCs w:val="16"/>
          <w:i w:val="1"/>
          <w:iCs w:val="1"/>
          <w:color w:val="auto"/>
        </w:rPr>
        <w:t>Ratification of Indenture; Supplemental Indentures Part of Indenture</w:t>
      </w:r>
      <w:r>
        <w:rPr>
          <w:rFonts w:ascii="Arial" w:cs="Arial" w:eastAsia="Arial" w:hAnsi="Arial"/>
          <w:sz w:val="16"/>
          <w:szCs w:val="16"/>
          <w:color w:val="auto"/>
        </w:rPr>
        <w:t>. Except as expressly amended hereby, the Indenture is in all respects ratified and confirmed and all the terms, conditions and provisions thereof shall remain in full force and effect. This Supplemental Indenture shall form a part of the Indenture for all purposes, and every Holder of Notes heretofore or hereafter authenticated and delivered shall be bound hereby.</w:t>
      </w:r>
    </w:p>
    <w:p>
      <w:pPr>
        <w:spacing w:after="0" w:line="149"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 xml:space="preserve">Section 3.8. </w:t>
      </w:r>
      <w:r>
        <w:rPr>
          <w:rFonts w:ascii="Arial" w:cs="Arial" w:eastAsia="Arial" w:hAnsi="Arial"/>
          <w:sz w:val="18"/>
          <w:szCs w:val="18"/>
          <w:i w:val="1"/>
          <w:iCs w:val="1"/>
          <w:color w:val="auto"/>
        </w:rPr>
        <w:t>The Trustee</w:t>
      </w:r>
      <w:r>
        <w:rPr>
          <w:rFonts w:ascii="Arial" w:cs="Arial" w:eastAsia="Arial" w:hAnsi="Arial"/>
          <w:sz w:val="18"/>
          <w:szCs w:val="18"/>
          <w:color w:val="auto"/>
        </w:rPr>
        <w:t>. The Trustee makes no representation or warranty as to the validity or sufficiency of this Supplemental Indenture or with respect to the recitals contained herein, all of which recitals are made solely by the other parties hereto.</w:t>
      </w:r>
    </w:p>
    <w:p>
      <w:pPr>
        <w:spacing w:after="0" w:line="170"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 xml:space="preserve">Section 3.9. </w:t>
      </w:r>
      <w:r>
        <w:rPr>
          <w:rFonts w:ascii="Arial" w:cs="Arial" w:eastAsia="Arial" w:hAnsi="Arial"/>
          <w:sz w:val="17"/>
          <w:szCs w:val="17"/>
          <w:i w:val="1"/>
          <w:iCs w:val="1"/>
          <w:color w:val="auto"/>
        </w:rPr>
        <w:t>Counterparts</w:t>
      </w:r>
      <w:r>
        <w:rPr>
          <w:rFonts w:ascii="Arial" w:cs="Arial" w:eastAsia="Arial" w:hAnsi="Arial"/>
          <w:sz w:val="17"/>
          <w:szCs w:val="17"/>
          <w:color w:val="auto"/>
        </w:rPr>
        <w:t>. The parties hereto may sign any number of copies of this Supplemental Indenture. Each signed copy shall be an original, but all of them together represent the same agreement. The exchange of copies of this Supplemental Indenture and of signature pages by facsimile or PDF transmission shall constitute effective execution and delivery of this Supplemental Indenture as to the parties hereto and may be used in lieu of the original Supplemental Indenture for all purposes. Signatures of the parties hereto transmitted by facsimile or PDF shall be deemed to be their original signatures for all purposes.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82"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i w:val="1"/>
          <w:iCs w:val="1"/>
          <w:color w:val="auto"/>
        </w:rPr>
        <w:t>Execution and Delivery</w:t>
      </w:r>
      <w:r>
        <w:rPr>
          <w:rFonts w:ascii="Arial" w:cs="Arial" w:eastAsia="Arial" w:hAnsi="Arial"/>
          <w:sz w:val="18"/>
          <w:szCs w:val="18"/>
          <w:color w:val="auto"/>
        </w:rPr>
        <w:t>. Each Guaranteeing Entity agrees that its guarantee shall remain in full force and effect notwithstanding any failure to endorse on each Note a notation of any such guarantee.</w:t>
      </w:r>
    </w:p>
    <w:p>
      <w:pPr>
        <w:sectPr>
          <w:pgSz w:w="11900" w:h="16838" w:orient="portrait"/>
          <w:cols w:equalWidth="0" w:num="1">
            <w:col w:w="10980"/>
          </w:cols>
          <w:pgMar w:left="440" w:top="274" w:right="479" w:bottom="1440" w:gutter="0" w:footer="0" w:header="0"/>
        </w:sectPr>
      </w:pPr>
    </w:p>
    <w:bookmarkStart w:id="60" w:name="page61"/>
    <w:bookmarkEnd w:id="60"/>
    <w:p>
      <w:pPr>
        <w:ind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3.11. </w:t>
      </w:r>
      <w:r>
        <w:rPr>
          <w:rFonts w:ascii="Arial" w:cs="Arial" w:eastAsia="Arial" w:hAnsi="Arial"/>
          <w:sz w:val="18"/>
          <w:szCs w:val="18"/>
          <w:i w:val="1"/>
          <w:iCs w:val="1"/>
          <w:color w:val="auto"/>
        </w:rPr>
        <w:t>Headings</w:t>
      </w:r>
      <w:r>
        <w:rPr>
          <w:rFonts w:ascii="Arial" w:cs="Arial" w:eastAsia="Arial" w:hAnsi="Arial"/>
          <w:sz w:val="18"/>
          <w:szCs w:val="18"/>
          <w:color w:val="auto"/>
        </w:rPr>
        <w:t>. The headings of the Articles and the Sections in this Supplemental Indenture are for convenience of reference only and shall not be deemed to alter or affect the meaning or interpretation of any provisions hereof.</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6"/>
          <w:szCs w:val="16"/>
          <w:color w:val="auto"/>
        </w:rPr>
        <w:t>IN WITNESS WHEREOF, the parties hereto have caused this Supplemental Indenture to be duly executed as of the date first above written.</w:t>
      </w:r>
    </w:p>
    <w:p>
      <w:pPr>
        <w:spacing w:after="0" w:line="200" w:lineRule="exact"/>
        <w:rPr>
          <w:sz w:val="20"/>
          <w:szCs w:val="20"/>
          <w:color w:val="auto"/>
        </w:rPr>
      </w:pPr>
    </w:p>
    <w:p>
      <w:pPr>
        <w:spacing w:after="0" w:line="29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[GUARANTEEING ENTITY],</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a Guarantor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7">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ectPr>
          <w:pgSz w:w="11900" w:h="16838" w:orient="portrait"/>
          <w:cols w:equalWidth="0" w:num="1">
            <w:col w:w="10760"/>
          </w:cols>
          <w:pgMar w:left="440" w:top="274" w:right="699" w:bottom="1440" w:gutter="0" w:footer="0" w:header="0"/>
        </w:sectPr>
      </w:pPr>
    </w:p>
    <w:bookmarkStart w:id="61" w:name="page62"/>
    <w:bookmarkEnd w:id="61"/>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Inc. Announces Final Results of Exchange Offers for Marvell Technology Group Ltd. Notes</w:t>
      </w:r>
    </w:p>
    <w:p>
      <w:pPr>
        <w:spacing w:after="0" w:line="229" w:lineRule="exact"/>
        <w:rPr>
          <w:sz w:val="20"/>
          <w:szCs w:val="20"/>
          <w:color w:val="auto"/>
        </w:rPr>
      </w:pPr>
    </w:p>
    <w:p>
      <w:pPr>
        <w:ind w:left="4"/>
        <w:spacing w:after="0"/>
        <w:rPr>
          <w:sz w:val="20"/>
          <w:szCs w:val="20"/>
          <w:color w:val="auto"/>
        </w:rPr>
      </w:pPr>
      <w:r>
        <w:rPr>
          <w:rFonts w:ascii="Arial" w:cs="Arial" w:eastAsia="Arial" w:hAnsi="Arial"/>
          <w:sz w:val="17"/>
          <w:szCs w:val="17"/>
          <w:color w:val="auto"/>
        </w:rPr>
        <w:t>SANTA CLARA, Calif., May 3, 2021 /PRNewswire/ -- Marvell Technology, Inc. (“MTI”) announced today the expiration and final results of its</w:t>
      </w:r>
    </w:p>
    <w:p>
      <w:pPr>
        <w:spacing w:after="0" w:line="35" w:lineRule="exact"/>
        <w:rPr>
          <w:sz w:val="20"/>
          <w:szCs w:val="20"/>
          <w:color w:val="auto"/>
        </w:rPr>
      </w:pPr>
    </w:p>
    <w:p>
      <w:pPr>
        <w:ind w:left="4" w:right="80" w:hanging="4"/>
        <w:spacing w:after="0" w:line="253" w:lineRule="auto"/>
        <w:tabs>
          <w:tab w:leader="none" w:pos="219" w:val="left"/>
        </w:tabs>
        <w:numPr>
          <w:ilvl w:val="0"/>
          <w:numId w:val="54"/>
        </w:numPr>
        <w:rPr>
          <w:rFonts w:ascii="Arial" w:cs="Arial" w:eastAsia="Arial" w:hAnsi="Arial"/>
          <w:sz w:val="18"/>
          <w:szCs w:val="18"/>
          <w:color w:val="auto"/>
        </w:rPr>
      </w:pPr>
      <w:r>
        <w:rPr>
          <w:rFonts w:ascii="Arial" w:cs="Arial" w:eastAsia="Arial" w:hAnsi="Arial"/>
          <w:sz w:val="18"/>
          <w:szCs w:val="18"/>
          <w:color w:val="auto"/>
        </w:rPr>
        <w:t>offers to exchange (the “Exchange Offers”) any and all outstanding 4.200% Senior Notes due 2023 and 4.875% Senior Notes due 2028 (together, the “Marvell Notes”) issued by Marvell Technology Group Ltd. (“Marvell”) for up to an aggregate principal amount of $1.0 billion of new 4.200% Senior Notes due 2023 (the “2023 MTI Notes”) and 4.875% Senior Notes due 2028 (the “2028 MTI Notes” and, together with the 2023 MTI Notes, the “MTI Notes”) issued by MTI and (ii) related solicitations of consents (the “Consent Solicitations”).</w:t>
      </w:r>
    </w:p>
    <w:p>
      <w:pPr>
        <w:spacing w:after="0" w:line="193" w:lineRule="exact"/>
        <w:rPr>
          <w:sz w:val="20"/>
          <w:szCs w:val="20"/>
          <w:color w:val="auto"/>
        </w:rPr>
      </w:pPr>
    </w:p>
    <w:p>
      <w:pPr>
        <w:ind w:left="4" w:right="140"/>
        <w:spacing w:after="0" w:line="263" w:lineRule="auto"/>
        <w:rPr>
          <w:sz w:val="20"/>
          <w:szCs w:val="20"/>
          <w:color w:val="auto"/>
        </w:rPr>
      </w:pPr>
      <w:r>
        <w:rPr>
          <w:rFonts w:ascii="Arial" w:cs="Arial" w:eastAsia="Arial" w:hAnsi="Arial"/>
          <w:sz w:val="18"/>
          <w:szCs w:val="18"/>
          <w:color w:val="auto"/>
        </w:rPr>
        <w:t>The Exchange Offers and Consent Solicitations expired at 11:59 p.m., New York City time, on April 30, 2021 (the “Expiration Date”). As of the Expiration Date, $913,344,000 in aggregate principal amount of Marvell Notes as set forth in the table below had been validly tendered and not validly withdrawn in the Exchange Offers and Consent Solicitations.</w:t>
      </w:r>
    </w:p>
    <w:p>
      <w:pPr>
        <w:spacing w:after="0" w:line="190" w:lineRule="exact"/>
        <w:rPr>
          <w:sz w:val="20"/>
          <w:szCs w:val="20"/>
          <w:color w:val="auto"/>
        </w:rPr>
      </w:pPr>
    </w:p>
    <w:tbl>
      <w:tblPr>
        <w:tblLayout w:type="fixed"/>
        <w:tblInd w:w="444" w:type="dxa"/>
        <w:tblCellMar>
          <w:top w:w="0" w:type="dxa"/>
          <w:left w:w="0" w:type="dxa"/>
          <w:bottom w:w="0" w:type="dxa"/>
          <w:right w:w="0" w:type="dxa"/>
        </w:tblCellMar>
      </w:tblPr>
      <w:tr>
        <w:trPr>
          <w:trHeight w:val="161"/>
        </w:trPr>
        <w:tc>
          <w:tcPr>
            <w:tcW w:w="1440" w:type="dxa"/>
            <w:vAlign w:val="bottom"/>
          </w:tcPr>
          <w:p>
            <w:pPr>
              <w:spacing w:after="0"/>
              <w:rPr>
                <w:sz w:val="14"/>
                <w:szCs w:val="14"/>
                <w:color w:val="auto"/>
              </w:rPr>
            </w:pPr>
          </w:p>
        </w:tc>
        <w:tc>
          <w:tcPr>
            <w:tcW w:w="34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160" w:type="dxa"/>
            <w:vAlign w:val="bottom"/>
            <w:gridSpan w:val="2"/>
          </w:tcPr>
          <w:p>
            <w:pPr>
              <w:jc w:val="center"/>
              <w:ind w:right="160"/>
              <w:spacing w:after="0"/>
              <w:rPr>
                <w:sz w:val="20"/>
                <w:szCs w:val="20"/>
                <w:color w:val="auto"/>
              </w:rPr>
            </w:pPr>
            <w:r>
              <w:rPr>
                <w:rFonts w:ascii="Arial" w:cs="Arial" w:eastAsia="Arial" w:hAnsi="Arial"/>
                <w:sz w:val="14"/>
                <w:szCs w:val="14"/>
                <w:b w:val="1"/>
                <w:bCs w:val="1"/>
                <w:color w:val="auto"/>
                <w:w w:val="92"/>
              </w:rPr>
              <w:t>Aggregate</w:t>
            </w:r>
          </w:p>
        </w:tc>
        <w:tc>
          <w:tcPr>
            <w:tcW w:w="18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144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4"/>
              </w:rPr>
              <w:t>Principal</w:t>
            </w:r>
          </w:p>
        </w:tc>
        <w:tc>
          <w:tcPr>
            <w:tcW w:w="180" w:type="dxa"/>
            <w:vAlign w:val="bottom"/>
          </w:tcPr>
          <w:p>
            <w:pPr>
              <w:spacing w:after="0"/>
              <w:rPr>
                <w:sz w:val="12"/>
                <w:szCs w:val="12"/>
                <w:color w:val="auto"/>
              </w:rPr>
            </w:pPr>
          </w:p>
        </w:tc>
        <w:tc>
          <w:tcPr>
            <w:tcW w:w="14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Amount Tendered</w:t>
            </w: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440" w:type="dxa"/>
            <w:vAlign w:val="bottom"/>
          </w:tcPr>
          <w:p>
            <w:pPr>
              <w:spacing w:after="0"/>
              <w:rPr>
                <w:sz w:val="12"/>
                <w:szCs w:val="12"/>
                <w:color w:val="auto"/>
              </w:rPr>
            </w:pPr>
          </w:p>
        </w:tc>
        <w:tc>
          <w:tcPr>
            <w:tcW w:w="348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1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8"/>
              </w:rPr>
              <w:t>Amount</w:t>
            </w:r>
          </w:p>
        </w:tc>
        <w:tc>
          <w:tcPr>
            <w:tcW w:w="180" w:type="dxa"/>
            <w:vAlign w:val="bottom"/>
          </w:tcPr>
          <w:p>
            <w:pPr>
              <w:spacing w:after="0"/>
              <w:rPr>
                <w:sz w:val="12"/>
                <w:szCs w:val="12"/>
                <w:color w:val="auto"/>
              </w:rPr>
            </w:pPr>
          </w:p>
        </w:tc>
        <w:tc>
          <w:tcPr>
            <w:tcW w:w="1460" w:type="dxa"/>
            <w:vAlign w:val="bottom"/>
            <w:gridSpan w:val="3"/>
            <w:vMerge w:val="continue"/>
          </w:tcPr>
          <w:p>
            <w:pPr>
              <w:spacing w:after="0"/>
              <w:rPr>
                <w:sz w:val="12"/>
                <w:szCs w:val="12"/>
                <w:color w:val="auto"/>
              </w:rPr>
            </w:pPr>
          </w:p>
        </w:tc>
        <w:tc>
          <w:tcPr>
            <w:tcW w:w="6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440" w:type="dxa"/>
            <w:vAlign w:val="bottom"/>
            <w:vMerge w:val="restart"/>
          </w:tcPr>
          <w:p>
            <w:pPr>
              <w:spacing w:after="0"/>
              <w:rPr>
                <w:sz w:val="20"/>
                <w:szCs w:val="20"/>
                <w:color w:val="auto"/>
              </w:rPr>
            </w:pPr>
            <w:r>
              <w:rPr>
                <w:rFonts w:ascii="Arial" w:cs="Arial" w:eastAsia="Arial" w:hAnsi="Arial"/>
                <w:sz w:val="14"/>
                <w:szCs w:val="14"/>
                <w:b w:val="1"/>
                <w:bCs w:val="1"/>
                <w:color w:val="auto"/>
                <w:w w:val="92"/>
              </w:rPr>
              <w:t>Series of Marvell Notes</w:t>
            </w:r>
          </w:p>
        </w:tc>
        <w:tc>
          <w:tcPr>
            <w:tcW w:w="3480" w:type="dxa"/>
            <w:vAlign w:val="bottom"/>
            <w:vMerge w:val="restart"/>
          </w:tcPr>
          <w:p>
            <w:pPr>
              <w:spacing w:after="0"/>
              <w:rPr>
                <w:sz w:val="12"/>
                <w:szCs w:val="12"/>
                <w:color w:val="auto"/>
              </w:rPr>
            </w:pPr>
          </w:p>
        </w:tc>
        <w:tc>
          <w:tcPr>
            <w:tcW w:w="152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CUSIP/ISIN</w:t>
            </w:r>
          </w:p>
        </w:tc>
        <w:tc>
          <w:tcPr>
            <w:tcW w:w="1160" w:type="dxa"/>
            <w:vAlign w:val="bottom"/>
            <w:gridSpan w:val="2"/>
          </w:tcPr>
          <w:p>
            <w:pPr>
              <w:jc w:val="center"/>
              <w:ind w:right="160"/>
              <w:spacing w:after="0" w:line="149" w:lineRule="exact"/>
              <w:rPr>
                <w:sz w:val="20"/>
                <w:szCs w:val="20"/>
                <w:color w:val="auto"/>
              </w:rPr>
            </w:pPr>
            <w:r>
              <w:rPr>
                <w:rFonts w:ascii="Arial" w:cs="Arial" w:eastAsia="Arial" w:hAnsi="Arial"/>
                <w:sz w:val="14"/>
                <w:szCs w:val="14"/>
                <w:b w:val="1"/>
                <w:bCs w:val="1"/>
                <w:color w:val="auto"/>
                <w:w w:val="93"/>
              </w:rPr>
              <w:t>Outstanding at</w:t>
            </w:r>
          </w:p>
        </w:tc>
        <w:tc>
          <w:tcPr>
            <w:tcW w:w="1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3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90"/>
              </w:rPr>
              <w:t>as of the</w:t>
            </w:r>
          </w:p>
        </w:tc>
        <w:tc>
          <w:tcPr>
            <w:tcW w:w="880" w:type="dxa"/>
            <w:vAlign w:val="bottom"/>
            <w:gridSpan w:val="2"/>
            <w:vMerge w:val="restart"/>
          </w:tcPr>
          <w:p>
            <w:pPr>
              <w:jc w:val="right"/>
              <w:ind w:right="110"/>
              <w:spacing w:after="0"/>
              <w:rPr>
                <w:sz w:val="20"/>
                <w:szCs w:val="20"/>
                <w:color w:val="auto"/>
              </w:rPr>
            </w:pPr>
            <w:r>
              <w:rPr>
                <w:rFonts w:ascii="Arial" w:cs="Arial" w:eastAsia="Arial" w:hAnsi="Arial"/>
                <w:sz w:val="14"/>
                <w:szCs w:val="14"/>
                <w:b w:val="1"/>
                <w:bCs w:val="1"/>
                <w:color w:val="auto"/>
                <w:w w:val="87"/>
              </w:rPr>
              <w:t>Percentage</w:t>
            </w:r>
          </w:p>
        </w:tc>
        <w:tc>
          <w:tcPr>
            <w:tcW w:w="0" w:type="dxa"/>
            <w:vAlign w:val="bottom"/>
          </w:tcPr>
          <w:p>
            <w:pPr>
              <w:spacing w:after="0"/>
              <w:rPr>
                <w:sz w:val="1"/>
                <w:szCs w:val="1"/>
                <w:color w:val="auto"/>
              </w:rPr>
            </w:pPr>
          </w:p>
        </w:tc>
      </w:tr>
      <w:tr>
        <w:trPr>
          <w:trHeight w:val="178"/>
        </w:trPr>
        <w:tc>
          <w:tcPr>
            <w:tcW w:w="1440" w:type="dxa"/>
            <w:vAlign w:val="bottom"/>
            <w:tcBorders>
              <w:bottom w:val="single" w:sz="8" w:color="auto"/>
            </w:tcBorders>
            <w:vMerge w:val="continue"/>
          </w:tcPr>
          <w:p>
            <w:pPr>
              <w:spacing w:after="0"/>
              <w:rPr>
                <w:sz w:val="15"/>
                <w:szCs w:val="15"/>
                <w:color w:val="auto"/>
              </w:rPr>
            </w:pPr>
          </w:p>
        </w:tc>
        <w:tc>
          <w:tcPr>
            <w:tcW w:w="3480" w:type="dxa"/>
            <w:vAlign w:val="bottom"/>
            <w:vMerge w:val="continue"/>
          </w:tcPr>
          <w:p>
            <w:pPr>
              <w:spacing w:after="0"/>
              <w:rPr>
                <w:sz w:val="15"/>
                <w:szCs w:val="15"/>
                <w:color w:val="auto"/>
              </w:rPr>
            </w:pPr>
          </w:p>
        </w:tc>
        <w:tc>
          <w:tcPr>
            <w:tcW w:w="1520" w:type="dxa"/>
            <w:vAlign w:val="bottom"/>
            <w:gridSpan w:val="2"/>
            <w:vMerge w:val="continue"/>
          </w:tcPr>
          <w:p>
            <w:pPr>
              <w:spacing w:after="0"/>
              <w:rPr>
                <w:sz w:val="15"/>
                <w:szCs w:val="15"/>
                <w:color w:val="auto"/>
              </w:rPr>
            </w:pPr>
          </w:p>
        </w:tc>
        <w:tc>
          <w:tcPr>
            <w:tcW w:w="1160" w:type="dxa"/>
            <w:vAlign w:val="bottom"/>
            <w:gridSpan w:val="2"/>
          </w:tcPr>
          <w:p>
            <w:pPr>
              <w:jc w:val="center"/>
              <w:ind w:right="160"/>
              <w:spacing w:after="0" w:line="158" w:lineRule="exact"/>
              <w:rPr>
                <w:sz w:val="20"/>
                <w:szCs w:val="20"/>
                <w:color w:val="auto"/>
              </w:rPr>
            </w:pPr>
            <w:r>
              <w:rPr>
                <w:rFonts w:ascii="Arial" w:cs="Arial" w:eastAsia="Arial" w:hAnsi="Arial"/>
                <w:sz w:val="14"/>
                <w:szCs w:val="14"/>
                <w:b w:val="1"/>
                <w:bCs w:val="1"/>
                <w:color w:val="auto"/>
                <w:w w:val="91"/>
              </w:rPr>
              <w:t>Commencement</w:t>
            </w:r>
          </w:p>
        </w:tc>
        <w:tc>
          <w:tcPr>
            <w:tcW w:w="180" w:type="dxa"/>
            <w:vAlign w:val="bottom"/>
          </w:tcPr>
          <w:p>
            <w:pPr>
              <w:spacing w:after="0"/>
              <w:rPr>
                <w:sz w:val="15"/>
                <w:szCs w:val="15"/>
                <w:color w:val="auto"/>
              </w:rPr>
            </w:pPr>
          </w:p>
        </w:tc>
        <w:tc>
          <w:tcPr>
            <w:tcW w:w="1460" w:type="dxa"/>
            <w:vAlign w:val="bottom"/>
            <w:gridSpan w:val="3"/>
          </w:tcPr>
          <w:p>
            <w:pPr>
              <w:jc w:val="center"/>
              <w:ind w:right="340"/>
              <w:spacing w:after="0" w:line="158" w:lineRule="exact"/>
              <w:rPr>
                <w:sz w:val="20"/>
                <w:szCs w:val="20"/>
                <w:color w:val="auto"/>
              </w:rPr>
            </w:pPr>
            <w:r>
              <w:rPr>
                <w:rFonts w:ascii="Arial" w:cs="Arial" w:eastAsia="Arial" w:hAnsi="Arial"/>
                <w:sz w:val="14"/>
                <w:szCs w:val="14"/>
                <w:b w:val="1"/>
                <w:bCs w:val="1"/>
                <w:color w:val="auto"/>
                <w:w w:val="97"/>
              </w:rPr>
              <w:t>Expiration Date</w:t>
            </w:r>
          </w:p>
        </w:tc>
        <w:tc>
          <w:tcPr>
            <w:tcW w:w="88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89"/>
        </w:trPr>
        <w:tc>
          <w:tcPr>
            <w:tcW w:w="492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color w:val="auto"/>
              </w:rPr>
              <w:t>4.200% Senior Notes due 2023</w:t>
            </w:r>
          </w:p>
        </w:tc>
        <w:tc>
          <w:tcPr>
            <w:tcW w:w="1240" w:type="dxa"/>
            <w:vAlign w:val="bottom"/>
            <w:tcBorders>
              <w:top w:val="single" w:sz="8" w:color="auto"/>
            </w:tcBorders>
            <w:shd w:val="clear" w:color="auto" w:fill="CCEEFF"/>
          </w:tcPr>
          <w:p>
            <w:pPr>
              <w:jc w:val="center"/>
              <w:spacing w:after="0" w:line="189" w:lineRule="exact"/>
              <w:rPr>
                <w:sz w:val="20"/>
                <w:szCs w:val="20"/>
                <w:color w:val="auto"/>
              </w:rPr>
            </w:pPr>
            <w:r>
              <w:rPr>
                <w:rFonts w:ascii="Arial" w:cs="Arial" w:eastAsia="Arial" w:hAnsi="Arial"/>
                <w:sz w:val="18"/>
                <w:szCs w:val="18"/>
                <w:color w:val="auto"/>
                <w:w w:val="95"/>
              </w:rPr>
              <w:t>57385L AA6 /</w:t>
            </w:r>
          </w:p>
        </w:tc>
        <w:tc>
          <w:tcPr>
            <w:tcW w:w="280" w:type="dxa"/>
            <w:vAlign w:val="bottom"/>
            <w:tcBorders>
              <w:top w:val="single" w:sz="8" w:color="CCEEFF"/>
            </w:tcBorders>
            <w:shd w:val="clear" w:color="auto" w:fill="CCEEFF"/>
          </w:tcPr>
          <w:p>
            <w:pPr>
              <w:spacing w:after="0"/>
              <w:rPr>
                <w:sz w:val="16"/>
                <w:szCs w:val="16"/>
                <w:color w:val="auto"/>
              </w:rPr>
            </w:pPr>
          </w:p>
        </w:tc>
        <w:tc>
          <w:tcPr>
            <w:tcW w:w="1000" w:type="dxa"/>
            <w:vAlign w:val="bottom"/>
            <w:tcBorders>
              <w:top w:val="single" w:sz="8" w:color="auto"/>
            </w:tcBorders>
            <w:shd w:val="clear" w:color="auto" w:fill="CCEEFF"/>
          </w:tcPr>
          <w:p>
            <w:pPr>
              <w:jc w:val="center"/>
              <w:spacing w:after="0" w:line="189" w:lineRule="exact"/>
              <w:rPr>
                <w:sz w:val="20"/>
                <w:szCs w:val="20"/>
                <w:color w:val="auto"/>
              </w:rPr>
            </w:pPr>
            <w:r>
              <w:rPr>
                <w:rFonts w:ascii="Arial" w:cs="Arial" w:eastAsia="Arial" w:hAnsi="Arial"/>
                <w:sz w:val="18"/>
                <w:szCs w:val="18"/>
                <w:color w:val="auto"/>
                <w:w w:val="90"/>
              </w:rPr>
              <w:t>$500,000,000</w:t>
            </w:r>
          </w:p>
        </w:tc>
        <w:tc>
          <w:tcPr>
            <w:tcW w:w="160" w:type="dxa"/>
            <w:vAlign w:val="bottom"/>
            <w:tcBorders>
              <w:top w:val="single" w:sz="8" w:color="CCEEFF"/>
            </w:tcBorders>
            <w:shd w:val="clear" w:color="auto" w:fill="CCEEFF"/>
          </w:tcPr>
          <w:p>
            <w:pPr>
              <w:spacing w:after="0"/>
              <w:rPr>
                <w:sz w:val="16"/>
                <w:szCs w:val="16"/>
                <w:color w:val="auto"/>
              </w:rPr>
            </w:pPr>
          </w:p>
        </w:tc>
        <w:tc>
          <w:tcPr>
            <w:tcW w:w="180" w:type="dxa"/>
            <w:vAlign w:val="bottom"/>
            <w:tcBorders>
              <w:top w:val="single" w:sz="8" w:color="CCEEFF"/>
            </w:tcBorders>
            <w:shd w:val="clear" w:color="auto" w:fill="CCEEFF"/>
          </w:tcPr>
          <w:p>
            <w:pPr>
              <w:spacing w:after="0"/>
              <w:rPr>
                <w:sz w:val="16"/>
                <w:szCs w:val="16"/>
                <w:color w:val="auto"/>
              </w:rPr>
            </w:pPr>
          </w:p>
        </w:tc>
        <w:tc>
          <w:tcPr>
            <w:tcW w:w="160" w:type="dxa"/>
            <w:vAlign w:val="bottom"/>
            <w:tcBorders>
              <w:top w:val="single" w:sz="8" w:color="auto"/>
            </w:tcBorders>
            <w:shd w:val="clear" w:color="auto" w:fill="CCEEFF"/>
          </w:tcPr>
          <w:p>
            <w:pPr>
              <w:spacing w:after="0" w:line="189" w:lineRule="exact"/>
              <w:rPr>
                <w:sz w:val="20"/>
                <w:szCs w:val="20"/>
                <w:color w:val="auto"/>
              </w:rPr>
            </w:pPr>
            <w:r>
              <w:rPr>
                <w:rFonts w:ascii="Arial" w:cs="Arial" w:eastAsia="Arial" w:hAnsi="Arial"/>
                <w:sz w:val="18"/>
                <w:szCs w:val="18"/>
                <w:color w:val="auto"/>
              </w:rPr>
              <w:t>$</w:t>
            </w:r>
          </w:p>
        </w:tc>
        <w:tc>
          <w:tcPr>
            <w:tcW w:w="96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93"/>
              </w:rPr>
              <w:t>433,865,000</w:t>
            </w:r>
          </w:p>
        </w:tc>
        <w:tc>
          <w:tcPr>
            <w:tcW w:w="340" w:type="dxa"/>
            <w:vAlign w:val="bottom"/>
            <w:tcBorders>
              <w:top w:val="single" w:sz="8" w:color="CCEEFF"/>
            </w:tcBorders>
            <w:shd w:val="clear" w:color="auto" w:fill="CCEEFF"/>
          </w:tcPr>
          <w:p>
            <w:pPr>
              <w:spacing w:after="0"/>
              <w:rPr>
                <w:sz w:val="16"/>
                <w:szCs w:val="16"/>
                <w:color w:val="auto"/>
              </w:rPr>
            </w:pPr>
          </w:p>
        </w:tc>
        <w:tc>
          <w:tcPr>
            <w:tcW w:w="680" w:type="dxa"/>
            <w:vAlign w:val="bottom"/>
            <w:tcBorders>
              <w:top w:val="single" w:sz="8" w:color="auto"/>
            </w:tcBorders>
            <w:shd w:val="clear" w:color="auto" w:fill="CCEEFF"/>
          </w:tcPr>
          <w:p>
            <w:pPr>
              <w:jc w:val="right"/>
              <w:spacing w:after="0" w:line="189" w:lineRule="exact"/>
              <w:rPr>
                <w:sz w:val="20"/>
                <w:szCs w:val="20"/>
                <w:color w:val="auto"/>
              </w:rPr>
            </w:pPr>
            <w:r>
              <w:rPr>
                <w:rFonts w:ascii="Arial" w:cs="Arial" w:eastAsia="Arial" w:hAnsi="Arial"/>
                <w:sz w:val="18"/>
                <w:szCs w:val="18"/>
                <w:color w:val="auto"/>
              </w:rPr>
              <w:t>86.77</w:t>
            </w:r>
          </w:p>
        </w:tc>
        <w:tc>
          <w:tcPr>
            <w:tcW w:w="200" w:type="dxa"/>
            <w:vAlign w:val="bottom"/>
            <w:tcBorders>
              <w:top w:val="single" w:sz="8" w:color="CCEEFF"/>
            </w:tcBorders>
            <w:shd w:val="clear" w:color="auto" w:fill="CCEEFF"/>
          </w:tcPr>
          <w:p>
            <w:pPr>
              <w:jc w:val="right"/>
              <w:spacing w:after="0" w:line="189" w:lineRule="exact"/>
              <w:rPr>
                <w:sz w:val="20"/>
                <w:szCs w:val="20"/>
                <w:color w:val="auto"/>
              </w:rPr>
            </w:pPr>
            <w:r>
              <w:rPr>
                <w:rFonts w:ascii="Arial" w:cs="Arial" w:eastAsia="Arial" w:hAnsi="Arial"/>
                <w:sz w:val="18"/>
                <w:szCs w:val="18"/>
                <w:color w:val="auto"/>
                <w:w w:val="87"/>
              </w:rPr>
              <w:t>%</w:t>
            </w:r>
          </w:p>
        </w:tc>
        <w:tc>
          <w:tcPr>
            <w:tcW w:w="0" w:type="dxa"/>
            <w:vAlign w:val="bottom"/>
          </w:tcPr>
          <w:p>
            <w:pPr>
              <w:spacing w:after="0"/>
              <w:rPr>
                <w:sz w:val="1"/>
                <w:szCs w:val="1"/>
                <w:color w:val="auto"/>
              </w:rPr>
            </w:pPr>
          </w:p>
        </w:tc>
      </w:tr>
      <w:tr>
        <w:trPr>
          <w:trHeight w:val="230"/>
        </w:trPr>
        <w:tc>
          <w:tcPr>
            <w:tcW w:w="1440" w:type="dxa"/>
            <w:vAlign w:val="bottom"/>
            <w:shd w:val="clear" w:color="auto" w:fill="CCEEFF"/>
          </w:tcPr>
          <w:p>
            <w:pPr>
              <w:spacing w:after="0"/>
              <w:rPr>
                <w:sz w:val="20"/>
                <w:szCs w:val="20"/>
                <w:color w:val="auto"/>
              </w:rPr>
            </w:pPr>
          </w:p>
        </w:tc>
        <w:tc>
          <w:tcPr>
            <w:tcW w:w="3480" w:type="dxa"/>
            <w:vAlign w:val="bottom"/>
            <w:shd w:val="clear" w:color="auto" w:fill="CCEEFF"/>
          </w:tcPr>
          <w:p>
            <w:pPr>
              <w:spacing w:after="0"/>
              <w:rPr>
                <w:sz w:val="20"/>
                <w:szCs w:val="20"/>
                <w:color w:val="auto"/>
              </w:rPr>
            </w:pPr>
          </w:p>
        </w:tc>
        <w:tc>
          <w:tcPr>
            <w:tcW w:w="1520" w:type="dxa"/>
            <w:vAlign w:val="bottom"/>
            <w:gridSpan w:val="2"/>
            <w:shd w:val="clear" w:color="auto" w:fill="CCEEFF"/>
          </w:tcPr>
          <w:p>
            <w:pPr>
              <w:jc w:val="center"/>
              <w:ind w:right="280"/>
              <w:spacing w:after="0"/>
              <w:rPr>
                <w:sz w:val="20"/>
                <w:szCs w:val="20"/>
                <w:color w:val="auto"/>
              </w:rPr>
            </w:pPr>
            <w:r>
              <w:rPr>
                <w:rFonts w:ascii="Arial" w:cs="Arial" w:eastAsia="Arial" w:hAnsi="Arial"/>
                <w:sz w:val="18"/>
                <w:szCs w:val="18"/>
                <w:color w:val="auto"/>
                <w:w w:val="96"/>
              </w:rPr>
              <w:t>US57385LAA61</w:t>
            </w:r>
          </w:p>
        </w:tc>
        <w:tc>
          <w:tcPr>
            <w:tcW w:w="10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960" w:type="dxa"/>
            <w:vAlign w:val="bottom"/>
            <w:shd w:val="clear" w:color="auto" w:fill="CCEEFF"/>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68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4920" w:type="dxa"/>
            <w:vAlign w:val="bottom"/>
            <w:gridSpan w:val="2"/>
          </w:tcPr>
          <w:p>
            <w:pPr>
              <w:spacing w:after="0" w:line="201" w:lineRule="exact"/>
              <w:rPr>
                <w:sz w:val="20"/>
                <w:szCs w:val="20"/>
                <w:color w:val="auto"/>
              </w:rPr>
            </w:pPr>
            <w:r>
              <w:rPr>
                <w:rFonts w:ascii="Arial" w:cs="Arial" w:eastAsia="Arial" w:hAnsi="Arial"/>
                <w:sz w:val="18"/>
                <w:szCs w:val="18"/>
                <w:color w:val="auto"/>
              </w:rPr>
              <w:t>4.875% Senior Notes due 2028</w:t>
            </w:r>
          </w:p>
        </w:tc>
        <w:tc>
          <w:tcPr>
            <w:tcW w:w="1520" w:type="dxa"/>
            <w:vAlign w:val="bottom"/>
            <w:gridSpan w:val="2"/>
          </w:tcPr>
          <w:p>
            <w:pPr>
              <w:jc w:val="center"/>
              <w:ind w:right="280"/>
              <w:spacing w:after="0" w:line="201" w:lineRule="exact"/>
              <w:rPr>
                <w:sz w:val="20"/>
                <w:szCs w:val="20"/>
                <w:color w:val="auto"/>
              </w:rPr>
            </w:pPr>
            <w:r>
              <w:rPr>
                <w:rFonts w:ascii="Arial" w:cs="Arial" w:eastAsia="Arial" w:hAnsi="Arial"/>
                <w:sz w:val="18"/>
                <w:szCs w:val="18"/>
                <w:color w:val="auto"/>
                <w:w w:val="95"/>
              </w:rPr>
              <w:t>57385L AB4 /</w:t>
            </w:r>
          </w:p>
        </w:tc>
        <w:tc>
          <w:tcPr>
            <w:tcW w:w="1160" w:type="dxa"/>
            <w:vAlign w:val="bottom"/>
            <w:gridSpan w:val="2"/>
          </w:tcPr>
          <w:p>
            <w:pPr>
              <w:jc w:val="center"/>
              <w:ind w:right="160"/>
              <w:spacing w:after="0" w:line="201" w:lineRule="exact"/>
              <w:rPr>
                <w:sz w:val="20"/>
                <w:szCs w:val="20"/>
                <w:color w:val="auto"/>
              </w:rPr>
            </w:pPr>
            <w:r>
              <w:rPr>
                <w:rFonts w:ascii="Arial" w:cs="Arial" w:eastAsia="Arial" w:hAnsi="Arial"/>
                <w:sz w:val="18"/>
                <w:szCs w:val="18"/>
                <w:color w:val="auto"/>
                <w:w w:val="90"/>
              </w:rPr>
              <w:t>$500,000,000</w:t>
            </w:r>
          </w:p>
        </w:tc>
        <w:tc>
          <w:tcPr>
            <w:tcW w:w="340" w:type="dxa"/>
            <w:vAlign w:val="bottom"/>
            <w:gridSpan w:val="2"/>
          </w:tcPr>
          <w:p>
            <w:pPr>
              <w:ind w:left="180"/>
              <w:spacing w:after="0" w:line="201" w:lineRule="exact"/>
              <w:rPr>
                <w:sz w:val="20"/>
                <w:szCs w:val="20"/>
                <w:color w:val="auto"/>
              </w:rPr>
            </w:pPr>
            <w:r>
              <w:rPr>
                <w:rFonts w:ascii="Arial" w:cs="Arial" w:eastAsia="Arial" w:hAnsi="Arial"/>
                <w:sz w:val="18"/>
                <w:szCs w:val="18"/>
                <w:color w:val="auto"/>
              </w:rPr>
              <w:t>$</w:t>
            </w:r>
          </w:p>
        </w:tc>
        <w:tc>
          <w:tcPr>
            <w:tcW w:w="1300" w:type="dxa"/>
            <w:vAlign w:val="bottom"/>
            <w:gridSpan w:val="2"/>
          </w:tcPr>
          <w:p>
            <w:pPr>
              <w:jc w:val="right"/>
              <w:ind w:right="340"/>
              <w:spacing w:after="0" w:line="201" w:lineRule="exact"/>
              <w:rPr>
                <w:sz w:val="20"/>
                <w:szCs w:val="20"/>
                <w:color w:val="auto"/>
              </w:rPr>
            </w:pPr>
            <w:r>
              <w:rPr>
                <w:rFonts w:ascii="Arial" w:cs="Arial" w:eastAsia="Arial" w:hAnsi="Arial"/>
                <w:sz w:val="18"/>
                <w:szCs w:val="18"/>
                <w:color w:val="auto"/>
                <w:w w:val="93"/>
              </w:rPr>
              <w:t>479,479,000</w:t>
            </w:r>
          </w:p>
        </w:tc>
        <w:tc>
          <w:tcPr>
            <w:tcW w:w="880" w:type="dxa"/>
            <w:vAlign w:val="bottom"/>
            <w:gridSpan w:val="2"/>
          </w:tcPr>
          <w:p>
            <w:pPr>
              <w:jc w:val="right"/>
              <w:spacing w:after="0" w:line="201" w:lineRule="exact"/>
              <w:rPr>
                <w:sz w:val="20"/>
                <w:szCs w:val="20"/>
                <w:color w:val="auto"/>
              </w:rPr>
            </w:pPr>
            <w:r>
              <w:rPr>
                <w:rFonts w:ascii="Arial" w:cs="Arial" w:eastAsia="Arial" w:hAnsi="Arial"/>
                <w:sz w:val="18"/>
                <w:szCs w:val="18"/>
                <w:color w:val="auto"/>
              </w:rPr>
              <w:t>95.90%</w:t>
            </w:r>
          </w:p>
        </w:tc>
        <w:tc>
          <w:tcPr>
            <w:tcW w:w="0" w:type="dxa"/>
            <w:vAlign w:val="bottom"/>
          </w:tcPr>
          <w:p>
            <w:pPr>
              <w:spacing w:after="0"/>
              <w:rPr>
                <w:sz w:val="1"/>
                <w:szCs w:val="1"/>
                <w:color w:val="auto"/>
              </w:rPr>
            </w:pPr>
          </w:p>
        </w:tc>
      </w:tr>
      <w:tr>
        <w:trPr>
          <w:trHeight w:val="230"/>
        </w:trPr>
        <w:tc>
          <w:tcPr>
            <w:tcW w:w="1440" w:type="dxa"/>
            <w:vAlign w:val="bottom"/>
          </w:tcPr>
          <w:p>
            <w:pPr>
              <w:spacing w:after="0"/>
              <w:rPr>
                <w:sz w:val="20"/>
                <w:szCs w:val="20"/>
                <w:color w:val="auto"/>
              </w:rPr>
            </w:pPr>
          </w:p>
        </w:tc>
        <w:tc>
          <w:tcPr>
            <w:tcW w:w="3480" w:type="dxa"/>
            <w:vAlign w:val="bottom"/>
          </w:tcPr>
          <w:p>
            <w:pPr>
              <w:spacing w:after="0"/>
              <w:rPr>
                <w:sz w:val="20"/>
                <w:szCs w:val="20"/>
                <w:color w:val="auto"/>
              </w:rPr>
            </w:pPr>
          </w:p>
        </w:tc>
        <w:tc>
          <w:tcPr>
            <w:tcW w:w="1520" w:type="dxa"/>
            <w:vAlign w:val="bottom"/>
            <w:gridSpan w:val="2"/>
          </w:tcPr>
          <w:p>
            <w:pPr>
              <w:jc w:val="center"/>
              <w:ind w:right="300"/>
              <w:spacing w:after="0"/>
              <w:rPr>
                <w:sz w:val="20"/>
                <w:szCs w:val="20"/>
                <w:color w:val="auto"/>
              </w:rPr>
            </w:pPr>
            <w:r>
              <w:rPr>
                <w:rFonts w:ascii="Arial" w:cs="Arial" w:eastAsia="Arial" w:hAnsi="Arial"/>
                <w:sz w:val="18"/>
                <w:szCs w:val="18"/>
                <w:color w:val="auto"/>
                <w:w w:val="94"/>
              </w:rPr>
              <w:t>US57385LAB45</w:t>
            </w:r>
          </w:p>
        </w:tc>
        <w:tc>
          <w:tcPr>
            <w:tcW w:w="10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02" w:lineRule="exact"/>
        <w:rPr>
          <w:sz w:val="20"/>
          <w:szCs w:val="20"/>
          <w:color w:val="auto"/>
        </w:rPr>
      </w:pPr>
    </w:p>
    <w:p>
      <w:pPr>
        <w:ind w:left="4"/>
        <w:spacing w:after="0"/>
        <w:rPr>
          <w:sz w:val="20"/>
          <w:szCs w:val="20"/>
          <w:color w:val="auto"/>
        </w:rPr>
      </w:pPr>
      <w:r>
        <w:rPr>
          <w:rFonts w:ascii="Arial" w:cs="Arial" w:eastAsia="Arial" w:hAnsi="Arial"/>
          <w:sz w:val="17"/>
          <w:szCs w:val="17"/>
          <w:color w:val="auto"/>
        </w:rPr>
        <w:t>MTI has accepted for exchange all tendered Marvell Notes in the Exchange Offers. Upon settlement of the Exchange Offers, MTI expects to issue</w:t>
      </w:r>
    </w:p>
    <w:p>
      <w:pPr>
        <w:spacing w:after="0" w:line="35" w:lineRule="exact"/>
        <w:rPr>
          <w:sz w:val="20"/>
          <w:szCs w:val="20"/>
          <w:color w:val="auto"/>
        </w:rPr>
      </w:pPr>
    </w:p>
    <w:p>
      <w:pPr>
        <w:ind w:left="4" w:right="120"/>
        <w:spacing w:after="0" w:line="253" w:lineRule="auto"/>
        <w:rPr>
          <w:sz w:val="20"/>
          <w:szCs w:val="20"/>
          <w:color w:val="auto"/>
        </w:rPr>
      </w:pPr>
      <w:r>
        <w:rPr>
          <w:rFonts w:ascii="Arial" w:cs="Arial" w:eastAsia="Arial" w:hAnsi="Arial"/>
          <w:sz w:val="18"/>
          <w:szCs w:val="18"/>
          <w:color w:val="auto"/>
        </w:rPr>
        <w:t>$433,817,000 in aggregate principal amount of 2023 MTI Notes and $479,394,000 in aggregate principal amount of 2028 MTI Notes. In addition, for each $1,000 principal amount of Marvell Notes validly tendered (and not validly withdrawn) at or prior to the Expiration Date, eligible holders of Marvell Notes will receive a consent payment of $1.00 in cash. The settlement date for the Exchange Offers and Consent Solicitations is expected to be May 4, 2021.</w:t>
      </w:r>
    </w:p>
    <w:p>
      <w:pPr>
        <w:spacing w:after="0" w:line="193" w:lineRule="exact"/>
        <w:rPr>
          <w:sz w:val="20"/>
          <w:szCs w:val="20"/>
          <w:color w:val="auto"/>
        </w:rPr>
      </w:pPr>
    </w:p>
    <w:p>
      <w:pPr>
        <w:ind w:left="4" w:right="200"/>
        <w:spacing w:after="0" w:line="301" w:lineRule="auto"/>
        <w:rPr>
          <w:sz w:val="20"/>
          <w:szCs w:val="20"/>
          <w:color w:val="auto"/>
        </w:rPr>
      </w:pPr>
      <w:r>
        <w:rPr>
          <w:rFonts w:ascii="Arial" w:cs="Arial" w:eastAsia="Arial" w:hAnsi="Arial"/>
          <w:sz w:val="16"/>
          <w:szCs w:val="16"/>
          <w:color w:val="auto"/>
        </w:rPr>
        <w:t>The terms of the MTI Notes to be issued in the Exchange Offers are substantially identical to the terms of the corresponding series of Marvell Notes, except that the MTI Notes will not be registered under the Securities Act of 1933, as amended (the “Securities Act”), and therefore may not be offered or sold in the United States absent registration or an applicable exemption from the registration requirements of the Securities Act and any applicable state securities laws. MTI has agreed to enter into a registration rights agreement with respect to the MTI Notes under certain circumstances.</w:t>
      </w:r>
    </w:p>
    <w:p>
      <w:pPr>
        <w:spacing w:after="0" w:line="157" w:lineRule="exact"/>
        <w:rPr>
          <w:sz w:val="20"/>
          <w:szCs w:val="20"/>
          <w:color w:val="auto"/>
        </w:rPr>
      </w:pPr>
    </w:p>
    <w:p>
      <w:pPr>
        <w:ind w:left="4" w:right="80"/>
        <w:spacing w:after="0" w:line="301" w:lineRule="auto"/>
        <w:rPr>
          <w:sz w:val="20"/>
          <w:szCs w:val="20"/>
          <w:color w:val="auto"/>
        </w:rPr>
      </w:pPr>
      <w:r>
        <w:rPr>
          <w:rFonts w:ascii="Arial" w:cs="Arial" w:eastAsia="Arial" w:hAnsi="Arial"/>
          <w:sz w:val="16"/>
          <w:szCs w:val="16"/>
          <w:color w:val="auto"/>
        </w:rPr>
        <w:t>The Exchange Offers and Consent Solicitations were made pursuant to the terms and subject to the conditions set forth in the confidential offering memorandum, dated April 5, 2021. The Exchange Offers were extended only to eligible holders of Marvell Notes who properly completed and returned an eligibility certification confirming that they are either a “qualified institutional buyer” within the meaning of Rule 144A under the Securities Act or not a “U.S. person” and outside the United States under Regulation S under the Securities Act for purposes of applicable securities laws.</w:t>
      </w:r>
    </w:p>
    <w:p>
      <w:pPr>
        <w:sectPr>
          <w:pgSz w:w="11900" w:h="16838" w:orient="portrait"/>
          <w:cols w:equalWidth="0" w:num="1">
            <w:col w:w="11024"/>
          </w:cols>
          <w:pgMar w:left="436" w:top="121" w:right="439" w:bottom="1440" w:gutter="0" w:footer="0" w:header="0"/>
        </w:sectPr>
      </w:pPr>
    </w:p>
    <w:bookmarkStart w:id="62" w:name="page63"/>
    <w:bookmarkEnd w:id="62"/>
    <w:p>
      <w:pPr>
        <w:ind w:right="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This press release does not constitute an offer to sell or purchase, or a solicitation of an offer to sell or purchase, or the solicitation of tenders or consents with respect to, any security.</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 Looking Statements</w:t>
      </w:r>
    </w:p>
    <w:p>
      <w:pPr>
        <w:spacing w:after="0" w:line="121"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press release contains certain forward-looking statements.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MTI’s failure to realize the anticipated benefits of the transaction, including as a result of its ability to integrate the businesses of Marvell and Inphi or due to unexpected costs, liabilities or delays related to such integration; MTI’s ability to retain and hire key personnel; potential adverse reactions or changes to business relationships resulting from the completion of the transaction; risks associated with third party contracts containing consent and/or other provisions that may be triggered by the transaction; the impact of public health crises, such as pandemics (including coronavirus (COVID-19)) and any related company or government policies and actions intended to protect the health and safety of individuals or government policies or actions intended to maintain the functioning of national or global economies and markets; legislative, regulatory and economic developments affecting MTI’s business; general economic and market developments and conditions including disruptions in its supply chain or in the supply chains of its customers or suppliers; the evolving legal, regulatory and tax regimes under which MTI operates; unpredictability and severity of catastrophic events, including, but not limited to, acts of terrorism or outbreak of war or hostilities, as well as MTI’s response to any of the aforementioned factors. The foregoing list of factors is not exhaustive. You should carefully consider the foregoing factors as well as other risks associated with the transaction and the combined company as described in the “Risk Factors” section of the joint proxy statement/prospectus filed with the U.S. Securities and Exchange Commission (“SEC”) in connection with the transaction, and risks and uncertainties that affect Inphi’s business as described in the “Risk Factors” section of Marvell’s most recent Annual Report on Form 10-K and other documents filed by MTI, Marvell or Inphi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 We do not give any assurance that we will achieve our expectations.</w:t>
      </w:r>
    </w:p>
    <w:p>
      <w:pPr>
        <w:spacing w:after="0" w:line="200" w:lineRule="exact"/>
        <w:rPr>
          <w:sz w:val="20"/>
          <w:szCs w:val="20"/>
          <w:color w:val="auto"/>
        </w:rPr>
      </w:pPr>
    </w:p>
    <w:p>
      <w:pPr>
        <w:spacing w:after="0" w:line="30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Media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MTI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000"/>
      </w:cols>
      <w:pgMar w:left="440" w:top="274"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1F32454"/>
    <w:multiLevelType w:val="hybridMultilevel"/>
    <w:lvl w:ilvl="0">
      <w:lvlJc w:val="left"/>
      <w:lvlText w:val="☐"/>
      <w:numFmt w:val="bullet"/>
      <w:start w:val="1"/>
    </w:lvl>
  </w:abstractNum>
  <w:abstractNum w:abstractNumId="1">
    <w:nsid w:val="2CA88611"/>
    <w:multiLevelType w:val="hybridMultilevel"/>
    <w:lvl w:ilvl="0">
      <w:lvlJc w:val="left"/>
      <w:lvlText w:val="(%1)"/>
      <w:numFmt w:val="lowerRoman"/>
      <w:start w:val="2"/>
    </w:lvl>
  </w:abstractNum>
  <w:abstractNum w:abstractNumId="2">
    <w:nsid w:val="836C40E"/>
    <w:multiLevelType w:val="hybridMultilevel"/>
    <w:lvl w:ilvl="0">
      <w:lvlJc w:val="left"/>
      <w:lvlText w:val="%1"/>
      <w:numFmt w:val="lowerLetter"/>
      <w:start w:val="1"/>
    </w:lvl>
    <w:lvl w:ilvl="1">
      <w:lvlJc w:val="left"/>
      <w:lvlText w:val="(%2)"/>
      <w:numFmt w:val="lowerLetter"/>
      <w:start w:val="1"/>
    </w:lvl>
    <w:lvl w:ilvl="2">
      <w:lvlJc w:val="left"/>
      <w:lvlText w:val="%3"/>
      <w:numFmt w:val="lowerRoman"/>
      <w:start w:val="1"/>
    </w:lvl>
  </w:abstractNum>
  <w:abstractNum w:abstractNumId="3">
    <w:nsid w:val="2901D82"/>
    <w:multiLevelType w:val="hybridMultilevel"/>
    <w:lvl w:ilvl="0">
      <w:lvlJc w:val="left"/>
      <w:lvlText w:val="(%1)"/>
      <w:numFmt w:val="lowerLetter"/>
      <w:start w:val="25"/>
    </w:lvl>
    <w:lvl w:ilvl="1">
      <w:lvlJc w:val="left"/>
      <w:lvlText w:val="%2"/>
      <w:numFmt w:val="lowerLetter"/>
      <w:start w:val="1"/>
    </w:lvl>
    <w:lvl w:ilvl="2">
      <w:lvlJc w:val="left"/>
      <w:lvlText w:val="(%3)"/>
      <w:numFmt w:val="lowerRoman"/>
      <w:start w:val="1"/>
    </w:lvl>
  </w:abstractNum>
  <w:abstractNum w:abstractNumId="4">
    <w:nsid w:val="3A95F874"/>
    <w:multiLevelType w:val="hybridMultilevel"/>
    <w:lvl w:ilvl="0">
      <w:lvlJc w:val="left"/>
      <w:lvlText w:val="%1"/>
      <w:numFmt w:val="lowerLetter"/>
      <w:start w:val="1"/>
    </w:lvl>
    <w:lvl w:ilvl="1">
      <w:lvlJc w:val="left"/>
      <w:lvlText w:val="(%2)"/>
      <w:numFmt w:val="lowerRoman"/>
      <w:start w:val="3"/>
    </w:lvl>
  </w:abstractNum>
  <w:abstractNum w:abstractNumId="5">
    <w:nsid w:val="8138641"/>
    <w:multiLevelType w:val="hybridMultilevel"/>
    <w:lvl w:ilvl="0">
      <w:lvlJc w:val="left"/>
      <w:lvlText w:val="(%1)"/>
      <w:numFmt w:val="lowerLetter"/>
      <w:start w:val="2"/>
    </w:lvl>
    <w:lvl w:ilvl="1">
      <w:lvlJc w:val="left"/>
      <w:lvlText w:val="(%2)"/>
      <w:numFmt w:val="lowerRoman"/>
      <w:start w:val="1"/>
    </w:lvl>
  </w:abstractNum>
  <w:abstractNum w:abstractNumId="6">
    <w:nsid w:val="1E7FF521"/>
    <w:multiLevelType w:val="hybridMultilevel"/>
    <w:lvl w:ilvl="0">
      <w:lvlJc w:val="left"/>
      <w:lvlText w:val="(%1)"/>
      <w:numFmt w:val="lowerLetter"/>
      <w:start w:val="1"/>
    </w:lvl>
    <w:lvl w:ilvl="1">
      <w:lvlJc w:val="left"/>
      <w:lvlText w:val="(%2)"/>
      <w:numFmt w:val="lowerRoman"/>
      <w:start w:val="1"/>
    </w:lvl>
  </w:abstractNum>
  <w:abstractNum w:abstractNumId="7">
    <w:nsid w:val="7C3DBD3D"/>
    <w:multiLevelType w:val="hybridMultilevel"/>
    <w:lvl w:ilvl="0">
      <w:lvlJc w:val="left"/>
      <w:lvlText w:val="%1"/>
      <w:numFmt w:val="lowerLetter"/>
      <w:start w:val="1"/>
    </w:lvl>
    <w:lvl w:ilvl="1">
      <w:lvlJc w:val="left"/>
      <w:lvlText w:val="(%2)"/>
      <w:numFmt w:val="lowerRoman"/>
      <w:start w:val="3"/>
    </w:lvl>
  </w:abstractNum>
  <w:abstractNum w:abstractNumId="8">
    <w:nsid w:val="737B8DDC"/>
    <w:multiLevelType w:val="hybridMultilevel"/>
    <w:lvl w:ilvl="0">
      <w:lvlJc w:val="left"/>
      <w:lvlText w:val="(%1)"/>
      <w:numFmt w:val="lowerLetter"/>
      <w:start w:val="3"/>
    </w:lvl>
    <w:lvl w:ilvl="1">
      <w:lvlJc w:val="left"/>
      <w:lvlText w:val="(%2)"/>
      <w:numFmt w:val="lowerRoman"/>
      <w:start w:val="1"/>
    </w:lvl>
  </w:abstractNum>
  <w:abstractNum w:abstractNumId="9">
    <w:nsid w:val="6CEAF087"/>
    <w:multiLevelType w:val="hybridMultilevel"/>
    <w:lvl w:ilvl="0">
      <w:lvlJc w:val="left"/>
      <w:lvlText w:val="(%1)"/>
      <w:numFmt w:val="upperLetter"/>
      <w:start w:val="2"/>
    </w:lvl>
  </w:abstractNum>
  <w:abstractNum w:abstractNumId="10">
    <w:nsid w:val="22221A70"/>
    <w:multiLevelType w:val="hybridMultilevel"/>
    <w:lvl w:ilvl="0">
      <w:lvlJc w:val="left"/>
      <w:lvlText w:val="(%1)"/>
      <w:numFmt w:val="lowerRoman"/>
      <w:start w:val="2"/>
    </w:lvl>
  </w:abstractNum>
  <w:abstractNum w:abstractNumId="11">
    <w:nsid w:val="4516DDE9"/>
    <w:multiLevelType w:val="hybridMultilevel"/>
    <w:lvl w:ilvl="0">
      <w:lvlJc w:val="left"/>
      <w:lvlText w:val="%1"/>
      <w:numFmt w:val="lowerLetter"/>
      <w:start w:val="1"/>
    </w:lvl>
    <w:lvl w:ilvl="1">
      <w:lvlJc w:val="left"/>
      <w:lvlText w:val="(%2)"/>
      <w:numFmt w:val="lowerRoman"/>
      <w:start w:val="3"/>
    </w:lvl>
  </w:abstractNum>
  <w:abstractNum w:abstractNumId="12">
    <w:nsid w:val="3006C83E"/>
    <w:multiLevelType w:val="hybridMultilevel"/>
    <w:lvl w:ilvl="0">
      <w:lvlJc w:val="left"/>
      <w:lvlText w:val="(%1)"/>
      <w:numFmt w:val="lowerLetter"/>
      <w:start w:val="5"/>
    </w:lvl>
    <w:lvl w:ilvl="1">
      <w:lvlJc w:val="left"/>
      <w:lvlText w:val="%2"/>
      <w:numFmt w:val="lowerRoman"/>
      <w:start w:val="1"/>
    </w:lvl>
  </w:abstractNum>
  <w:abstractNum w:abstractNumId="13">
    <w:nsid w:val="614FD4A1"/>
    <w:multiLevelType w:val="hybridMultilevel"/>
    <w:lvl w:ilvl="0">
      <w:lvlJc w:val="left"/>
      <w:lvlText w:val="(%1)"/>
      <w:numFmt w:val="lowerLetter"/>
      <w:start w:val="1"/>
    </w:lvl>
  </w:abstractNum>
  <w:abstractNum w:abstractNumId="14">
    <w:nsid w:val="419AC241"/>
    <w:multiLevelType w:val="hybridMultilevel"/>
    <w:lvl w:ilvl="0">
      <w:lvlJc w:val="left"/>
      <w:lvlText w:val="(%1)"/>
      <w:numFmt w:val="lowerLetter"/>
      <w:start w:val="5"/>
    </w:lvl>
  </w:abstractNum>
  <w:abstractNum w:abstractNumId="15">
    <w:nsid w:val="5577F8E1"/>
    <w:multiLevelType w:val="hybridMultilevel"/>
    <w:lvl w:ilvl="0">
      <w:lvlJc w:val="left"/>
      <w:lvlText w:val="%1"/>
      <w:numFmt w:val="lowerLetter"/>
      <w:start w:val="1"/>
    </w:lvl>
    <w:lvl w:ilvl="1">
      <w:lvlJc w:val="left"/>
      <w:lvlText w:val="(%2)"/>
      <w:numFmt w:val="lowerLetter"/>
      <w:start w:val="1"/>
    </w:lvl>
    <w:lvl w:ilvl="2">
      <w:lvlJc w:val="left"/>
      <w:lvlText w:val="(%3)"/>
      <w:numFmt w:val="lowerRoman"/>
      <w:start w:val="1"/>
    </w:lvl>
  </w:abstractNum>
  <w:abstractNum w:abstractNumId="16">
    <w:nsid w:val="440BADFC"/>
    <w:multiLevelType w:val="hybridMultilevel"/>
    <w:lvl w:ilvl="0">
      <w:lvlJc w:val="left"/>
      <w:lvlText w:val="(%1)"/>
      <w:numFmt w:val="lowerLetter"/>
      <w:start w:val="2"/>
    </w:lvl>
    <w:lvl w:ilvl="1">
      <w:lvlJc w:val="left"/>
      <w:lvlText w:val="%2"/>
      <w:numFmt w:val="lowerLetter"/>
      <w:start w:val="1"/>
    </w:lvl>
    <w:lvl w:ilvl="2">
      <w:lvlJc w:val="left"/>
      <w:lvlText w:val="%3"/>
      <w:numFmt w:val="lowerRoman"/>
      <w:start w:val="1"/>
    </w:lvl>
  </w:abstractNum>
  <w:abstractNum w:abstractNumId="17">
    <w:nsid w:val="5072367"/>
    <w:multiLevelType w:val="hybridMultilevel"/>
    <w:lvl w:ilvl="0">
      <w:lvlJc w:val="left"/>
      <w:lvlText w:val="(%1)"/>
      <w:numFmt w:val="lowerLetter"/>
      <w:start w:val="1"/>
    </w:lvl>
  </w:abstractNum>
  <w:abstractNum w:abstractNumId="18">
    <w:nsid w:val="3804823E"/>
    <w:multiLevelType w:val="hybridMultilevel"/>
    <w:lvl w:ilvl="0">
      <w:lvlJc w:val="left"/>
      <w:lvlText w:val="(%1)"/>
      <w:numFmt w:val="lowerLetter"/>
      <w:start w:val="6"/>
    </w:lvl>
  </w:abstractNum>
  <w:abstractNum w:abstractNumId="19">
    <w:nsid w:val="77465F01"/>
    <w:multiLevelType w:val="hybridMultilevel"/>
    <w:lvl w:ilvl="0">
      <w:lvlJc w:val="left"/>
      <w:lvlText w:val="(%1)"/>
      <w:numFmt w:val="lowerLetter"/>
      <w:start w:val="1"/>
    </w:lvl>
    <w:lvl w:ilvl="1">
      <w:lvlJc w:val="left"/>
      <w:lvlText w:val="(%2)"/>
      <w:numFmt w:val="lowerRoman"/>
      <w:start w:val="1"/>
    </w:lvl>
  </w:abstractNum>
  <w:abstractNum w:abstractNumId="20">
    <w:nsid w:val="7724C67E"/>
    <w:multiLevelType w:val="hybridMultilevel"/>
    <w:lvl w:ilvl="0">
      <w:lvlJc w:val="left"/>
      <w:lvlText w:val="(%1)"/>
      <w:numFmt w:val="lowerLetter"/>
      <w:start w:val="5"/>
    </w:lvl>
  </w:abstractNum>
  <w:abstractNum w:abstractNumId="21">
    <w:nsid w:val="5C482A97"/>
    <w:multiLevelType w:val="hybridMultilevel"/>
    <w:lvl w:ilvl="0">
      <w:lvlJc w:val="left"/>
      <w:lvlText w:val="(%1)"/>
      <w:numFmt w:val="lowerLetter"/>
      <w:start w:val="1"/>
    </w:lvl>
    <w:lvl w:ilvl="1">
      <w:lvlJc w:val="left"/>
      <w:lvlText w:val="(%2)"/>
      <w:numFmt w:val="lowerRoman"/>
      <w:start w:val="1"/>
    </w:lvl>
  </w:abstractNum>
  <w:abstractNum w:abstractNumId="22">
    <w:nsid w:val="2463B9EA"/>
    <w:multiLevelType w:val="hybridMultilevel"/>
    <w:lvl w:ilvl="0">
      <w:lvlJc w:val="left"/>
      <w:lvlText w:val="(%1)"/>
      <w:numFmt w:val="lowerRoman"/>
      <w:start w:val="6"/>
    </w:lvl>
  </w:abstractNum>
  <w:abstractNum w:abstractNumId="23">
    <w:nsid w:val="5E884ADC"/>
    <w:multiLevelType w:val="hybridMultilevel"/>
    <w:lvl w:ilvl="0">
      <w:lvlJc w:val="left"/>
      <w:lvlText w:val="%1"/>
      <w:numFmt w:val="lowerLetter"/>
      <w:start w:val="1"/>
    </w:lvl>
    <w:lvl w:ilvl="1">
      <w:lvlJc w:val="left"/>
      <w:lvlText w:val="(%2)"/>
      <w:numFmt w:val="lowerRoman"/>
      <w:start w:val="15"/>
    </w:lvl>
  </w:abstractNum>
  <w:abstractNum w:abstractNumId="24">
    <w:nsid w:val="51EAD36B"/>
    <w:multiLevelType w:val="hybridMultilevel"/>
    <w:lvl w:ilvl="0">
      <w:lvlJc w:val="left"/>
      <w:lvlText w:val="(%1)"/>
      <w:numFmt w:val="lowerLetter"/>
      <w:start w:val="3"/>
    </w:lvl>
    <w:lvl w:ilvl="1">
      <w:lvlJc w:val="left"/>
      <w:lvlText w:val="%2"/>
      <w:numFmt w:val="lowerRoman"/>
      <w:start w:val="1"/>
    </w:lvl>
  </w:abstractNum>
  <w:abstractNum w:abstractNumId="25">
    <w:nsid w:val="2D517796"/>
    <w:multiLevelType w:val="hybridMultilevel"/>
    <w:lvl w:ilvl="0">
      <w:lvlJc w:val="left"/>
      <w:lvlText w:val="(%1)"/>
      <w:numFmt w:val="lowerLetter"/>
      <w:start w:val="1"/>
    </w:lvl>
    <w:lvl w:ilvl="1">
      <w:lvlJc w:val="left"/>
      <w:lvlText w:val="(%2)"/>
      <w:numFmt w:val="lowerRoman"/>
      <w:start w:val="1"/>
    </w:lvl>
  </w:abstractNum>
  <w:abstractNum w:abstractNumId="26">
    <w:nsid w:val="580BD78F"/>
    <w:multiLevelType w:val="hybridMultilevel"/>
    <w:lvl w:ilvl="0">
      <w:lvlJc w:val="left"/>
      <w:lvlText w:val="(%1)"/>
      <w:numFmt w:val="lowerRoman"/>
      <w:start w:val="5"/>
    </w:lvl>
  </w:abstractNum>
  <w:abstractNum w:abstractNumId="27">
    <w:nsid w:val="153EA438"/>
    <w:multiLevelType w:val="hybridMultilevel"/>
    <w:lvl w:ilvl="0">
      <w:lvlJc w:val="left"/>
      <w:lvlText w:val="(%1)"/>
      <w:numFmt w:val="lowerLetter"/>
      <w:start w:val="2"/>
    </w:lvl>
  </w:abstractNum>
  <w:abstractNum w:abstractNumId="28">
    <w:nsid w:val="3855585C"/>
    <w:multiLevelType w:val="hybridMultilevel"/>
    <w:lvl w:ilvl="0">
      <w:lvlJc w:val="left"/>
      <w:lvlText w:val="(%1)"/>
      <w:numFmt w:val="lowerLetter"/>
      <w:start w:val="1"/>
    </w:lvl>
    <w:lvl w:ilvl="1">
      <w:lvlJc w:val="left"/>
      <w:lvlText w:val="(%2)"/>
      <w:numFmt w:val="lowerRoman"/>
      <w:start w:val="1"/>
    </w:lvl>
  </w:abstractNum>
  <w:abstractNum w:abstractNumId="29">
    <w:nsid w:val="70A64E2A"/>
    <w:multiLevelType w:val="hybridMultilevel"/>
    <w:lvl w:ilvl="0">
      <w:lvlJc w:val="left"/>
      <w:lvlText w:val="%1"/>
      <w:numFmt w:val="lowerLetter"/>
      <w:start w:val="1"/>
    </w:lvl>
    <w:lvl w:ilvl="1">
      <w:lvlJc w:val="left"/>
      <w:lvlText w:val="(%2)"/>
      <w:numFmt w:val="lowerRoman"/>
      <w:start w:val="6"/>
    </w:lvl>
  </w:abstractNum>
  <w:abstractNum w:abstractNumId="30">
    <w:nsid w:val="6A2342EC"/>
    <w:multiLevelType w:val="hybridMultilevel"/>
    <w:lvl w:ilvl="0">
      <w:lvlJc w:val="left"/>
      <w:lvlText w:val="(%1)"/>
      <w:numFmt w:val="lowerLetter"/>
      <w:start w:val="2"/>
    </w:lvl>
    <w:lvl w:ilvl="1">
      <w:lvlJc w:val="left"/>
      <w:lvlText w:val="%2"/>
      <w:numFmt w:val="lowerRoman"/>
      <w:start w:val="1"/>
    </w:lvl>
  </w:abstractNum>
  <w:abstractNum w:abstractNumId="31">
    <w:nsid w:val="2A487CB0"/>
    <w:multiLevelType w:val="hybridMultilevel"/>
    <w:lvl w:ilvl="0">
      <w:lvlJc w:val="left"/>
      <w:lvlText w:val="(%1)"/>
      <w:numFmt w:val="lowerLetter"/>
      <w:start w:val="1"/>
    </w:lvl>
  </w:abstractNum>
  <w:abstractNum w:abstractNumId="32">
    <w:nsid w:val="1D4ED43B"/>
    <w:multiLevelType w:val="hybridMultilevel"/>
    <w:lvl w:ilvl="0">
      <w:lvlJc w:val="left"/>
      <w:lvlText w:val="%1"/>
      <w:numFmt w:val="lowerLetter"/>
      <w:start w:val="1"/>
    </w:lvl>
    <w:lvl w:ilvl="1">
      <w:lvlJc w:val="left"/>
      <w:lvlText w:val="(%2)"/>
      <w:numFmt w:val="lowerLetter"/>
      <w:start w:val="2"/>
    </w:lvl>
  </w:abstractNum>
  <w:abstractNum w:abstractNumId="33">
    <w:nsid w:val="725A06FB"/>
    <w:multiLevelType w:val="hybridMultilevel"/>
    <w:lvl w:ilvl="0">
      <w:lvlJc w:val="left"/>
      <w:lvlText w:val="(%1)"/>
      <w:numFmt w:val="lowerLetter"/>
      <w:start w:val="5"/>
    </w:lvl>
    <w:lvl w:ilvl="1">
      <w:lvlJc w:val="left"/>
      <w:lvlText w:val="(%2)"/>
      <w:numFmt w:val="lowerLetter"/>
      <w:start w:val="9"/>
    </w:lvl>
  </w:abstractNum>
  <w:abstractNum w:abstractNumId="34">
    <w:nsid w:val="2CD89A32"/>
    <w:multiLevelType w:val="hybridMultilevel"/>
    <w:lvl w:ilvl="0">
      <w:lvlJc w:val="left"/>
      <w:lvlText w:val="(%1)"/>
      <w:numFmt w:val="lowerLetter"/>
      <w:start w:val="11"/>
    </w:lvl>
  </w:abstractNum>
  <w:abstractNum w:abstractNumId="35">
    <w:nsid w:val="57E4CCAF"/>
    <w:multiLevelType w:val="hybridMultilevel"/>
    <w:lvl w:ilvl="0">
      <w:lvlJc w:val="left"/>
      <w:lvlText w:val="(%1)"/>
      <w:numFmt w:val="lowerLetter"/>
      <w:start w:val="1"/>
    </w:lvl>
    <w:lvl w:ilvl="1">
      <w:lvlJc w:val="left"/>
      <w:lvlText w:val="(%2)"/>
      <w:numFmt w:val="lowerRoman"/>
      <w:start w:val="1"/>
    </w:lvl>
  </w:abstractNum>
  <w:abstractNum w:abstractNumId="36">
    <w:nsid w:val="7A6D8D3C"/>
    <w:multiLevelType w:val="hybridMultilevel"/>
    <w:lvl w:ilvl="0">
      <w:lvlJc w:val="left"/>
      <w:lvlText w:val="%1."/>
      <w:numFmt w:val="decimal"/>
      <w:start w:val="1"/>
    </w:lvl>
  </w:abstractNum>
  <w:abstractNum w:abstractNumId="37">
    <w:nsid w:val="4B588F54"/>
    <w:multiLevelType w:val="hybridMultilevel"/>
    <w:lvl w:ilvl="0">
      <w:lvlJc w:val="left"/>
      <w:lvlText w:val="(%1)"/>
      <w:numFmt w:val="decimal"/>
      <w:start w:val="1"/>
    </w:lvl>
  </w:abstractNum>
  <w:abstractNum w:abstractNumId="38">
    <w:nsid w:val="542289EC"/>
    <w:multiLevelType w:val="hybridMultilevel"/>
    <w:lvl w:ilvl="0">
      <w:lvlJc w:val="left"/>
      <w:lvlText w:val="(%1)"/>
      <w:numFmt w:val="decimal"/>
      <w:start w:val="5"/>
    </w:lvl>
    <w:lvl w:ilvl="1">
      <w:lvlJc w:val="left"/>
      <w:lvlText w:val="(%2)"/>
      <w:numFmt w:val="lowerLetter"/>
      <w:start w:val="1"/>
    </w:lvl>
  </w:abstractNum>
  <w:abstractNum w:abstractNumId="39">
    <w:nsid w:val="6DE91B18"/>
    <w:multiLevelType w:val="hybridMultilevel"/>
    <w:lvl w:ilvl="0">
      <w:lvlJc w:val="left"/>
      <w:lvlText w:val="(%1)"/>
      <w:numFmt w:val="decimal"/>
      <w:start w:val="6"/>
    </w:lvl>
  </w:abstractNum>
  <w:abstractNum w:abstractNumId="40">
    <w:nsid w:val="38437FDB"/>
    <w:multiLevelType w:val="hybridMultilevel"/>
    <w:lvl w:ilvl="0">
      <w:lvlJc w:val="left"/>
      <w:lvlText w:val="(%1)"/>
      <w:numFmt w:val="lowerRoman"/>
      <w:start w:val="1"/>
    </w:lvl>
  </w:abstractNum>
  <w:abstractNum w:abstractNumId="41">
    <w:nsid w:val="7644A45C"/>
    <w:multiLevelType w:val="hybridMultilevel"/>
    <w:lvl w:ilvl="0">
      <w:lvlJc w:val="left"/>
      <w:lvlText w:val="(%1)"/>
      <w:numFmt w:val="decimal"/>
      <w:start w:val="7"/>
    </w:lvl>
  </w:abstractNum>
  <w:abstractNum w:abstractNumId="42">
    <w:nsid w:val="32FFF902"/>
    <w:multiLevelType w:val="hybridMultilevel"/>
    <w:lvl w:ilvl="0">
      <w:lvlJc w:val="left"/>
      <w:lvlText w:val="(%1)"/>
      <w:numFmt w:val="decimal"/>
      <w:start w:val="12"/>
    </w:lvl>
  </w:abstractNum>
  <w:abstractNum w:abstractNumId="43">
    <w:nsid w:val="684A481A"/>
    <w:multiLevelType w:val="hybridMultilevel"/>
    <w:lvl w:ilvl="0">
      <w:lvlJc w:val="left"/>
      <w:lvlText w:val="%1."/>
      <w:numFmt w:val="decimal"/>
      <w:start w:val="1"/>
    </w:lvl>
  </w:abstractNum>
  <w:abstractNum w:abstractNumId="44">
    <w:nsid w:val="579478FE"/>
    <w:multiLevelType w:val="hybridMultilevel"/>
    <w:lvl w:ilvl="0">
      <w:lvlJc w:val="left"/>
      <w:lvlText w:val="[•]"/>
      <w:numFmt w:val="bullet"/>
      <w:start w:val="1"/>
    </w:lvl>
  </w:abstractNum>
  <w:abstractNum w:abstractNumId="45">
    <w:nsid w:val="749ABB43"/>
    <w:multiLevelType w:val="hybridMultilevel"/>
    <w:lvl w:ilvl="0">
      <w:lvlJc w:val="left"/>
      <w:lvlText w:val="(%1)"/>
      <w:numFmt w:val="decimal"/>
      <w:start w:val="1"/>
    </w:lvl>
  </w:abstractNum>
  <w:abstractNum w:abstractNumId="46">
    <w:nsid w:val="3DC240FB"/>
    <w:multiLevelType w:val="hybridMultilevel"/>
    <w:lvl w:ilvl="0">
      <w:lvlJc w:val="left"/>
      <w:lvlText w:val="(%1)"/>
      <w:numFmt w:val="decimal"/>
      <w:start w:val="5"/>
    </w:lvl>
    <w:lvl w:ilvl="1">
      <w:lvlJc w:val="left"/>
      <w:lvlText w:val="(%2)"/>
      <w:numFmt w:val="lowerLetter"/>
      <w:start w:val="1"/>
    </w:lvl>
  </w:abstractNum>
  <w:abstractNum w:abstractNumId="47">
    <w:nsid w:val="1BA026FA"/>
    <w:multiLevelType w:val="hybridMultilevel"/>
    <w:lvl w:ilvl="0">
      <w:lvlJc w:val="left"/>
      <w:lvlText w:val="(%1)"/>
      <w:numFmt w:val="decimal"/>
      <w:start w:val="6"/>
    </w:lvl>
  </w:abstractNum>
  <w:abstractNum w:abstractNumId="48">
    <w:nsid w:val="79A1DEAA"/>
    <w:multiLevelType w:val="hybridMultilevel"/>
    <w:lvl w:ilvl="0">
      <w:lvlJc w:val="left"/>
      <w:lvlText w:val="(%1)"/>
      <w:numFmt w:val="lowerRoman"/>
      <w:start w:val="1"/>
    </w:lvl>
  </w:abstractNum>
  <w:abstractNum w:abstractNumId="49">
    <w:nsid w:val="75C6C33A"/>
    <w:multiLevelType w:val="hybridMultilevel"/>
    <w:lvl w:ilvl="0">
      <w:lvlJc w:val="left"/>
      <w:lvlText w:val="(%1)"/>
      <w:numFmt w:val="decimal"/>
      <w:start w:val="7"/>
    </w:lvl>
  </w:abstractNum>
  <w:abstractNum w:abstractNumId="50">
    <w:nsid w:val="12E685FB"/>
    <w:multiLevelType w:val="hybridMultilevel"/>
    <w:lvl w:ilvl="0">
      <w:lvlJc w:val="left"/>
      <w:lvlText w:val="(%1)"/>
      <w:numFmt w:val="decimal"/>
      <w:start w:val="12"/>
    </w:lvl>
  </w:abstractNum>
  <w:abstractNum w:abstractNumId="51">
    <w:nsid w:val="70C6A529"/>
    <w:multiLevelType w:val="hybridMultilevel"/>
    <w:lvl w:ilvl="0">
      <w:lvlJc w:val="left"/>
      <w:lvlText w:val="%1."/>
      <w:numFmt w:val="decimal"/>
      <w:start w:val="1"/>
    </w:lvl>
  </w:abstractNum>
  <w:abstractNum w:abstractNumId="52">
    <w:nsid w:val="520EEDD1"/>
    <w:multiLevelType w:val="hybridMultilevel"/>
    <w:lvl w:ilvl="0">
      <w:lvlJc w:val="left"/>
      <w:lvlText w:val="[•]"/>
      <w:numFmt w:val="bullet"/>
      <w:start w:val="1"/>
    </w:lvl>
  </w:abstractNum>
  <w:abstractNum w:abstractNumId="53">
    <w:nsid w:val="374A3FE6"/>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33" Type="http://schemas.openxmlformats.org/officeDocument/2006/relationships/image" Target="media/image25.png"/><Relationship Id="rId34" Type="http://schemas.openxmlformats.org/officeDocument/2006/relationships/image" Target="media/image26.png"/><Relationship Id="rId35" Type="http://schemas.openxmlformats.org/officeDocument/2006/relationships/image" Target="media/image27.png"/><Relationship Id="rId36" Type="http://schemas.openxmlformats.org/officeDocument/2006/relationships/image" Target="media/image28.pn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image" Target="media/image31.png"/><Relationship Id="rId40" Type="http://schemas.openxmlformats.org/officeDocument/2006/relationships/image" Target="media/image32.png"/><Relationship Id="rId41" Type="http://schemas.openxmlformats.org/officeDocument/2006/relationships/image" Target="media/image33.png"/><Relationship Id="rId42" Type="http://schemas.openxmlformats.org/officeDocument/2006/relationships/image" Target="media/image34.png"/><Relationship Id="rId43" Type="http://schemas.openxmlformats.org/officeDocument/2006/relationships/image" Target="media/image35.png"/><Relationship Id="rId44" Type="http://schemas.openxmlformats.org/officeDocument/2006/relationships/image" Target="media/image36.png"/><Relationship Id="rId45" Type="http://schemas.openxmlformats.org/officeDocument/2006/relationships/image" Target="media/image37.png"/><Relationship Id="rId46" Type="http://schemas.openxmlformats.org/officeDocument/2006/relationships/image" Target="media/image38.png"/><Relationship Id="rId47" Type="http://schemas.openxmlformats.org/officeDocument/2006/relationships/image" Target="media/image39.png"/><Relationship Id="rId48" Type="http://schemas.openxmlformats.org/officeDocument/2006/relationships/image" Target="media/image40.png"/><Relationship Id="rId49" Type="http://schemas.openxmlformats.org/officeDocument/2006/relationships/image" Target="media/image41.png"/><Relationship Id="rId50" Type="http://schemas.openxmlformats.org/officeDocument/2006/relationships/image" Target="media/image42.png"/><Relationship Id="rId51" Type="http://schemas.openxmlformats.org/officeDocument/2006/relationships/image" Target="media/image43.png"/><Relationship Id="rId52" Type="http://schemas.openxmlformats.org/officeDocument/2006/relationships/image" Target="media/image44.png"/><Relationship Id="rId53" Type="http://schemas.openxmlformats.org/officeDocument/2006/relationships/image" Target="media/image45.png"/><Relationship Id="rId54" Type="http://schemas.openxmlformats.org/officeDocument/2006/relationships/image" Target="media/image46.png"/><Relationship Id="rId55" Type="http://schemas.openxmlformats.org/officeDocument/2006/relationships/image" Target="media/image47.png"/><Relationship Id="rId56" Type="http://schemas.openxmlformats.org/officeDocument/2006/relationships/image" Target="media/image48.png"/><Relationship Id="rId57" Type="http://schemas.openxmlformats.org/officeDocument/2006/relationships/image" Target="media/image49.png"/><Relationship Id="rId58" Type="http://schemas.openxmlformats.org/officeDocument/2006/relationships/image" Target="media/image50.png"/><Relationship Id="rId59" Type="http://schemas.openxmlformats.org/officeDocument/2006/relationships/image" Target="media/image51.png"/><Relationship Id="rId60" Type="http://schemas.openxmlformats.org/officeDocument/2006/relationships/image" Target="media/image52.png"/><Relationship Id="rId61" Type="http://schemas.openxmlformats.org/officeDocument/2006/relationships/image" Target="media/image53.png"/><Relationship Id="rId62" Type="http://schemas.openxmlformats.org/officeDocument/2006/relationships/image" Target="media/image54.png"/><Relationship Id="rId63" Type="http://schemas.openxmlformats.org/officeDocument/2006/relationships/image" Target="media/image55.png"/><Relationship Id="rId64" Type="http://schemas.openxmlformats.org/officeDocument/2006/relationships/image" Target="media/image56.png"/><Relationship Id="rId65" Type="http://schemas.openxmlformats.org/officeDocument/2006/relationships/image" Target="media/image57.png"/><Relationship Id="rId66" Type="http://schemas.openxmlformats.org/officeDocument/2006/relationships/image" Target="media/image58.png"/><Relationship Id="rId67" Type="http://schemas.openxmlformats.org/officeDocument/2006/relationships/image" Target="media/image59.png"/><Relationship Id="rId68" Type="http://schemas.openxmlformats.org/officeDocument/2006/relationships/image" Target="media/image60.png"/><Relationship Id="rId69" Type="http://schemas.openxmlformats.org/officeDocument/2006/relationships/image" Target="media/image61.png"/><Relationship Id="rId70" Type="http://schemas.openxmlformats.org/officeDocument/2006/relationships/image" Target="media/image62.png"/><Relationship Id="rId71" Type="http://schemas.openxmlformats.org/officeDocument/2006/relationships/image" Target="media/image63.png"/><Relationship Id="rId72" Type="http://schemas.openxmlformats.org/officeDocument/2006/relationships/image" Target="media/image64.png"/><Relationship Id="rId73" Type="http://schemas.openxmlformats.org/officeDocument/2006/relationships/image" Target="media/image65.png"/><Relationship Id="rId74" Type="http://schemas.openxmlformats.org/officeDocument/2006/relationships/image" Target="media/image66.png"/><Relationship Id="rId75" Type="http://schemas.openxmlformats.org/officeDocument/2006/relationships/image" Target="media/image67.png"/><Relationship Id="rId76" Type="http://schemas.openxmlformats.org/officeDocument/2006/relationships/image" Target="media/image68.png"/><Relationship Id="rId77" Type="http://schemas.openxmlformats.org/officeDocument/2006/relationships/image" Target="media/image69.png"/><Relationship Id="rId78" Type="http://schemas.openxmlformats.org/officeDocument/2006/relationships/image" Target="media/image70.png"/><Relationship Id="rId79" Type="http://schemas.openxmlformats.org/officeDocument/2006/relationships/image" Target="media/image71.png"/><Relationship Id="rId80" Type="http://schemas.openxmlformats.org/officeDocument/2006/relationships/image" Target="media/image72.png"/><Relationship Id="rId81" Type="http://schemas.openxmlformats.org/officeDocument/2006/relationships/image" Target="media/image73.png"/><Relationship Id="rId82" Type="http://schemas.openxmlformats.org/officeDocument/2006/relationships/image" Target="media/image74.png"/><Relationship Id="rId83" Type="http://schemas.openxmlformats.org/officeDocument/2006/relationships/image" Target="media/image75.png"/><Relationship Id="rId84" Type="http://schemas.openxmlformats.org/officeDocument/2006/relationships/image" Target="media/image76.png"/><Relationship Id="rId85" Type="http://schemas.openxmlformats.org/officeDocument/2006/relationships/image" Target="media/image77.png"/><Relationship Id="rId86" Type="http://schemas.openxmlformats.org/officeDocument/2006/relationships/image" Target="media/image78.png"/><Relationship Id="rId87" Type="http://schemas.openxmlformats.org/officeDocument/2006/relationships/image" Target="media/image79.png"/><Relationship Id="rId88" Type="http://schemas.openxmlformats.org/officeDocument/2006/relationships/image" Target="media/image80.png"/><Relationship Id="rId89" Type="http://schemas.openxmlformats.org/officeDocument/2006/relationships/image" Target="media/image81.png"/><Relationship Id="rId90" Type="http://schemas.openxmlformats.org/officeDocument/2006/relationships/image" Target="media/image82.png"/><Relationship Id="rId91" Type="http://schemas.openxmlformats.org/officeDocument/2006/relationships/image" Target="media/image83.png"/><Relationship Id="rId92" Type="http://schemas.openxmlformats.org/officeDocument/2006/relationships/image" Target="media/image84.png"/><Relationship Id="rId93" Type="http://schemas.openxmlformats.org/officeDocument/2006/relationships/image" Target="media/image85.png"/><Relationship Id="rId94" Type="http://schemas.openxmlformats.org/officeDocument/2006/relationships/image" Target="media/image86.png"/><Relationship Id="rId95" Type="http://schemas.openxmlformats.org/officeDocument/2006/relationships/image" Target="media/image87.png"/><Relationship Id="rId96" Type="http://schemas.openxmlformats.org/officeDocument/2006/relationships/image" Target="media/image88.png"/><Relationship Id="rId97" Type="http://schemas.openxmlformats.org/officeDocument/2006/relationships/image" Target="media/image89.png"/><Relationship Id="rId98" Type="http://schemas.openxmlformats.org/officeDocument/2006/relationships/image" Target="media/image90.png"/><Relationship Id="rId99" Type="http://schemas.openxmlformats.org/officeDocument/2006/relationships/image" Target="media/image91.png"/><Relationship Id="rId19" Type="http://schemas.openxmlformats.org/officeDocument/2006/relationships/hyperlink" Target="http://www.sec.gov/Archives/edgar/data/1058057/000119312521113298/d124916dex4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2021-05-04T15:48:36Z</dcterms:created>
  <dcterms:modified xsi:type="dcterms:W3CDTF">2021-05-04T15:48:36Z</dcterms:modified>
</cp:coreProperties>
</file>