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8"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208280</wp:posOffset>
            </wp:positionH>
            <wp:positionV relativeFrom="page">
              <wp:posOffset>980440</wp:posOffset>
            </wp:positionV>
            <wp:extent cx="713232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8255"/>
                    </a:xfrm>
                    <a:prstGeom prst="rect">
                      <a:avLst/>
                    </a:prstGeom>
                    <a:noFill/>
                  </pic:spPr>
                </pic:pic>
              </a:graphicData>
            </a:graphic>
          </wp:anchor>
        </w:drawing>
        <w:drawing>
          <wp:anchor simplePos="0" relativeHeight="251657728" behindDoc="1" locked="0" layoutInCell="0" allowOverlap="1">
            <wp:simplePos x="0" y="0"/>
            <wp:positionH relativeFrom="page">
              <wp:posOffset>208280</wp:posOffset>
            </wp:positionH>
            <wp:positionV relativeFrom="page">
              <wp:posOffset>946150</wp:posOffset>
            </wp:positionV>
            <wp:extent cx="713232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jc w:val="center"/>
        <w:ind w:right="-179"/>
        <w:spacing w:after="0"/>
        <w:rPr>
          <w:sz w:val="20"/>
          <w:szCs w:val="20"/>
          <w:color w:val="auto"/>
        </w:rPr>
      </w:pPr>
      <w:r>
        <w:rPr>
          <w:rFonts w:ascii="Arial" w:cs="Arial" w:eastAsia="Arial" w:hAnsi="Arial"/>
          <w:sz w:val="29"/>
          <w:szCs w:val="29"/>
          <w:b w:val="1"/>
          <w:bCs w:val="1"/>
          <w:color w:val="auto"/>
        </w:rPr>
        <w:t>UNITED STATES</w:t>
      </w:r>
    </w:p>
    <w:p>
      <w:pPr>
        <w:spacing w:after="0" w:line="126" w:lineRule="exact"/>
        <w:rPr>
          <w:sz w:val="24"/>
          <w:szCs w:val="24"/>
          <w:color w:val="auto"/>
        </w:rPr>
      </w:pPr>
    </w:p>
    <w:p>
      <w:pPr>
        <w:jc w:val="center"/>
        <w:ind w:right="-17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17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62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0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Securities Exchange Act of 1934</w:t>
      </w:r>
    </w:p>
    <w:p>
      <w:pPr>
        <w:spacing w:after="0" w:line="301"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Date of Report: June 7, 2021</w:t>
      </w:r>
    </w:p>
    <w:p>
      <w:pPr>
        <w:spacing w:after="0" w:line="58" w:lineRule="exact"/>
        <w:rPr>
          <w:sz w:val="24"/>
          <w:szCs w:val="24"/>
          <w:color w:val="auto"/>
        </w:rPr>
      </w:pPr>
    </w:p>
    <w:p>
      <w:pPr>
        <w:jc w:val="center"/>
        <w:ind w:right="-179"/>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23495</wp:posOffset>
            </wp:positionV>
            <wp:extent cx="2228850" cy="643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9" w:lineRule="exact"/>
        <w:rPr>
          <w:sz w:val="24"/>
          <w:szCs w:val="24"/>
          <w:color w:val="auto"/>
        </w:rPr>
      </w:pPr>
    </w:p>
    <w:p>
      <w:pPr>
        <w:jc w:val="center"/>
        <w:ind w:right="-179"/>
        <w:spacing w:after="0"/>
        <w:rPr>
          <w:sz w:val="20"/>
          <w:szCs w:val="20"/>
          <w:color w:val="auto"/>
        </w:rPr>
      </w:pPr>
      <w:r>
        <w:rPr>
          <w:rFonts w:ascii="Arial" w:cs="Arial" w:eastAsia="Arial" w:hAnsi="Arial"/>
          <w:sz w:val="32"/>
          <w:szCs w:val="32"/>
          <w:b w:val="1"/>
          <w:bCs w:val="1"/>
          <w:color w:val="auto"/>
        </w:rPr>
        <w:t>MARVELL TECHNOLOGY, INC.</w:t>
      </w:r>
    </w:p>
    <w:p>
      <w:pPr>
        <w:spacing w:after="0" w:line="87" w:lineRule="exact"/>
        <w:rPr>
          <w:sz w:val="24"/>
          <w:szCs w:val="24"/>
          <w:color w:val="auto"/>
        </w:rPr>
      </w:pPr>
    </w:p>
    <w:p>
      <w:pPr>
        <w:jc w:val="center"/>
        <w:ind w:right="-17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24" w:lineRule="exact"/>
        <w:rPr>
          <w:sz w:val="24"/>
          <w:szCs w:val="24"/>
          <w:color w:val="auto"/>
        </w:rPr>
      </w:pPr>
    </w:p>
    <w:tbl>
      <w:tblPr>
        <w:tblLayout w:type="fixed"/>
        <w:tblInd w:w="960" w:type="dxa"/>
        <w:tblCellMar>
          <w:top w:w="0" w:type="dxa"/>
          <w:left w:w="0" w:type="dxa"/>
          <w:bottom w:w="0" w:type="dxa"/>
          <w:right w:w="0" w:type="dxa"/>
        </w:tblCellMar>
      </w:tblPr>
      <w:tr>
        <w:trPr>
          <w:trHeight w:val="234"/>
        </w:trPr>
        <w:tc>
          <w:tcPr>
            <w:tcW w:w="2320" w:type="dxa"/>
            <w:vAlign w:val="bottom"/>
          </w:tcPr>
          <w:p>
            <w:pPr>
              <w:jc w:val="center"/>
              <w:ind w:right="442"/>
              <w:spacing w:after="0"/>
              <w:rPr>
                <w:sz w:val="20"/>
                <w:szCs w:val="20"/>
                <w:color w:val="auto"/>
              </w:rPr>
            </w:pPr>
            <w:r>
              <w:rPr>
                <w:rFonts w:ascii="Arial" w:cs="Arial" w:eastAsia="Arial" w:hAnsi="Arial"/>
                <w:sz w:val="18"/>
                <w:szCs w:val="18"/>
                <w:b w:val="1"/>
                <w:bCs w:val="1"/>
                <w:color w:val="auto"/>
                <w:w w:val="91"/>
              </w:rPr>
              <w:t>Delaware</w:t>
            </w: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540" w:type="dxa"/>
            <w:vAlign w:val="bottom"/>
          </w:tcPr>
          <w:p>
            <w:pPr>
              <w:jc w:val="right"/>
              <w:ind w:right="539"/>
              <w:spacing w:after="0"/>
              <w:rPr>
                <w:sz w:val="20"/>
                <w:szCs w:val="20"/>
                <w:color w:val="auto"/>
              </w:rPr>
            </w:pPr>
            <w:r>
              <w:rPr>
                <w:rFonts w:ascii="Arial" w:cs="Arial" w:eastAsia="Arial" w:hAnsi="Arial"/>
                <w:sz w:val="18"/>
                <w:szCs w:val="18"/>
                <w:b w:val="1"/>
                <w:bCs w:val="1"/>
                <w:color w:val="auto"/>
              </w:rPr>
              <w:t>85-3971597</w:t>
            </w:r>
          </w:p>
        </w:tc>
      </w:tr>
      <w:tr>
        <w:trPr>
          <w:trHeight w:val="216"/>
        </w:trPr>
        <w:tc>
          <w:tcPr>
            <w:tcW w:w="2320" w:type="dxa"/>
            <w:vAlign w:val="bottom"/>
          </w:tcPr>
          <w:p>
            <w:pPr>
              <w:jc w:val="center"/>
              <w:ind w:right="442"/>
              <w:spacing w:after="0"/>
              <w:rPr>
                <w:sz w:val="20"/>
                <w:szCs w:val="20"/>
                <w:color w:val="auto"/>
              </w:rPr>
            </w:pPr>
            <w:r>
              <w:rPr>
                <w:rFonts w:ascii="Arial" w:cs="Arial" w:eastAsia="Arial" w:hAnsi="Arial"/>
                <w:sz w:val="14"/>
                <w:szCs w:val="14"/>
                <w:b w:val="1"/>
                <w:bCs w:val="1"/>
                <w:color w:val="auto"/>
                <w:w w:val="93"/>
              </w:rPr>
              <w:t>(State or other jurisdiction of</w:t>
            </w: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40" w:type="dxa"/>
            <w:vAlign w:val="bottom"/>
          </w:tcPr>
          <w:p>
            <w:pPr>
              <w:jc w:val="center"/>
              <w:ind w:left="35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20" w:type="dxa"/>
            <w:vAlign w:val="bottom"/>
          </w:tcPr>
          <w:p>
            <w:pPr>
              <w:jc w:val="center"/>
              <w:ind w:right="422"/>
              <w:spacing w:after="0"/>
              <w:rPr>
                <w:sz w:val="20"/>
                <w:szCs w:val="20"/>
                <w:color w:val="auto"/>
              </w:rPr>
            </w:pPr>
            <w:r>
              <w:rPr>
                <w:rFonts w:ascii="Arial" w:cs="Arial" w:eastAsia="Arial" w:hAnsi="Arial"/>
                <w:sz w:val="14"/>
                <w:szCs w:val="14"/>
                <w:b w:val="1"/>
                <w:bCs w:val="1"/>
                <w:color w:val="auto"/>
                <w:w w:val="94"/>
              </w:rPr>
              <w:t>incorporation)</w:t>
            </w:r>
          </w:p>
        </w:tc>
        <w:tc>
          <w:tcPr>
            <w:tcW w:w="4600" w:type="dxa"/>
            <w:vAlign w:val="bottom"/>
          </w:tcPr>
          <w:p>
            <w:pPr>
              <w:spacing w:after="0"/>
              <w:rPr>
                <w:sz w:val="16"/>
                <w:szCs w:val="16"/>
                <w:color w:val="auto"/>
              </w:rPr>
            </w:pPr>
          </w:p>
        </w:tc>
        <w:tc>
          <w:tcPr>
            <w:tcW w:w="2540" w:type="dxa"/>
            <w:vAlign w:val="bottom"/>
          </w:tcPr>
          <w:p>
            <w:pPr>
              <w:spacing w:after="0"/>
              <w:rPr>
                <w:sz w:val="16"/>
                <w:szCs w:val="16"/>
                <w:color w:val="auto"/>
              </w:rPr>
            </w:pPr>
          </w:p>
        </w:tc>
      </w:tr>
      <w:tr>
        <w:trPr>
          <w:trHeight w:val="578"/>
        </w:trPr>
        <w:tc>
          <w:tcPr>
            <w:tcW w:w="2320" w:type="dxa"/>
            <w:vAlign w:val="bottom"/>
          </w:tcPr>
          <w:p>
            <w:pPr>
              <w:spacing w:after="0"/>
              <w:rPr>
                <w:sz w:val="24"/>
                <w:szCs w:val="24"/>
                <w:color w:val="auto"/>
              </w:rPr>
            </w:pPr>
          </w:p>
        </w:tc>
        <w:tc>
          <w:tcPr>
            <w:tcW w:w="4600" w:type="dxa"/>
            <w:vAlign w:val="bottom"/>
          </w:tcPr>
          <w:p>
            <w:pPr>
              <w:jc w:val="center"/>
              <w:spacing w:after="0"/>
              <w:rPr>
                <w:sz w:val="20"/>
                <w:szCs w:val="20"/>
                <w:color w:val="auto"/>
              </w:rPr>
            </w:pPr>
            <w:r>
              <w:rPr>
                <w:rFonts w:ascii="Arial" w:cs="Arial" w:eastAsia="Arial" w:hAnsi="Arial"/>
                <w:sz w:val="18"/>
                <w:szCs w:val="18"/>
                <w:b w:val="1"/>
                <w:bCs w:val="1"/>
                <w:color w:val="auto"/>
                <w:w w:val="90"/>
              </w:rPr>
              <w:t>1000 N. West Street, Suite 1200</w:t>
            </w:r>
          </w:p>
        </w:tc>
        <w:tc>
          <w:tcPr>
            <w:tcW w:w="2540" w:type="dxa"/>
            <w:vAlign w:val="bottom"/>
          </w:tcPr>
          <w:p>
            <w:pPr>
              <w:spacing w:after="0"/>
              <w:rPr>
                <w:sz w:val="24"/>
                <w:szCs w:val="24"/>
                <w:color w:val="auto"/>
              </w:rPr>
            </w:pPr>
          </w:p>
        </w:tc>
      </w:tr>
      <w:tr>
        <w:trPr>
          <w:trHeight w:val="234"/>
        </w:trPr>
        <w:tc>
          <w:tcPr>
            <w:tcW w:w="2320" w:type="dxa"/>
            <w:vAlign w:val="bottom"/>
          </w:tcPr>
          <w:p>
            <w:pPr>
              <w:spacing w:after="0"/>
              <w:rPr>
                <w:sz w:val="20"/>
                <w:szCs w:val="20"/>
                <w:color w:val="auto"/>
              </w:rPr>
            </w:pPr>
          </w:p>
        </w:tc>
        <w:tc>
          <w:tcPr>
            <w:tcW w:w="4600" w:type="dxa"/>
            <w:vAlign w:val="bottom"/>
          </w:tcPr>
          <w:p>
            <w:pPr>
              <w:jc w:val="center"/>
              <w:ind w:left="17"/>
              <w:spacing w:after="0"/>
              <w:rPr>
                <w:sz w:val="20"/>
                <w:szCs w:val="20"/>
                <w:color w:val="auto"/>
              </w:rPr>
            </w:pPr>
            <w:r>
              <w:rPr>
                <w:rFonts w:ascii="Arial" w:cs="Arial" w:eastAsia="Arial" w:hAnsi="Arial"/>
                <w:sz w:val="18"/>
                <w:szCs w:val="18"/>
                <w:b w:val="1"/>
                <w:bCs w:val="1"/>
                <w:color w:val="auto"/>
                <w:w w:val="91"/>
              </w:rPr>
              <w:t>Wilmington, Delaware 19801</w:t>
            </w:r>
          </w:p>
        </w:tc>
        <w:tc>
          <w:tcPr>
            <w:tcW w:w="2540" w:type="dxa"/>
            <w:vAlign w:val="bottom"/>
          </w:tcPr>
          <w:p>
            <w:pPr>
              <w:spacing w:after="0"/>
              <w:rPr>
                <w:sz w:val="20"/>
                <w:szCs w:val="20"/>
                <w:color w:val="auto"/>
              </w:rPr>
            </w:pPr>
          </w:p>
        </w:tc>
      </w:tr>
      <w:tr>
        <w:trPr>
          <w:trHeight w:val="190"/>
        </w:trPr>
        <w:tc>
          <w:tcPr>
            <w:tcW w:w="2320" w:type="dxa"/>
            <w:vAlign w:val="bottom"/>
          </w:tcPr>
          <w:p>
            <w:pPr>
              <w:spacing w:after="0"/>
              <w:rPr>
                <w:sz w:val="16"/>
                <w:szCs w:val="16"/>
                <w:color w:val="auto"/>
              </w:rPr>
            </w:pP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40" w:type="dxa"/>
            <w:vAlign w:val="bottom"/>
          </w:tcPr>
          <w:p>
            <w:pPr>
              <w:spacing w:after="0"/>
              <w:rPr>
                <w:sz w:val="16"/>
                <w:szCs w:val="16"/>
                <w:color w:val="auto"/>
              </w:rPr>
            </w:pPr>
          </w:p>
        </w:tc>
      </w:tr>
      <w:tr>
        <w:trPr>
          <w:trHeight w:val="417"/>
        </w:trPr>
        <w:tc>
          <w:tcPr>
            <w:tcW w:w="2320" w:type="dxa"/>
            <w:vAlign w:val="bottom"/>
          </w:tcPr>
          <w:p>
            <w:pPr>
              <w:spacing w:after="0"/>
              <w:rPr>
                <w:sz w:val="24"/>
                <w:szCs w:val="24"/>
                <w:color w:val="auto"/>
              </w:rPr>
            </w:pPr>
          </w:p>
        </w:tc>
        <w:tc>
          <w:tcPr>
            <w:tcW w:w="4600" w:type="dxa"/>
            <w:vAlign w:val="bottom"/>
          </w:tcPr>
          <w:p>
            <w:pPr>
              <w:jc w:val="right"/>
              <w:ind w:right="1617"/>
              <w:spacing w:after="0"/>
              <w:rPr>
                <w:sz w:val="20"/>
                <w:szCs w:val="20"/>
                <w:color w:val="auto"/>
              </w:rPr>
            </w:pPr>
            <w:r>
              <w:rPr>
                <w:rFonts w:ascii="Arial" w:cs="Arial" w:eastAsia="Arial" w:hAnsi="Arial"/>
                <w:sz w:val="18"/>
                <w:szCs w:val="18"/>
                <w:b w:val="1"/>
                <w:bCs w:val="1"/>
                <w:color w:val="auto"/>
              </w:rPr>
              <w:t>(302) 295-4840</w:t>
            </w:r>
          </w:p>
        </w:tc>
        <w:tc>
          <w:tcPr>
            <w:tcW w:w="2540" w:type="dxa"/>
            <w:vAlign w:val="bottom"/>
          </w:tcPr>
          <w:p>
            <w:pPr>
              <w:spacing w:after="0"/>
              <w:rPr>
                <w:sz w:val="24"/>
                <w:szCs w:val="24"/>
                <w:color w:val="auto"/>
              </w:rPr>
            </w:pPr>
          </w:p>
        </w:tc>
      </w:tr>
      <w:tr>
        <w:trPr>
          <w:trHeight w:val="204"/>
        </w:trPr>
        <w:tc>
          <w:tcPr>
            <w:tcW w:w="2320" w:type="dxa"/>
            <w:vAlign w:val="bottom"/>
          </w:tcPr>
          <w:p>
            <w:pPr>
              <w:spacing w:after="0"/>
              <w:rPr>
                <w:sz w:val="17"/>
                <w:szCs w:val="17"/>
                <w:color w:val="auto"/>
              </w:rPr>
            </w:pPr>
          </w:p>
        </w:tc>
        <w:tc>
          <w:tcPr>
            <w:tcW w:w="460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40" w:type="dxa"/>
            <w:vAlign w:val="bottom"/>
          </w:tcPr>
          <w:p>
            <w:pPr>
              <w:spacing w:after="0"/>
              <w:rPr>
                <w:sz w:val="17"/>
                <w:szCs w:val="17"/>
                <w:color w:val="auto"/>
              </w:rPr>
            </w:pPr>
          </w:p>
        </w:tc>
      </w:tr>
      <w:tr>
        <w:trPr>
          <w:trHeight w:val="255"/>
        </w:trPr>
        <w:tc>
          <w:tcPr>
            <w:tcW w:w="2320" w:type="dxa"/>
            <w:vAlign w:val="bottom"/>
          </w:tcPr>
          <w:p>
            <w:pPr>
              <w:spacing w:after="0"/>
              <w:rPr>
                <w:sz w:val="22"/>
                <w:szCs w:val="22"/>
                <w:color w:val="auto"/>
              </w:rPr>
            </w:pPr>
          </w:p>
        </w:tc>
        <w:tc>
          <w:tcPr>
            <w:tcW w:w="4600" w:type="dxa"/>
            <w:vAlign w:val="bottom"/>
          </w:tcPr>
          <w:p>
            <w:pPr>
              <w:jc w:val="right"/>
              <w:ind w:right="1057"/>
              <w:spacing w:after="0"/>
              <w:rPr>
                <w:sz w:val="20"/>
                <w:szCs w:val="20"/>
                <w:color w:val="auto"/>
              </w:rPr>
            </w:pPr>
            <w:r>
              <w:rPr>
                <w:rFonts w:ascii="Arial" w:cs="Arial" w:eastAsia="Arial" w:hAnsi="Arial"/>
                <w:sz w:val="18"/>
                <w:szCs w:val="18"/>
                <w:color w:val="auto"/>
              </w:rPr>
              <w:t>_________________________</w:t>
            </w:r>
          </w:p>
        </w:tc>
        <w:tc>
          <w:tcPr>
            <w:tcW w:w="2540" w:type="dxa"/>
            <w:vAlign w:val="bottom"/>
          </w:tcPr>
          <w:p>
            <w:pPr>
              <w:spacing w:after="0"/>
              <w:rPr>
                <w:sz w:val="22"/>
                <w:szCs w:val="22"/>
                <w:color w:val="auto"/>
              </w:rPr>
            </w:pPr>
          </w:p>
        </w:tc>
      </w:tr>
    </w:tbl>
    <w:p>
      <w:pPr>
        <w:spacing w:after="0" w:line="188" w:lineRule="exact"/>
        <w:rPr>
          <w:sz w:val="24"/>
          <w:szCs w:val="24"/>
          <w:color w:val="auto"/>
        </w:rPr>
      </w:pPr>
    </w:p>
    <w:p>
      <w:pPr>
        <w:ind w:right="520"/>
        <w:spacing w:after="0" w:line="32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89" w:lineRule="exact"/>
        <w:rPr>
          <w:sz w:val="24"/>
          <w:szCs w:val="24"/>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18"/>
          <w:szCs w:val="18"/>
          <w:color w:val="auto"/>
        </w:rPr>
      </w:pPr>
    </w:p>
    <w:p>
      <w:pPr>
        <w:spacing w:after="0" w:line="241" w:lineRule="exact"/>
        <w:rPr>
          <w:rFonts w:ascii="MS PGothic" w:cs="MS PGothic" w:eastAsia="MS PGothic" w:hAnsi="MS PGothic"/>
          <w:sz w:val="18"/>
          <w:szCs w:val="18"/>
          <w:color w:val="auto"/>
        </w:rPr>
      </w:pPr>
    </w:p>
    <w:p>
      <w:pPr>
        <w:ind w:left="440" w:hanging="333"/>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58"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w:t>
      </w:r>
    </w:p>
    <w:p>
      <w:pPr>
        <w:spacing w:after="0" w:line="41" w:lineRule="exact"/>
        <w:rPr>
          <w:sz w:val="24"/>
          <w:szCs w:val="24"/>
          <w:color w:val="auto"/>
        </w:rPr>
      </w:pPr>
    </w:p>
    <w:p>
      <w:pPr>
        <w:spacing w:after="0" w:line="207" w:lineRule="exact"/>
        <w:tabs>
          <w:tab w:leader="none" w:pos="7500" w:val="left"/>
          <w:tab w:leader="none" w:pos="9640" w:val="left"/>
        </w:tabs>
        <w:rPr>
          <w:sz w:val="20"/>
          <w:szCs w:val="20"/>
          <w:color w:val="auto"/>
        </w:rPr>
      </w:pPr>
      <w:r>
        <w:rPr>
          <w:rFonts w:ascii="Arial" w:cs="Arial" w:eastAsia="Arial" w:hAnsi="Arial"/>
          <w:sz w:val="18"/>
          <w:szCs w:val="18"/>
          <w:color w:val="auto"/>
        </w:rPr>
        <w:t>chapter) 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35" w:lineRule="exact"/>
        <w:rPr>
          <w:sz w:val="24"/>
          <w:szCs w:val="24"/>
          <w:color w:val="auto"/>
        </w:rPr>
      </w:pPr>
    </w:p>
    <w:p>
      <w:pPr>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88"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ectPr>
          <w:pgSz w:w="11900" w:h="16838" w:orient="portrait"/>
          <w:cols w:equalWidth="0" w:num="1">
            <w:col w:w="11080"/>
          </w:cols>
          <w:pgMar w:left="320" w:top="1440" w:right="499" w:bottom="308"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162"/>
        </w:trPr>
        <w:tc>
          <w:tcPr>
            <w:tcW w:w="36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38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7"/>
              </w:rPr>
              <w:t>Trading</w:t>
            </w:r>
          </w:p>
        </w:tc>
        <w:tc>
          <w:tcPr>
            <w:tcW w:w="3640" w:type="dxa"/>
            <w:vAlign w:val="bottom"/>
          </w:tcPr>
          <w:p>
            <w:pPr>
              <w:jc w:val="center"/>
              <w:spacing w:after="0"/>
              <w:rPr>
                <w:sz w:val="20"/>
                <w:szCs w:val="20"/>
                <w:color w:val="auto"/>
              </w:rPr>
            </w:pPr>
            <w:r>
              <w:rPr>
                <w:rFonts w:ascii="Arial" w:cs="Arial" w:eastAsia="Arial" w:hAnsi="Arial"/>
                <w:sz w:val="14"/>
                <w:szCs w:val="14"/>
                <w:b w:val="1"/>
                <w:bCs w:val="1"/>
                <w:color w:val="auto"/>
                <w:w w:val="90"/>
              </w:rPr>
              <w:t>Name of each exchange</w:t>
            </w:r>
          </w:p>
        </w:tc>
      </w:tr>
      <w:tr>
        <w:trPr>
          <w:trHeight w:val="219"/>
        </w:trPr>
        <w:tc>
          <w:tcPr>
            <w:tcW w:w="38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9"/>
              </w:rPr>
              <w:t>Title of each class</w:t>
            </w:r>
          </w:p>
        </w:tc>
        <w:tc>
          <w:tcPr>
            <w:tcW w:w="380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1"/>
              </w:rPr>
              <w:t>Symbol(s)</w:t>
            </w:r>
          </w:p>
        </w:tc>
        <w:tc>
          <w:tcPr>
            <w:tcW w:w="3640" w:type="dxa"/>
            <w:vAlign w:val="bottom"/>
          </w:tcPr>
          <w:p>
            <w:pPr>
              <w:jc w:val="center"/>
              <w:spacing w:after="0"/>
              <w:rPr>
                <w:sz w:val="20"/>
                <w:szCs w:val="20"/>
                <w:color w:val="auto"/>
              </w:rPr>
            </w:pPr>
            <w:r>
              <w:rPr>
                <w:rFonts w:ascii="Arial" w:cs="Arial" w:eastAsia="Arial" w:hAnsi="Arial"/>
                <w:sz w:val="14"/>
                <w:szCs w:val="14"/>
                <w:b w:val="1"/>
                <w:bCs w:val="1"/>
                <w:color w:val="auto"/>
                <w:w w:val="90"/>
              </w:rPr>
              <w:t>on which registered</w:t>
            </w:r>
          </w:p>
        </w:tc>
      </w:tr>
      <w:tr>
        <w:trPr>
          <w:trHeight w:val="234"/>
        </w:trPr>
        <w:tc>
          <w:tcPr>
            <w:tcW w:w="366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40" w:type="dxa"/>
            <w:vAlign w:val="bottom"/>
          </w:tcPr>
          <w:p>
            <w:pPr>
              <w:spacing w:after="0"/>
              <w:rPr>
                <w:sz w:val="20"/>
                <w:szCs w:val="20"/>
                <w:color w:val="auto"/>
              </w:rPr>
            </w:pPr>
          </w:p>
        </w:tc>
        <w:tc>
          <w:tcPr>
            <w:tcW w:w="366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40" w:type="dxa"/>
            <w:vAlign w:val="bottom"/>
          </w:tcPr>
          <w:p>
            <w:pPr>
              <w:spacing w:after="0"/>
              <w:rPr>
                <w:sz w:val="20"/>
                <w:szCs w:val="20"/>
                <w:color w:val="auto"/>
              </w:rPr>
            </w:pPr>
          </w:p>
        </w:tc>
        <w:tc>
          <w:tcPr>
            <w:tcW w:w="36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3"/>
              </w:rPr>
              <w:t>The Nasdaq Stock Market, LLC</w:t>
            </w:r>
          </w:p>
        </w:tc>
      </w:tr>
      <w:tr>
        <w:trPr>
          <w:trHeight w:val="373"/>
        </w:trPr>
        <w:tc>
          <w:tcPr>
            <w:tcW w:w="36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36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3640" w:type="dxa"/>
            <w:vAlign w:val="bottom"/>
            <w:tcBorders>
              <w:bottom w:val="single" w:sz="8" w:color="auto"/>
            </w:tcBorders>
          </w:tcPr>
          <w:p>
            <w:pPr>
              <w:spacing w:after="0"/>
              <w:rPr>
                <w:sz w:val="24"/>
                <w:szCs w:val="24"/>
                <w:color w:val="auto"/>
              </w:rPr>
            </w:pPr>
          </w:p>
        </w:tc>
      </w:tr>
      <w:tr>
        <w:trPr>
          <w:trHeight w:val="34"/>
        </w:trPr>
        <w:tc>
          <w:tcPr>
            <w:tcW w:w="36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60" w:type="dxa"/>
            <w:vAlign w:val="bottom"/>
            <w:tcBorders>
              <w:bottom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3640" w:type="dxa"/>
            <w:vAlign w:val="bottom"/>
            <w:tcBorders>
              <w:bottom w:val="single" w:sz="8" w:color="auto"/>
            </w:tcBorders>
          </w:tcPr>
          <w:p>
            <w:pPr>
              <w:spacing w:after="0"/>
              <w:rPr>
                <w:sz w:val="2"/>
                <w:szCs w:val="2"/>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56" w:lineRule="exact"/>
        <w:rPr>
          <w:sz w:val="20"/>
          <w:szCs w:val="20"/>
          <w:color w:val="auto"/>
        </w:rPr>
      </w:pPr>
    </w:p>
    <w:p>
      <w:pPr>
        <w:ind w:right="80" w:firstLine="648"/>
        <w:spacing w:after="0" w:line="291"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w:t>
      </w:r>
    </w:p>
    <w:p>
      <w:pPr>
        <w:ind w:right="460" w:firstLine="8"/>
        <w:spacing w:after="0" w:line="323" w:lineRule="auto"/>
        <w:tabs>
          <w:tab w:leader="none" w:pos="270" w:val="left"/>
        </w:tabs>
        <w:numPr>
          <w:ilvl w:val="0"/>
          <w:numId w:val="2"/>
        </w:numPr>
        <w:rPr>
          <w:rFonts w:ascii="Arial" w:cs="Arial" w:eastAsia="Arial" w:hAnsi="Arial"/>
          <w:sz w:val="16"/>
          <w:szCs w:val="16"/>
          <w:i w:val="1"/>
          <w:iCs w:val="1"/>
          <w:color w:val="auto"/>
        </w:rPr>
      </w:pPr>
      <w:r>
        <w:rPr>
          <w:rFonts w:ascii="Arial" w:cs="Arial" w:eastAsia="Arial" w:hAnsi="Arial"/>
          <w:sz w:val="16"/>
          <w:szCs w:val="16"/>
          <w:i w:val="1"/>
          <w:iCs w:val="1"/>
          <w:color w:val="auto"/>
        </w:rPr>
        <w:t>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38"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On June 7, 2021, Marvell Technology, Inc. (“Marvell”) issued a press release reporting its financial results for the first quarter of fiscal 2022 ended May 1, 2021. A copy of the press release is furnished herewith as Exhibit 99.1.</w:t>
      </w:r>
    </w:p>
    <w:p>
      <w:pPr>
        <w:spacing w:after="0" w:line="197" w:lineRule="exact"/>
        <w:rPr>
          <w:sz w:val="20"/>
          <w:szCs w:val="20"/>
          <w:color w:val="auto"/>
        </w:rPr>
      </w:pPr>
    </w:p>
    <w:p>
      <w:pPr>
        <w:ind w:right="160" w:firstLine="648"/>
        <w:spacing w:after="0" w:line="311" w:lineRule="auto"/>
        <w:rPr>
          <w:sz w:val="20"/>
          <w:szCs w:val="20"/>
          <w:color w:val="auto"/>
        </w:rPr>
      </w:pPr>
      <w:r>
        <w:rPr>
          <w:rFonts w:ascii="Arial" w:cs="Arial" w:eastAsia="Arial" w:hAnsi="Arial"/>
          <w:sz w:val="16"/>
          <w:szCs w:val="16"/>
          <w:color w:val="auto"/>
        </w:rPr>
        <w:t xml:space="preserve">Marvell will conduct a conference call on Thursday, June 7, 2021 at 1:45 p.m. Pacific Time to discuss results for the first quarter of fiscal 2022. Interested parties may join the conference call by dialing 1-888-317-6003 or 1-412-317-6061, pass-code </w:t>
      </w:r>
      <w:r>
        <w:rPr>
          <w:rFonts w:ascii="Arial" w:cs="Arial" w:eastAsia="Arial" w:hAnsi="Arial"/>
          <w:sz w:val="16"/>
          <w:szCs w:val="16"/>
          <w:b w:val="1"/>
          <w:bCs w:val="1"/>
          <w:color w:val="auto"/>
        </w:rPr>
        <w:t>9153389</w:t>
      </w:r>
      <w:r>
        <w:rPr>
          <w:rFonts w:ascii="Arial" w:cs="Arial" w:eastAsia="Arial" w:hAnsi="Arial"/>
          <w:sz w:val="16"/>
          <w:szCs w:val="16"/>
          <w:color w:val="auto"/>
        </w:rPr>
        <w:t>. The call will be webcast and can be accessed at the Marvell Investor Relations website at http://investor.marvell.com/ with a replay available following the call until Thursday, June 14, 2021.</w:t>
      </w:r>
    </w:p>
    <w:p>
      <w:pPr>
        <w:spacing w:after="0" w:line="172"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1040" w:hanging="384"/>
        <w:spacing w:after="0"/>
        <w:tabs>
          <w:tab w:leader="none" w:pos="104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1300"/>
        <w:spacing w:after="0"/>
        <w:tabs>
          <w:tab w:leader="none" w:pos="1780" w:val="left"/>
        </w:tabs>
        <w:rPr>
          <w:rFonts w:ascii="Arial" w:cs="Arial" w:eastAsia="Arial" w:hAnsi="Arial"/>
          <w:sz w:val="16"/>
          <w:szCs w:val="16"/>
          <w:u w:val="single" w:color="auto"/>
          <w:color w:val="0000FF"/>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FF"/>
          </w:rPr>
          <w:t>Press Release dated June 7, 2021, titled “Marvell Technology, Inc. Reports First Quarter of Fiscal Year 2022 Financial Results”</w:t>
        </w:r>
      </w:hyperlink>
    </w:p>
    <w:p>
      <w:pPr>
        <w:spacing w:after="0" w:line="23" w:lineRule="exact"/>
        <w:rPr>
          <w:sz w:val="20"/>
          <w:szCs w:val="20"/>
          <w:color w:val="auto"/>
        </w:rPr>
      </w:pPr>
    </w:p>
    <w:p>
      <w:pPr>
        <w:ind w:left="1300"/>
        <w:spacing w:after="0"/>
        <w:tabs>
          <w:tab w:leader="none" w:pos="17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670560</wp:posOffset>
            </wp:positionV>
            <wp:extent cx="71577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71" w:right="33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t>SIGNATURE</w:t>
      </w:r>
    </w:p>
    <w:p>
      <w:pPr>
        <w:spacing w:after="0" w:line="256"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6420"/>
        <w:spacing w:after="0"/>
        <w:rPr>
          <w:sz w:val="20"/>
          <w:szCs w:val="20"/>
          <w:color w:val="auto"/>
        </w:rPr>
      </w:pPr>
      <w:r>
        <w:rPr>
          <w:rFonts w:ascii="Arial" w:cs="Arial" w:eastAsia="Arial" w:hAnsi="Arial"/>
          <w:sz w:val="18"/>
          <w:szCs w:val="18"/>
          <w:color w:val="auto"/>
        </w:rPr>
        <w:t>MARVELL TECHNOLOGY, INC.</w:t>
      </w:r>
    </w:p>
    <w:p>
      <w:pPr>
        <w:spacing w:after="0" w:line="293" w:lineRule="exact"/>
        <w:rPr>
          <w:sz w:val="20"/>
          <w:szCs w:val="20"/>
          <w:color w:val="auto"/>
        </w:rPr>
      </w:pPr>
    </w:p>
    <w:p>
      <w:pPr>
        <w:ind w:left="800"/>
        <w:spacing w:after="0"/>
        <w:tabs>
          <w:tab w:leader="none" w:pos="6400" w:val="left"/>
          <w:tab w:leader="none" w:pos="6880" w:val="left"/>
        </w:tabs>
        <w:rPr>
          <w:sz w:val="20"/>
          <w:szCs w:val="20"/>
          <w:color w:val="auto"/>
        </w:rPr>
      </w:pPr>
      <w:r>
        <w:rPr>
          <w:rFonts w:ascii="Arial" w:cs="Arial" w:eastAsia="Arial" w:hAnsi="Arial"/>
          <w:sz w:val="18"/>
          <w:szCs w:val="18"/>
          <w:color w:val="auto"/>
        </w:rPr>
        <w:t>Date: June 7,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4368165</wp:posOffset>
            </wp:positionH>
            <wp:positionV relativeFrom="paragraph">
              <wp:posOffset>14605</wp:posOffset>
            </wp:positionV>
            <wp:extent cx="227139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271395" cy="8255"/>
                    </a:xfrm>
                    <a:prstGeom prst="rect">
                      <a:avLst/>
                    </a:prstGeom>
                    <a:noFill/>
                  </pic:spPr>
                </pic:pic>
              </a:graphicData>
            </a:graphic>
          </wp:anchor>
        </w:drawing>
      </w:r>
    </w:p>
    <w:p>
      <w:pPr>
        <w:spacing w:after="0" w:line="12" w:lineRule="exact"/>
        <w:rPr>
          <w:sz w:val="20"/>
          <w:szCs w:val="20"/>
          <w:color w:val="auto"/>
        </w:rPr>
      </w:pPr>
    </w:p>
    <w:p>
      <w:pPr>
        <w:ind w:left="690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90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880"/>
          </w:cols>
          <w:pgMar w:left="320" w:top="1012" w:right="6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5636895</wp:posOffset>
            </wp:positionH>
            <wp:positionV relativeFrom="paragraph">
              <wp:posOffset>180340</wp:posOffset>
            </wp:positionV>
            <wp:extent cx="1499870" cy="4546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99870" cy="4546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Reports First Quarter of Fiscal Year 2022</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115"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Q1 Net Revenue: $832 million, grew by 20% year-on-year</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Q1 Gross Margin: 50.2% GAAP gross margin; 64.3% non-GAAP gross margin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Q1 Diluted income (loss) per share: $(0.13) GAAP diluted loss per share; $0.29 non-GAAP diluted income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Cash and cash equivalents: $523 million</w:t>
      </w:r>
    </w:p>
    <w:p>
      <w:pPr>
        <w:spacing w:after="0" w:line="234" w:lineRule="exact"/>
        <w:rPr>
          <w:sz w:val="20"/>
          <w:szCs w:val="20"/>
          <w:color w:val="auto"/>
        </w:rPr>
      </w:pPr>
    </w:p>
    <w:p>
      <w:pPr>
        <w:ind w:right="400"/>
        <w:spacing w:after="0" w:line="266" w:lineRule="auto"/>
        <w:rPr>
          <w:sz w:val="20"/>
          <w:szCs w:val="20"/>
          <w:color w:val="auto"/>
        </w:rPr>
      </w:pPr>
      <w:r>
        <w:rPr>
          <w:rFonts w:ascii="Arial" w:cs="Arial" w:eastAsia="Arial" w:hAnsi="Arial"/>
          <w:sz w:val="18"/>
          <w:szCs w:val="18"/>
          <w:b w:val="1"/>
          <w:bCs w:val="1"/>
          <w:color w:val="auto"/>
        </w:rPr>
        <w:t xml:space="preserve">Santa Clara, Calif. (June 7, 2021) </w:t>
      </w:r>
      <w:r>
        <w:rPr>
          <w:rFonts w:ascii="Arial" w:cs="Arial" w:eastAsia="Arial" w:hAnsi="Arial"/>
          <w:sz w:val="18"/>
          <w:szCs w:val="18"/>
          <w:color w:val="auto"/>
        </w:rPr>
        <w:t>- Marvell Technology, Inc. (NASDAQ: MRVL), a leader in infrastructure semiconductor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first quarter of fiscal year 2022.</w:t>
      </w:r>
    </w:p>
    <w:p>
      <w:pPr>
        <w:spacing w:after="0" w:line="193" w:lineRule="exact"/>
        <w:rPr>
          <w:sz w:val="20"/>
          <w:szCs w:val="20"/>
          <w:color w:val="auto"/>
        </w:rPr>
      </w:pPr>
    </w:p>
    <w:p>
      <w:pPr>
        <w:ind w:right="220"/>
        <w:spacing w:after="0" w:line="248" w:lineRule="auto"/>
        <w:rPr>
          <w:sz w:val="20"/>
          <w:szCs w:val="20"/>
          <w:color w:val="auto"/>
        </w:rPr>
      </w:pPr>
      <w:r>
        <w:rPr>
          <w:rFonts w:ascii="Arial" w:cs="Arial" w:eastAsia="Arial" w:hAnsi="Arial"/>
          <w:sz w:val="18"/>
          <w:szCs w:val="18"/>
          <w:color w:val="auto"/>
        </w:rPr>
        <w:t>Marvell completed the acquisition of Inphi Corporation (“Inphi”) on April 20, 2021 (the “acquisition date”), approximately 10 days before the end of the first quarter of fiscal 2022. Marvell's results for the first quarter of fiscal 2022 include the results of Inphi from the acquisition date, while prior periods presented do not.</w:t>
      </w:r>
    </w:p>
    <w:p>
      <w:pPr>
        <w:spacing w:after="0" w:line="209" w:lineRule="exact"/>
        <w:rPr>
          <w:sz w:val="20"/>
          <w:szCs w:val="20"/>
          <w:color w:val="auto"/>
        </w:rPr>
      </w:pPr>
    </w:p>
    <w:p>
      <w:pPr>
        <w:ind w:right="340"/>
        <w:spacing w:after="0" w:line="294" w:lineRule="auto"/>
        <w:rPr>
          <w:sz w:val="20"/>
          <w:szCs w:val="20"/>
          <w:color w:val="auto"/>
        </w:rPr>
      </w:pPr>
      <w:r>
        <w:rPr>
          <w:rFonts w:ascii="Arial" w:cs="Arial" w:eastAsia="Arial" w:hAnsi="Arial"/>
          <w:sz w:val="16"/>
          <w:szCs w:val="16"/>
          <w:color w:val="auto"/>
        </w:rPr>
        <w:t>Financial highlights presented below are for the combined company and Marvell stand-alone (excluding Inphi results) for the first quarter of fiscal year 2022 (in thousands, except percentages and per share amounts). We are providing the Marvell stand-alone non-GAAP results on a one time basis this quarter in light of the fact that our previously provided financial outlook for the first quarter excluded any impact of the Inphi acquisition.</w:t>
      </w:r>
    </w:p>
    <w:p>
      <w:pPr>
        <w:spacing w:after="0" w:line="19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7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960" w:type="dxa"/>
            <w:vAlign w:val="bottom"/>
            <w:gridSpan w:val="2"/>
          </w:tcPr>
          <w:p>
            <w:pPr>
              <w:jc w:val="center"/>
              <w:ind w:right="360"/>
              <w:spacing w:after="0"/>
              <w:rPr>
                <w:sz w:val="20"/>
                <w:szCs w:val="20"/>
                <w:color w:val="auto"/>
              </w:rPr>
            </w:pPr>
            <w:r>
              <w:rPr>
                <w:rFonts w:ascii="Arial" w:cs="Arial" w:eastAsia="Arial" w:hAnsi="Arial"/>
                <w:sz w:val="14"/>
                <w:szCs w:val="14"/>
                <w:b w:val="1"/>
                <w:bCs w:val="1"/>
                <w:color w:val="auto"/>
                <w:w w:val="95"/>
              </w:rPr>
              <w:t>Three Months Ended</w:t>
            </w:r>
          </w:p>
        </w:tc>
        <w:tc>
          <w:tcPr>
            <w:tcW w:w="14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88"/>
        </w:trPr>
        <w:tc>
          <w:tcPr>
            <w:tcW w:w="494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70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960" w:type="dxa"/>
            <w:vAlign w:val="bottom"/>
            <w:tcBorders>
              <w:bottom w:val="single" w:sz="8" w:color="auto"/>
            </w:tcBorders>
            <w:gridSpan w:val="2"/>
          </w:tcPr>
          <w:p>
            <w:pPr>
              <w:jc w:val="center"/>
              <w:ind w:right="360"/>
              <w:spacing w:after="0"/>
              <w:rPr>
                <w:sz w:val="20"/>
                <w:szCs w:val="20"/>
                <w:color w:val="auto"/>
              </w:rPr>
            </w:pPr>
            <w:r>
              <w:rPr>
                <w:rFonts w:ascii="Arial" w:cs="Arial" w:eastAsia="Arial" w:hAnsi="Arial"/>
                <w:sz w:val="14"/>
                <w:szCs w:val="14"/>
                <w:b w:val="1"/>
                <w:bCs w:val="1"/>
                <w:color w:val="auto"/>
                <w:w w:val="97"/>
              </w:rPr>
              <w:t>May 1, 2021</w:t>
            </w:r>
          </w:p>
        </w:tc>
        <w:tc>
          <w:tcPr>
            <w:tcW w:w="140" w:type="dxa"/>
            <w:vAlign w:val="bottom"/>
            <w:tcBorders>
              <w:bottom w:val="single" w:sz="8" w:color="auto"/>
            </w:tcBorders>
          </w:tcPr>
          <w:p>
            <w:pPr>
              <w:spacing w:after="0"/>
              <w:rPr>
                <w:sz w:val="16"/>
                <w:szCs w:val="16"/>
                <w:color w:val="auto"/>
              </w:rPr>
            </w:pPr>
          </w:p>
        </w:tc>
        <w:tc>
          <w:tcPr>
            <w:tcW w:w="18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49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86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Combined GAAP</w:t>
            </w:r>
          </w:p>
        </w:tc>
        <w:tc>
          <w:tcPr>
            <w:tcW w:w="200" w:type="dxa"/>
            <w:vAlign w:val="bottom"/>
          </w:tcPr>
          <w:p>
            <w:pPr>
              <w:spacing w:after="0"/>
              <w:rPr>
                <w:sz w:val="11"/>
                <w:szCs w:val="11"/>
                <w:color w:val="auto"/>
              </w:rPr>
            </w:pPr>
          </w:p>
        </w:tc>
        <w:tc>
          <w:tcPr>
            <w:tcW w:w="1960" w:type="dxa"/>
            <w:vAlign w:val="bottom"/>
            <w:gridSpan w:val="2"/>
            <w:vMerge w:val="restart"/>
          </w:tcPr>
          <w:p>
            <w:pPr>
              <w:jc w:val="center"/>
              <w:ind w:right="380"/>
              <w:spacing w:after="0"/>
              <w:rPr>
                <w:sz w:val="20"/>
                <w:szCs w:val="20"/>
                <w:color w:val="auto"/>
              </w:rPr>
            </w:pPr>
            <w:r>
              <w:rPr>
                <w:rFonts w:ascii="Arial" w:cs="Arial" w:eastAsia="Arial" w:hAnsi="Arial"/>
                <w:sz w:val="14"/>
                <w:szCs w:val="14"/>
                <w:b w:val="1"/>
                <w:bCs w:val="1"/>
                <w:color w:val="auto"/>
                <w:w w:val="95"/>
              </w:rPr>
              <w:t>Combined Non-GAAP</w:t>
            </w:r>
          </w:p>
        </w:tc>
        <w:tc>
          <w:tcPr>
            <w:tcW w:w="140" w:type="dxa"/>
            <w:vAlign w:val="bottom"/>
          </w:tcPr>
          <w:p>
            <w:pPr>
              <w:spacing w:after="0"/>
              <w:rPr>
                <w:sz w:val="11"/>
                <w:szCs w:val="11"/>
                <w:color w:val="auto"/>
              </w:rPr>
            </w:pPr>
          </w:p>
        </w:tc>
        <w:tc>
          <w:tcPr>
            <w:tcW w:w="1840" w:type="dxa"/>
            <w:vAlign w:val="bottom"/>
          </w:tcPr>
          <w:p>
            <w:pPr>
              <w:jc w:val="right"/>
              <w:ind w:right="115"/>
              <w:spacing w:after="0" w:line="130" w:lineRule="exact"/>
              <w:rPr>
                <w:sz w:val="20"/>
                <w:szCs w:val="20"/>
                <w:color w:val="auto"/>
              </w:rPr>
            </w:pPr>
            <w:r>
              <w:rPr>
                <w:rFonts w:ascii="Arial" w:cs="Arial" w:eastAsia="Arial" w:hAnsi="Arial"/>
                <w:sz w:val="14"/>
                <w:szCs w:val="14"/>
                <w:b w:val="1"/>
                <w:bCs w:val="1"/>
                <w:color w:val="auto"/>
                <w:w w:val="96"/>
              </w:rPr>
              <w:t>Marvell Stand-alone Non-</w:t>
            </w:r>
          </w:p>
        </w:tc>
        <w:tc>
          <w:tcPr>
            <w:tcW w:w="0" w:type="dxa"/>
            <w:vAlign w:val="bottom"/>
          </w:tcPr>
          <w:p>
            <w:pPr>
              <w:spacing w:after="0"/>
              <w:rPr>
                <w:sz w:val="1"/>
                <w:szCs w:val="1"/>
                <w:color w:val="auto"/>
              </w:rPr>
            </w:pPr>
          </w:p>
        </w:tc>
      </w:tr>
      <w:tr>
        <w:trPr>
          <w:trHeight w:val="188"/>
        </w:trPr>
        <w:tc>
          <w:tcPr>
            <w:tcW w:w="49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86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1960" w:type="dxa"/>
            <w:vAlign w:val="bottom"/>
            <w:gridSpan w:val="2"/>
            <w:vMerge w:val="continue"/>
          </w:tcPr>
          <w:p>
            <w:pPr>
              <w:spacing w:after="0"/>
              <w:rPr>
                <w:sz w:val="16"/>
                <w:szCs w:val="16"/>
                <w:color w:val="auto"/>
              </w:rPr>
            </w:pPr>
          </w:p>
        </w:tc>
        <w:tc>
          <w:tcPr>
            <w:tcW w:w="140" w:type="dxa"/>
            <w:vAlign w:val="bottom"/>
          </w:tcPr>
          <w:p>
            <w:pPr>
              <w:spacing w:after="0"/>
              <w:rPr>
                <w:sz w:val="16"/>
                <w:szCs w:val="16"/>
                <w:color w:val="auto"/>
              </w:rPr>
            </w:pPr>
          </w:p>
        </w:tc>
        <w:tc>
          <w:tcPr>
            <w:tcW w:w="1840" w:type="dxa"/>
            <w:vAlign w:val="bottom"/>
          </w:tcPr>
          <w:p>
            <w:pPr>
              <w:jc w:val="right"/>
              <w:ind w:right="695"/>
              <w:spacing w:after="0"/>
              <w:rPr>
                <w:sz w:val="20"/>
                <w:szCs w:val="20"/>
                <w:color w:val="auto"/>
              </w:rPr>
            </w:pPr>
            <w:r>
              <w:rPr>
                <w:rFonts w:ascii="Arial" w:cs="Arial" w:eastAsia="Arial" w:hAnsi="Arial"/>
                <w:sz w:val="14"/>
                <w:szCs w:val="14"/>
                <w:b w:val="1"/>
                <w:bCs w:val="1"/>
                <w:color w:val="auto"/>
              </w:rPr>
              <w:t>GAAP</w:t>
            </w:r>
          </w:p>
        </w:tc>
        <w:tc>
          <w:tcPr>
            <w:tcW w:w="0" w:type="dxa"/>
            <w:vAlign w:val="bottom"/>
          </w:tcPr>
          <w:p>
            <w:pPr>
              <w:spacing w:after="0"/>
              <w:rPr>
                <w:sz w:val="1"/>
                <w:szCs w:val="1"/>
                <w:color w:val="auto"/>
              </w:rPr>
            </w:pPr>
          </w:p>
        </w:tc>
      </w:tr>
      <w:tr>
        <w:trPr>
          <w:trHeight w:val="224"/>
        </w:trPr>
        <w:tc>
          <w:tcPr>
            <w:tcW w:w="4940" w:type="dxa"/>
            <w:vAlign w:val="bottom"/>
            <w:tcBorders>
              <w:top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Net revenue</w:t>
            </w:r>
          </w:p>
        </w:tc>
        <w:tc>
          <w:tcPr>
            <w:tcW w:w="28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700" w:type="dxa"/>
            <w:vAlign w:val="bottom"/>
            <w:tcBorders>
              <w:top w:val="single" w:sz="8" w:color="auto"/>
            </w:tcBorders>
            <w:shd w:val="clear" w:color="auto" w:fill="CCEEFF"/>
          </w:tcPr>
          <w:p>
            <w:pPr>
              <w:jc w:val="right"/>
              <w:ind w:right="133"/>
              <w:spacing w:after="0"/>
              <w:rPr>
                <w:sz w:val="20"/>
                <w:szCs w:val="20"/>
                <w:color w:val="auto"/>
              </w:rPr>
            </w:pPr>
            <w:r>
              <w:rPr>
                <w:rFonts w:ascii="Arial" w:cs="Arial" w:eastAsia="Arial" w:hAnsi="Arial"/>
                <w:sz w:val="18"/>
                <w:szCs w:val="18"/>
                <w:color w:val="auto"/>
              </w:rPr>
              <w:t>832,279</w:t>
            </w:r>
          </w:p>
        </w:tc>
        <w:tc>
          <w:tcPr>
            <w:tcW w:w="16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780" w:type="dxa"/>
            <w:vAlign w:val="bottom"/>
            <w:tcBorders>
              <w:top w:val="single" w:sz="8" w:color="auto"/>
            </w:tcBorders>
            <w:shd w:val="clear" w:color="auto" w:fill="CCEEFF"/>
          </w:tcPr>
          <w:p>
            <w:pPr>
              <w:jc w:val="right"/>
              <w:ind w:right="137"/>
              <w:spacing w:after="0"/>
              <w:rPr>
                <w:sz w:val="20"/>
                <w:szCs w:val="20"/>
                <w:color w:val="auto"/>
              </w:rPr>
            </w:pPr>
            <w:r>
              <w:rPr>
                <w:rFonts w:ascii="Arial" w:cs="Arial" w:eastAsia="Arial" w:hAnsi="Arial"/>
                <w:sz w:val="18"/>
                <w:szCs w:val="18"/>
                <w:color w:val="auto"/>
              </w:rPr>
              <w:t>832,279</w:t>
            </w:r>
          </w:p>
        </w:tc>
        <w:tc>
          <w:tcPr>
            <w:tcW w:w="18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40" w:type="dxa"/>
            <w:vAlign w:val="bottom"/>
            <w:tcBorders>
              <w:top w:val="single" w:sz="8" w:color="auto"/>
            </w:tcBorders>
            <w:shd w:val="clear" w:color="auto" w:fill="CCEEFF"/>
          </w:tcPr>
          <w:p>
            <w:pPr>
              <w:jc w:val="right"/>
              <w:ind w:right="135"/>
              <w:spacing w:after="0"/>
              <w:rPr>
                <w:sz w:val="20"/>
                <w:szCs w:val="20"/>
                <w:color w:val="auto"/>
              </w:rPr>
            </w:pPr>
            <w:r>
              <w:rPr>
                <w:rFonts w:ascii="Arial" w:cs="Arial" w:eastAsia="Arial" w:hAnsi="Arial"/>
                <w:sz w:val="18"/>
                <w:szCs w:val="18"/>
                <w:color w:val="auto"/>
              </w:rPr>
              <w:t>810,496</w:t>
            </w:r>
          </w:p>
        </w:tc>
        <w:tc>
          <w:tcPr>
            <w:tcW w:w="0" w:type="dxa"/>
            <w:vAlign w:val="bottom"/>
          </w:tcPr>
          <w:p>
            <w:pPr>
              <w:spacing w:after="0"/>
              <w:rPr>
                <w:sz w:val="1"/>
                <w:szCs w:val="1"/>
                <w:color w:val="auto"/>
              </w:rPr>
            </w:pPr>
          </w:p>
        </w:tc>
      </w:tr>
      <w:tr>
        <w:trPr>
          <w:trHeight w:val="230"/>
        </w:trPr>
        <w:tc>
          <w:tcPr>
            <w:tcW w:w="4940" w:type="dxa"/>
            <w:vAlign w:val="bottom"/>
          </w:tcPr>
          <w:p>
            <w:pPr>
              <w:ind w:left="60"/>
              <w:spacing w:after="0"/>
              <w:rPr>
                <w:sz w:val="20"/>
                <w:szCs w:val="20"/>
                <w:color w:val="auto"/>
              </w:rPr>
            </w:pPr>
            <w:r>
              <w:rPr>
                <w:rFonts w:ascii="Arial" w:cs="Arial" w:eastAsia="Arial" w:hAnsi="Arial"/>
                <w:sz w:val="18"/>
                <w:szCs w:val="18"/>
                <w:color w:val="auto"/>
              </w:rPr>
              <w:t>Gross margin</w:t>
            </w:r>
          </w:p>
        </w:tc>
        <w:tc>
          <w:tcPr>
            <w:tcW w:w="280" w:type="dxa"/>
            <w:vAlign w:val="bottom"/>
          </w:tcPr>
          <w:p>
            <w:pPr>
              <w:spacing w:after="0"/>
              <w:rPr>
                <w:sz w:val="19"/>
                <w:szCs w:val="19"/>
                <w:color w:val="auto"/>
              </w:rPr>
            </w:pPr>
          </w:p>
        </w:tc>
        <w:tc>
          <w:tcPr>
            <w:tcW w:w="1700" w:type="dxa"/>
            <w:vAlign w:val="bottom"/>
          </w:tcPr>
          <w:p>
            <w:pPr>
              <w:jc w:val="right"/>
              <w:spacing w:after="0"/>
              <w:rPr>
                <w:sz w:val="20"/>
                <w:szCs w:val="20"/>
                <w:color w:val="auto"/>
              </w:rPr>
            </w:pPr>
            <w:r>
              <w:rPr>
                <w:rFonts w:ascii="Arial" w:cs="Arial" w:eastAsia="Arial" w:hAnsi="Arial"/>
                <w:sz w:val="18"/>
                <w:szCs w:val="18"/>
                <w:color w:val="auto"/>
              </w:rPr>
              <w:t>50.2 %</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64.3 %</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64.3 %</w:t>
            </w:r>
          </w:p>
        </w:tc>
        <w:tc>
          <w:tcPr>
            <w:tcW w:w="0" w:type="dxa"/>
            <w:vAlign w:val="bottom"/>
          </w:tcPr>
          <w:p>
            <w:pPr>
              <w:spacing w:after="0"/>
              <w:rPr>
                <w:sz w:val="1"/>
                <w:szCs w:val="1"/>
                <w:color w:val="auto"/>
              </w:rPr>
            </w:pPr>
          </w:p>
        </w:tc>
      </w:tr>
      <w:tr>
        <w:trPr>
          <w:trHeight w:val="230"/>
        </w:trPr>
        <w:tc>
          <w:tcPr>
            <w:tcW w:w="4940" w:type="dxa"/>
            <w:vAlign w:val="bottom"/>
            <w:shd w:val="clear" w:color="auto" w:fill="CCEEFF"/>
          </w:tcPr>
          <w:p>
            <w:pPr>
              <w:ind w:left="60"/>
              <w:spacing w:after="0"/>
              <w:rPr>
                <w:sz w:val="20"/>
                <w:szCs w:val="20"/>
                <w:color w:val="auto"/>
              </w:rPr>
            </w:pPr>
            <w:r>
              <w:rPr>
                <w:rFonts w:ascii="Arial" w:cs="Arial" w:eastAsia="Arial" w:hAnsi="Arial"/>
                <w:sz w:val="18"/>
                <w:szCs w:val="18"/>
                <w:color w:val="auto"/>
              </w:rPr>
              <w:t>Operating margin</w:t>
            </w:r>
          </w:p>
        </w:tc>
        <w:tc>
          <w:tcPr>
            <w:tcW w:w="280" w:type="dxa"/>
            <w:vAlign w:val="bottom"/>
            <w:shd w:val="clear" w:color="auto" w:fill="CCEEFF"/>
          </w:tcPr>
          <w:p>
            <w:pPr>
              <w:spacing w:after="0"/>
              <w:rPr>
                <w:sz w:val="19"/>
                <w:szCs w:val="19"/>
                <w:color w:val="auto"/>
              </w:rPr>
            </w:pPr>
          </w:p>
        </w:tc>
        <w:tc>
          <w:tcPr>
            <w:tcW w:w="1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27.5 %</w:t>
            </w:r>
          </w:p>
        </w:tc>
        <w:tc>
          <w:tcPr>
            <w:tcW w:w="1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27.7 %</w:t>
            </w:r>
          </w:p>
        </w:tc>
        <w:tc>
          <w:tcPr>
            <w:tcW w:w="0" w:type="dxa"/>
            <w:vAlign w:val="bottom"/>
          </w:tcPr>
          <w:p>
            <w:pPr>
              <w:spacing w:after="0"/>
              <w:rPr>
                <w:sz w:val="1"/>
                <w:szCs w:val="1"/>
                <w:color w:val="auto"/>
              </w:rPr>
            </w:pPr>
          </w:p>
        </w:tc>
      </w:tr>
      <w:tr>
        <w:trPr>
          <w:trHeight w:val="230"/>
        </w:trPr>
        <w:tc>
          <w:tcPr>
            <w:tcW w:w="4940" w:type="dxa"/>
            <w:vAlign w:val="bottom"/>
          </w:tcPr>
          <w:p>
            <w:pPr>
              <w:ind w:left="60"/>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700" w:type="dxa"/>
            <w:vAlign w:val="bottom"/>
          </w:tcPr>
          <w:p>
            <w:pPr>
              <w:jc w:val="right"/>
              <w:ind w:right="93"/>
              <w:spacing w:after="0"/>
              <w:rPr>
                <w:sz w:val="20"/>
                <w:szCs w:val="20"/>
                <w:color w:val="auto"/>
              </w:rPr>
            </w:pPr>
            <w:r>
              <w:rPr>
                <w:rFonts w:ascii="Arial" w:cs="Arial" w:eastAsia="Arial" w:hAnsi="Arial"/>
                <w:sz w:val="18"/>
                <w:szCs w:val="18"/>
                <w:color w:val="auto"/>
              </w:rPr>
              <w:t>(88,242)</w:t>
            </w:r>
          </w:p>
        </w:tc>
        <w:tc>
          <w:tcPr>
            <w:tcW w:w="16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780" w:type="dxa"/>
            <w:vAlign w:val="bottom"/>
          </w:tcPr>
          <w:p>
            <w:pPr>
              <w:jc w:val="right"/>
              <w:ind w:right="137"/>
              <w:spacing w:after="0"/>
              <w:rPr>
                <w:sz w:val="20"/>
                <w:szCs w:val="20"/>
                <w:color w:val="auto"/>
              </w:rPr>
            </w:pPr>
            <w:r>
              <w:rPr>
                <w:rFonts w:ascii="Arial" w:cs="Arial" w:eastAsia="Arial" w:hAnsi="Arial"/>
                <w:sz w:val="18"/>
                <w:szCs w:val="18"/>
                <w:color w:val="auto"/>
              </w:rPr>
              <w:t>201,799</w:t>
            </w:r>
          </w:p>
        </w:tc>
        <w:tc>
          <w:tcPr>
            <w:tcW w:w="18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840" w:type="dxa"/>
            <w:vAlign w:val="bottom"/>
          </w:tcPr>
          <w:p>
            <w:pPr>
              <w:jc w:val="right"/>
              <w:ind w:right="135"/>
              <w:spacing w:after="0"/>
              <w:rPr>
                <w:sz w:val="20"/>
                <w:szCs w:val="20"/>
                <w:color w:val="auto"/>
              </w:rPr>
            </w:pPr>
            <w:r>
              <w:rPr>
                <w:rFonts w:ascii="Arial" w:cs="Arial" w:eastAsia="Arial" w:hAnsi="Arial"/>
                <w:sz w:val="18"/>
                <w:szCs w:val="18"/>
                <w:color w:val="auto"/>
              </w:rPr>
              <w:t>200,937</w:t>
            </w:r>
          </w:p>
        </w:tc>
        <w:tc>
          <w:tcPr>
            <w:tcW w:w="0" w:type="dxa"/>
            <w:vAlign w:val="bottom"/>
          </w:tcPr>
          <w:p>
            <w:pPr>
              <w:spacing w:after="0"/>
              <w:rPr>
                <w:sz w:val="1"/>
                <w:szCs w:val="1"/>
                <w:color w:val="auto"/>
              </w:rPr>
            </w:pPr>
          </w:p>
        </w:tc>
      </w:tr>
      <w:tr>
        <w:trPr>
          <w:trHeight w:val="229"/>
        </w:trPr>
        <w:tc>
          <w:tcPr>
            <w:tcW w:w="4940" w:type="dxa"/>
            <w:vAlign w:val="bottom"/>
            <w:shd w:val="clear" w:color="auto" w:fill="CCEEFF"/>
          </w:tcPr>
          <w:p>
            <w:pPr>
              <w:ind w:left="60"/>
              <w:spacing w:after="0"/>
              <w:rPr>
                <w:sz w:val="20"/>
                <w:szCs w:val="20"/>
                <w:color w:val="auto"/>
              </w:rPr>
            </w:pPr>
            <w:r>
              <w:rPr>
                <w:rFonts w:ascii="Arial" w:cs="Arial" w:eastAsia="Arial" w:hAnsi="Arial"/>
                <w:sz w:val="18"/>
                <w:szCs w:val="18"/>
                <w:color w:val="auto"/>
              </w:rPr>
              <w:t>Diluted net income (loss) per share</w:t>
            </w: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700" w:type="dxa"/>
            <w:vAlign w:val="bottom"/>
            <w:shd w:val="clear" w:color="auto" w:fill="CCEEFF"/>
          </w:tcPr>
          <w:p>
            <w:pPr>
              <w:jc w:val="right"/>
              <w:ind w:right="93"/>
              <w:spacing w:after="0"/>
              <w:rPr>
                <w:sz w:val="20"/>
                <w:szCs w:val="20"/>
                <w:color w:val="auto"/>
              </w:rPr>
            </w:pPr>
            <w:r>
              <w:rPr>
                <w:rFonts w:ascii="Arial" w:cs="Arial" w:eastAsia="Arial" w:hAnsi="Arial"/>
                <w:sz w:val="18"/>
                <w:szCs w:val="18"/>
                <w:color w:val="auto"/>
              </w:rPr>
              <w:t>(0.13)</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780" w:type="dxa"/>
            <w:vAlign w:val="bottom"/>
            <w:shd w:val="clear" w:color="auto" w:fill="CCEEFF"/>
          </w:tcPr>
          <w:p>
            <w:pPr>
              <w:jc w:val="right"/>
              <w:ind w:right="137"/>
              <w:spacing w:after="0"/>
              <w:rPr>
                <w:sz w:val="20"/>
                <w:szCs w:val="20"/>
                <w:color w:val="auto"/>
              </w:rPr>
            </w:pPr>
            <w:r>
              <w:rPr>
                <w:rFonts w:ascii="Arial" w:cs="Arial" w:eastAsia="Arial" w:hAnsi="Arial"/>
                <w:sz w:val="18"/>
                <w:szCs w:val="18"/>
                <w:color w:val="auto"/>
              </w:rPr>
              <w:t>0.29</w:t>
            </w:r>
          </w:p>
        </w:tc>
        <w:tc>
          <w:tcPr>
            <w:tcW w:w="18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84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0.29</w:t>
            </w:r>
          </w:p>
        </w:tc>
        <w:tc>
          <w:tcPr>
            <w:tcW w:w="0" w:type="dxa"/>
            <w:vAlign w:val="bottom"/>
          </w:tcPr>
          <w:p>
            <w:pPr>
              <w:spacing w:after="0"/>
              <w:rPr>
                <w:sz w:val="1"/>
                <w:szCs w:val="1"/>
                <w:color w:val="auto"/>
              </w:rPr>
            </w:pPr>
          </w:p>
        </w:tc>
      </w:tr>
    </w:tbl>
    <w:p>
      <w:pPr>
        <w:spacing w:after="0" w:line="337" w:lineRule="exact"/>
        <w:rPr>
          <w:sz w:val="20"/>
          <w:szCs w:val="20"/>
          <w:color w:val="auto"/>
        </w:rPr>
      </w:pPr>
    </w:p>
    <w:p>
      <w:pPr>
        <w:jc w:val="both"/>
        <w:ind w:right="60"/>
        <w:spacing w:after="0" w:line="261" w:lineRule="auto"/>
        <w:rPr>
          <w:sz w:val="20"/>
          <w:szCs w:val="20"/>
          <w:color w:val="auto"/>
        </w:rPr>
      </w:pPr>
      <w:r>
        <w:rPr>
          <w:rFonts w:ascii="Arial" w:cs="Arial" w:eastAsia="Arial" w:hAnsi="Arial"/>
          <w:sz w:val="18"/>
          <w:szCs w:val="18"/>
          <w:color w:val="auto"/>
        </w:rPr>
        <w:t>Net revenue for the first quarter of fiscal 2022 was $832 million. GAAP net loss for the first quarter of fiscal 2022 was $(88) million, or $(0.13) per diluted share. Non-GAAP net income for the first quarter of fiscal 2022 was $202 million, or $0.29 per diluted share.</w:t>
      </w:r>
    </w:p>
    <w:p>
      <w:pPr>
        <w:spacing w:after="0" w:line="184" w:lineRule="exact"/>
        <w:rPr>
          <w:sz w:val="20"/>
          <w:szCs w:val="20"/>
          <w:color w:val="auto"/>
        </w:rPr>
      </w:pPr>
    </w:p>
    <w:p>
      <w:pPr>
        <w:ind w:right="200"/>
        <w:spacing w:after="0" w:line="231" w:lineRule="auto"/>
        <w:rPr>
          <w:sz w:val="20"/>
          <w:szCs w:val="20"/>
          <w:color w:val="auto"/>
        </w:rPr>
      </w:pPr>
      <w:r>
        <w:rPr>
          <w:rFonts w:ascii="Arial" w:cs="Arial" w:eastAsia="Arial" w:hAnsi="Arial"/>
          <w:sz w:val="18"/>
          <w:szCs w:val="18"/>
          <w:color w:val="auto"/>
        </w:rPr>
        <w:t>“We began fiscal 2022 on a strong note, with stand-alone Marvell revenue growing 17% year-over-year for the first quarter. The acquisition of Inphi increases and accelerates our growth opportunity in the data center, Marvell’s largest end market by revenue,” said Matt Murphy, Marvell’s President and CEO. “Marvell’s outlook for strong revenue growth in the second quarter highlights robust demand across all our key end markets. I have never felt stronger about our prospects and believe that we are at the beginning of a multi-year growth cycle.”</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The financial outlook for the second quarter of fiscal 2022 includes expected results of Inphi for the full quarter.</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Second Quarter of Fiscal 2022 Financial Outlook</w:t>
      </w:r>
    </w:p>
    <w:p>
      <w:pPr>
        <w:spacing w:after="0" w:line="121"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Net revenue is expected to be $1.065 billion +/- 3%.</w:t>
      </w:r>
    </w:p>
    <w:p>
      <w:pPr>
        <w:spacing w:after="0" w:line="11" w:lineRule="exact"/>
        <w:rPr>
          <w:rFonts w:ascii="Arial" w:cs="Arial" w:eastAsia="Arial" w:hAnsi="Arial"/>
          <w:sz w:val="18"/>
          <w:szCs w:val="18"/>
          <w:color w:val="auto"/>
        </w:rPr>
      </w:pPr>
    </w:p>
    <w:p>
      <w:pPr>
        <w:ind w:left="660" w:hanging="328"/>
        <w:spacing w:after="0" w:line="234"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GAAP gross margin is expected to be 34.8% to 37.5%.</w:t>
      </w:r>
    </w:p>
    <w:p>
      <w:pPr>
        <w:ind w:left="660" w:hanging="328"/>
        <w:spacing w:after="0" w:line="234"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64%.</w:t>
      </w:r>
    </w:p>
    <w:p>
      <w:pPr>
        <w:ind w:left="660" w:hanging="328"/>
        <w:spacing w:after="0" w:line="234"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GAAP operating expenses are expected to be $633 million to $643 million.</w:t>
      </w:r>
    </w:p>
    <w:p>
      <w:pPr>
        <w:ind w:left="660" w:hanging="328"/>
        <w:spacing w:after="0" w:line="234"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operating expenses are expected to be $370 million to $375 million.</w:t>
      </w:r>
    </w:p>
    <w:p>
      <w:pPr>
        <w:ind w:left="660" w:hanging="328"/>
        <w:spacing w:after="0" w:line="234"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Basic weighted average shares outstanding are expected to be 822 million.</w:t>
      </w:r>
    </w:p>
    <w:p>
      <w:pPr>
        <w:ind w:left="660" w:hanging="328"/>
        <w:spacing w:after="0" w:line="234"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Diluted weighted average shares outstanding are expected to be 835 million.</w:t>
      </w:r>
    </w:p>
    <w:p>
      <w:pPr>
        <w:ind w:left="660" w:hanging="328"/>
        <w:spacing w:after="0" w:line="234" w:lineRule="auto"/>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GAAP diluted loss per share is expected to be $(0.37) +/- $0.04 per share.</w:t>
      </w: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$0.31 +/- $0.03 per share.</w:t>
      </w:r>
    </w:p>
    <w:p>
      <w:pPr>
        <w:spacing w:after="0" w:line="223" w:lineRule="exact"/>
        <w:rPr>
          <w:sz w:val="20"/>
          <w:szCs w:val="20"/>
          <w:color w:val="auto"/>
        </w:rPr>
      </w:pPr>
    </w:p>
    <w:p>
      <w:pPr>
        <w:jc w:val="both"/>
        <w:ind w:right="280"/>
        <w:spacing w:after="0" w:line="324" w:lineRule="auto"/>
        <w:rPr>
          <w:sz w:val="20"/>
          <w:szCs w:val="20"/>
          <w:color w:val="auto"/>
        </w:rPr>
      </w:pPr>
      <w:r>
        <w:rPr>
          <w:rFonts w:ascii="Arial" w:cs="Arial" w:eastAsia="Arial" w:hAnsi="Arial"/>
          <w:sz w:val="16"/>
          <w:szCs w:val="16"/>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378" w:right="3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243" w:lineRule="exact"/>
        <w:rPr>
          <w:sz w:val="20"/>
          <w:szCs w:val="20"/>
          <w:color w:val="auto"/>
        </w:rPr>
      </w:pPr>
    </w:p>
    <w:p>
      <w:pPr>
        <w:ind w:right="40"/>
        <w:spacing w:after="0" w:line="294" w:lineRule="auto"/>
        <w:rPr>
          <w:sz w:val="20"/>
          <w:szCs w:val="20"/>
          <w:color w:val="auto"/>
        </w:rPr>
      </w:pPr>
      <w:r>
        <w:rPr>
          <w:rFonts w:ascii="Arial" w:cs="Arial" w:eastAsia="Arial" w:hAnsi="Arial"/>
          <w:sz w:val="16"/>
          <w:szCs w:val="16"/>
          <w:color w:val="auto"/>
        </w:rPr>
        <w:t>Marvell will conduct a conference call on Monday, June 7, 2021 at 1:45 p.m. Pacific Time to discuss results for the first quarter of fiscal 2022. Interested parties may join the conference call by dialing 1-888-317-6003 or 1-412-317-6061, pass-code 9153389. The call will be webcast and can be accessed at the Marvell Investor Relations website at http://investor.marvell.com/ with a replay available following the call until Monday, June 14, 2021.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43" w:lineRule="exact"/>
        <w:rPr>
          <w:sz w:val="20"/>
          <w:szCs w:val="20"/>
          <w:color w:val="auto"/>
        </w:rPr>
      </w:pPr>
    </w:p>
    <w:p>
      <w:pPr>
        <w:ind w:right="80"/>
        <w:spacing w:after="0" w:line="284" w:lineRule="auto"/>
        <w:rPr>
          <w:sz w:val="20"/>
          <w:szCs w:val="20"/>
          <w:color w:val="auto"/>
        </w:rPr>
      </w:pPr>
      <w:r>
        <w:rPr>
          <w:rFonts w:ascii="Arial" w:cs="Arial" w:eastAsia="Arial" w:hAnsi="Arial"/>
          <w:sz w:val="16"/>
          <w:szCs w:val="16"/>
          <w:color w:val="auto"/>
        </w:rPr>
        <w:t>Non-GAAP financial measures exclude the effect of share-based compensation expense, amortization of the inventory fair value adjustment associated with acquisition,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first quarter of fiscal 2022, a non-GAAP tax rate of 5.0% has been applied to the non-GAAP financial results.</w:t>
      </w:r>
    </w:p>
    <w:p>
      <w:pPr>
        <w:spacing w:after="0" w:line="216" w:lineRule="exact"/>
        <w:rPr>
          <w:sz w:val="20"/>
          <w:szCs w:val="20"/>
          <w:color w:val="auto"/>
        </w:rPr>
      </w:pPr>
    </w:p>
    <w:p>
      <w:pPr>
        <w:ind w:right="140"/>
        <w:spacing w:after="0" w:line="257" w:lineRule="auto"/>
        <w:rPr>
          <w:sz w:val="20"/>
          <w:szCs w:val="20"/>
          <w:color w:val="auto"/>
        </w:rPr>
      </w:pPr>
      <w:r>
        <w:rPr>
          <w:rFonts w:ascii="Arial" w:cs="Arial" w:eastAsia="Arial" w:hAnsi="Arial"/>
          <w:sz w:val="17"/>
          <w:szCs w:val="17"/>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202" w:lineRule="exact"/>
        <w:rPr>
          <w:sz w:val="20"/>
          <w:szCs w:val="20"/>
          <w:color w:val="auto"/>
        </w:rPr>
      </w:pPr>
    </w:p>
    <w:p>
      <w:pPr>
        <w:ind w:right="660"/>
        <w:spacing w:after="0" w:line="291"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74" w:lineRule="exact"/>
        <w:rPr>
          <w:sz w:val="20"/>
          <w:szCs w:val="20"/>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11" w:lineRule="exact"/>
        <w:rPr>
          <w:rFonts w:ascii="Arial" w:cs="Arial" w:eastAsia="Arial" w:hAnsi="Arial"/>
          <w:sz w:val="18"/>
          <w:szCs w:val="18"/>
          <w:color w:val="auto"/>
        </w:rPr>
      </w:pPr>
    </w:p>
    <w:p>
      <w:pPr>
        <w:ind w:left="660" w:hanging="328"/>
        <w:spacing w:after="0" w:line="234" w:lineRule="auto"/>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ind w:left="660" w:hanging="328"/>
        <w:spacing w:after="0" w:line="234" w:lineRule="auto"/>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ind w:left="660" w:right="480" w:hanging="328"/>
        <w:spacing w:after="0" w:line="243"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91"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pacing w:after="0" w:line="174" w:lineRule="exact"/>
        <w:rPr>
          <w:sz w:val="20"/>
          <w:szCs w:val="20"/>
          <w:color w:val="auto"/>
        </w:rPr>
      </w:pPr>
    </w:p>
    <w:p>
      <w:pPr>
        <w:jc w:val="both"/>
        <w:ind w:right="160"/>
        <w:spacing w:after="0" w:line="248" w:lineRule="auto"/>
        <w:rPr>
          <w:sz w:val="20"/>
          <w:szCs w:val="20"/>
          <w:color w:val="auto"/>
        </w:rPr>
      </w:pPr>
      <w:r>
        <w:rPr>
          <w:rFonts w:ascii="Arial" w:cs="Arial" w:eastAsia="Arial" w:hAnsi="Arial"/>
          <w:sz w:val="18"/>
          <w:szCs w:val="18"/>
          <w:color w:val="auto"/>
        </w:rPr>
        <w:t>Marvell stand-alone non-GAAP results represent combined non-GAAP results after excluding Inphi results for the portion of the first quarter falling after the acquisition date. We are providing the Marvell stand-alone non-GAAP results on a one time basis for the first quarter of fiscal 2022 in light of the fact that our previously provided financial outlook for the first quarter excluded any impact of the Inphi acquisition.</w:t>
      </w:r>
    </w:p>
    <w:p>
      <w:pPr>
        <w:sectPr>
          <w:pgSz w:w="11900" w:h="16838" w:orient="portrait"/>
          <w:cols w:equalWidth="0" w:num="1">
            <w:col w:w="11240"/>
          </w:cols>
          <w:pgMar w:left="320" w:top="769"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75" w:lineRule="exact"/>
        <w:rPr>
          <w:sz w:val="20"/>
          <w:szCs w:val="20"/>
          <w:color w:val="auto"/>
        </w:rPr>
      </w:pPr>
    </w:p>
    <w:p>
      <w:pPr>
        <w:spacing w:after="0" w:line="248"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failure to realize the anticipated benefits of the transaction with Inphi Corporation on a timely basis or at all, including as a result of our ability to successfully integrate the businesses of Marvell and Inphi or due to unexpected costs, liabilities, delays or other factors impacting the semiconductor industry; the risk that disruptions from the transaction with Inphi will harm our business, including current plans and operations; our ability to retain and hire key personnel; potential adverse reactions or changes to business relationships resulting from the transaction with Inphi; risks associated with third party contracts containing consent and/or other provisions that may be triggered by the transaction with Inphi; risks related to the impact of the COVID-19 pandemic which have impacted, and may continue to impact our business, workforce and operations, the transportation and manufacturing of our products, and the operations of our customers, distributors, vendors, suppliers, and partners; increased disruption and volatility in the capital markets and credit markets as a result of COVID-19, which could adversely affect our liquidity and capital resources; the impact of COVID-19, or other future pandemics, on the U.S. and global economies; disruptions caused by COVID-19 resulting in worker absenteeism, quarantines and restrictions on our employees' ability to work, innovate, collaborate, and travel; the effects that the current credit and market conditions caused by, or resulting from, COVID-19 could have on the liquidity and financial condition of our customers and suppliers, including any impact on their ability to meet their contractual obligations; supply chain disruptions or component shortages that may impact the production of our products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reliance on our manufacturing partners for the manufacture, assembly and testing of our products; the impact of international conflict and economic volatility in either domestic or foreign markets including risks related to trade conflicts, regulations, and tariffs, including but not limited to, restrictions imposed on our Chinese customers; the risks associated with manufacturing and selling products and customers' products outside of the United States; our ability to define, design and develop products for the Cloud and 5G markets; our ability to market our 5G products to Tier 1 infrastructure customers; cancellations, rescheduling or deferrals of significant customer orders or shipments, as well as the ability of our customers to manage inventory; our ability to estimate customer demand and future sales accurately;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the risk of downturns in the semiconductor industry; risks related to our debt obligations; the outcome of pending or future litigation and legal and regulatory proceedings;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decreases in gross margin and results of operations in the future due to a number of factors; our ability to scale our operations in response to changes in demand for existing or new products and services; risks associated with acquisition and consolidation activity in the semiconductor industry; the effects of any other potential acquisitions, divestitures or investments; our ability to protect our intellectual property; our maintenance of an effective system of internal controls; severe financial hardship or bankruptcy of one or more of our major customers;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40"/>
          </w:cols>
          <w:pgMar w:left="320" w:top="445" w:right="3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243" w:lineRule="exact"/>
        <w:rPr>
          <w:sz w:val="20"/>
          <w:szCs w:val="20"/>
          <w:color w:val="auto"/>
        </w:rPr>
      </w:pPr>
    </w:p>
    <w:p>
      <w:pPr>
        <w:spacing w:after="0" w:line="262"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9"/>
          <w:szCs w:val="9"/>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080"/>
          </w:cols>
          <w:pgMar w:left="320" w:top="769" w:right="49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1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325"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r>
      <w:tr>
        <w:trPr>
          <w:trHeight w:val="134"/>
        </w:trPr>
        <w:tc>
          <w:tcPr>
            <w:tcW w:w="69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8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May 1,</w:t>
            </w:r>
          </w:p>
        </w:tc>
        <w:tc>
          <w:tcPr>
            <w:tcW w:w="200" w:type="dxa"/>
            <w:vAlign w:val="bottom"/>
          </w:tcPr>
          <w:p>
            <w:pPr>
              <w:spacing w:after="0"/>
              <w:rPr>
                <w:sz w:val="11"/>
                <w:szCs w:val="11"/>
                <w:color w:val="auto"/>
              </w:rPr>
            </w:pPr>
          </w:p>
        </w:tc>
        <w:tc>
          <w:tcPr>
            <w:tcW w:w="128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January 30,</w:t>
            </w:r>
          </w:p>
        </w:tc>
        <w:tc>
          <w:tcPr>
            <w:tcW w:w="280" w:type="dxa"/>
            <w:vAlign w:val="bottom"/>
          </w:tcPr>
          <w:p>
            <w:pPr>
              <w:spacing w:after="0"/>
              <w:rPr>
                <w:sz w:val="11"/>
                <w:szCs w:val="11"/>
                <w:color w:val="auto"/>
              </w:rPr>
            </w:pPr>
          </w:p>
        </w:tc>
        <w:tc>
          <w:tcPr>
            <w:tcW w:w="1040" w:type="dxa"/>
            <w:vAlign w:val="bottom"/>
          </w:tcPr>
          <w:p>
            <w:pPr>
              <w:jc w:val="right"/>
              <w:ind w:right="352"/>
              <w:spacing w:after="0" w:line="135" w:lineRule="exact"/>
              <w:rPr>
                <w:sz w:val="20"/>
                <w:szCs w:val="20"/>
                <w:color w:val="auto"/>
              </w:rPr>
            </w:pPr>
            <w:r>
              <w:rPr>
                <w:rFonts w:ascii="Arial" w:cs="Arial" w:eastAsia="Arial" w:hAnsi="Arial"/>
                <w:sz w:val="14"/>
                <w:szCs w:val="14"/>
                <w:b w:val="1"/>
                <w:bCs w:val="1"/>
                <w:color w:val="auto"/>
              </w:rPr>
              <w:t>May 2,</w:t>
            </w:r>
          </w:p>
        </w:tc>
      </w:tr>
      <w:tr>
        <w:trPr>
          <w:trHeight w:val="188"/>
        </w:trPr>
        <w:tc>
          <w:tcPr>
            <w:tcW w:w="698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2021</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2021</w:t>
            </w:r>
          </w:p>
        </w:tc>
        <w:tc>
          <w:tcPr>
            <w:tcW w:w="1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2020</w:t>
            </w:r>
          </w:p>
        </w:tc>
      </w:tr>
      <w:tr>
        <w:trPr>
          <w:trHeight w:val="224"/>
        </w:trPr>
        <w:tc>
          <w:tcPr>
            <w:tcW w:w="6980" w:type="dxa"/>
            <w:vAlign w:val="bottom"/>
            <w:shd w:val="clear" w:color="auto" w:fill="CCEEFF"/>
          </w:tcPr>
          <w:p>
            <w:pPr>
              <w:ind w:left="60"/>
              <w:spacing w:after="0"/>
              <w:rPr>
                <w:sz w:val="20"/>
                <w:szCs w:val="20"/>
                <w:color w:val="auto"/>
              </w:rPr>
            </w:pPr>
            <w:r>
              <w:rPr>
                <w:rFonts w:ascii="Arial" w:cs="Arial" w:eastAsia="Arial" w:hAnsi="Arial"/>
                <w:sz w:val="18"/>
                <w:szCs w:val="18"/>
                <w:color w:val="auto"/>
              </w:rPr>
              <w:t>Net revenue</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832,279</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797,819</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693,641</w:t>
            </w:r>
          </w:p>
        </w:tc>
      </w:tr>
      <w:tr>
        <w:trPr>
          <w:trHeight w:val="229"/>
        </w:trPr>
        <w:tc>
          <w:tcPr>
            <w:tcW w:w="698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Cost of goods sold</w:t>
            </w: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414,138</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376,687</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366,739</w:t>
            </w:r>
          </w:p>
        </w:tc>
      </w:tr>
      <w:tr>
        <w:trPr>
          <w:trHeight w:val="223"/>
        </w:trPr>
        <w:tc>
          <w:tcPr>
            <w:tcW w:w="6980" w:type="dxa"/>
            <w:vAlign w:val="bottom"/>
            <w:shd w:val="clear" w:color="auto" w:fill="CCEEFF"/>
          </w:tcPr>
          <w:p>
            <w:pPr>
              <w:ind w:left="60"/>
              <w:spacing w:after="0"/>
              <w:rPr>
                <w:sz w:val="20"/>
                <w:szCs w:val="20"/>
                <w:color w:val="auto"/>
              </w:rPr>
            </w:pPr>
            <w:r>
              <w:rPr>
                <w:rFonts w:ascii="Arial" w:cs="Arial" w:eastAsia="Arial" w:hAnsi="Arial"/>
                <w:sz w:val="18"/>
                <w:szCs w:val="18"/>
                <w:color w:val="auto"/>
              </w:rPr>
              <w:t>Gross profit</w:t>
            </w: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418,141</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421,132</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326,902</w:t>
            </w:r>
          </w:p>
        </w:tc>
      </w:tr>
      <w:tr>
        <w:trPr>
          <w:trHeight w:val="250"/>
        </w:trPr>
        <w:tc>
          <w:tcPr>
            <w:tcW w:w="698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040" w:type="dxa"/>
            <w:vAlign w:val="bottom"/>
          </w:tcPr>
          <w:p>
            <w:pPr>
              <w:spacing w:after="0"/>
              <w:rPr>
                <w:sz w:val="21"/>
                <w:szCs w:val="21"/>
                <w:color w:val="auto"/>
              </w:rPr>
            </w:pPr>
          </w:p>
        </w:tc>
      </w:tr>
      <w:tr>
        <w:trPr>
          <w:trHeight w:val="229"/>
        </w:trPr>
        <w:tc>
          <w:tcPr>
            <w:tcW w:w="6980" w:type="dxa"/>
            <w:vAlign w:val="bottom"/>
            <w:shd w:val="clear" w:color="auto" w:fill="CCEEFF"/>
          </w:tcPr>
          <w:p>
            <w:pPr>
              <w:ind w:left="60"/>
              <w:spacing w:after="0"/>
              <w:rPr>
                <w:sz w:val="20"/>
                <w:szCs w:val="20"/>
                <w:color w:val="auto"/>
              </w:rPr>
            </w:pPr>
            <w:r>
              <w:rPr>
                <w:rFonts w:ascii="Arial" w:cs="Arial" w:eastAsia="Arial" w:hAnsi="Arial"/>
                <w:sz w:val="18"/>
                <w:szCs w:val="18"/>
                <w:color w:val="auto"/>
              </w:rPr>
              <w:t>Operating expenses:</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30"/>
        </w:trPr>
        <w:tc>
          <w:tcPr>
            <w:tcW w:w="6980" w:type="dxa"/>
            <w:vAlign w:val="bottom"/>
          </w:tcPr>
          <w:p>
            <w:pPr>
              <w:ind w:left="520"/>
              <w:spacing w:after="0"/>
              <w:rPr>
                <w:sz w:val="20"/>
                <w:szCs w:val="20"/>
                <w:color w:val="auto"/>
              </w:rPr>
            </w:pPr>
            <w:r>
              <w:rPr>
                <w:rFonts w:ascii="Arial" w:cs="Arial" w:eastAsia="Arial" w:hAnsi="Arial"/>
                <w:sz w:val="18"/>
                <w:szCs w:val="18"/>
                <w:color w:val="auto"/>
              </w:rPr>
              <w:t>Research and development</w:t>
            </w: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286,100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260,380</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279,584</w:t>
            </w:r>
          </w:p>
        </w:tc>
      </w:tr>
      <w:tr>
        <w:trPr>
          <w:trHeight w:val="229"/>
        </w:trPr>
        <w:tc>
          <w:tcPr>
            <w:tcW w:w="6980" w:type="dxa"/>
            <w:vAlign w:val="bottom"/>
            <w:shd w:val="clear" w:color="auto" w:fill="CCEEFF"/>
          </w:tcPr>
          <w:p>
            <w:pPr>
              <w:ind w:left="520"/>
              <w:spacing w:after="0"/>
              <w:rPr>
                <w:sz w:val="20"/>
                <w:szCs w:val="20"/>
                <w:color w:val="auto"/>
              </w:rPr>
            </w:pPr>
            <w:r>
              <w:rPr>
                <w:rFonts w:ascii="Arial" w:cs="Arial" w:eastAsia="Arial" w:hAnsi="Arial"/>
                <w:sz w:val="18"/>
                <w:szCs w:val="18"/>
                <w:color w:val="auto"/>
              </w:rPr>
              <w:t>Selling, general and administrative</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201,466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116,918</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122,027</w:t>
            </w:r>
          </w:p>
        </w:tc>
      </w:tr>
      <w:tr>
        <w:trPr>
          <w:trHeight w:val="230"/>
        </w:trPr>
        <w:tc>
          <w:tcPr>
            <w:tcW w:w="6980" w:type="dxa"/>
            <w:vAlign w:val="bottom"/>
          </w:tcPr>
          <w:p>
            <w:pPr>
              <w:ind w:left="520"/>
              <w:spacing w:after="0"/>
              <w:rPr>
                <w:sz w:val="20"/>
                <w:szCs w:val="20"/>
                <w:color w:val="auto"/>
              </w:rPr>
            </w:pPr>
            <w:r>
              <w:rPr>
                <w:rFonts w:ascii="Arial" w:cs="Arial" w:eastAsia="Arial" w:hAnsi="Arial"/>
                <w:sz w:val="18"/>
                <w:szCs w:val="18"/>
                <w:color w:val="auto"/>
              </w:rPr>
              <w:t>Legal settlement (a)</w:t>
            </w:r>
          </w:p>
        </w:tc>
        <w:tc>
          <w:tcPr>
            <w:tcW w:w="280" w:type="dxa"/>
            <w:vAlign w:val="bottom"/>
          </w:tcPr>
          <w:p>
            <w:pPr>
              <w:spacing w:after="0"/>
              <w:rPr>
                <w:sz w:val="19"/>
                <w:szCs w:val="19"/>
                <w:color w:val="auto"/>
              </w:rPr>
            </w:pPr>
          </w:p>
        </w:tc>
        <w:tc>
          <w:tcPr>
            <w:tcW w:w="118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36,000</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6980" w:type="dxa"/>
            <w:vAlign w:val="bottom"/>
            <w:shd w:val="clear" w:color="auto" w:fill="CCEEFF"/>
          </w:tcPr>
          <w:p>
            <w:pPr>
              <w:ind w:left="520"/>
              <w:spacing w:after="0"/>
              <w:rPr>
                <w:sz w:val="20"/>
                <w:szCs w:val="20"/>
                <w:color w:val="auto"/>
              </w:rPr>
            </w:pPr>
            <w:r>
              <w:rPr>
                <w:rFonts w:ascii="Arial" w:cs="Arial" w:eastAsia="Arial" w:hAnsi="Arial"/>
                <w:sz w:val="18"/>
                <w:szCs w:val="18"/>
                <w:color w:val="auto"/>
              </w:rPr>
              <w:t>Restructuring related charges</w:t>
            </w: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12,886</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9,570</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21,287</w:t>
            </w:r>
          </w:p>
        </w:tc>
      </w:tr>
      <w:tr>
        <w:trPr>
          <w:trHeight w:val="223"/>
        </w:trPr>
        <w:tc>
          <w:tcPr>
            <w:tcW w:w="6980" w:type="dxa"/>
            <w:vAlign w:val="bottom"/>
            <w:tcBorders>
              <w:bottom w:val="single" w:sz="8" w:color="CCEEFF"/>
            </w:tcBorders>
          </w:tcPr>
          <w:p>
            <w:pPr>
              <w:ind w:left="960"/>
              <w:spacing w:after="0"/>
              <w:rPr>
                <w:sz w:val="20"/>
                <w:szCs w:val="20"/>
                <w:color w:val="auto"/>
              </w:rPr>
            </w:pPr>
            <w:r>
              <w:rPr>
                <w:rFonts w:ascii="Arial" w:cs="Arial" w:eastAsia="Arial" w:hAnsi="Arial"/>
                <w:sz w:val="18"/>
                <w:szCs w:val="18"/>
                <w:color w:val="auto"/>
              </w:rPr>
              <w:t>Total operating expenses</w:t>
            </w: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500,452</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422,868</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422,898</w:t>
            </w:r>
          </w:p>
        </w:tc>
      </w:tr>
      <w:tr>
        <w:trPr>
          <w:trHeight w:val="223"/>
        </w:trPr>
        <w:tc>
          <w:tcPr>
            <w:tcW w:w="6980" w:type="dxa"/>
            <w:vAlign w:val="bottom"/>
            <w:shd w:val="clear" w:color="auto" w:fill="CCEEFF"/>
          </w:tcPr>
          <w:p>
            <w:pPr>
              <w:ind w:left="60"/>
              <w:spacing w:after="0"/>
              <w:rPr>
                <w:sz w:val="20"/>
                <w:szCs w:val="20"/>
                <w:color w:val="auto"/>
              </w:rPr>
            </w:pPr>
            <w:r>
              <w:rPr>
                <w:rFonts w:ascii="Arial" w:cs="Arial" w:eastAsia="Arial" w:hAnsi="Arial"/>
                <w:sz w:val="18"/>
                <w:szCs w:val="18"/>
                <w:color w:val="auto"/>
              </w:rPr>
              <w:t>Operating loss</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(82,311)</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(1,736)</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(95,996)</w:t>
            </w:r>
          </w:p>
        </w:tc>
      </w:tr>
      <w:tr>
        <w:trPr>
          <w:trHeight w:val="229"/>
        </w:trPr>
        <w:tc>
          <w:tcPr>
            <w:tcW w:w="6980" w:type="dxa"/>
            <w:vAlign w:val="bottom"/>
          </w:tcPr>
          <w:p>
            <w:pPr>
              <w:ind w:left="520"/>
              <w:spacing w:after="0"/>
              <w:rPr>
                <w:sz w:val="20"/>
                <w:szCs w:val="20"/>
                <w:color w:val="auto"/>
              </w:rPr>
            </w:pPr>
            <w:r>
              <w:rPr>
                <w:rFonts w:ascii="Arial" w:cs="Arial" w:eastAsia="Arial" w:hAnsi="Arial"/>
                <w:sz w:val="18"/>
                <w:szCs w:val="18"/>
                <w:color w:val="auto"/>
              </w:rPr>
              <w:t>Interest income</w:t>
            </w: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222</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356</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1,058</w:t>
            </w:r>
          </w:p>
        </w:tc>
      </w:tr>
      <w:tr>
        <w:trPr>
          <w:trHeight w:val="230"/>
        </w:trPr>
        <w:tc>
          <w:tcPr>
            <w:tcW w:w="6980" w:type="dxa"/>
            <w:vAlign w:val="bottom"/>
            <w:shd w:val="clear" w:color="auto" w:fill="CCEEFF"/>
          </w:tcPr>
          <w:p>
            <w:pPr>
              <w:ind w:left="520"/>
              <w:spacing w:after="0"/>
              <w:rPr>
                <w:sz w:val="20"/>
                <w:szCs w:val="20"/>
                <w:color w:val="auto"/>
              </w:rPr>
            </w:pPr>
            <w:r>
              <w:rPr>
                <w:rFonts w:ascii="Arial" w:cs="Arial" w:eastAsia="Arial" w:hAnsi="Arial"/>
                <w:sz w:val="18"/>
                <w:szCs w:val="18"/>
                <w:color w:val="auto"/>
              </w:rPr>
              <w:t>Interest expense</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(35,141)</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(20,733)</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(16,830)</w:t>
            </w:r>
          </w:p>
        </w:tc>
      </w:tr>
      <w:tr>
        <w:trPr>
          <w:trHeight w:val="229"/>
        </w:trPr>
        <w:tc>
          <w:tcPr>
            <w:tcW w:w="6980" w:type="dxa"/>
            <w:vAlign w:val="bottom"/>
            <w:tcBorders>
              <w:bottom w:val="single" w:sz="8" w:color="CCEEFF"/>
            </w:tcBorders>
          </w:tcPr>
          <w:p>
            <w:pPr>
              <w:ind w:left="520"/>
              <w:spacing w:after="0"/>
              <w:rPr>
                <w:sz w:val="20"/>
                <w:szCs w:val="20"/>
                <w:color w:val="auto"/>
              </w:rPr>
            </w:pPr>
            <w:r>
              <w:rPr>
                <w:rFonts w:ascii="Arial" w:cs="Arial" w:eastAsia="Arial" w:hAnsi="Arial"/>
                <w:sz w:val="18"/>
                <w:szCs w:val="18"/>
                <w:color w:val="auto"/>
              </w:rPr>
              <w:t>Other income (loss), net</w:t>
            </w: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1,223</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(727)</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3,754</w:t>
            </w:r>
          </w:p>
        </w:tc>
      </w:tr>
      <w:tr>
        <w:trPr>
          <w:trHeight w:val="223"/>
        </w:trPr>
        <w:tc>
          <w:tcPr>
            <w:tcW w:w="6980" w:type="dxa"/>
            <w:vAlign w:val="bottom"/>
            <w:shd w:val="clear" w:color="auto" w:fill="CCEEFF"/>
          </w:tcPr>
          <w:p>
            <w:pPr>
              <w:ind w:left="960"/>
              <w:spacing w:after="0"/>
              <w:rPr>
                <w:sz w:val="20"/>
                <w:szCs w:val="20"/>
                <w:color w:val="auto"/>
              </w:rPr>
            </w:pPr>
            <w:r>
              <w:rPr>
                <w:rFonts w:ascii="Arial" w:cs="Arial" w:eastAsia="Arial" w:hAnsi="Arial"/>
                <w:sz w:val="18"/>
                <w:szCs w:val="18"/>
                <w:color w:val="auto"/>
              </w:rPr>
              <w:t>Interest and other income (loss), net</w:t>
            </w: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(33,696)</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(21,104)</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(12,018)</w:t>
            </w:r>
          </w:p>
        </w:tc>
      </w:tr>
      <w:tr>
        <w:trPr>
          <w:trHeight w:val="223"/>
        </w:trPr>
        <w:tc>
          <w:tcPr>
            <w:tcW w:w="6980" w:type="dxa"/>
            <w:vAlign w:val="bottom"/>
          </w:tcPr>
          <w:p>
            <w:pPr>
              <w:ind w:left="60"/>
              <w:spacing w:after="0"/>
              <w:rPr>
                <w:sz w:val="20"/>
                <w:szCs w:val="20"/>
                <w:color w:val="auto"/>
              </w:rPr>
            </w:pPr>
            <w:r>
              <w:rPr>
                <w:rFonts w:ascii="Arial" w:cs="Arial" w:eastAsia="Arial" w:hAnsi="Arial"/>
                <w:sz w:val="18"/>
                <w:szCs w:val="18"/>
                <w:color w:val="auto"/>
              </w:rPr>
              <w:t>Loss before income taxes</w:t>
            </w: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(116,007)</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(22,840)</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(108,014)</w:t>
            </w:r>
          </w:p>
        </w:tc>
      </w:tr>
      <w:tr>
        <w:trPr>
          <w:trHeight w:val="230"/>
        </w:trPr>
        <w:tc>
          <w:tcPr>
            <w:tcW w:w="6980" w:type="dxa"/>
            <w:vAlign w:val="bottom"/>
            <w:shd w:val="clear" w:color="auto" w:fill="CCEEFF"/>
          </w:tcPr>
          <w:p>
            <w:pPr>
              <w:ind w:left="60"/>
              <w:spacing w:after="0"/>
              <w:rPr>
                <w:sz w:val="20"/>
                <w:szCs w:val="20"/>
                <w:color w:val="auto"/>
              </w:rPr>
            </w:pPr>
            <w:r>
              <w:rPr>
                <w:rFonts w:ascii="Arial" w:cs="Arial" w:eastAsia="Arial" w:hAnsi="Arial"/>
                <w:sz w:val="18"/>
                <w:szCs w:val="18"/>
                <w:color w:val="auto"/>
              </w:rPr>
              <w:t>Provision (benefit) for income taxes</w:t>
            </w: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(27,765)</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(39,376)</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5,019</w:t>
            </w:r>
          </w:p>
        </w:tc>
      </w:tr>
      <w:tr>
        <w:trPr>
          <w:trHeight w:val="223"/>
        </w:trPr>
        <w:tc>
          <w:tcPr>
            <w:tcW w:w="6980" w:type="dxa"/>
            <w:vAlign w:val="bottom"/>
          </w:tcPr>
          <w:p>
            <w:pPr>
              <w:ind w:left="60"/>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(88,242)</w:t>
            </w:r>
          </w:p>
        </w:tc>
        <w:tc>
          <w:tcPr>
            <w:tcW w:w="140" w:type="dxa"/>
            <w:vAlign w:val="bottom"/>
          </w:tcPr>
          <w:p>
            <w:pPr>
              <w:spacing w:after="0"/>
              <w:rPr>
                <w:sz w:val="19"/>
                <w:szCs w:val="19"/>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16,536</w:t>
            </w:r>
          </w:p>
        </w:tc>
        <w:tc>
          <w:tcPr>
            <w:tcW w:w="160" w:type="dxa"/>
            <w:vAlign w:val="bottom"/>
          </w:tcPr>
          <w:p>
            <w:pPr>
              <w:spacing w:after="0"/>
              <w:rPr>
                <w:sz w:val="19"/>
                <w:szCs w:val="19"/>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(113,033)</w:t>
            </w:r>
          </w:p>
        </w:tc>
      </w:tr>
      <w:tr>
        <w:trPr>
          <w:trHeight w:val="256"/>
        </w:trPr>
        <w:tc>
          <w:tcPr>
            <w:tcW w:w="698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4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r>
      <w:tr>
        <w:trPr>
          <w:trHeight w:val="203"/>
        </w:trPr>
        <w:tc>
          <w:tcPr>
            <w:tcW w:w="6980" w:type="dxa"/>
            <w:vAlign w:val="bottom"/>
          </w:tcPr>
          <w:p>
            <w:pPr>
              <w:ind w:left="60"/>
              <w:spacing w:after="0" w:line="202" w:lineRule="exact"/>
              <w:rPr>
                <w:sz w:val="20"/>
                <w:szCs w:val="20"/>
                <w:color w:val="auto"/>
              </w:rPr>
            </w:pPr>
            <w:r>
              <w:rPr>
                <w:rFonts w:ascii="Arial" w:cs="Arial" w:eastAsia="Arial" w:hAnsi="Arial"/>
                <w:sz w:val="18"/>
                <w:szCs w:val="18"/>
                <w:color w:val="auto"/>
              </w:rPr>
              <w:t>Net income (loss) per share — basic:</w:t>
            </w:r>
          </w:p>
        </w:tc>
        <w:tc>
          <w:tcPr>
            <w:tcW w:w="280" w:type="dxa"/>
            <w:vAlign w:val="bottom"/>
            <w:tcBorders>
              <w:bottom w:val="single" w:sz="8" w:color="auto"/>
            </w:tcBorders>
          </w:tcPr>
          <w:p>
            <w:pPr>
              <w:jc w:val="right"/>
              <w:ind w:right="90"/>
              <w:spacing w:after="0" w:line="202"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2" w:lineRule="exact"/>
              <w:rPr>
                <w:sz w:val="20"/>
                <w:szCs w:val="20"/>
                <w:color w:val="auto"/>
              </w:rPr>
            </w:pPr>
            <w:r>
              <w:rPr>
                <w:rFonts w:ascii="Arial" w:cs="Arial" w:eastAsia="Arial" w:hAnsi="Arial"/>
                <w:sz w:val="18"/>
                <w:szCs w:val="18"/>
                <w:color w:val="auto"/>
              </w:rPr>
              <w:t>(0.13)</w:t>
            </w:r>
          </w:p>
        </w:tc>
        <w:tc>
          <w:tcPr>
            <w:tcW w:w="140" w:type="dxa"/>
            <w:vAlign w:val="bottom"/>
          </w:tcPr>
          <w:p>
            <w:pPr>
              <w:spacing w:after="0"/>
              <w:rPr>
                <w:sz w:val="17"/>
                <w:szCs w:val="17"/>
                <w:color w:val="auto"/>
              </w:rPr>
            </w:pPr>
          </w:p>
        </w:tc>
        <w:tc>
          <w:tcPr>
            <w:tcW w:w="200" w:type="dxa"/>
            <w:vAlign w:val="bottom"/>
            <w:tcBorders>
              <w:bottom w:val="single" w:sz="8" w:color="auto"/>
            </w:tcBorders>
          </w:tcPr>
          <w:p>
            <w:pPr>
              <w:ind w:left="20"/>
              <w:spacing w:after="0" w:line="202" w:lineRule="exact"/>
              <w:rPr>
                <w:sz w:val="20"/>
                <w:szCs w:val="20"/>
                <w:color w:val="auto"/>
              </w:rPr>
            </w:pPr>
            <w:r>
              <w:rPr>
                <w:rFonts w:ascii="Arial" w:cs="Arial" w:eastAsia="Arial" w:hAnsi="Arial"/>
                <w:sz w:val="18"/>
                <w:szCs w:val="18"/>
                <w:color w:val="auto"/>
              </w:rPr>
              <w:t>$</w:t>
            </w:r>
          </w:p>
        </w:tc>
        <w:tc>
          <w:tcPr>
            <w:tcW w:w="1120" w:type="dxa"/>
            <w:vAlign w:val="bottom"/>
            <w:tcBorders>
              <w:bottom w:val="single" w:sz="8" w:color="auto"/>
            </w:tcBorders>
          </w:tcPr>
          <w:p>
            <w:pPr>
              <w:jc w:val="right"/>
              <w:spacing w:after="0" w:line="202" w:lineRule="exact"/>
              <w:rPr>
                <w:sz w:val="20"/>
                <w:szCs w:val="20"/>
                <w:color w:val="auto"/>
              </w:rPr>
            </w:pPr>
            <w:r>
              <w:rPr>
                <w:rFonts w:ascii="Arial" w:cs="Arial" w:eastAsia="Arial" w:hAnsi="Arial"/>
                <w:sz w:val="18"/>
                <w:szCs w:val="18"/>
                <w:color w:val="auto"/>
              </w:rPr>
              <w:t>0.02</w:t>
            </w:r>
          </w:p>
        </w:tc>
        <w:tc>
          <w:tcPr>
            <w:tcW w:w="160" w:type="dxa"/>
            <w:vAlign w:val="bottom"/>
          </w:tcPr>
          <w:p>
            <w:pPr>
              <w:spacing w:after="0"/>
              <w:rPr>
                <w:sz w:val="17"/>
                <w:szCs w:val="17"/>
                <w:color w:val="auto"/>
              </w:rPr>
            </w:pPr>
          </w:p>
        </w:tc>
        <w:tc>
          <w:tcPr>
            <w:tcW w:w="280" w:type="dxa"/>
            <w:vAlign w:val="bottom"/>
            <w:tcBorders>
              <w:bottom w:val="single" w:sz="8" w:color="auto"/>
            </w:tcBorders>
          </w:tcPr>
          <w:p>
            <w:pPr>
              <w:jc w:val="right"/>
              <w:ind w:right="90"/>
              <w:spacing w:after="0" w:line="202"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2" w:lineRule="exact"/>
              <w:rPr>
                <w:sz w:val="20"/>
                <w:szCs w:val="20"/>
                <w:color w:val="auto"/>
              </w:rPr>
            </w:pPr>
            <w:r>
              <w:rPr>
                <w:rFonts w:ascii="Arial" w:cs="Arial" w:eastAsia="Arial" w:hAnsi="Arial"/>
                <w:sz w:val="18"/>
                <w:szCs w:val="18"/>
                <w:color w:val="auto"/>
              </w:rPr>
              <w:t>(0.17)</w:t>
            </w:r>
          </w:p>
        </w:tc>
      </w:tr>
      <w:tr>
        <w:trPr>
          <w:trHeight w:val="20"/>
        </w:trPr>
        <w:tc>
          <w:tcPr>
            <w:tcW w:w="698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r>
        <w:trPr>
          <w:trHeight w:val="223"/>
        </w:trPr>
        <w:tc>
          <w:tcPr>
            <w:tcW w:w="698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03"/>
        </w:trPr>
        <w:tc>
          <w:tcPr>
            <w:tcW w:w="6980" w:type="dxa"/>
            <w:vAlign w:val="bottom"/>
          </w:tcPr>
          <w:p>
            <w:pPr>
              <w:ind w:left="60"/>
              <w:spacing w:after="0" w:line="202" w:lineRule="exact"/>
              <w:rPr>
                <w:sz w:val="20"/>
                <w:szCs w:val="20"/>
                <w:color w:val="auto"/>
              </w:rPr>
            </w:pPr>
            <w:r>
              <w:rPr>
                <w:rFonts w:ascii="Arial" w:cs="Arial" w:eastAsia="Arial" w:hAnsi="Arial"/>
                <w:sz w:val="18"/>
                <w:szCs w:val="18"/>
                <w:color w:val="auto"/>
              </w:rPr>
              <w:t>Net income (loss) per share — diluted:</w:t>
            </w:r>
          </w:p>
        </w:tc>
        <w:tc>
          <w:tcPr>
            <w:tcW w:w="280" w:type="dxa"/>
            <w:vAlign w:val="bottom"/>
            <w:tcBorders>
              <w:bottom w:val="single" w:sz="8" w:color="auto"/>
            </w:tcBorders>
          </w:tcPr>
          <w:p>
            <w:pPr>
              <w:jc w:val="right"/>
              <w:ind w:right="90"/>
              <w:spacing w:after="0" w:line="202"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2" w:lineRule="exact"/>
              <w:rPr>
                <w:sz w:val="20"/>
                <w:szCs w:val="20"/>
                <w:color w:val="auto"/>
              </w:rPr>
            </w:pPr>
            <w:r>
              <w:rPr>
                <w:rFonts w:ascii="Arial" w:cs="Arial" w:eastAsia="Arial" w:hAnsi="Arial"/>
                <w:sz w:val="18"/>
                <w:szCs w:val="18"/>
                <w:color w:val="auto"/>
              </w:rPr>
              <w:t>(0.13)</w:t>
            </w:r>
          </w:p>
        </w:tc>
        <w:tc>
          <w:tcPr>
            <w:tcW w:w="140" w:type="dxa"/>
            <w:vAlign w:val="bottom"/>
          </w:tcPr>
          <w:p>
            <w:pPr>
              <w:spacing w:after="0"/>
              <w:rPr>
                <w:sz w:val="17"/>
                <w:szCs w:val="17"/>
                <w:color w:val="auto"/>
              </w:rPr>
            </w:pPr>
          </w:p>
        </w:tc>
        <w:tc>
          <w:tcPr>
            <w:tcW w:w="200" w:type="dxa"/>
            <w:vAlign w:val="bottom"/>
            <w:tcBorders>
              <w:bottom w:val="single" w:sz="8" w:color="auto"/>
            </w:tcBorders>
          </w:tcPr>
          <w:p>
            <w:pPr>
              <w:ind w:left="20"/>
              <w:spacing w:after="0" w:line="202" w:lineRule="exact"/>
              <w:rPr>
                <w:sz w:val="20"/>
                <w:szCs w:val="20"/>
                <w:color w:val="auto"/>
              </w:rPr>
            </w:pPr>
            <w:r>
              <w:rPr>
                <w:rFonts w:ascii="Arial" w:cs="Arial" w:eastAsia="Arial" w:hAnsi="Arial"/>
                <w:sz w:val="18"/>
                <w:szCs w:val="18"/>
                <w:color w:val="auto"/>
              </w:rPr>
              <w:t>$</w:t>
            </w:r>
          </w:p>
        </w:tc>
        <w:tc>
          <w:tcPr>
            <w:tcW w:w="1120" w:type="dxa"/>
            <w:vAlign w:val="bottom"/>
            <w:tcBorders>
              <w:bottom w:val="single" w:sz="8" w:color="auto"/>
            </w:tcBorders>
          </w:tcPr>
          <w:p>
            <w:pPr>
              <w:jc w:val="right"/>
              <w:spacing w:after="0" w:line="202" w:lineRule="exact"/>
              <w:rPr>
                <w:sz w:val="20"/>
                <w:szCs w:val="20"/>
                <w:color w:val="auto"/>
              </w:rPr>
            </w:pPr>
            <w:r>
              <w:rPr>
                <w:rFonts w:ascii="Arial" w:cs="Arial" w:eastAsia="Arial" w:hAnsi="Arial"/>
                <w:sz w:val="18"/>
                <w:szCs w:val="18"/>
                <w:color w:val="auto"/>
              </w:rPr>
              <w:t>0.02</w:t>
            </w:r>
          </w:p>
        </w:tc>
        <w:tc>
          <w:tcPr>
            <w:tcW w:w="160" w:type="dxa"/>
            <w:vAlign w:val="bottom"/>
          </w:tcPr>
          <w:p>
            <w:pPr>
              <w:spacing w:after="0"/>
              <w:rPr>
                <w:sz w:val="17"/>
                <w:szCs w:val="17"/>
                <w:color w:val="auto"/>
              </w:rPr>
            </w:pPr>
          </w:p>
        </w:tc>
        <w:tc>
          <w:tcPr>
            <w:tcW w:w="280" w:type="dxa"/>
            <w:vAlign w:val="bottom"/>
            <w:tcBorders>
              <w:bottom w:val="single" w:sz="8" w:color="auto"/>
            </w:tcBorders>
          </w:tcPr>
          <w:p>
            <w:pPr>
              <w:jc w:val="right"/>
              <w:ind w:right="90"/>
              <w:spacing w:after="0" w:line="202"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2" w:lineRule="exact"/>
              <w:rPr>
                <w:sz w:val="20"/>
                <w:szCs w:val="20"/>
                <w:color w:val="auto"/>
              </w:rPr>
            </w:pPr>
            <w:r>
              <w:rPr>
                <w:rFonts w:ascii="Arial" w:cs="Arial" w:eastAsia="Arial" w:hAnsi="Arial"/>
                <w:sz w:val="18"/>
                <w:szCs w:val="18"/>
                <w:color w:val="auto"/>
              </w:rPr>
              <w:t>(0.17)</w:t>
            </w:r>
          </w:p>
        </w:tc>
      </w:tr>
      <w:tr>
        <w:trPr>
          <w:trHeight w:val="20"/>
        </w:trPr>
        <w:tc>
          <w:tcPr>
            <w:tcW w:w="698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r>
      <w:tr>
        <w:trPr>
          <w:trHeight w:val="224"/>
        </w:trPr>
        <w:tc>
          <w:tcPr>
            <w:tcW w:w="698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r>
      <w:tr>
        <w:trPr>
          <w:trHeight w:val="230"/>
        </w:trPr>
        <w:tc>
          <w:tcPr>
            <w:tcW w:w="6980" w:type="dxa"/>
            <w:vAlign w:val="bottom"/>
          </w:tcPr>
          <w:p>
            <w:pPr>
              <w:ind w:left="60"/>
              <w:spacing w:after="0"/>
              <w:rPr>
                <w:sz w:val="20"/>
                <w:szCs w:val="20"/>
                <w:color w:val="auto"/>
              </w:rPr>
            </w:pPr>
            <w:r>
              <w:rPr>
                <w:rFonts w:ascii="Arial" w:cs="Arial" w:eastAsia="Arial" w:hAnsi="Arial"/>
                <w:sz w:val="18"/>
                <w:szCs w:val="18"/>
                <w:color w:val="auto"/>
              </w:rPr>
              <w:t>Weighted average shares:</w:t>
            </w:r>
          </w:p>
        </w:tc>
        <w:tc>
          <w:tcPr>
            <w:tcW w:w="2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spacing w:after="0"/>
              <w:rPr>
                <w:sz w:val="19"/>
                <w:szCs w:val="19"/>
                <w:color w:val="auto"/>
              </w:rPr>
            </w:pPr>
          </w:p>
        </w:tc>
      </w:tr>
      <w:tr>
        <w:trPr>
          <w:trHeight w:val="229"/>
        </w:trPr>
        <w:tc>
          <w:tcPr>
            <w:tcW w:w="6980" w:type="dxa"/>
            <w:vAlign w:val="bottom"/>
            <w:shd w:val="clear" w:color="auto" w:fill="CCEEFF"/>
          </w:tcPr>
          <w:p>
            <w:pPr>
              <w:ind w:left="520"/>
              <w:spacing w:after="0"/>
              <w:rPr>
                <w:sz w:val="20"/>
                <w:szCs w:val="20"/>
                <w:color w:val="auto"/>
              </w:rPr>
            </w:pPr>
            <w:r>
              <w:rPr>
                <w:rFonts w:ascii="Arial" w:cs="Arial" w:eastAsia="Arial" w:hAnsi="Arial"/>
                <w:sz w:val="18"/>
                <w:szCs w:val="18"/>
                <w:color w:val="auto"/>
              </w:rPr>
              <w:t>Basic</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693,378</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673,529</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663,547</w:t>
            </w:r>
          </w:p>
        </w:tc>
      </w:tr>
      <w:tr>
        <w:trPr>
          <w:trHeight w:val="230"/>
        </w:trPr>
        <w:tc>
          <w:tcPr>
            <w:tcW w:w="6980" w:type="dxa"/>
            <w:vAlign w:val="bottom"/>
          </w:tcPr>
          <w:p>
            <w:pPr>
              <w:ind w:left="520"/>
              <w:spacing w:after="0"/>
              <w:rPr>
                <w:sz w:val="20"/>
                <w:szCs w:val="20"/>
                <w:color w:val="auto"/>
              </w:rPr>
            </w:pPr>
            <w:r>
              <w:rPr>
                <w:rFonts w:ascii="Arial" w:cs="Arial" w:eastAsia="Arial" w:hAnsi="Arial"/>
                <w:sz w:val="18"/>
                <w:szCs w:val="18"/>
                <w:color w:val="auto"/>
              </w:rPr>
              <w:t>Diluted</w:t>
            </w:r>
          </w:p>
        </w:tc>
        <w:tc>
          <w:tcPr>
            <w:tcW w:w="28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693,378</w:t>
            </w:r>
          </w:p>
        </w:tc>
        <w:tc>
          <w:tcPr>
            <w:tcW w:w="14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687,959</w:t>
            </w:r>
          </w:p>
        </w:tc>
        <w:tc>
          <w:tcPr>
            <w:tcW w:w="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663,547</w:t>
            </w:r>
          </w:p>
        </w:tc>
      </w:tr>
    </w:tbl>
    <w:p>
      <w:pPr>
        <w:spacing w:after="0" w:line="93" w:lineRule="exact"/>
        <w:rPr>
          <w:sz w:val="20"/>
          <w:szCs w:val="20"/>
          <w:color w:val="auto"/>
        </w:rPr>
      </w:pPr>
    </w:p>
    <w:p>
      <w:pPr>
        <w:spacing w:after="0"/>
        <w:rPr>
          <w:sz w:val="20"/>
          <w:szCs w:val="20"/>
          <w:color w:val="auto"/>
        </w:rPr>
      </w:pPr>
      <w:r>
        <w:rPr>
          <w:rFonts w:ascii="Arial" w:cs="Arial" w:eastAsia="Arial" w:hAnsi="Arial"/>
          <w:sz w:val="18"/>
          <w:szCs w:val="18"/>
          <w:color w:val="auto"/>
        </w:rPr>
        <w:t>(a) Represents a legal settlement relating to a commercial agreement.</w:t>
      </w:r>
    </w:p>
    <w:p>
      <w:pPr>
        <w:sectPr>
          <w:pgSz w:w="11900" w:h="16838" w:orient="portrait"/>
          <w:cols w:equalWidth="0" w:num="1">
            <w:col w:w="11240"/>
          </w:cols>
          <w:pgMar w:left="320" w:top="1093" w:right="339" w:bottom="1440" w:gutter="0" w:footer="0" w:header="0"/>
        </w:sectPr>
      </w:pPr>
    </w:p>
    <w:bookmarkStart w:id="8" w:name="page9"/>
    <w:bookmarkEnd w:id="8"/>
    <w:p>
      <w:pPr>
        <w:jc w:val="center"/>
        <w:ind w:right="20"/>
        <w:spacing w:after="0"/>
        <w:rPr>
          <w:sz w:val="20"/>
          <w:szCs w:val="20"/>
          <w:color w:val="auto"/>
        </w:rPr>
      </w:pPr>
      <w:r>
        <w:rPr>
          <w:rFonts w:ascii="Arial" w:cs="Arial" w:eastAsia="Arial" w:hAnsi="Arial"/>
          <w:sz w:val="18"/>
          <w:szCs w:val="18"/>
          <w:b w:val="1"/>
          <w:bCs w:val="1"/>
          <w:color w:val="auto"/>
        </w:rPr>
        <w:t>Marvell Technology, Inc.</w:t>
      </w:r>
    </w:p>
    <w:p>
      <w:pPr>
        <w:spacing w:after="0" w:line="1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 (Unaudited)</w:t>
      </w:r>
    </w:p>
    <w:p>
      <w:pPr>
        <w:jc w:val="center"/>
        <w:ind w:right="20"/>
        <w:spacing w:after="0"/>
        <w:rPr>
          <w:sz w:val="20"/>
          <w:szCs w:val="20"/>
          <w:color w:val="auto"/>
        </w:rPr>
      </w:pPr>
      <w:r>
        <w:rPr>
          <w:rFonts w:ascii="Arial" w:cs="Arial" w:eastAsia="Arial" w:hAnsi="Arial"/>
          <w:sz w:val="18"/>
          <w:szCs w:val="18"/>
          <w:b w:val="1"/>
          <w:bCs w:val="1"/>
          <w:color w:val="auto"/>
        </w:rPr>
        <w:t>(In thousands)</w:t>
      </w:r>
    </w:p>
    <w:tbl>
      <w:tblPr>
        <w:tblLayout w:type="fixed"/>
        <w:tblInd w:w="0" w:type="dxa"/>
        <w:tblCellMar>
          <w:top w:w="0" w:type="dxa"/>
          <w:left w:w="0" w:type="dxa"/>
          <w:bottom w:w="0" w:type="dxa"/>
          <w:right w:w="0" w:type="dxa"/>
        </w:tblCellMar>
      </w:tblPr>
      <w:tr>
        <w:trPr>
          <w:trHeight w:val="156"/>
        </w:trPr>
        <w:tc>
          <w:tcPr>
            <w:tcW w:w="77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1480" w:type="dxa"/>
            <w:vAlign w:val="bottom"/>
            <w:gridSpan w:val="2"/>
          </w:tcPr>
          <w:p>
            <w:pPr>
              <w:ind w:left="240"/>
              <w:spacing w:after="0" w:line="156" w:lineRule="exact"/>
              <w:rPr>
                <w:sz w:val="20"/>
                <w:szCs w:val="20"/>
                <w:color w:val="auto"/>
              </w:rPr>
            </w:pPr>
            <w:r>
              <w:rPr>
                <w:rFonts w:ascii="Arial" w:cs="Arial" w:eastAsia="Arial" w:hAnsi="Arial"/>
                <w:sz w:val="14"/>
                <w:szCs w:val="14"/>
                <w:b w:val="1"/>
                <w:bCs w:val="1"/>
                <w:color w:val="auto"/>
              </w:rPr>
              <w:t>May 1,</w:t>
            </w:r>
          </w:p>
        </w:tc>
        <w:tc>
          <w:tcPr>
            <w:tcW w:w="260" w:type="dxa"/>
            <w:vAlign w:val="bottom"/>
          </w:tcPr>
          <w:p>
            <w:pPr>
              <w:spacing w:after="0"/>
              <w:rPr>
                <w:sz w:val="13"/>
                <w:szCs w:val="13"/>
                <w:color w:val="auto"/>
              </w:rPr>
            </w:pPr>
          </w:p>
        </w:tc>
        <w:tc>
          <w:tcPr>
            <w:tcW w:w="1340" w:type="dxa"/>
            <w:vAlign w:val="bottom"/>
          </w:tcPr>
          <w:p>
            <w:pPr>
              <w:jc w:val="right"/>
              <w:ind w:right="351"/>
              <w:spacing w:after="0" w:line="156" w:lineRule="exact"/>
              <w:rPr>
                <w:sz w:val="20"/>
                <w:szCs w:val="20"/>
                <w:color w:val="auto"/>
              </w:rPr>
            </w:pPr>
            <w:r>
              <w:rPr>
                <w:rFonts w:ascii="Arial" w:cs="Arial" w:eastAsia="Arial" w:hAnsi="Arial"/>
                <w:sz w:val="14"/>
                <w:szCs w:val="14"/>
                <w:b w:val="1"/>
                <w:bCs w:val="1"/>
                <w:color w:val="auto"/>
              </w:rPr>
              <w:t>January 30,</w:t>
            </w:r>
          </w:p>
        </w:tc>
      </w:tr>
      <w:tr>
        <w:trPr>
          <w:trHeight w:val="188"/>
        </w:trPr>
        <w:tc>
          <w:tcPr>
            <w:tcW w:w="7760" w:type="dxa"/>
            <w:vAlign w:val="bottom"/>
            <w:tcBorders>
              <w:bottom w:val="single" w:sz="8" w:color="CCEEFF"/>
            </w:tcBorders>
          </w:tcPr>
          <w:p>
            <w:pPr>
              <w:spacing w:after="0"/>
              <w:rPr>
                <w:sz w:val="16"/>
                <w:szCs w:val="16"/>
                <w:color w:val="auto"/>
              </w:rPr>
            </w:pPr>
          </w:p>
        </w:tc>
        <w:tc>
          <w:tcPr>
            <w:tcW w:w="340" w:type="dxa"/>
            <w:vAlign w:val="bottom"/>
            <w:tcBorders>
              <w:bottom w:val="single" w:sz="8" w:color="auto"/>
            </w:tcBorders>
          </w:tcPr>
          <w:p>
            <w:pPr>
              <w:spacing w:after="0"/>
              <w:rPr>
                <w:sz w:val="16"/>
                <w:szCs w:val="16"/>
                <w:color w:val="auto"/>
              </w:rPr>
            </w:pPr>
          </w:p>
        </w:tc>
        <w:tc>
          <w:tcPr>
            <w:tcW w:w="1260" w:type="dxa"/>
            <w:vAlign w:val="bottom"/>
            <w:tcBorders>
              <w:bottom w:val="single" w:sz="8" w:color="auto"/>
            </w:tcBorders>
          </w:tcPr>
          <w:p>
            <w:pPr>
              <w:jc w:val="right"/>
              <w:ind w:right="571"/>
              <w:spacing w:after="0"/>
              <w:rPr>
                <w:sz w:val="20"/>
                <w:szCs w:val="20"/>
                <w:color w:val="auto"/>
              </w:rPr>
            </w:pPr>
            <w:r>
              <w:rPr>
                <w:rFonts w:ascii="Arial" w:cs="Arial" w:eastAsia="Arial" w:hAnsi="Arial"/>
                <w:sz w:val="14"/>
                <w:szCs w:val="14"/>
                <w:b w:val="1"/>
                <w:bCs w:val="1"/>
                <w:color w:val="auto"/>
              </w:rPr>
              <w:t>2021</w:t>
            </w:r>
          </w:p>
        </w:tc>
        <w:tc>
          <w:tcPr>
            <w:tcW w:w="2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jc w:val="right"/>
              <w:ind w:right="571"/>
              <w:spacing w:after="0"/>
              <w:rPr>
                <w:sz w:val="20"/>
                <w:szCs w:val="20"/>
                <w:color w:val="auto"/>
              </w:rPr>
            </w:pPr>
            <w:r>
              <w:rPr>
                <w:rFonts w:ascii="Arial" w:cs="Arial" w:eastAsia="Arial" w:hAnsi="Arial"/>
                <w:sz w:val="14"/>
                <w:szCs w:val="14"/>
                <w:b w:val="1"/>
                <w:bCs w:val="1"/>
                <w:color w:val="auto"/>
              </w:rPr>
              <w:t>2021</w:t>
            </w:r>
          </w:p>
        </w:tc>
      </w:tr>
      <w:tr>
        <w:trPr>
          <w:trHeight w:val="211"/>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b w:val="1"/>
                <w:bCs w:val="1"/>
                <w:color w:val="auto"/>
              </w:rPr>
              <w:t>Assets</w:t>
            </w:r>
          </w:p>
        </w:tc>
        <w:tc>
          <w:tcPr>
            <w:tcW w:w="340" w:type="dxa"/>
            <w:vAlign w:val="bottom"/>
            <w:shd w:val="clear" w:color="auto" w:fill="CCEEFF"/>
          </w:tcPr>
          <w:p>
            <w:pPr>
              <w:spacing w:after="0"/>
              <w:rPr>
                <w:sz w:val="18"/>
                <w:szCs w:val="18"/>
                <w:color w:val="auto"/>
              </w:rPr>
            </w:pPr>
          </w:p>
        </w:tc>
        <w:tc>
          <w:tcPr>
            <w:tcW w:w="1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40" w:type="dxa"/>
            <w:vAlign w:val="bottom"/>
            <w:shd w:val="clear" w:color="auto" w:fill="CCEEFF"/>
          </w:tcPr>
          <w:p>
            <w:pPr>
              <w:spacing w:after="0"/>
              <w:rPr>
                <w:sz w:val="18"/>
                <w:szCs w:val="18"/>
                <w:color w:val="auto"/>
              </w:rPr>
            </w:pPr>
          </w:p>
        </w:tc>
      </w:tr>
      <w:tr>
        <w:trPr>
          <w:trHeight w:val="230"/>
        </w:trPr>
        <w:tc>
          <w:tcPr>
            <w:tcW w:w="7760" w:type="dxa"/>
            <w:vAlign w:val="bottom"/>
          </w:tcPr>
          <w:p>
            <w:pPr>
              <w:ind w:left="200"/>
              <w:spacing w:after="0"/>
              <w:rPr>
                <w:sz w:val="20"/>
                <w:szCs w:val="20"/>
                <w:color w:val="auto"/>
              </w:rPr>
            </w:pPr>
            <w:r>
              <w:rPr>
                <w:rFonts w:ascii="Arial" w:cs="Arial" w:eastAsia="Arial" w:hAnsi="Arial"/>
                <w:sz w:val="18"/>
                <w:szCs w:val="18"/>
                <w:color w:val="auto"/>
              </w:rPr>
              <w:t>Current assets:</w:t>
            </w:r>
          </w:p>
        </w:tc>
        <w:tc>
          <w:tcPr>
            <w:tcW w:w="34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r>
      <w:tr>
        <w:trPr>
          <w:trHeight w:val="229"/>
        </w:trPr>
        <w:tc>
          <w:tcPr>
            <w:tcW w:w="77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Cash and cash equivalents</w:t>
            </w: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522,512</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r>
      <w:tr>
        <w:trPr>
          <w:trHeight w:val="229"/>
        </w:trPr>
        <w:tc>
          <w:tcPr>
            <w:tcW w:w="7760" w:type="dxa"/>
            <w:vAlign w:val="bottom"/>
          </w:tcPr>
          <w:p>
            <w:pPr>
              <w:ind w:left="660"/>
              <w:spacing w:after="0"/>
              <w:rPr>
                <w:sz w:val="20"/>
                <w:szCs w:val="20"/>
                <w:color w:val="auto"/>
              </w:rPr>
            </w:pPr>
            <w:r>
              <w:rPr>
                <w:rFonts w:ascii="Arial" w:cs="Arial" w:eastAsia="Arial" w:hAnsi="Arial"/>
                <w:sz w:val="18"/>
                <w:szCs w:val="18"/>
                <w:color w:val="auto"/>
              </w:rPr>
              <w:t>Accounts receivable, net</w:t>
            </w:r>
          </w:p>
        </w:tc>
        <w:tc>
          <w:tcPr>
            <w:tcW w:w="3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694,395</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536,668</w:t>
            </w:r>
          </w:p>
        </w:tc>
      </w:tr>
      <w:tr>
        <w:trPr>
          <w:trHeight w:val="230"/>
        </w:trPr>
        <w:tc>
          <w:tcPr>
            <w:tcW w:w="77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Inventories</w:t>
            </w:r>
          </w:p>
        </w:tc>
        <w:tc>
          <w:tcPr>
            <w:tcW w:w="3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538,117</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r>
      <w:tr>
        <w:trPr>
          <w:trHeight w:val="229"/>
        </w:trPr>
        <w:tc>
          <w:tcPr>
            <w:tcW w:w="776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Prepaid expenses and other current assets</w:t>
            </w:r>
          </w:p>
        </w:tc>
        <w:tc>
          <w:tcPr>
            <w:tcW w:w="34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132,787</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r>
      <w:tr>
        <w:trPr>
          <w:trHeight w:val="223"/>
        </w:trPr>
        <w:tc>
          <w:tcPr>
            <w:tcW w:w="7760" w:type="dxa"/>
            <w:vAlign w:val="bottom"/>
            <w:shd w:val="clear" w:color="auto" w:fill="CCEEFF"/>
          </w:tcPr>
          <w:p>
            <w:pPr>
              <w:ind w:left="1100"/>
              <w:spacing w:after="0"/>
              <w:rPr>
                <w:sz w:val="20"/>
                <w:szCs w:val="20"/>
                <w:color w:val="auto"/>
              </w:rPr>
            </w:pPr>
            <w:r>
              <w:rPr>
                <w:rFonts w:ascii="Arial" w:cs="Arial" w:eastAsia="Arial" w:hAnsi="Arial"/>
                <w:sz w:val="18"/>
                <w:szCs w:val="18"/>
                <w:color w:val="auto"/>
              </w:rPr>
              <w:t>Total current assets</w:t>
            </w:r>
          </w:p>
        </w:tc>
        <w:tc>
          <w:tcPr>
            <w:tcW w:w="3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1,887,811</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r>
      <w:tr>
        <w:trPr>
          <w:trHeight w:val="229"/>
        </w:trPr>
        <w:tc>
          <w:tcPr>
            <w:tcW w:w="7760" w:type="dxa"/>
            <w:vAlign w:val="bottom"/>
          </w:tcPr>
          <w:p>
            <w:pPr>
              <w:ind w:left="200"/>
              <w:spacing w:after="0"/>
              <w:rPr>
                <w:sz w:val="20"/>
                <w:szCs w:val="20"/>
                <w:color w:val="auto"/>
              </w:rPr>
            </w:pPr>
            <w:r>
              <w:rPr>
                <w:rFonts w:ascii="Arial" w:cs="Arial" w:eastAsia="Arial" w:hAnsi="Arial"/>
                <w:sz w:val="18"/>
                <w:szCs w:val="18"/>
                <w:color w:val="auto"/>
              </w:rPr>
              <w:t>Property and equipment, net</w:t>
            </w:r>
          </w:p>
        </w:tc>
        <w:tc>
          <w:tcPr>
            <w:tcW w:w="3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424,733</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326,125</w:t>
            </w:r>
          </w:p>
        </w:tc>
      </w:tr>
      <w:tr>
        <w:trPr>
          <w:trHeight w:val="230"/>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Goodwill</w:t>
            </w:r>
          </w:p>
        </w:tc>
        <w:tc>
          <w:tcPr>
            <w:tcW w:w="3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10,965,666</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r>
      <w:tr>
        <w:trPr>
          <w:trHeight w:val="229"/>
        </w:trPr>
        <w:tc>
          <w:tcPr>
            <w:tcW w:w="7760" w:type="dxa"/>
            <w:vAlign w:val="bottom"/>
          </w:tcPr>
          <w:p>
            <w:pPr>
              <w:ind w:left="200"/>
              <w:spacing w:after="0"/>
              <w:rPr>
                <w:sz w:val="20"/>
                <w:szCs w:val="20"/>
                <w:color w:val="auto"/>
              </w:rPr>
            </w:pPr>
            <w:r>
              <w:rPr>
                <w:rFonts w:ascii="Arial" w:cs="Arial" w:eastAsia="Arial" w:hAnsi="Arial"/>
                <w:sz w:val="18"/>
                <w:szCs w:val="18"/>
                <w:color w:val="auto"/>
              </w:rPr>
              <w:t>Acquired intangible assets, net</w:t>
            </w:r>
          </w:p>
        </w:tc>
        <w:tc>
          <w:tcPr>
            <w:tcW w:w="3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6,562,061</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2,270,700</w:t>
            </w:r>
          </w:p>
        </w:tc>
      </w:tr>
      <w:tr>
        <w:trPr>
          <w:trHeight w:val="229"/>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Deferred tax assets</w:t>
            </w:r>
          </w:p>
        </w:tc>
        <w:tc>
          <w:tcPr>
            <w:tcW w:w="3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725,636</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r>
      <w:tr>
        <w:trPr>
          <w:trHeight w:val="230"/>
        </w:trPr>
        <w:tc>
          <w:tcPr>
            <w:tcW w:w="7760" w:type="dxa"/>
            <w:vAlign w:val="bottom"/>
            <w:tcBorders>
              <w:bottom w:val="single" w:sz="8" w:color="CCEEFF"/>
            </w:tcBorders>
          </w:tcPr>
          <w:p>
            <w:pPr>
              <w:ind w:left="200"/>
              <w:spacing w:after="0"/>
              <w:rPr>
                <w:sz w:val="20"/>
                <w:szCs w:val="20"/>
                <w:color w:val="auto"/>
              </w:rPr>
            </w:pPr>
            <w:r>
              <w:rPr>
                <w:rFonts w:ascii="Arial" w:cs="Arial" w:eastAsia="Arial" w:hAnsi="Arial"/>
                <w:sz w:val="18"/>
                <w:szCs w:val="18"/>
                <w:color w:val="auto"/>
              </w:rPr>
              <w:t>Other non-current assets</w:t>
            </w:r>
          </w:p>
        </w:tc>
        <w:tc>
          <w:tcPr>
            <w:tcW w:w="34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664,030</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r>
      <w:tr>
        <w:trPr>
          <w:trHeight w:val="248"/>
        </w:trPr>
        <w:tc>
          <w:tcPr>
            <w:tcW w:w="776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Total assets</w:t>
            </w:r>
          </w:p>
        </w:tc>
        <w:tc>
          <w:tcPr>
            <w:tcW w:w="340" w:type="dxa"/>
            <w:vAlign w:val="bottom"/>
            <w:tcBorders>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21,229,937</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26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77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40" w:type="dxa"/>
            <w:vAlign w:val="bottom"/>
          </w:tcPr>
          <w:p>
            <w:pPr>
              <w:spacing w:after="0"/>
              <w:rPr>
                <w:sz w:val="14"/>
                <w:szCs w:val="14"/>
                <w:color w:val="auto"/>
              </w:rPr>
            </w:pPr>
          </w:p>
        </w:tc>
      </w:tr>
      <w:tr>
        <w:trPr>
          <w:trHeight w:val="229"/>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b w:val="1"/>
                <w:bCs w:val="1"/>
                <w:color w:val="auto"/>
              </w:rPr>
              <w:t>Liabilities and Stockholders’ Equity</w:t>
            </w:r>
          </w:p>
        </w:tc>
        <w:tc>
          <w:tcPr>
            <w:tcW w:w="340" w:type="dxa"/>
            <w:vAlign w:val="bottom"/>
            <w:shd w:val="clear" w:color="auto" w:fill="CCEEFF"/>
          </w:tcPr>
          <w:p>
            <w:pPr>
              <w:spacing w:after="0"/>
              <w:rPr>
                <w:sz w:val="19"/>
                <w:szCs w:val="19"/>
                <w:color w:val="auto"/>
              </w:rPr>
            </w:pPr>
          </w:p>
        </w:tc>
        <w:tc>
          <w:tcPr>
            <w:tcW w:w="126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spacing w:after="0"/>
              <w:rPr>
                <w:sz w:val="19"/>
                <w:szCs w:val="19"/>
                <w:color w:val="auto"/>
              </w:rPr>
            </w:pPr>
          </w:p>
        </w:tc>
      </w:tr>
      <w:tr>
        <w:trPr>
          <w:trHeight w:val="230"/>
        </w:trPr>
        <w:tc>
          <w:tcPr>
            <w:tcW w:w="7760" w:type="dxa"/>
            <w:vAlign w:val="bottom"/>
          </w:tcPr>
          <w:p>
            <w:pPr>
              <w:ind w:left="200"/>
              <w:spacing w:after="0"/>
              <w:rPr>
                <w:sz w:val="20"/>
                <w:szCs w:val="20"/>
                <w:color w:val="auto"/>
              </w:rPr>
            </w:pPr>
            <w:r>
              <w:rPr>
                <w:rFonts w:ascii="Arial" w:cs="Arial" w:eastAsia="Arial" w:hAnsi="Arial"/>
                <w:sz w:val="18"/>
                <w:szCs w:val="18"/>
                <w:color w:val="auto"/>
              </w:rPr>
              <w:t>Current liabilities:</w:t>
            </w:r>
          </w:p>
        </w:tc>
        <w:tc>
          <w:tcPr>
            <w:tcW w:w="34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r>
      <w:tr>
        <w:trPr>
          <w:trHeight w:val="229"/>
        </w:trPr>
        <w:tc>
          <w:tcPr>
            <w:tcW w:w="77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Accounts payable</w:t>
            </w:r>
          </w:p>
        </w:tc>
        <w:tc>
          <w:tcPr>
            <w:tcW w:w="340" w:type="dxa"/>
            <w:vAlign w:val="bottom"/>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304,425</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252,419</w:t>
            </w:r>
          </w:p>
        </w:tc>
      </w:tr>
      <w:tr>
        <w:trPr>
          <w:trHeight w:val="229"/>
        </w:trPr>
        <w:tc>
          <w:tcPr>
            <w:tcW w:w="7760" w:type="dxa"/>
            <w:vAlign w:val="bottom"/>
          </w:tcPr>
          <w:p>
            <w:pPr>
              <w:ind w:left="660"/>
              <w:spacing w:after="0"/>
              <w:rPr>
                <w:sz w:val="20"/>
                <w:szCs w:val="20"/>
                <w:color w:val="auto"/>
              </w:rPr>
            </w:pPr>
            <w:r>
              <w:rPr>
                <w:rFonts w:ascii="Arial" w:cs="Arial" w:eastAsia="Arial" w:hAnsi="Arial"/>
                <w:sz w:val="18"/>
                <w:szCs w:val="18"/>
                <w:color w:val="auto"/>
              </w:rPr>
              <w:t>Accrued liabilities</w:t>
            </w:r>
          </w:p>
        </w:tc>
        <w:tc>
          <w:tcPr>
            <w:tcW w:w="3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478,158</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435,616</w:t>
            </w:r>
          </w:p>
        </w:tc>
      </w:tr>
      <w:tr>
        <w:trPr>
          <w:trHeight w:val="230"/>
        </w:trPr>
        <w:tc>
          <w:tcPr>
            <w:tcW w:w="77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Accrued employee compensation</w:t>
            </w:r>
          </w:p>
        </w:tc>
        <w:tc>
          <w:tcPr>
            <w:tcW w:w="3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153,943</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189,421</w:t>
            </w:r>
          </w:p>
        </w:tc>
      </w:tr>
      <w:tr>
        <w:trPr>
          <w:trHeight w:val="229"/>
        </w:trPr>
        <w:tc>
          <w:tcPr>
            <w:tcW w:w="7760" w:type="dxa"/>
            <w:vAlign w:val="bottom"/>
          </w:tcPr>
          <w:p>
            <w:pPr>
              <w:ind w:left="660"/>
              <w:spacing w:after="0"/>
              <w:rPr>
                <w:sz w:val="20"/>
                <w:szCs w:val="20"/>
                <w:color w:val="auto"/>
              </w:rPr>
            </w:pPr>
            <w:r>
              <w:rPr>
                <w:rFonts w:ascii="Arial" w:cs="Arial" w:eastAsia="Arial" w:hAnsi="Arial"/>
                <w:sz w:val="18"/>
                <w:szCs w:val="18"/>
                <w:color w:val="auto"/>
              </w:rPr>
              <w:t>Short-term convertible debt</w:t>
            </w:r>
          </w:p>
        </w:tc>
        <w:tc>
          <w:tcPr>
            <w:tcW w:w="3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193,269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7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Short-term debt</w:t>
            </w:r>
          </w:p>
        </w:tc>
        <w:tc>
          <w:tcPr>
            <w:tcW w:w="340" w:type="dxa"/>
            <w:vAlign w:val="bottom"/>
            <w:tcBorders>
              <w:bottom w:val="single" w:sz="8" w:color="auto"/>
            </w:tcBorders>
            <w:shd w:val="clear" w:color="auto" w:fill="CCEEFF"/>
          </w:tcPr>
          <w:p>
            <w:pPr>
              <w:spacing w:after="0"/>
              <w:rPr>
                <w:sz w:val="19"/>
                <w:szCs w:val="19"/>
                <w:color w:val="auto"/>
              </w:rPr>
            </w:pP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30,308</w:t>
            </w:r>
          </w:p>
        </w:tc>
        <w:tc>
          <w:tcPr>
            <w:tcW w:w="2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199,641</w:t>
            </w:r>
          </w:p>
        </w:tc>
      </w:tr>
      <w:tr>
        <w:trPr>
          <w:trHeight w:val="223"/>
        </w:trPr>
        <w:tc>
          <w:tcPr>
            <w:tcW w:w="7760" w:type="dxa"/>
            <w:vAlign w:val="bottom"/>
          </w:tcPr>
          <w:p>
            <w:pPr>
              <w:ind w:left="1100"/>
              <w:spacing w:after="0"/>
              <w:rPr>
                <w:sz w:val="20"/>
                <w:szCs w:val="20"/>
                <w:color w:val="auto"/>
              </w:rPr>
            </w:pPr>
            <w:r>
              <w:rPr>
                <w:rFonts w:ascii="Arial" w:cs="Arial" w:eastAsia="Arial" w:hAnsi="Arial"/>
                <w:sz w:val="18"/>
                <w:szCs w:val="18"/>
                <w:color w:val="auto"/>
              </w:rPr>
              <w:t>Total current liabilities</w:t>
            </w:r>
          </w:p>
        </w:tc>
        <w:tc>
          <w:tcPr>
            <w:tcW w:w="3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1,160,103</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1,077,097</w:t>
            </w:r>
          </w:p>
        </w:tc>
      </w:tr>
      <w:tr>
        <w:trPr>
          <w:trHeight w:val="230"/>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Long-term convertible debt</w:t>
            </w:r>
          </w:p>
        </w:tc>
        <w:tc>
          <w:tcPr>
            <w:tcW w:w="3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1,146</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7760" w:type="dxa"/>
            <w:vAlign w:val="bottom"/>
          </w:tcPr>
          <w:p>
            <w:pPr>
              <w:ind w:left="200"/>
              <w:spacing w:after="0"/>
              <w:rPr>
                <w:sz w:val="20"/>
                <w:szCs w:val="20"/>
                <w:color w:val="auto"/>
              </w:rPr>
            </w:pPr>
            <w:r>
              <w:rPr>
                <w:rFonts w:ascii="Arial" w:cs="Arial" w:eastAsia="Arial" w:hAnsi="Arial"/>
                <w:sz w:val="18"/>
                <w:szCs w:val="18"/>
                <w:color w:val="auto"/>
              </w:rPr>
              <w:t>Long-term debt</w:t>
            </w:r>
          </w:p>
        </w:tc>
        <w:tc>
          <w:tcPr>
            <w:tcW w:w="3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4,673,707</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993,170</w:t>
            </w:r>
          </w:p>
        </w:tc>
      </w:tr>
      <w:tr>
        <w:trPr>
          <w:trHeight w:val="229"/>
        </w:trPr>
        <w:tc>
          <w:tcPr>
            <w:tcW w:w="7760" w:type="dxa"/>
            <w:vAlign w:val="bottom"/>
            <w:shd w:val="clear" w:color="auto" w:fill="CCEEFF"/>
          </w:tcPr>
          <w:p>
            <w:pPr>
              <w:ind w:left="200"/>
              <w:spacing w:after="0"/>
              <w:rPr>
                <w:sz w:val="20"/>
                <w:szCs w:val="20"/>
                <w:color w:val="auto"/>
              </w:rPr>
            </w:pPr>
            <w:r>
              <w:rPr>
                <w:rFonts w:ascii="Arial" w:cs="Arial" w:eastAsia="Arial" w:hAnsi="Arial"/>
                <w:sz w:val="18"/>
                <w:szCs w:val="18"/>
                <w:color w:val="auto"/>
              </w:rPr>
              <w:t>Other non-current liabilities</w:t>
            </w:r>
          </w:p>
        </w:tc>
        <w:tc>
          <w:tcPr>
            <w:tcW w:w="340" w:type="dxa"/>
            <w:vAlign w:val="bottom"/>
            <w:tcBorders>
              <w:bottom w:val="single" w:sz="8" w:color="auto"/>
            </w:tcBorders>
            <w:shd w:val="clear" w:color="auto" w:fill="CCEEFF"/>
          </w:tcPr>
          <w:p>
            <w:pPr>
              <w:spacing w:after="0"/>
              <w:rPr>
                <w:sz w:val="19"/>
                <w:szCs w:val="19"/>
                <w:color w:val="auto"/>
              </w:rPr>
            </w:pP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539,611</w:t>
            </w:r>
          </w:p>
        </w:tc>
        <w:tc>
          <w:tcPr>
            <w:tcW w:w="2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r>
      <w:tr>
        <w:trPr>
          <w:trHeight w:val="223"/>
        </w:trPr>
        <w:tc>
          <w:tcPr>
            <w:tcW w:w="7760" w:type="dxa"/>
            <w:vAlign w:val="bottom"/>
            <w:tcBorders>
              <w:bottom w:val="single" w:sz="8" w:color="CCEEFF"/>
            </w:tcBorders>
          </w:tcPr>
          <w:p>
            <w:pPr>
              <w:ind w:left="1100"/>
              <w:spacing w:after="0"/>
              <w:rPr>
                <w:sz w:val="20"/>
                <w:szCs w:val="20"/>
                <w:color w:val="auto"/>
              </w:rPr>
            </w:pPr>
            <w:r>
              <w:rPr>
                <w:rFonts w:ascii="Arial" w:cs="Arial" w:eastAsia="Arial" w:hAnsi="Arial"/>
                <w:sz w:val="18"/>
                <w:szCs w:val="18"/>
                <w:color w:val="auto"/>
              </w:rPr>
              <w:t>Total liabilities</w:t>
            </w:r>
          </w:p>
        </w:tc>
        <w:tc>
          <w:tcPr>
            <w:tcW w:w="34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6,374,567</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2,329,120</w:t>
            </w:r>
          </w:p>
        </w:tc>
      </w:tr>
      <w:tr>
        <w:trPr>
          <w:trHeight w:val="196"/>
        </w:trPr>
        <w:tc>
          <w:tcPr>
            <w:tcW w:w="77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40" w:type="dxa"/>
            <w:vAlign w:val="bottom"/>
            <w:shd w:val="clear" w:color="auto" w:fill="CCEEFF"/>
          </w:tcPr>
          <w:p>
            <w:pPr>
              <w:spacing w:after="0"/>
              <w:rPr>
                <w:sz w:val="17"/>
                <w:szCs w:val="17"/>
                <w:color w:val="auto"/>
              </w:rPr>
            </w:pPr>
          </w:p>
        </w:tc>
      </w:tr>
      <w:tr>
        <w:trPr>
          <w:trHeight w:val="230"/>
        </w:trPr>
        <w:tc>
          <w:tcPr>
            <w:tcW w:w="7760" w:type="dxa"/>
            <w:vAlign w:val="bottom"/>
          </w:tcPr>
          <w:p>
            <w:pPr>
              <w:ind w:left="200"/>
              <w:spacing w:after="0"/>
              <w:rPr>
                <w:sz w:val="20"/>
                <w:szCs w:val="20"/>
                <w:color w:val="auto"/>
              </w:rPr>
            </w:pPr>
            <w:r>
              <w:rPr>
                <w:rFonts w:ascii="Arial" w:cs="Arial" w:eastAsia="Arial" w:hAnsi="Arial"/>
                <w:sz w:val="18"/>
                <w:szCs w:val="18"/>
                <w:color w:val="auto"/>
              </w:rPr>
              <w:t>Stockholders’ equity:</w:t>
            </w:r>
          </w:p>
        </w:tc>
        <w:tc>
          <w:tcPr>
            <w:tcW w:w="340" w:type="dxa"/>
            <w:vAlign w:val="bottom"/>
          </w:tcPr>
          <w:p>
            <w:pPr>
              <w:spacing w:after="0"/>
              <w:rPr>
                <w:sz w:val="19"/>
                <w:szCs w:val="19"/>
                <w:color w:val="auto"/>
              </w:rPr>
            </w:pPr>
          </w:p>
        </w:tc>
        <w:tc>
          <w:tcPr>
            <w:tcW w:w="12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spacing w:after="0"/>
              <w:rPr>
                <w:sz w:val="19"/>
                <w:szCs w:val="19"/>
                <w:color w:val="auto"/>
              </w:rPr>
            </w:pPr>
          </w:p>
        </w:tc>
      </w:tr>
      <w:tr>
        <w:trPr>
          <w:trHeight w:val="230"/>
        </w:trPr>
        <w:tc>
          <w:tcPr>
            <w:tcW w:w="77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Common shares</w:t>
            </w:r>
          </w:p>
        </w:tc>
        <w:tc>
          <w:tcPr>
            <w:tcW w:w="340" w:type="dxa"/>
            <w:vAlign w:val="bottom"/>
            <w:shd w:val="clear" w:color="auto" w:fill="CCEEFF"/>
          </w:tcPr>
          <w:p>
            <w:pPr>
              <w:spacing w:after="0"/>
              <w:rPr>
                <w:sz w:val="19"/>
                <w:szCs w:val="19"/>
                <w:color w:val="auto"/>
              </w:rPr>
            </w:pPr>
          </w:p>
        </w:tc>
        <w:tc>
          <w:tcPr>
            <w:tcW w:w="12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1,633</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r>
      <w:tr>
        <w:trPr>
          <w:trHeight w:val="229"/>
        </w:trPr>
        <w:tc>
          <w:tcPr>
            <w:tcW w:w="7760" w:type="dxa"/>
            <w:vAlign w:val="bottom"/>
          </w:tcPr>
          <w:p>
            <w:pPr>
              <w:ind w:left="660"/>
              <w:spacing w:after="0"/>
              <w:rPr>
                <w:sz w:val="20"/>
                <w:szCs w:val="20"/>
                <w:color w:val="auto"/>
              </w:rPr>
            </w:pPr>
            <w:r>
              <w:rPr>
                <w:rFonts w:ascii="Arial" w:cs="Arial" w:eastAsia="Arial" w:hAnsi="Arial"/>
                <w:sz w:val="18"/>
                <w:szCs w:val="18"/>
                <w:color w:val="auto"/>
              </w:rPr>
              <w:t>Additional paid-in capital</w:t>
            </w:r>
          </w:p>
        </w:tc>
        <w:tc>
          <w:tcPr>
            <w:tcW w:w="340" w:type="dxa"/>
            <w:vAlign w:val="bottom"/>
          </w:tcPr>
          <w:p>
            <w:pPr>
              <w:spacing w:after="0"/>
              <w:rPr>
                <w:sz w:val="19"/>
                <w:szCs w:val="19"/>
                <w:color w:val="auto"/>
              </w:rPr>
            </w:pPr>
          </w:p>
        </w:tc>
        <w:tc>
          <w:tcPr>
            <w:tcW w:w="1260" w:type="dxa"/>
            <w:vAlign w:val="bottom"/>
          </w:tcPr>
          <w:p>
            <w:pPr>
              <w:jc w:val="right"/>
              <w:spacing w:after="0"/>
              <w:rPr>
                <w:sz w:val="20"/>
                <w:szCs w:val="20"/>
                <w:color w:val="auto"/>
              </w:rPr>
            </w:pPr>
            <w:r>
              <w:rPr>
                <w:rFonts w:ascii="Arial" w:cs="Arial" w:eastAsia="Arial" w:hAnsi="Arial"/>
                <w:sz w:val="18"/>
                <w:szCs w:val="18"/>
                <w:color w:val="auto"/>
              </w:rPr>
              <w:t>12,879,095</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40" w:type="dxa"/>
            <w:vAlign w:val="bottom"/>
          </w:tcPr>
          <w:p>
            <w:pPr>
              <w:jc w:val="right"/>
              <w:spacing w:after="0"/>
              <w:rPr>
                <w:sz w:val="20"/>
                <w:szCs w:val="20"/>
                <w:color w:val="auto"/>
              </w:rPr>
            </w:pPr>
            <w:r>
              <w:rPr>
                <w:rFonts w:ascii="Arial" w:cs="Arial" w:eastAsia="Arial" w:hAnsi="Arial"/>
                <w:sz w:val="18"/>
                <w:szCs w:val="18"/>
                <w:color w:val="auto"/>
              </w:rPr>
              <w:t>6,331,013</w:t>
            </w:r>
          </w:p>
        </w:tc>
      </w:tr>
      <w:tr>
        <w:trPr>
          <w:trHeight w:val="230"/>
        </w:trPr>
        <w:tc>
          <w:tcPr>
            <w:tcW w:w="776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Retained earnings</w:t>
            </w:r>
          </w:p>
        </w:tc>
        <w:tc>
          <w:tcPr>
            <w:tcW w:w="340" w:type="dxa"/>
            <w:vAlign w:val="bottom"/>
            <w:tcBorders>
              <w:bottom w:val="single" w:sz="8" w:color="auto"/>
            </w:tcBorders>
            <w:shd w:val="clear" w:color="auto" w:fill="CCEEFF"/>
          </w:tcPr>
          <w:p>
            <w:pPr>
              <w:spacing w:after="0"/>
              <w:rPr>
                <w:sz w:val="19"/>
                <w:szCs w:val="19"/>
                <w:color w:val="auto"/>
              </w:rPr>
            </w:pP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1,974,642</w:t>
            </w:r>
          </w:p>
        </w:tc>
        <w:tc>
          <w:tcPr>
            <w:tcW w:w="2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r>
      <w:tr>
        <w:trPr>
          <w:trHeight w:val="223"/>
        </w:trPr>
        <w:tc>
          <w:tcPr>
            <w:tcW w:w="7760" w:type="dxa"/>
            <w:vAlign w:val="bottom"/>
            <w:tcBorders>
              <w:bottom w:val="single" w:sz="8" w:color="CCEEFF"/>
            </w:tcBorders>
          </w:tcPr>
          <w:p>
            <w:pPr>
              <w:ind w:left="1100"/>
              <w:spacing w:after="0"/>
              <w:rPr>
                <w:sz w:val="20"/>
                <w:szCs w:val="20"/>
                <w:color w:val="auto"/>
              </w:rPr>
            </w:pPr>
            <w:r>
              <w:rPr>
                <w:rFonts w:ascii="Arial" w:cs="Arial" w:eastAsia="Arial" w:hAnsi="Arial"/>
                <w:sz w:val="18"/>
                <w:szCs w:val="18"/>
                <w:color w:val="auto"/>
              </w:rPr>
              <w:t>Total stockholders’ equity</w:t>
            </w:r>
          </w:p>
        </w:tc>
        <w:tc>
          <w:tcPr>
            <w:tcW w:w="340" w:type="dxa"/>
            <w:vAlign w:val="bottom"/>
            <w:tcBorders>
              <w:bottom w:val="single" w:sz="8" w:color="auto"/>
            </w:tcBorders>
          </w:tcPr>
          <w:p>
            <w:pPr>
              <w:spacing w:after="0"/>
              <w:rPr>
                <w:sz w:val="19"/>
                <w:szCs w:val="19"/>
                <w:color w:val="auto"/>
              </w:rPr>
            </w:pPr>
          </w:p>
        </w:tc>
        <w:tc>
          <w:tcPr>
            <w:tcW w:w="12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14,855,370</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r>
      <w:tr>
        <w:trPr>
          <w:trHeight w:val="248"/>
        </w:trPr>
        <w:tc>
          <w:tcPr>
            <w:tcW w:w="7760" w:type="dxa"/>
            <w:vAlign w:val="bottom"/>
            <w:tcBorders>
              <w:bottom w:val="single" w:sz="8" w:color="CCEEFF"/>
            </w:tcBorders>
            <w:shd w:val="clear" w:color="auto" w:fill="CCEEFF"/>
          </w:tcPr>
          <w:p>
            <w:pPr>
              <w:ind w:left="1100"/>
              <w:spacing w:after="0"/>
              <w:rPr>
                <w:sz w:val="20"/>
                <w:szCs w:val="20"/>
                <w:color w:val="auto"/>
              </w:rPr>
            </w:pPr>
            <w:r>
              <w:rPr>
                <w:rFonts w:ascii="Arial" w:cs="Arial" w:eastAsia="Arial" w:hAnsi="Arial"/>
                <w:sz w:val="18"/>
                <w:szCs w:val="18"/>
                <w:color w:val="auto"/>
              </w:rPr>
              <w:t>Total liabilities and stockholders’ equity</w:t>
            </w:r>
          </w:p>
        </w:tc>
        <w:tc>
          <w:tcPr>
            <w:tcW w:w="340" w:type="dxa"/>
            <w:vAlign w:val="bottom"/>
            <w:tcBorders>
              <w:bottom w:val="single" w:sz="8" w:color="auto"/>
            </w:tcBorders>
            <w:shd w:val="clear" w:color="auto" w:fill="CCEEFF"/>
          </w:tcPr>
          <w:p>
            <w:pPr>
              <w:jc w:val="right"/>
              <w:ind w:right="150"/>
              <w:spacing w:after="0"/>
              <w:rPr>
                <w:sz w:val="20"/>
                <w:szCs w:val="20"/>
                <w:color w:val="auto"/>
              </w:rPr>
            </w:pPr>
            <w:r>
              <w:rPr>
                <w:rFonts w:ascii="Arial" w:cs="Arial" w:eastAsia="Arial" w:hAnsi="Arial"/>
                <w:sz w:val="18"/>
                <w:szCs w:val="18"/>
                <w:color w:val="auto"/>
                <w:w w:val="79"/>
              </w:rPr>
              <w:t>$</w:t>
            </w:r>
          </w:p>
        </w:tc>
        <w:tc>
          <w:tcPr>
            <w:tcW w:w="12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21,229,937</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r>
      <w:tr>
        <w:trPr>
          <w:trHeight w:val="20"/>
        </w:trPr>
        <w:tc>
          <w:tcPr>
            <w:tcW w:w="776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126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1093" w:right="35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5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5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8460" w:type="dxa"/>
            <w:vAlign w:val="bottom"/>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2520" w:type="dxa"/>
            <w:vAlign w:val="bottom"/>
            <w:tcBorders>
              <w:bottom w:val="single" w:sz="8" w:color="auto"/>
            </w:tcBorders>
            <w:gridSpan w:val="4"/>
          </w:tcPr>
          <w:p>
            <w:pPr>
              <w:jc w:val="right"/>
              <w:ind w:right="651"/>
              <w:spacing w:after="0"/>
              <w:rPr>
                <w:sz w:val="20"/>
                <w:szCs w:val="20"/>
                <w:color w:val="auto"/>
              </w:rPr>
            </w:pPr>
            <w:r>
              <w:rPr>
                <w:rFonts w:ascii="Arial" w:cs="Arial" w:eastAsia="Arial" w:hAnsi="Arial"/>
                <w:sz w:val="14"/>
                <w:szCs w:val="14"/>
                <w:b w:val="1"/>
                <w:bCs w:val="1"/>
                <w:color w:val="auto"/>
              </w:rPr>
              <w:t>Three Months Ended</w:t>
            </w:r>
          </w:p>
        </w:tc>
      </w:tr>
      <w:tr>
        <w:trPr>
          <w:trHeight w:val="134"/>
        </w:trPr>
        <w:tc>
          <w:tcPr>
            <w:tcW w:w="84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24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May 1,</w:t>
            </w:r>
          </w:p>
        </w:tc>
        <w:tc>
          <w:tcPr>
            <w:tcW w:w="260" w:type="dxa"/>
            <w:vAlign w:val="bottom"/>
          </w:tcPr>
          <w:p>
            <w:pPr>
              <w:spacing w:after="0"/>
              <w:rPr>
                <w:sz w:val="11"/>
                <w:szCs w:val="11"/>
                <w:color w:val="auto"/>
              </w:rPr>
            </w:pPr>
          </w:p>
        </w:tc>
        <w:tc>
          <w:tcPr>
            <w:tcW w:w="1020" w:type="dxa"/>
            <w:vAlign w:val="bottom"/>
          </w:tcPr>
          <w:p>
            <w:pPr>
              <w:jc w:val="right"/>
              <w:ind w:right="331"/>
              <w:spacing w:after="0" w:line="135" w:lineRule="exact"/>
              <w:rPr>
                <w:sz w:val="20"/>
                <w:szCs w:val="20"/>
                <w:color w:val="auto"/>
              </w:rPr>
            </w:pPr>
            <w:r>
              <w:rPr>
                <w:rFonts w:ascii="Arial" w:cs="Arial" w:eastAsia="Arial" w:hAnsi="Arial"/>
                <w:sz w:val="14"/>
                <w:szCs w:val="14"/>
                <w:b w:val="1"/>
                <w:bCs w:val="1"/>
                <w:color w:val="auto"/>
              </w:rPr>
              <w:t>May 2,</w:t>
            </w:r>
          </w:p>
        </w:tc>
      </w:tr>
      <w:tr>
        <w:trPr>
          <w:trHeight w:val="188"/>
        </w:trPr>
        <w:tc>
          <w:tcPr>
            <w:tcW w:w="84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411"/>
              <w:spacing w:after="0"/>
              <w:rPr>
                <w:sz w:val="20"/>
                <w:szCs w:val="20"/>
                <w:color w:val="auto"/>
              </w:rPr>
            </w:pPr>
            <w:r>
              <w:rPr>
                <w:rFonts w:ascii="Arial" w:cs="Arial" w:eastAsia="Arial" w:hAnsi="Arial"/>
                <w:sz w:val="14"/>
                <w:szCs w:val="14"/>
                <w:b w:val="1"/>
                <w:bCs w:val="1"/>
                <w:color w:val="auto"/>
              </w:rPr>
              <w:t>2021</w:t>
            </w:r>
          </w:p>
        </w:tc>
        <w:tc>
          <w:tcPr>
            <w:tcW w:w="22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411"/>
              <w:spacing w:after="0"/>
              <w:rPr>
                <w:sz w:val="20"/>
                <w:szCs w:val="20"/>
                <w:color w:val="auto"/>
              </w:rPr>
            </w:pPr>
            <w:r>
              <w:rPr>
                <w:rFonts w:ascii="Arial" w:cs="Arial" w:eastAsia="Arial" w:hAnsi="Arial"/>
                <w:sz w:val="14"/>
                <w:szCs w:val="14"/>
                <w:b w:val="1"/>
                <w:bCs w:val="1"/>
                <w:color w:val="auto"/>
              </w:rPr>
              <w:t>2020</w:t>
            </w:r>
          </w:p>
        </w:tc>
      </w:tr>
      <w:tr>
        <w:trPr>
          <w:trHeight w:val="211"/>
        </w:trPr>
        <w:tc>
          <w:tcPr>
            <w:tcW w:w="8460" w:type="dxa"/>
            <w:vAlign w:val="bottom"/>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operating activities:</w:t>
            </w: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020" w:type="dxa"/>
            <w:vAlign w:val="bottom"/>
            <w:shd w:val="clear" w:color="auto" w:fill="CCEEFF"/>
          </w:tcPr>
          <w:p>
            <w:pPr>
              <w:spacing w:after="0"/>
              <w:rPr>
                <w:sz w:val="18"/>
                <w:szCs w:val="18"/>
                <w:color w:val="auto"/>
              </w:rPr>
            </w:pPr>
          </w:p>
        </w:tc>
      </w:tr>
      <w:tr>
        <w:trPr>
          <w:trHeight w:val="229"/>
        </w:trPr>
        <w:tc>
          <w:tcPr>
            <w:tcW w:w="8460" w:type="dxa"/>
            <w:vAlign w:val="bottom"/>
          </w:tcPr>
          <w:p>
            <w:pPr>
              <w:ind w:left="220"/>
              <w:spacing w:after="0"/>
              <w:rPr>
                <w:sz w:val="20"/>
                <w:szCs w:val="20"/>
                <w:color w:val="auto"/>
              </w:rPr>
            </w:pPr>
            <w:r>
              <w:rPr>
                <w:rFonts w:ascii="Arial" w:cs="Arial" w:eastAsia="Arial" w:hAnsi="Arial"/>
                <w:sz w:val="18"/>
                <w:szCs w:val="18"/>
                <w:color w:val="auto"/>
              </w:rPr>
              <w:t>Net loss</w:t>
            </w: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(88,242)</w:t>
            </w:r>
          </w:p>
        </w:tc>
        <w:tc>
          <w:tcPr>
            <w:tcW w:w="220" w:type="dxa"/>
            <w:vAlign w:val="bottom"/>
          </w:tcPr>
          <w:p>
            <w:pPr>
              <w:spacing w:after="0"/>
              <w:rPr>
                <w:sz w:val="19"/>
                <w:szCs w:val="19"/>
                <w:color w:val="auto"/>
              </w:rPr>
            </w:pPr>
          </w:p>
        </w:tc>
        <w:tc>
          <w:tcPr>
            <w:tcW w:w="260" w:type="dxa"/>
            <w:vAlign w:val="bottom"/>
          </w:tcPr>
          <w:p>
            <w:pPr>
              <w:jc w:val="right"/>
              <w:ind w:right="70"/>
              <w:spacing w:after="0"/>
              <w:rPr>
                <w:sz w:val="20"/>
                <w:szCs w:val="20"/>
                <w:color w:val="auto"/>
              </w:rPr>
            </w:pPr>
            <w:r>
              <w:rPr>
                <w:rFonts w:ascii="Arial" w:cs="Arial" w:eastAsia="Arial" w:hAnsi="Arial"/>
                <w:sz w:val="18"/>
                <w:szCs w:val="18"/>
                <w:color w:val="auto"/>
                <w:w w:val="79"/>
              </w:rPr>
              <w:t>$</w:t>
            </w:r>
          </w:p>
        </w:tc>
        <w:tc>
          <w:tcPr>
            <w:tcW w:w="1020" w:type="dxa"/>
            <w:vAlign w:val="bottom"/>
          </w:tcPr>
          <w:p>
            <w:pPr>
              <w:jc w:val="right"/>
              <w:spacing w:after="0"/>
              <w:rPr>
                <w:sz w:val="20"/>
                <w:szCs w:val="20"/>
                <w:color w:val="auto"/>
              </w:rPr>
            </w:pPr>
            <w:r>
              <w:rPr>
                <w:rFonts w:ascii="Arial" w:cs="Arial" w:eastAsia="Arial" w:hAnsi="Arial"/>
                <w:sz w:val="18"/>
                <w:szCs w:val="18"/>
                <w:color w:val="auto"/>
              </w:rPr>
              <w:t>(113,033)</w:t>
            </w:r>
          </w:p>
        </w:tc>
      </w:tr>
      <w:tr>
        <w:trPr>
          <w:trHeight w:val="230"/>
        </w:trPr>
        <w:tc>
          <w:tcPr>
            <w:tcW w:w="84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r>
      <w:tr>
        <w:trPr>
          <w:trHeight w:val="229"/>
        </w:trPr>
        <w:tc>
          <w:tcPr>
            <w:tcW w:w="8460" w:type="dxa"/>
            <w:vAlign w:val="bottom"/>
          </w:tcPr>
          <w:p>
            <w:pPr>
              <w:ind w:left="680"/>
              <w:spacing w:after="0"/>
              <w:rPr>
                <w:sz w:val="20"/>
                <w:szCs w:val="20"/>
                <w:color w:val="auto"/>
              </w:rPr>
            </w:pPr>
            <w:r>
              <w:rPr>
                <w:rFonts w:ascii="Arial" w:cs="Arial" w:eastAsia="Arial" w:hAnsi="Arial"/>
                <w:sz w:val="18"/>
                <w:szCs w:val="18"/>
                <w:color w:val="auto"/>
              </w:rPr>
              <w:t>Depreciation and amortization</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51,837</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50,483</w:t>
            </w:r>
          </w:p>
        </w:tc>
      </w:tr>
      <w:tr>
        <w:trPr>
          <w:trHeight w:val="229"/>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Share-based compensation</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92,727</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59,687</w:t>
            </w:r>
          </w:p>
        </w:tc>
      </w:tr>
      <w:tr>
        <w:trPr>
          <w:trHeight w:val="230"/>
        </w:trPr>
        <w:tc>
          <w:tcPr>
            <w:tcW w:w="8460" w:type="dxa"/>
            <w:vAlign w:val="bottom"/>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128,639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112,922</w:t>
            </w:r>
          </w:p>
        </w:tc>
      </w:tr>
      <w:tr>
        <w:trPr>
          <w:trHeight w:val="229"/>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13,720</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17,284</w:t>
            </w:r>
          </w:p>
        </w:tc>
      </w:tr>
      <w:tr>
        <w:trPr>
          <w:trHeight w:val="230"/>
        </w:trPr>
        <w:tc>
          <w:tcPr>
            <w:tcW w:w="8460" w:type="dxa"/>
            <w:vAlign w:val="bottom"/>
          </w:tcPr>
          <w:p>
            <w:pPr>
              <w:ind w:left="680"/>
              <w:spacing w:after="0"/>
              <w:rPr>
                <w:sz w:val="20"/>
                <w:szCs w:val="20"/>
                <w:color w:val="auto"/>
              </w:rPr>
            </w:pPr>
            <w:r>
              <w:rPr>
                <w:rFonts w:ascii="Arial" w:cs="Arial" w:eastAsia="Arial" w:hAnsi="Arial"/>
                <w:sz w:val="18"/>
                <w:szCs w:val="18"/>
                <w:color w:val="auto"/>
              </w:rPr>
              <w:t>Other expense, net</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31,309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11,451</w:t>
            </w:r>
          </w:p>
        </w:tc>
      </w:tr>
      <w:tr>
        <w:trPr>
          <w:trHeight w:val="229"/>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Deferred income taxes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(22,581)</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2,372</w:t>
            </w:r>
          </w:p>
        </w:tc>
      </w:tr>
      <w:tr>
        <w:trPr>
          <w:trHeight w:val="229"/>
        </w:trPr>
        <w:tc>
          <w:tcPr>
            <w:tcW w:w="8460" w:type="dxa"/>
            <w:vAlign w:val="bottom"/>
          </w:tcPr>
          <w:p>
            <w:pPr>
              <w:ind w:left="680"/>
              <w:spacing w:after="0"/>
              <w:rPr>
                <w:sz w:val="20"/>
                <w:szCs w:val="20"/>
                <w:color w:val="auto"/>
              </w:rPr>
            </w:pPr>
            <w:r>
              <w:rPr>
                <w:rFonts w:ascii="Arial" w:cs="Arial" w:eastAsia="Arial" w:hAnsi="Arial"/>
                <w:sz w:val="18"/>
                <w:szCs w:val="18"/>
                <w:color w:val="auto"/>
              </w:rPr>
              <w:t>Changes in assets and liabilities, net of acquisition:</w:t>
            </w:r>
          </w:p>
        </w:tc>
        <w:tc>
          <w:tcPr>
            <w:tcW w:w="2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spacing w:after="0"/>
              <w:rPr>
                <w:sz w:val="19"/>
                <w:szCs w:val="19"/>
                <w:color w:val="auto"/>
              </w:rPr>
            </w:pPr>
          </w:p>
        </w:tc>
      </w:tr>
      <w:tr>
        <w:trPr>
          <w:trHeight w:val="230"/>
        </w:trPr>
        <w:tc>
          <w:tcPr>
            <w:tcW w:w="846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Accounts receivable</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(57,999)</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23,586</w:t>
            </w:r>
          </w:p>
        </w:tc>
      </w:tr>
      <w:tr>
        <w:trPr>
          <w:trHeight w:val="229"/>
        </w:trPr>
        <w:tc>
          <w:tcPr>
            <w:tcW w:w="8460" w:type="dxa"/>
            <w:vAlign w:val="bottom"/>
          </w:tcPr>
          <w:p>
            <w:pPr>
              <w:ind w:left="1120"/>
              <w:spacing w:after="0"/>
              <w:rPr>
                <w:sz w:val="20"/>
                <w:szCs w:val="20"/>
                <w:color w:val="auto"/>
              </w:rPr>
            </w:pPr>
            <w:r>
              <w:rPr>
                <w:rFonts w:ascii="Arial" w:cs="Arial" w:eastAsia="Arial" w:hAnsi="Arial"/>
                <w:sz w:val="18"/>
                <w:szCs w:val="18"/>
                <w:color w:val="auto"/>
              </w:rPr>
              <w:t>Inventories</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(13,249)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35,834</w:t>
            </w:r>
          </w:p>
        </w:tc>
      </w:tr>
      <w:tr>
        <w:trPr>
          <w:trHeight w:val="229"/>
        </w:trPr>
        <w:tc>
          <w:tcPr>
            <w:tcW w:w="846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Prepaid expenses and other assets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4,413</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(6,694)</w:t>
            </w:r>
          </w:p>
        </w:tc>
      </w:tr>
      <w:tr>
        <w:trPr>
          <w:trHeight w:val="230"/>
        </w:trPr>
        <w:tc>
          <w:tcPr>
            <w:tcW w:w="8460" w:type="dxa"/>
            <w:vAlign w:val="bottom"/>
          </w:tcPr>
          <w:p>
            <w:pPr>
              <w:ind w:left="1120"/>
              <w:spacing w:after="0"/>
              <w:rPr>
                <w:sz w:val="20"/>
                <w:szCs w:val="20"/>
                <w:color w:val="auto"/>
              </w:rPr>
            </w:pPr>
            <w:r>
              <w:rPr>
                <w:rFonts w:ascii="Arial" w:cs="Arial" w:eastAsia="Arial" w:hAnsi="Arial"/>
                <w:sz w:val="18"/>
                <w:szCs w:val="18"/>
                <w:color w:val="auto"/>
              </w:rPr>
              <w:t>Accounts payable</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(51,609)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(3,557)</w:t>
            </w:r>
          </w:p>
        </w:tc>
      </w:tr>
      <w:tr>
        <w:trPr>
          <w:trHeight w:val="229"/>
        </w:trPr>
        <w:tc>
          <w:tcPr>
            <w:tcW w:w="846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Accrued liabilities and other non-current liabilities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(46,999)</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10,796</w:t>
            </w:r>
          </w:p>
        </w:tc>
      </w:tr>
      <w:tr>
        <w:trPr>
          <w:trHeight w:val="230"/>
        </w:trPr>
        <w:tc>
          <w:tcPr>
            <w:tcW w:w="8460" w:type="dxa"/>
            <w:vAlign w:val="bottom"/>
            <w:tcBorders>
              <w:bottom w:val="single" w:sz="8" w:color="CCEEFF"/>
            </w:tcBorders>
          </w:tcPr>
          <w:p>
            <w:pPr>
              <w:ind w:left="1120"/>
              <w:spacing w:after="0"/>
              <w:rPr>
                <w:sz w:val="20"/>
                <w:szCs w:val="20"/>
                <w:color w:val="auto"/>
              </w:rPr>
            </w:pPr>
            <w:r>
              <w:rPr>
                <w:rFonts w:ascii="Arial" w:cs="Arial" w:eastAsia="Arial" w:hAnsi="Arial"/>
                <w:sz w:val="18"/>
                <w:szCs w:val="18"/>
                <w:color w:val="auto"/>
              </w:rPr>
              <w:t>Accrued employee compensation</w:t>
            </w: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(55,693)</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(25,503)</w:t>
            </w:r>
          </w:p>
        </w:tc>
      </w:tr>
      <w:tr>
        <w:trPr>
          <w:trHeight w:val="223"/>
        </w:trPr>
        <w:tc>
          <w:tcPr>
            <w:tcW w:w="8460" w:type="dxa"/>
            <w:vAlign w:val="bottom"/>
            <w:shd w:val="clear" w:color="auto" w:fill="CCEEFF"/>
          </w:tcPr>
          <w:p>
            <w:pPr>
              <w:ind w:left="1520"/>
              <w:spacing w:after="0"/>
              <w:rPr>
                <w:sz w:val="20"/>
                <w:szCs w:val="20"/>
                <w:color w:val="auto"/>
              </w:rPr>
            </w:pPr>
            <w:r>
              <w:rPr>
                <w:rFonts w:ascii="Arial" w:cs="Arial" w:eastAsia="Arial" w:hAnsi="Arial"/>
                <w:sz w:val="18"/>
                <w:szCs w:val="18"/>
                <w:color w:val="auto"/>
              </w:rPr>
              <w:t>Net cash provided by (used in) operating activities</w:t>
            </w: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(13,727)</w:t>
            </w:r>
          </w:p>
        </w:tc>
        <w:tc>
          <w:tcPr>
            <w:tcW w:w="2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175,628</w:t>
            </w:r>
          </w:p>
        </w:tc>
      </w:tr>
      <w:tr>
        <w:trPr>
          <w:trHeight w:val="210"/>
        </w:trPr>
        <w:tc>
          <w:tcPr>
            <w:tcW w:w="8460" w:type="dxa"/>
            <w:vAlign w:val="bottom"/>
          </w:tcPr>
          <w:p>
            <w:pPr>
              <w:ind w:left="220"/>
              <w:spacing w:after="0"/>
              <w:rPr>
                <w:sz w:val="20"/>
                <w:szCs w:val="20"/>
                <w:color w:val="auto"/>
              </w:rPr>
            </w:pPr>
            <w:r>
              <w:rPr>
                <w:rFonts w:ascii="Arial" w:cs="Arial" w:eastAsia="Arial" w:hAnsi="Arial"/>
                <w:sz w:val="18"/>
                <w:szCs w:val="18"/>
                <w:b w:val="1"/>
                <w:bCs w:val="1"/>
                <w:color w:val="auto"/>
              </w:rPr>
              <w:t>Cash flows from investing activities:</w:t>
            </w:r>
          </w:p>
        </w:tc>
        <w:tc>
          <w:tcPr>
            <w:tcW w:w="2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tcPr>
          <w:p>
            <w:pPr>
              <w:spacing w:after="0"/>
              <w:rPr>
                <w:sz w:val="18"/>
                <w:szCs w:val="18"/>
                <w:color w:val="auto"/>
              </w:rPr>
            </w:pPr>
          </w:p>
        </w:tc>
      </w:tr>
      <w:tr>
        <w:trPr>
          <w:trHeight w:val="230"/>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Purchases of technology licenses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(3,443)</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(3,684)</w:t>
            </w:r>
          </w:p>
        </w:tc>
      </w:tr>
      <w:tr>
        <w:trPr>
          <w:trHeight w:val="230"/>
        </w:trPr>
        <w:tc>
          <w:tcPr>
            <w:tcW w:w="8460" w:type="dxa"/>
            <w:vAlign w:val="bottom"/>
          </w:tcPr>
          <w:p>
            <w:pPr>
              <w:ind w:left="680"/>
              <w:spacing w:after="0"/>
              <w:rPr>
                <w:sz w:val="20"/>
                <w:szCs w:val="20"/>
                <w:color w:val="auto"/>
              </w:rPr>
            </w:pPr>
            <w:r>
              <w:rPr>
                <w:rFonts w:ascii="Arial" w:cs="Arial" w:eastAsia="Arial" w:hAnsi="Arial"/>
                <w:sz w:val="18"/>
                <w:szCs w:val="18"/>
                <w:color w:val="auto"/>
              </w:rPr>
              <w:t>Purchases of property and equipment</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(21,444)</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(35,343)</w:t>
            </w:r>
          </w:p>
        </w:tc>
      </w:tr>
      <w:tr>
        <w:trPr>
          <w:trHeight w:val="229"/>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Cash payment for acquisition, net of cash and cash equivalents acquired</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(3,600,165)</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4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net</w:t>
            </w: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447</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665</w:t>
            </w:r>
          </w:p>
        </w:tc>
      </w:tr>
      <w:tr>
        <w:trPr>
          <w:trHeight w:val="223"/>
        </w:trPr>
        <w:tc>
          <w:tcPr>
            <w:tcW w:w="8460" w:type="dxa"/>
            <w:vAlign w:val="bottom"/>
            <w:shd w:val="clear" w:color="auto" w:fill="CCEEFF"/>
          </w:tcPr>
          <w:p>
            <w:pPr>
              <w:ind w:left="1520"/>
              <w:spacing w:after="0"/>
              <w:rPr>
                <w:sz w:val="20"/>
                <w:szCs w:val="20"/>
                <w:color w:val="auto"/>
              </w:rPr>
            </w:pPr>
            <w:r>
              <w:rPr>
                <w:rFonts w:ascii="Arial" w:cs="Arial" w:eastAsia="Arial" w:hAnsi="Arial"/>
                <w:sz w:val="18"/>
                <w:szCs w:val="18"/>
                <w:color w:val="auto"/>
              </w:rPr>
              <w:t>Net cash used in investing activities</w:t>
            </w: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(3,624,605)</w:t>
            </w:r>
          </w:p>
        </w:tc>
        <w:tc>
          <w:tcPr>
            <w:tcW w:w="22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(38,362)</w:t>
            </w:r>
          </w:p>
        </w:tc>
      </w:tr>
      <w:tr>
        <w:trPr>
          <w:trHeight w:val="210"/>
        </w:trPr>
        <w:tc>
          <w:tcPr>
            <w:tcW w:w="8460" w:type="dxa"/>
            <w:vAlign w:val="bottom"/>
          </w:tcPr>
          <w:p>
            <w:pPr>
              <w:ind w:left="220"/>
              <w:spacing w:after="0"/>
              <w:rPr>
                <w:sz w:val="20"/>
                <w:szCs w:val="20"/>
                <w:color w:val="auto"/>
              </w:rPr>
            </w:pPr>
            <w:r>
              <w:rPr>
                <w:rFonts w:ascii="Arial" w:cs="Arial" w:eastAsia="Arial" w:hAnsi="Arial"/>
                <w:sz w:val="18"/>
                <w:szCs w:val="18"/>
                <w:b w:val="1"/>
                <w:bCs w:val="1"/>
                <w:color w:val="auto"/>
              </w:rPr>
              <w:t>Cash flows from financing activities:</w:t>
            </w:r>
          </w:p>
        </w:tc>
        <w:tc>
          <w:tcPr>
            <w:tcW w:w="2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20" w:type="dxa"/>
            <w:vAlign w:val="bottom"/>
          </w:tcPr>
          <w:p>
            <w:pPr>
              <w:spacing w:after="0"/>
              <w:rPr>
                <w:sz w:val="18"/>
                <w:szCs w:val="18"/>
                <w:color w:val="auto"/>
              </w:rPr>
            </w:pPr>
          </w:p>
        </w:tc>
      </w:tr>
      <w:tr>
        <w:trPr>
          <w:trHeight w:val="230"/>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Repurchases of common stock</w:t>
            </w:r>
          </w:p>
        </w:tc>
        <w:tc>
          <w:tcPr>
            <w:tcW w:w="26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r>
      <w:tr>
        <w:trPr>
          <w:trHeight w:val="230"/>
        </w:trPr>
        <w:tc>
          <w:tcPr>
            <w:tcW w:w="8460" w:type="dxa"/>
            <w:vAlign w:val="bottom"/>
          </w:tcPr>
          <w:p>
            <w:pPr>
              <w:ind w:left="680"/>
              <w:spacing w:after="0"/>
              <w:rPr>
                <w:sz w:val="20"/>
                <w:szCs w:val="20"/>
                <w:color w:val="auto"/>
              </w:rPr>
            </w:pPr>
            <w:r>
              <w:rPr>
                <w:rFonts w:ascii="Arial" w:cs="Arial" w:eastAsia="Arial" w:hAnsi="Arial"/>
                <w:sz w:val="18"/>
                <w:szCs w:val="18"/>
                <w:color w:val="auto"/>
              </w:rPr>
              <w:t>Proceeds from employee stock plans</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549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5,458</w:t>
            </w:r>
          </w:p>
        </w:tc>
      </w:tr>
      <w:tr>
        <w:trPr>
          <w:trHeight w:val="229"/>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(73,175)</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(31,501)</w:t>
            </w:r>
          </w:p>
        </w:tc>
      </w:tr>
      <w:tr>
        <w:trPr>
          <w:trHeight w:val="230"/>
        </w:trPr>
        <w:tc>
          <w:tcPr>
            <w:tcW w:w="8460" w:type="dxa"/>
            <w:vAlign w:val="bottom"/>
          </w:tcPr>
          <w:p>
            <w:pPr>
              <w:ind w:left="680"/>
              <w:spacing w:after="0"/>
              <w:rPr>
                <w:sz w:val="20"/>
                <w:szCs w:val="20"/>
                <w:color w:val="auto"/>
              </w:rPr>
            </w:pPr>
            <w:r>
              <w:rPr>
                <w:rFonts w:ascii="Arial" w:cs="Arial" w:eastAsia="Arial" w:hAnsi="Arial"/>
                <w:sz w:val="18"/>
                <w:szCs w:val="18"/>
                <w:color w:val="auto"/>
              </w:rPr>
              <w:t>Dividend payments to stockholders</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(40,557)</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(39,763)</w:t>
            </w:r>
          </w:p>
        </w:tc>
      </w:tr>
      <w:tr>
        <w:trPr>
          <w:trHeight w:val="230"/>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Payments on technology license obligations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(44,132)</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(23,807)</w:t>
            </w:r>
          </w:p>
        </w:tc>
      </w:tr>
      <w:tr>
        <w:trPr>
          <w:trHeight w:val="230"/>
        </w:trPr>
        <w:tc>
          <w:tcPr>
            <w:tcW w:w="8460" w:type="dxa"/>
            <w:vAlign w:val="bottom"/>
          </w:tcPr>
          <w:p>
            <w:pPr>
              <w:ind w:left="680"/>
              <w:spacing w:after="0"/>
              <w:rPr>
                <w:sz w:val="20"/>
                <w:szCs w:val="20"/>
                <w:color w:val="auto"/>
              </w:rPr>
            </w:pPr>
            <w:r>
              <w:rPr>
                <w:rFonts w:ascii="Arial" w:cs="Arial" w:eastAsia="Arial" w:hAnsi="Arial"/>
                <w:sz w:val="18"/>
                <w:szCs w:val="18"/>
                <w:color w:val="auto"/>
              </w:rPr>
              <w:t>Proceeds from issuance of debt</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3,731,096</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Principal payments of debt</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(200,000)</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460" w:type="dxa"/>
            <w:vAlign w:val="bottom"/>
          </w:tcPr>
          <w:p>
            <w:pPr>
              <w:ind w:left="680"/>
              <w:spacing w:after="0"/>
              <w:rPr>
                <w:sz w:val="20"/>
                <w:szCs w:val="20"/>
                <w:color w:val="auto"/>
              </w:rPr>
            </w:pPr>
            <w:r>
              <w:rPr>
                <w:rFonts w:ascii="Arial" w:cs="Arial" w:eastAsia="Arial" w:hAnsi="Arial"/>
                <w:sz w:val="18"/>
                <w:szCs w:val="18"/>
                <w:color w:val="auto"/>
              </w:rPr>
              <w:t>Payment for repurchases and settlement of convertible notes</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(71,079)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Proceeds from capped calls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111,154</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460" w:type="dxa"/>
            <w:vAlign w:val="bottom"/>
          </w:tcPr>
          <w:p>
            <w:pPr>
              <w:ind w:left="680"/>
              <w:spacing w:after="0"/>
              <w:rPr>
                <w:sz w:val="20"/>
                <w:szCs w:val="20"/>
                <w:color w:val="auto"/>
              </w:rPr>
            </w:pPr>
            <w:r>
              <w:rPr>
                <w:rFonts w:ascii="Arial" w:cs="Arial" w:eastAsia="Arial" w:hAnsi="Arial"/>
                <w:sz w:val="18"/>
                <w:szCs w:val="18"/>
                <w:color w:val="auto"/>
              </w:rPr>
              <w:t>Payment of equity and debt financing costs</w:t>
            </w: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(1,479)</w:t>
            </w: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4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net</w:t>
            </w:r>
          </w:p>
        </w:tc>
        <w:tc>
          <w:tcPr>
            <w:tcW w:w="26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(2,507)</w:t>
            </w:r>
          </w:p>
        </w:tc>
      </w:tr>
      <w:tr>
        <w:trPr>
          <w:trHeight w:val="223"/>
        </w:trPr>
        <w:tc>
          <w:tcPr>
            <w:tcW w:w="8460" w:type="dxa"/>
            <w:vAlign w:val="bottom"/>
            <w:tcBorders>
              <w:bottom w:val="single" w:sz="8" w:color="CCEEFF"/>
            </w:tcBorders>
          </w:tcPr>
          <w:p>
            <w:pPr>
              <w:ind w:left="1520"/>
              <w:spacing w:after="0"/>
              <w:rPr>
                <w:sz w:val="20"/>
                <w:szCs w:val="20"/>
                <w:color w:val="auto"/>
              </w:rPr>
            </w:pPr>
            <w:r>
              <w:rPr>
                <w:rFonts w:ascii="Arial" w:cs="Arial" w:eastAsia="Arial" w:hAnsi="Arial"/>
                <w:sz w:val="18"/>
                <w:szCs w:val="18"/>
                <w:color w:val="auto"/>
              </w:rPr>
              <w:t>Net cash provided by (used in) financing activities</w:t>
            </w:r>
          </w:p>
        </w:tc>
        <w:tc>
          <w:tcPr>
            <w:tcW w:w="260" w:type="dxa"/>
            <w:vAlign w:val="bottom"/>
            <w:tcBorders>
              <w:top w:val="single" w:sz="8" w:color="auto"/>
              <w:bottom w:val="single" w:sz="8" w:color="auto"/>
            </w:tcBorders>
          </w:tcPr>
          <w:p>
            <w:pPr>
              <w:spacing w:after="0"/>
              <w:rPr>
                <w:sz w:val="19"/>
                <w:szCs w:val="19"/>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3,412,377</w:t>
            </w:r>
          </w:p>
        </w:tc>
        <w:tc>
          <w:tcPr>
            <w:tcW w:w="220" w:type="dxa"/>
            <w:vAlign w:val="bottom"/>
            <w:tcBorders>
              <w:bottom w:val="single" w:sz="8" w:color="CCEEFF"/>
            </w:tcBorders>
          </w:tcPr>
          <w:p>
            <w:pPr>
              <w:spacing w:after="0"/>
              <w:rPr>
                <w:sz w:val="19"/>
                <w:szCs w:val="19"/>
                <w:color w:val="auto"/>
              </w:rPr>
            </w:pPr>
          </w:p>
        </w:tc>
        <w:tc>
          <w:tcPr>
            <w:tcW w:w="260" w:type="dxa"/>
            <w:vAlign w:val="bottom"/>
            <w:tcBorders>
              <w:top w:val="single" w:sz="8" w:color="auto"/>
              <w:bottom w:val="single" w:sz="8" w:color="auto"/>
            </w:tcBorders>
          </w:tcPr>
          <w:p>
            <w:pPr>
              <w:spacing w:after="0"/>
              <w:rPr>
                <w:sz w:val="19"/>
                <w:szCs w:val="19"/>
                <w:color w:val="auto"/>
              </w:rPr>
            </w:pPr>
          </w:p>
        </w:tc>
        <w:tc>
          <w:tcPr>
            <w:tcW w:w="10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(117,322)</w:t>
            </w:r>
          </w:p>
        </w:tc>
      </w:tr>
      <w:tr>
        <w:trPr>
          <w:trHeight w:val="223"/>
        </w:trPr>
        <w:tc>
          <w:tcPr>
            <w:tcW w:w="8460" w:type="dxa"/>
            <w:vAlign w:val="bottom"/>
            <w:shd w:val="clear" w:color="auto" w:fill="CCEEFF"/>
          </w:tcPr>
          <w:p>
            <w:pPr>
              <w:ind w:left="60"/>
              <w:spacing w:after="0"/>
              <w:rPr>
                <w:sz w:val="20"/>
                <w:szCs w:val="20"/>
                <w:color w:val="auto"/>
              </w:rPr>
            </w:pPr>
            <w:r>
              <w:rPr>
                <w:rFonts w:ascii="Arial" w:cs="Arial" w:eastAsia="Arial" w:hAnsi="Arial"/>
                <w:sz w:val="18"/>
                <w:szCs w:val="18"/>
                <w:color w:val="auto"/>
              </w:rPr>
              <w:t>Net increase (decrease) in cash and cash equivalents</w:t>
            </w: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(225,955)</w:t>
            </w:r>
          </w:p>
        </w:tc>
        <w:tc>
          <w:tcPr>
            <w:tcW w:w="2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19,944</w:t>
            </w:r>
          </w:p>
        </w:tc>
      </w:tr>
      <w:tr>
        <w:trPr>
          <w:trHeight w:val="230"/>
        </w:trPr>
        <w:tc>
          <w:tcPr>
            <w:tcW w:w="846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Cash and cash equivalents at beginning of period</w:t>
            </w: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748,467</w:t>
            </w:r>
          </w:p>
        </w:tc>
        <w:tc>
          <w:tcPr>
            <w:tcW w:w="22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647,604</w:t>
            </w:r>
          </w:p>
        </w:tc>
      </w:tr>
      <w:tr>
        <w:trPr>
          <w:trHeight w:val="248"/>
        </w:trPr>
        <w:tc>
          <w:tcPr>
            <w:tcW w:w="8460" w:type="dxa"/>
            <w:vAlign w:val="bottom"/>
            <w:tcBorders>
              <w:bottom w:val="single" w:sz="8" w:color="CCEEFF"/>
            </w:tcBorders>
            <w:shd w:val="clear" w:color="auto" w:fill="CCEEFF"/>
          </w:tcPr>
          <w:p>
            <w:pPr>
              <w:ind w:left="60"/>
              <w:spacing w:after="0"/>
              <w:rPr>
                <w:sz w:val="20"/>
                <w:szCs w:val="20"/>
                <w:color w:val="auto"/>
              </w:rPr>
            </w:pPr>
            <w:r>
              <w:rPr>
                <w:rFonts w:ascii="Arial" w:cs="Arial" w:eastAsia="Arial" w:hAnsi="Arial"/>
                <w:sz w:val="18"/>
                <w:szCs w:val="18"/>
                <w:color w:val="auto"/>
              </w:rPr>
              <w:t>Cash and cash equivalents at end of period</w:t>
            </w: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522,512</w:t>
            </w:r>
          </w:p>
        </w:tc>
        <w:tc>
          <w:tcPr>
            <w:tcW w:w="22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667,548</w:t>
            </w:r>
          </w:p>
        </w:tc>
      </w:tr>
      <w:tr>
        <w:trPr>
          <w:trHeight w:val="20"/>
        </w:trPr>
        <w:tc>
          <w:tcPr>
            <w:tcW w:w="84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1147" w:right="3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64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3"/>
          </w:tcPr>
          <w:p>
            <w:pPr>
              <w:jc w:val="center"/>
              <w:ind w:right="120"/>
              <w:spacing w:after="0"/>
              <w:rPr>
                <w:sz w:val="20"/>
                <w:szCs w:val="20"/>
                <w:color w:val="auto"/>
              </w:rPr>
            </w:pPr>
            <w:r>
              <w:rPr>
                <w:rFonts w:ascii="Arial" w:cs="Arial" w:eastAsia="Arial" w:hAnsi="Arial"/>
                <w:sz w:val="14"/>
                <w:szCs w:val="14"/>
                <w:b w:val="1"/>
                <w:bCs w:val="1"/>
                <w:color w:val="auto"/>
                <w:w w:val="93"/>
              </w:rPr>
              <w:t>Three Months Ended</w:t>
            </w: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66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60" w:type="dxa"/>
            <w:vAlign w:val="bottom"/>
            <w:gridSpan w:val="2"/>
          </w:tcPr>
          <w:p>
            <w:pPr>
              <w:ind w:left="200"/>
              <w:spacing w:after="0" w:line="135" w:lineRule="exact"/>
              <w:rPr>
                <w:sz w:val="20"/>
                <w:szCs w:val="20"/>
                <w:color w:val="auto"/>
              </w:rPr>
            </w:pPr>
            <w:r>
              <w:rPr>
                <w:rFonts w:ascii="Arial" w:cs="Arial" w:eastAsia="Arial" w:hAnsi="Arial"/>
                <w:sz w:val="14"/>
                <w:szCs w:val="14"/>
                <w:b w:val="1"/>
                <w:bCs w:val="1"/>
                <w:color w:val="auto"/>
              </w:rPr>
              <w:t>May 1,</w:t>
            </w:r>
          </w:p>
        </w:tc>
        <w:tc>
          <w:tcPr>
            <w:tcW w:w="240" w:type="dxa"/>
            <w:vAlign w:val="bottom"/>
          </w:tcPr>
          <w:p>
            <w:pPr>
              <w:spacing w:after="0"/>
              <w:rPr>
                <w:sz w:val="11"/>
                <w:szCs w:val="11"/>
                <w:color w:val="auto"/>
              </w:rPr>
            </w:pPr>
          </w:p>
        </w:tc>
        <w:tc>
          <w:tcPr>
            <w:tcW w:w="134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3"/>
              </w:rPr>
              <w:t>January 30,</w:t>
            </w:r>
          </w:p>
        </w:tc>
        <w:tc>
          <w:tcPr>
            <w:tcW w:w="320" w:type="dxa"/>
            <w:vAlign w:val="bottom"/>
          </w:tcPr>
          <w:p>
            <w:pPr>
              <w:spacing w:after="0"/>
              <w:rPr>
                <w:sz w:val="11"/>
                <w:szCs w:val="11"/>
                <w:color w:val="auto"/>
              </w:rPr>
            </w:pPr>
          </w:p>
        </w:tc>
        <w:tc>
          <w:tcPr>
            <w:tcW w:w="1120" w:type="dxa"/>
            <w:vAlign w:val="bottom"/>
          </w:tcPr>
          <w:p>
            <w:pPr>
              <w:jc w:val="right"/>
              <w:ind w:right="411"/>
              <w:spacing w:after="0" w:line="135" w:lineRule="exact"/>
              <w:rPr>
                <w:sz w:val="20"/>
                <w:szCs w:val="20"/>
                <w:color w:val="auto"/>
              </w:rPr>
            </w:pPr>
            <w:r>
              <w:rPr>
                <w:rFonts w:ascii="Arial" w:cs="Arial" w:eastAsia="Arial" w:hAnsi="Arial"/>
                <w:sz w:val="14"/>
                <w:szCs w:val="14"/>
                <w:b w:val="1"/>
                <w:bCs w:val="1"/>
                <w:color w:val="auto"/>
              </w:rPr>
              <w:t>May 2,</w:t>
            </w:r>
          </w:p>
        </w:tc>
        <w:tc>
          <w:tcPr>
            <w:tcW w:w="0" w:type="dxa"/>
            <w:vAlign w:val="bottom"/>
          </w:tcPr>
          <w:p>
            <w:pPr>
              <w:spacing w:after="0"/>
              <w:rPr>
                <w:sz w:val="1"/>
                <w:szCs w:val="1"/>
                <w:color w:val="auto"/>
              </w:rPr>
            </w:pPr>
          </w:p>
        </w:tc>
      </w:tr>
      <w:tr>
        <w:trPr>
          <w:trHeight w:val="188"/>
        </w:trPr>
        <w:tc>
          <w:tcPr>
            <w:tcW w:w="664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2021</w:t>
            </w:r>
          </w:p>
        </w:tc>
        <w:tc>
          <w:tcPr>
            <w:tcW w:w="140" w:type="dxa"/>
            <w:vAlign w:val="bottom"/>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center"/>
              <w:ind w:right="151"/>
              <w:spacing w:after="0"/>
              <w:rPr>
                <w:sz w:val="20"/>
                <w:szCs w:val="20"/>
                <w:color w:val="auto"/>
              </w:rPr>
            </w:pPr>
            <w:r>
              <w:rPr>
                <w:rFonts w:ascii="Arial" w:cs="Arial" w:eastAsia="Arial" w:hAnsi="Arial"/>
                <w:sz w:val="14"/>
                <w:szCs w:val="14"/>
                <w:b w:val="1"/>
                <w:bCs w:val="1"/>
                <w:color w:val="auto"/>
                <w:w w:val="89"/>
              </w:rPr>
              <w:t>2021</w:t>
            </w:r>
          </w:p>
        </w:tc>
        <w:tc>
          <w:tcPr>
            <w:tcW w:w="14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76"/>
        </w:trPr>
        <w:tc>
          <w:tcPr>
            <w:tcW w:w="6640" w:type="dxa"/>
            <w:vAlign w:val="bottom"/>
          </w:tcPr>
          <w:p>
            <w:pPr>
              <w:spacing w:after="0"/>
              <w:rPr>
                <w:sz w:val="6"/>
                <w:szCs w:val="6"/>
                <w:color w:val="auto"/>
              </w:rPr>
            </w:pPr>
          </w:p>
        </w:tc>
        <w:tc>
          <w:tcPr>
            <w:tcW w:w="3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40" w:type="dxa"/>
            <w:vAlign w:val="bottom"/>
          </w:tcPr>
          <w:p>
            <w:pPr>
              <w:spacing w:after="0"/>
              <w:rPr>
                <w:sz w:val="6"/>
                <w:szCs w:val="6"/>
                <w:color w:val="auto"/>
              </w:rPr>
            </w:pPr>
          </w:p>
        </w:tc>
        <w:tc>
          <w:tcPr>
            <w:tcW w:w="1200" w:type="dxa"/>
            <w:vAlign w:val="bottom"/>
          </w:tcPr>
          <w:p>
            <w:pPr>
              <w:spacing w:after="0"/>
              <w:rPr>
                <w:sz w:val="6"/>
                <w:szCs w:val="6"/>
                <w:color w:val="auto"/>
              </w:rPr>
            </w:pPr>
          </w:p>
        </w:tc>
        <w:tc>
          <w:tcPr>
            <w:tcW w:w="140" w:type="dxa"/>
            <w:vAlign w:val="bottom"/>
          </w:tcPr>
          <w:p>
            <w:pPr>
              <w:spacing w:after="0"/>
              <w:rPr>
                <w:sz w:val="6"/>
                <w:szCs w:val="6"/>
                <w:color w:val="auto"/>
              </w:rPr>
            </w:pPr>
          </w:p>
        </w:tc>
        <w:tc>
          <w:tcPr>
            <w:tcW w:w="3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9"/>
        </w:trPr>
        <w:tc>
          <w:tcPr>
            <w:tcW w:w="66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gross profit:</w:t>
            </w: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418,141</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4"/>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421,132</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326,902</w:t>
            </w:r>
          </w:p>
        </w:tc>
        <w:tc>
          <w:tcPr>
            <w:tcW w:w="0" w:type="dxa"/>
            <w:vAlign w:val="bottom"/>
          </w:tcPr>
          <w:p>
            <w:pPr>
              <w:spacing w:after="0"/>
              <w:rPr>
                <w:sz w:val="1"/>
                <w:szCs w:val="1"/>
                <w:color w:val="auto"/>
              </w:rPr>
            </w:pPr>
          </w:p>
        </w:tc>
      </w:tr>
      <w:tr>
        <w:trPr>
          <w:trHeight w:val="230"/>
        </w:trPr>
        <w:tc>
          <w:tcPr>
            <w:tcW w:w="664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66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Share-based compensation</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9,803</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4,265</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3,538</w:t>
            </w:r>
          </w:p>
        </w:tc>
        <w:tc>
          <w:tcPr>
            <w:tcW w:w="0" w:type="dxa"/>
            <w:vAlign w:val="bottom"/>
          </w:tcPr>
          <w:p>
            <w:pPr>
              <w:spacing w:after="0"/>
              <w:rPr>
                <w:sz w:val="1"/>
                <w:szCs w:val="1"/>
                <w:color w:val="auto"/>
              </w:rPr>
            </w:pPr>
          </w:p>
        </w:tc>
      </w:tr>
      <w:tr>
        <w:trPr>
          <w:trHeight w:val="230"/>
        </w:trPr>
        <w:tc>
          <w:tcPr>
            <w:tcW w:w="6640" w:type="dxa"/>
            <w:vAlign w:val="bottom"/>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320" w:type="dxa"/>
            <w:vAlign w:val="bottom"/>
          </w:tcPr>
          <w:p>
            <w:pPr>
              <w:spacing w:after="0"/>
              <w:rPr>
                <w:sz w:val="19"/>
                <w:szCs w:val="19"/>
                <w:color w:val="auto"/>
              </w:rPr>
            </w:pPr>
          </w:p>
        </w:tc>
        <w:tc>
          <w:tcPr>
            <w:tcW w:w="1120" w:type="dxa"/>
            <w:vAlign w:val="bottom"/>
          </w:tcPr>
          <w:p>
            <w:pPr>
              <w:jc w:val="right"/>
              <w:ind w:right="131"/>
              <w:spacing w:after="0"/>
              <w:rPr>
                <w:sz w:val="20"/>
                <w:szCs w:val="20"/>
                <w:color w:val="auto"/>
              </w:rPr>
            </w:pPr>
            <w:r>
              <w:rPr>
                <w:rFonts w:ascii="Arial" w:cs="Arial" w:eastAsia="Arial" w:hAnsi="Arial"/>
                <w:sz w:val="18"/>
                <w:szCs w:val="18"/>
                <w:color w:val="auto"/>
              </w:rPr>
              <w:t>93,812</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ind w:right="131"/>
              <w:spacing w:after="0"/>
              <w:rPr>
                <w:sz w:val="20"/>
                <w:szCs w:val="20"/>
                <w:color w:val="auto"/>
              </w:rPr>
            </w:pPr>
            <w:r>
              <w:rPr>
                <w:rFonts w:ascii="Arial" w:cs="Arial" w:eastAsia="Arial" w:hAnsi="Arial"/>
                <w:sz w:val="18"/>
                <w:szCs w:val="18"/>
                <w:color w:val="auto"/>
              </w:rPr>
              <w:t>83,327</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ind w:right="131"/>
              <w:spacing w:after="0"/>
              <w:rPr>
                <w:sz w:val="20"/>
                <w:szCs w:val="20"/>
                <w:color w:val="auto"/>
              </w:rPr>
            </w:pPr>
            <w:r>
              <w:rPr>
                <w:rFonts w:ascii="Arial" w:cs="Arial" w:eastAsia="Arial" w:hAnsi="Arial"/>
                <w:sz w:val="18"/>
                <w:szCs w:val="18"/>
                <w:color w:val="auto"/>
              </w:rPr>
              <w:t>86,567</w:t>
            </w:r>
          </w:p>
        </w:tc>
        <w:tc>
          <w:tcPr>
            <w:tcW w:w="0" w:type="dxa"/>
            <w:vAlign w:val="bottom"/>
          </w:tcPr>
          <w:p>
            <w:pPr>
              <w:spacing w:after="0"/>
              <w:rPr>
                <w:sz w:val="1"/>
                <w:szCs w:val="1"/>
                <w:color w:val="auto"/>
              </w:rPr>
            </w:pPr>
          </w:p>
        </w:tc>
      </w:tr>
      <w:tr>
        <w:trPr>
          <w:trHeight w:val="229"/>
        </w:trPr>
        <w:tc>
          <w:tcPr>
            <w:tcW w:w="66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cost of goods sold (a)</w:t>
            </w: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13,723</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796</w:t>
            </w:r>
          </w:p>
        </w:tc>
        <w:tc>
          <w:tcPr>
            <w:tcW w:w="14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18,562</w:t>
            </w:r>
          </w:p>
        </w:tc>
        <w:tc>
          <w:tcPr>
            <w:tcW w:w="0" w:type="dxa"/>
            <w:vAlign w:val="bottom"/>
          </w:tcPr>
          <w:p>
            <w:pPr>
              <w:spacing w:after="0"/>
              <w:rPr>
                <w:sz w:val="1"/>
                <w:szCs w:val="1"/>
                <w:color w:val="auto"/>
              </w:rPr>
            </w:pPr>
          </w:p>
        </w:tc>
      </w:tr>
      <w:tr>
        <w:trPr>
          <w:trHeight w:val="223"/>
        </w:trPr>
        <w:tc>
          <w:tcPr>
            <w:tcW w:w="664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Total special items</w:t>
            </w: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117,338</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88,388</w:t>
            </w:r>
          </w:p>
        </w:tc>
        <w:tc>
          <w:tcPr>
            <w:tcW w:w="1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108,667</w:t>
            </w:r>
          </w:p>
        </w:tc>
        <w:tc>
          <w:tcPr>
            <w:tcW w:w="0" w:type="dxa"/>
            <w:vAlign w:val="bottom"/>
          </w:tcPr>
          <w:p>
            <w:pPr>
              <w:spacing w:after="0"/>
              <w:rPr>
                <w:sz w:val="1"/>
                <w:szCs w:val="1"/>
                <w:color w:val="auto"/>
              </w:rPr>
            </w:pPr>
          </w:p>
        </w:tc>
      </w:tr>
      <w:tr>
        <w:trPr>
          <w:trHeight w:val="248"/>
        </w:trPr>
        <w:tc>
          <w:tcPr>
            <w:tcW w:w="66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gross profit</w:t>
            </w: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535,479</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4"/>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509,520</w:t>
            </w:r>
          </w:p>
        </w:tc>
        <w:tc>
          <w:tcPr>
            <w:tcW w:w="14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435,569</w:t>
            </w:r>
          </w:p>
        </w:tc>
        <w:tc>
          <w:tcPr>
            <w:tcW w:w="0" w:type="dxa"/>
            <w:vAlign w:val="bottom"/>
          </w:tcPr>
          <w:p>
            <w:pPr>
              <w:spacing w:after="0"/>
              <w:rPr>
                <w:sz w:val="1"/>
                <w:szCs w:val="1"/>
                <w:color w:val="auto"/>
              </w:rPr>
            </w:pPr>
          </w:p>
        </w:tc>
      </w:tr>
      <w:tr>
        <w:trPr>
          <w:trHeight w:val="20"/>
        </w:trPr>
        <w:tc>
          <w:tcPr>
            <w:tcW w:w="66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6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54"/>
        </w:trPr>
        <w:tc>
          <w:tcPr>
            <w:tcW w:w="66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margin</w:t>
            </w: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50.2 %</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52.8 %</w:t>
            </w:r>
          </w:p>
        </w:tc>
        <w:tc>
          <w:tcPr>
            <w:tcW w:w="14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47.1 %</w:t>
            </w:r>
          </w:p>
        </w:tc>
        <w:tc>
          <w:tcPr>
            <w:tcW w:w="0" w:type="dxa"/>
            <w:vAlign w:val="bottom"/>
          </w:tcPr>
          <w:p>
            <w:pPr>
              <w:spacing w:after="0"/>
              <w:rPr>
                <w:sz w:val="1"/>
                <w:szCs w:val="1"/>
                <w:color w:val="auto"/>
              </w:rPr>
            </w:pPr>
          </w:p>
        </w:tc>
      </w:tr>
      <w:tr>
        <w:trPr>
          <w:trHeight w:val="20"/>
        </w:trPr>
        <w:tc>
          <w:tcPr>
            <w:tcW w:w="664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gross margin</w:t>
            </w: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6640" w:type="dxa"/>
            <w:vAlign w:val="bottom"/>
            <w:vMerge w:val="continue"/>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64.3 %</w:t>
            </w:r>
          </w:p>
        </w:tc>
        <w:tc>
          <w:tcPr>
            <w:tcW w:w="140" w:type="dxa"/>
            <w:vAlign w:val="bottom"/>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63.9 %</w:t>
            </w:r>
          </w:p>
        </w:tc>
        <w:tc>
          <w:tcPr>
            <w:tcW w:w="140" w:type="dxa"/>
            <w:vAlign w:val="bottom"/>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62.8 %</w:t>
            </w:r>
          </w:p>
        </w:tc>
        <w:tc>
          <w:tcPr>
            <w:tcW w:w="0" w:type="dxa"/>
            <w:vAlign w:val="bottom"/>
          </w:tcPr>
          <w:p>
            <w:pPr>
              <w:spacing w:after="0"/>
              <w:rPr>
                <w:sz w:val="1"/>
                <w:szCs w:val="1"/>
                <w:color w:val="auto"/>
              </w:rPr>
            </w:pPr>
          </w:p>
        </w:tc>
      </w:tr>
      <w:tr>
        <w:trPr>
          <w:trHeight w:val="20"/>
        </w:trPr>
        <w:tc>
          <w:tcPr>
            <w:tcW w:w="664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664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664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6640" w:type="dxa"/>
            <w:vAlign w:val="bottom"/>
            <w:shd w:val="clear" w:color="auto" w:fill="CCEEFF"/>
          </w:tcPr>
          <w:p>
            <w:pPr>
              <w:spacing w:after="0"/>
              <w:rPr>
                <w:sz w:val="23"/>
                <w:szCs w:val="23"/>
                <w:color w:val="auto"/>
              </w:rPr>
            </w:pPr>
          </w:p>
        </w:tc>
        <w:tc>
          <w:tcPr>
            <w:tcW w:w="32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20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32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6640" w:type="dxa"/>
            <w:vAlign w:val="bottom"/>
          </w:tcPr>
          <w:p>
            <w:pPr>
              <w:ind w:left="220"/>
              <w:spacing w:after="0"/>
              <w:rPr>
                <w:sz w:val="20"/>
                <w:szCs w:val="20"/>
                <w:color w:val="auto"/>
              </w:rPr>
            </w:pPr>
            <w:r>
              <w:rPr>
                <w:rFonts w:ascii="Arial" w:cs="Arial" w:eastAsia="Arial" w:hAnsi="Arial"/>
                <w:sz w:val="18"/>
                <w:szCs w:val="18"/>
                <w:color w:val="auto"/>
              </w:rPr>
              <w:t>Total GAAP operating expenses</w:t>
            </w: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31"/>
              <w:spacing w:after="0"/>
              <w:rPr>
                <w:sz w:val="20"/>
                <w:szCs w:val="20"/>
                <w:color w:val="auto"/>
              </w:rPr>
            </w:pPr>
            <w:r>
              <w:rPr>
                <w:rFonts w:ascii="Arial" w:cs="Arial" w:eastAsia="Arial" w:hAnsi="Arial"/>
                <w:sz w:val="18"/>
                <w:szCs w:val="18"/>
                <w:color w:val="auto"/>
              </w:rPr>
              <w:t>500,452</w:t>
            </w:r>
          </w:p>
        </w:tc>
        <w:tc>
          <w:tcPr>
            <w:tcW w:w="140" w:type="dxa"/>
            <w:vAlign w:val="bottom"/>
          </w:tcPr>
          <w:p>
            <w:pPr>
              <w:spacing w:after="0"/>
              <w:rPr>
                <w:sz w:val="19"/>
                <w:szCs w:val="19"/>
                <w:color w:val="auto"/>
              </w:rPr>
            </w:pPr>
          </w:p>
        </w:tc>
        <w:tc>
          <w:tcPr>
            <w:tcW w:w="240" w:type="dxa"/>
            <w:vAlign w:val="bottom"/>
          </w:tcPr>
          <w:p>
            <w:pPr>
              <w:jc w:val="right"/>
              <w:ind w:right="34"/>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ind w:right="131"/>
              <w:spacing w:after="0"/>
              <w:rPr>
                <w:sz w:val="20"/>
                <w:szCs w:val="20"/>
                <w:color w:val="auto"/>
              </w:rPr>
            </w:pPr>
            <w:r>
              <w:rPr>
                <w:rFonts w:ascii="Arial" w:cs="Arial" w:eastAsia="Arial" w:hAnsi="Arial"/>
                <w:sz w:val="18"/>
                <w:szCs w:val="18"/>
                <w:color w:val="auto"/>
              </w:rPr>
              <w:t>422,868</w:t>
            </w:r>
          </w:p>
        </w:tc>
        <w:tc>
          <w:tcPr>
            <w:tcW w:w="140" w:type="dxa"/>
            <w:vAlign w:val="bottom"/>
          </w:tcPr>
          <w:p>
            <w:pPr>
              <w:spacing w:after="0"/>
              <w:rPr>
                <w:sz w:val="19"/>
                <w:szCs w:val="19"/>
                <w:color w:val="auto"/>
              </w:rPr>
            </w:pPr>
          </w:p>
        </w:tc>
        <w:tc>
          <w:tcPr>
            <w:tcW w:w="320" w:type="dxa"/>
            <w:vAlign w:val="bottom"/>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31"/>
              <w:spacing w:after="0"/>
              <w:rPr>
                <w:sz w:val="20"/>
                <w:szCs w:val="20"/>
                <w:color w:val="auto"/>
              </w:rPr>
            </w:pPr>
            <w:r>
              <w:rPr>
                <w:rFonts w:ascii="Arial" w:cs="Arial" w:eastAsia="Arial" w:hAnsi="Arial"/>
                <w:sz w:val="18"/>
                <w:szCs w:val="18"/>
                <w:color w:val="auto"/>
              </w:rPr>
              <w:t>422,898</w:t>
            </w:r>
          </w:p>
        </w:tc>
        <w:tc>
          <w:tcPr>
            <w:tcW w:w="0" w:type="dxa"/>
            <w:vAlign w:val="bottom"/>
          </w:tcPr>
          <w:p>
            <w:pPr>
              <w:spacing w:after="0"/>
              <w:rPr>
                <w:sz w:val="1"/>
                <w:szCs w:val="1"/>
                <w:color w:val="auto"/>
              </w:rPr>
            </w:pPr>
          </w:p>
        </w:tc>
      </w:tr>
      <w:tr>
        <w:trPr>
          <w:trHeight w:val="229"/>
        </w:trPr>
        <w:tc>
          <w:tcPr>
            <w:tcW w:w="66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6640" w:type="dxa"/>
            <w:vAlign w:val="bottom"/>
          </w:tcPr>
          <w:p>
            <w:pPr>
              <w:ind w:left="680"/>
              <w:spacing w:after="0"/>
              <w:rPr>
                <w:sz w:val="20"/>
                <w:szCs w:val="20"/>
                <w:color w:val="auto"/>
              </w:rPr>
            </w:pPr>
            <w:r>
              <w:rPr>
                <w:rFonts w:ascii="Arial" w:cs="Arial" w:eastAsia="Arial" w:hAnsi="Arial"/>
                <w:sz w:val="18"/>
                <w:szCs w:val="18"/>
                <w:color w:val="auto"/>
              </w:rPr>
              <w:t>Share-based compensation</w:t>
            </w:r>
          </w:p>
        </w:tc>
        <w:tc>
          <w:tcPr>
            <w:tcW w:w="320" w:type="dxa"/>
            <w:vAlign w:val="bottom"/>
          </w:tcPr>
          <w:p>
            <w:pPr>
              <w:spacing w:after="0"/>
              <w:rPr>
                <w:sz w:val="19"/>
                <w:szCs w:val="19"/>
                <w:color w:val="auto"/>
              </w:rPr>
            </w:pPr>
          </w:p>
        </w:tc>
        <w:tc>
          <w:tcPr>
            <w:tcW w:w="1120" w:type="dxa"/>
            <w:vAlign w:val="bottom"/>
          </w:tcPr>
          <w:p>
            <w:pPr>
              <w:jc w:val="right"/>
              <w:ind w:right="91"/>
              <w:spacing w:after="0"/>
              <w:rPr>
                <w:sz w:val="20"/>
                <w:szCs w:val="20"/>
                <w:color w:val="auto"/>
              </w:rPr>
            </w:pPr>
            <w:r>
              <w:rPr>
                <w:rFonts w:ascii="Arial" w:cs="Arial" w:eastAsia="Arial" w:hAnsi="Arial"/>
                <w:sz w:val="18"/>
                <w:szCs w:val="18"/>
                <w:color w:val="auto"/>
              </w:rPr>
              <w:t>(99,790)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ind w:right="91"/>
              <w:spacing w:after="0"/>
              <w:rPr>
                <w:sz w:val="20"/>
                <w:szCs w:val="20"/>
                <w:color w:val="auto"/>
              </w:rPr>
            </w:pPr>
            <w:r>
              <w:rPr>
                <w:rFonts w:ascii="Arial" w:cs="Arial" w:eastAsia="Arial" w:hAnsi="Arial"/>
                <w:sz w:val="18"/>
                <w:szCs w:val="18"/>
                <w:color w:val="auto"/>
              </w:rPr>
              <w:t>(55,214)</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ind w:right="91"/>
              <w:spacing w:after="0"/>
              <w:rPr>
                <w:sz w:val="20"/>
                <w:szCs w:val="20"/>
                <w:color w:val="auto"/>
              </w:rPr>
            </w:pPr>
            <w:r>
              <w:rPr>
                <w:rFonts w:ascii="Arial" w:cs="Arial" w:eastAsia="Arial" w:hAnsi="Arial"/>
                <w:sz w:val="18"/>
                <w:szCs w:val="18"/>
                <w:color w:val="auto"/>
              </w:rPr>
              <w:t>(56,149)</w:t>
            </w:r>
          </w:p>
        </w:tc>
        <w:tc>
          <w:tcPr>
            <w:tcW w:w="0" w:type="dxa"/>
            <w:vAlign w:val="bottom"/>
          </w:tcPr>
          <w:p>
            <w:pPr>
              <w:spacing w:after="0"/>
              <w:rPr>
                <w:sz w:val="1"/>
                <w:szCs w:val="1"/>
                <w:color w:val="auto"/>
              </w:rPr>
            </w:pPr>
          </w:p>
        </w:tc>
      </w:tr>
      <w:tr>
        <w:trPr>
          <w:trHeight w:val="230"/>
        </w:trPr>
        <w:tc>
          <w:tcPr>
            <w:tcW w:w="66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Restructuring related charges (b)</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1"/>
              <w:spacing w:after="0"/>
              <w:rPr>
                <w:sz w:val="20"/>
                <w:szCs w:val="20"/>
                <w:color w:val="auto"/>
              </w:rPr>
            </w:pPr>
            <w:r>
              <w:rPr>
                <w:rFonts w:ascii="Arial" w:cs="Arial" w:eastAsia="Arial" w:hAnsi="Arial"/>
                <w:sz w:val="18"/>
                <w:szCs w:val="18"/>
                <w:color w:val="auto"/>
              </w:rPr>
              <w:t>(12,886)</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91"/>
              <w:spacing w:after="0"/>
              <w:rPr>
                <w:sz w:val="20"/>
                <w:szCs w:val="20"/>
                <w:color w:val="auto"/>
              </w:rPr>
            </w:pPr>
            <w:r>
              <w:rPr>
                <w:rFonts w:ascii="Arial" w:cs="Arial" w:eastAsia="Arial" w:hAnsi="Arial"/>
                <w:sz w:val="18"/>
                <w:szCs w:val="18"/>
                <w:color w:val="auto"/>
              </w:rPr>
              <w:t>(9,570)</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1"/>
              <w:spacing w:after="0"/>
              <w:rPr>
                <w:sz w:val="20"/>
                <w:szCs w:val="20"/>
                <w:color w:val="auto"/>
              </w:rPr>
            </w:pPr>
            <w:r>
              <w:rPr>
                <w:rFonts w:ascii="Arial" w:cs="Arial" w:eastAsia="Arial" w:hAnsi="Arial"/>
                <w:sz w:val="18"/>
                <w:szCs w:val="18"/>
                <w:color w:val="auto"/>
              </w:rPr>
              <w:t>(21,287)</w:t>
            </w:r>
          </w:p>
        </w:tc>
        <w:tc>
          <w:tcPr>
            <w:tcW w:w="0" w:type="dxa"/>
            <w:vAlign w:val="bottom"/>
          </w:tcPr>
          <w:p>
            <w:pPr>
              <w:spacing w:after="0"/>
              <w:rPr>
                <w:sz w:val="1"/>
                <w:szCs w:val="1"/>
                <w:color w:val="auto"/>
              </w:rPr>
            </w:pPr>
          </w:p>
        </w:tc>
      </w:tr>
      <w:tr>
        <w:trPr>
          <w:trHeight w:val="230"/>
        </w:trPr>
        <w:tc>
          <w:tcPr>
            <w:tcW w:w="6640" w:type="dxa"/>
            <w:vAlign w:val="bottom"/>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320" w:type="dxa"/>
            <w:vAlign w:val="bottom"/>
          </w:tcPr>
          <w:p>
            <w:pPr>
              <w:spacing w:after="0"/>
              <w:rPr>
                <w:sz w:val="19"/>
                <w:szCs w:val="19"/>
                <w:color w:val="auto"/>
              </w:rPr>
            </w:pPr>
          </w:p>
        </w:tc>
        <w:tc>
          <w:tcPr>
            <w:tcW w:w="1120" w:type="dxa"/>
            <w:vAlign w:val="bottom"/>
          </w:tcPr>
          <w:p>
            <w:pPr>
              <w:jc w:val="right"/>
              <w:ind w:right="91"/>
              <w:spacing w:after="0"/>
              <w:rPr>
                <w:sz w:val="20"/>
                <w:szCs w:val="20"/>
                <w:color w:val="auto"/>
              </w:rPr>
            </w:pPr>
            <w:r>
              <w:rPr>
                <w:rFonts w:ascii="Arial" w:cs="Arial" w:eastAsia="Arial" w:hAnsi="Arial"/>
                <w:sz w:val="18"/>
                <w:szCs w:val="18"/>
                <w:color w:val="auto"/>
              </w:rPr>
              <w:t>(34,827)</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ind w:right="91"/>
              <w:spacing w:after="0"/>
              <w:rPr>
                <w:sz w:val="20"/>
                <w:szCs w:val="20"/>
                <w:color w:val="auto"/>
              </w:rPr>
            </w:pPr>
            <w:r>
              <w:rPr>
                <w:rFonts w:ascii="Arial" w:cs="Arial" w:eastAsia="Arial" w:hAnsi="Arial"/>
                <w:sz w:val="18"/>
                <w:szCs w:val="18"/>
                <w:color w:val="auto"/>
              </w:rPr>
              <w:t>(26,355)</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ind w:right="91"/>
              <w:spacing w:after="0"/>
              <w:rPr>
                <w:sz w:val="20"/>
                <w:szCs w:val="20"/>
                <w:color w:val="auto"/>
              </w:rPr>
            </w:pPr>
            <w:r>
              <w:rPr>
                <w:rFonts w:ascii="Arial" w:cs="Arial" w:eastAsia="Arial" w:hAnsi="Arial"/>
                <w:sz w:val="18"/>
                <w:szCs w:val="18"/>
                <w:color w:val="auto"/>
              </w:rPr>
              <w:t>(26,355)</w:t>
            </w:r>
          </w:p>
        </w:tc>
        <w:tc>
          <w:tcPr>
            <w:tcW w:w="0" w:type="dxa"/>
            <w:vAlign w:val="bottom"/>
          </w:tcPr>
          <w:p>
            <w:pPr>
              <w:spacing w:after="0"/>
              <w:rPr>
                <w:sz w:val="1"/>
                <w:szCs w:val="1"/>
                <w:color w:val="auto"/>
              </w:rPr>
            </w:pPr>
          </w:p>
        </w:tc>
      </w:tr>
      <w:tr>
        <w:trPr>
          <w:trHeight w:val="229"/>
        </w:trPr>
        <w:tc>
          <w:tcPr>
            <w:tcW w:w="66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Legal settlement (c)</w:t>
            </w:r>
          </w:p>
        </w:tc>
        <w:tc>
          <w:tcPr>
            <w:tcW w:w="32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ind w:right="91"/>
              <w:spacing w:after="0"/>
              <w:rPr>
                <w:sz w:val="20"/>
                <w:szCs w:val="20"/>
                <w:color w:val="auto"/>
              </w:rPr>
            </w:pPr>
            <w:r>
              <w:rPr>
                <w:rFonts w:ascii="Arial" w:cs="Arial" w:eastAsia="Arial" w:hAnsi="Arial"/>
                <w:sz w:val="18"/>
                <w:szCs w:val="18"/>
                <w:color w:val="auto"/>
              </w:rPr>
              <w:t>(36,000)</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66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operating expenses (d)</w:t>
            </w: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91"/>
              <w:spacing w:after="0"/>
              <w:rPr>
                <w:sz w:val="20"/>
                <w:szCs w:val="20"/>
                <w:color w:val="auto"/>
              </w:rPr>
            </w:pPr>
            <w:r>
              <w:rPr>
                <w:rFonts w:ascii="Arial" w:cs="Arial" w:eastAsia="Arial" w:hAnsi="Arial"/>
                <w:sz w:val="18"/>
                <w:szCs w:val="18"/>
                <w:color w:val="auto"/>
              </w:rPr>
              <w:t>(46,684)</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ind w:right="91"/>
              <w:spacing w:after="0"/>
              <w:rPr>
                <w:sz w:val="20"/>
                <w:szCs w:val="20"/>
                <w:color w:val="auto"/>
              </w:rPr>
            </w:pPr>
            <w:r>
              <w:rPr>
                <w:rFonts w:ascii="Arial" w:cs="Arial" w:eastAsia="Arial" w:hAnsi="Arial"/>
                <w:sz w:val="18"/>
                <w:szCs w:val="18"/>
                <w:color w:val="auto"/>
              </w:rPr>
              <w:t>(12,480)</w:t>
            </w:r>
          </w:p>
        </w:tc>
        <w:tc>
          <w:tcPr>
            <w:tcW w:w="1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91"/>
              <w:spacing w:after="0"/>
              <w:rPr>
                <w:sz w:val="20"/>
                <w:szCs w:val="20"/>
                <w:color w:val="auto"/>
              </w:rPr>
            </w:pPr>
            <w:r>
              <w:rPr>
                <w:rFonts w:ascii="Arial" w:cs="Arial" w:eastAsia="Arial" w:hAnsi="Arial"/>
                <w:sz w:val="18"/>
                <w:szCs w:val="18"/>
                <w:color w:val="auto"/>
              </w:rPr>
              <w:t>(19,403)</w:t>
            </w:r>
          </w:p>
        </w:tc>
        <w:tc>
          <w:tcPr>
            <w:tcW w:w="0" w:type="dxa"/>
            <w:vAlign w:val="bottom"/>
          </w:tcPr>
          <w:p>
            <w:pPr>
              <w:spacing w:after="0"/>
              <w:rPr>
                <w:sz w:val="1"/>
                <w:szCs w:val="1"/>
                <w:color w:val="auto"/>
              </w:rPr>
            </w:pPr>
          </w:p>
        </w:tc>
      </w:tr>
      <w:tr>
        <w:trPr>
          <w:trHeight w:val="223"/>
        </w:trPr>
        <w:tc>
          <w:tcPr>
            <w:tcW w:w="6640" w:type="dxa"/>
            <w:vAlign w:val="bottom"/>
            <w:shd w:val="clear" w:color="auto" w:fill="CCEEFF"/>
          </w:tcPr>
          <w:p>
            <w:pPr>
              <w:ind w:left="220"/>
              <w:spacing w:after="0"/>
              <w:rPr>
                <w:sz w:val="20"/>
                <w:szCs w:val="20"/>
                <w:color w:val="auto"/>
              </w:rPr>
            </w:pPr>
            <w:r>
              <w:rPr>
                <w:rFonts w:ascii="Arial" w:cs="Arial" w:eastAsia="Arial" w:hAnsi="Arial"/>
                <w:sz w:val="18"/>
                <w:szCs w:val="18"/>
                <w:color w:val="auto"/>
              </w:rPr>
              <w:t>Total special items</w:t>
            </w: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91"/>
              <w:spacing w:after="0"/>
              <w:rPr>
                <w:sz w:val="20"/>
                <w:szCs w:val="20"/>
                <w:color w:val="auto"/>
              </w:rPr>
            </w:pPr>
            <w:r>
              <w:rPr>
                <w:rFonts w:ascii="Arial" w:cs="Arial" w:eastAsia="Arial" w:hAnsi="Arial"/>
                <w:sz w:val="18"/>
                <w:szCs w:val="18"/>
                <w:color w:val="auto"/>
              </w:rPr>
              <w:t>(194,187)</w:t>
            </w:r>
          </w:p>
        </w:tc>
        <w:tc>
          <w:tcPr>
            <w:tcW w:w="14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ind w:right="91"/>
              <w:spacing w:after="0"/>
              <w:rPr>
                <w:sz w:val="20"/>
                <w:szCs w:val="20"/>
                <w:color w:val="auto"/>
              </w:rPr>
            </w:pPr>
            <w:r>
              <w:rPr>
                <w:rFonts w:ascii="Arial" w:cs="Arial" w:eastAsia="Arial" w:hAnsi="Arial"/>
                <w:sz w:val="18"/>
                <w:szCs w:val="18"/>
                <w:color w:val="auto"/>
              </w:rPr>
              <w:t>(139,619)</w:t>
            </w:r>
          </w:p>
        </w:tc>
        <w:tc>
          <w:tcPr>
            <w:tcW w:w="14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91"/>
              <w:spacing w:after="0"/>
              <w:rPr>
                <w:sz w:val="20"/>
                <w:szCs w:val="20"/>
                <w:color w:val="auto"/>
              </w:rPr>
            </w:pPr>
            <w:r>
              <w:rPr>
                <w:rFonts w:ascii="Arial" w:cs="Arial" w:eastAsia="Arial" w:hAnsi="Arial"/>
                <w:sz w:val="18"/>
                <w:szCs w:val="18"/>
                <w:color w:val="auto"/>
              </w:rPr>
              <w:t>(123,194)</w:t>
            </w:r>
          </w:p>
        </w:tc>
        <w:tc>
          <w:tcPr>
            <w:tcW w:w="0" w:type="dxa"/>
            <w:vAlign w:val="bottom"/>
          </w:tcPr>
          <w:p>
            <w:pPr>
              <w:spacing w:after="0"/>
              <w:rPr>
                <w:sz w:val="1"/>
                <w:szCs w:val="1"/>
                <w:color w:val="auto"/>
              </w:rPr>
            </w:pPr>
          </w:p>
        </w:tc>
      </w:tr>
      <w:tr>
        <w:trPr>
          <w:trHeight w:val="223"/>
        </w:trPr>
        <w:tc>
          <w:tcPr>
            <w:tcW w:w="6640" w:type="dxa"/>
            <w:vAlign w:val="bottom"/>
          </w:tcPr>
          <w:p>
            <w:pPr>
              <w:ind w:left="220"/>
              <w:spacing w:after="0"/>
              <w:rPr>
                <w:sz w:val="20"/>
                <w:szCs w:val="20"/>
                <w:color w:val="auto"/>
              </w:rPr>
            </w:pPr>
            <w:r>
              <w:rPr>
                <w:rFonts w:ascii="Arial" w:cs="Arial" w:eastAsia="Arial" w:hAnsi="Arial"/>
                <w:sz w:val="18"/>
                <w:szCs w:val="18"/>
                <w:color w:val="auto"/>
              </w:rPr>
              <w:t>Total non-GAAP operating expenses</w:t>
            </w: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306,265</w:t>
            </w:r>
          </w:p>
        </w:tc>
        <w:tc>
          <w:tcPr>
            <w:tcW w:w="140" w:type="dxa"/>
            <w:vAlign w:val="bottom"/>
          </w:tcPr>
          <w:p>
            <w:pPr>
              <w:spacing w:after="0"/>
              <w:rPr>
                <w:sz w:val="19"/>
                <w:szCs w:val="19"/>
                <w:color w:val="auto"/>
              </w:rPr>
            </w:pPr>
          </w:p>
        </w:tc>
        <w:tc>
          <w:tcPr>
            <w:tcW w:w="240" w:type="dxa"/>
            <w:vAlign w:val="bottom"/>
            <w:tcBorders>
              <w:bottom w:val="single" w:sz="8" w:color="auto"/>
            </w:tcBorders>
          </w:tcPr>
          <w:p>
            <w:pPr>
              <w:jc w:val="right"/>
              <w:ind w:right="34"/>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283,249</w:t>
            </w:r>
          </w:p>
        </w:tc>
        <w:tc>
          <w:tcPr>
            <w:tcW w:w="140" w:type="dxa"/>
            <w:vAlign w:val="bottom"/>
          </w:tcPr>
          <w:p>
            <w:pPr>
              <w:spacing w:after="0"/>
              <w:rPr>
                <w:sz w:val="19"/>
                <w:szCs w:val="19"/>
                <w:color w:val="auto"/>
              </w:rPr>
            </w:pPr>
          </w:p>
        </w:tc>
        <w:tc>
          <w:tcPr>
            <w:tcW w:w="32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299,704</w:t>
            </w:r>
          </w:p>
        </w:tc>
        <w:tc>
          <w:tcPr>
            <w:tcW w:w="0" w:type="dxa"/>
            <w:vAlign w:val="bottom"/>
          </w:tcPr>
          <w:p>
            <w:pPr>
              <w:spacing w:after="0"/>
              <w:rPr>
                <w:sz w:val="1"/>
                <w:szCs w:val="1"/>
                <w:color w:val="auto"/>
              </w:rPr>
            </w:pPr>
          </w:p>
        </w:tc>
      </w:tr>
      <w:tr>
        <w:trPr>
          <w:trHeight w:val="20"/>
        </w:trPr>
        <w:tc>
          <w:tcPr>
            <w:tcW w:w="664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664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40" w:type="dxa"/>
            <w:vAlign w:val="bottom"/>
            <w:shd w:val="clear" w:color="auto" w:fill="CCEEFF"/>
          </w:tcPr>
          <w:p>
            <w:pPr>
              <w:spacing w:after="0"/>
              <w:rPr>
                <w:sz w:val="20"/>
                <w:szCs w:val="20"/>
                <w:color w:val="auto"/>
              </w:rPr>
            </w:pPr>
          </w:p>
        </w:tc>
        <w:tc>
          <w:tcPr>
            <w:tcW w:w="120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664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6640" w:type="dxa"/>
            <w:vAlign w:val="bottom"/>
            <w:shd w:val="clear" w:color="auto" w:fill="CCEEFF"/>
          </w:tcPr>
          <w:p>
            <w:pPr>
              <w:spacing w:after="0"/>
              <w:rPr>
                <w:sz w:val="23"/>
                <w:szCs w:val="23"/>
                <w:color w:val="auto"/>
              </w:rPr>
            </w:pPr>
          </w:p>
        </w:tc>
        <w:tc>
          <w:tcPr>
            <w:tcW w:w="32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40" w:type="dxa"/>
            <w:vAlign w:val="bottom"/>
            <w:shd w:val="clear" w:color="auto" w:fill="CCEEFF"/>
          </w:tcPr>
          <w:p>
            <w:pPr>
              <w:spacing w:after="0"/>
              <w:rPr>
                <w:sz w:val="23"/>
                <w:szCs w:val="23"/>
                <w:color w:val="auto"/>
              </w:rPr>
            </w:pPr>
          </w:p>
        </w:tc>
        <w:tc>
          <w:tcPr>
            <w:tcW w:w="120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32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6640" w:type="dxa"/>
            <w:vAlign w:val="bottom"/>
          </w:tcPr>
          <w:p>
            <w:pPr>
              <w:ind w:left="220"/>
              <w:spacing w:after="0"/>
              <w:rPr>
                <w:sz w:val="20"/>
                <w:szCs w:val="20"/>
                <w:color w:val="auto"/>
              </w:rPr>
            </w:pPr>
            <w:r>
              <w:rPr>
                <w:rFonts w:ascii="Arial" w:cs="Arial" w:eastAsia="Arial" w:hAnsi="Arial"/>
                <w:sz w:val="18"/>
                <w:szCs w:val="18"/>
                <w:color w:val="auto"/>
              </w:rPr>
              <w:t>GAAP operating margin</w:t>
            </w: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(9.9)%</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(0.2)%</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(13.8)%</w:t>
            </w:r>
          </w:p>
        </w:tc>
        <w:tc>
          <w:tcPr>
            <w:tcW w:w="0" w:type="dxa"/>
            <w:vAlign w:val="bottom"/>
          </w:tcPr>
          <w:p>
            <w:pPr>
              <w:spacing w:after="0"/>
              <w:rPr>
                <w:sz w:val="1"/>
                <w:szCs w:val="1"/>
                <w:color w:val="auto"/>
              </w:rPr>
            </w:pPr>
          </w:p>
        </w:tc>
      </w:tr>
      <w:tr>
        <w:trPr>
          <w:trHeight w:val="230"/>
        </w:trPr>
        <w:tc>
          <w:tcPr>
            <w:tcW w:w="66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cost of goods sold (a)</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0.1 %</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2.7 %</w:t>
            </w:r>
          </w:p>
        </w:tc>
        <w:tc>
          <w:tcPr>
            <w:tcW w:w="0" w:type="dxa"/>
            <w:vAlign w:val="bottom"/>
          </w:tcPr>
          <w:p>
            <w:pPr>
              <w:spacing w:after="0"/>
              <w:rPr>
                <w:sz w:val="1"/>
                <w:szCs w:val="1"/>
                <w:color w:val="auto"/>
              </w:rPr>
            </w:pPr>
          </w:p>
        </w:tc>
      </w:tr>
      <w:tr>
        <w:trPr>
          <w:trHeight w:val="229"/>
        </w:trPr>
        <w:tc>
          <w:tcPr>
            <w:tcW w:w="6640" w:type="dxa"/>
            <w:vAlign w:val="bottom"/>
          </w:tcPr>
          <w:p>
            <w:pPr>
              <w:ind w:left="680"/>
              <w:spacing w:after="0"/>
              <w:rPr>
                <w:sz w:val="20"/>
                <w:szCs w:val="20"/>
                <w:color w:val="auto"/>
              </w:rPr>
            </w:pPr>
            <w:r>
              <w:rPr>
                <w:rFonts w:ascii="Arial" w:cs="Arial" w:eastAsia="Arial" w:hAnsi="Arial"/>
                <w:sz w:val="18"/>
                <w:szCs w:val="18"/>
                <w:color w:val="auto"/>
              </w:rPr>
              <w:t>Share-based compensation</w:t>
            </w: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13.2 %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7.5 %</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8.6 %</w:t>
            </w:r>
          </w:p>
        </w:tc>
        <w:tc>
          <w:tcPr>
            <w:tcW w:w="0" w:type="dxa"/>
            <w:vAlign w:val="bottom"/>
          </w:tcPr>
          <w:p>
            <w:pPr>
              <w:spacing w:after="0"/>
              <w:rPr>
                <w:sz w:val="1"/>
                <w:szCs w:val="1"/>
                <w:color w:val="auto"/>
              </w:rPr>
            </w:pPr>
          </w:p>
        </w:tc>
      </w:tr>
      <w:tr>
        <w:trPr>
          <w:trHeight w:val="230"/>
        </w:trPr>
        <w:tc>
          <w:tcPr>
            <w:tcW w:w="66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Restructuring related charges (b)</w:t>
            </w: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1.5 %</w:t>
            </w:r>
          </w:p>
        </w:tc>
        <w:tc>
          <w:tcPr>
            <w:tcW w:w="14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3.1 %</w:t>
            </w:r>
          </w:p>
        </w:tc>
        <w:tc>
          <w:tcPr>
            <w:tcW w:w="0" w:type="dxa"/>
            <w:vAlign w:val="bottom"/>
          </w:tcPr>
          <w:p>
            <w:pPr>
              <w:spacing w:after="0"/>
              <w:rPr>
                <w:sz w:val="1"/>
                <w:szCs w:val="1"/>
                <w:color w:val="auto"/>
              </w:rPr>
            </w:pPr>
          </w:p>
        </w:tc>
      </w:tr>
      <w:tr>
        <w:trPr>
          <w:trHeight w:val="230"/>
        </w:trPr>
        <w:tc>
          <w:tcPr>
            <w:tcW w:w="6640" w:type="dxa"/>
            <w:vAlign w:val="bottom"/>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15.5 %</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13.7 %</w:t>
            </w:r>
          </w:p>
        </w:tc>
        <w:tc>
          <w:tcPr>
            <w:tcW w:w="1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16.3 %</w:t>
            </w:r>
          </w:p>
        </w:tc>
        <w:tc>
          <w:tcPr>
            <w:tcW w:w="0" w:type="dxa"/>
            <w:vAlign w:val="bottom"/>
          </w:tcPr>
          <w:p>
            <w:pPr>
              <w:spacing w:after="0"/>
              <w:rPr>
                <w:sz w:val="1"/>
                <w:szCs w:val="1"/>
                <w:color w:val="auto"/>
              </w:rPr>
            </w:pPr>
          </w:p>
        </w:tc>
      </w:tr>
      <w:tr>
        <w:trPr>
          <w:trHeight w:val="230"/>
        </w:trPr>
        <w:tc>
          <w:tcPr>
            <w:tcW w:w="66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Legal settlement (c)</w:t>
            </w:r>
          </w:p>
        </w:tc>
        <w:tc>
          <w:tcPr>
            <w:tcW w:w="32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ind w:left="720"/>
              <w:spacing w:after="0"/>
              <w:rPr>
                <w:sz w:val="20"/>
                <w:szCs w:val="20"/>
                <w:color w:val="auto"/>
              </w:rPr>
            </w:pPr>
            <w:r>
              <w:rPr>
                <w:rFonts w:ascii="Arial" w:cs="Arial" w:eastAsia="Arial" w:hAnsi="Arial"/>
                <w:sz w:val="18"/>
                <w:szCs w:val="18"/>
                <w:color w:val="auto"/>
              </w:rPr>
              <w:t>— %</w:t>
            </w: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4.5 %</w:t>
            </w:r>
          </w:p>
        </w:tc>
        <w:tc>
          <w:tcPr>
            <w:tcW w:w="14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29"/>
        </w:trPr>
        <w:tc>
          <w:tcPr>
            <w:tcW w:w="664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operating expenses (d)</w:t>
            </w: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5.6 %</w:t>
            </w:r>
          </w:p>
        </w:tc>
        <w:tc>
          <w:tcPr>
            <w:tcW w:w="14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1.6 %</w:t>
            </w:r>
          </w:p>
        </w:tc>
        <w:tc>
          <w:tcPr>
            <w:tcW w:w="14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2.7 %</w:t>
            </w:r>
          </w:p>
        </w:tc>
        <w:tc>
          <w:tcPr>
            <w:tcW w:w="0" w:type="dxa"/>
            <w:vAlign w:val="bottom"/>
          </w:tcPr>
          <w:p>
            <w:pPr>
              <w:spacing w:after="0"/>
              <w:rPr>
                <w:sz w:val="1"/>
                <w:szCs w:val="1"/>
                <w:color w:val="auto"/>
              </w:rPr>
            </w:pPr>
          </w:p>
        </w:tc>
      </w:tr>
      <w:tr>
        <w:trPr>
          <w:trHeight w:val="248"/>
        </w:trPr>
        <w:tc>
          <w:tcPr>
            <w:tcW w:w="664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operating margin</w:t>
            </w: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27.5 %</w:t>
            </w:r>
          </w:p>
        </w:tc>
        <w:tc>
          <w:tcPr>
            <w:tcW w:w="14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spacing w:after="0"/>
              <w:rPr>
                <w:sz w:val="21"/>
                <w:szCs w:val="21"/>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28.4 %</w:t>
            </w:r>
          </w:p>
        </w:tc>
        <w:tc>
          <w:tcPr>
            <w:tcW w:w="14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19.6 %</w:t>
            </w:r>
          </w:p>
        </w:tc>
        <w:tc>
          <w:tcPr>
            <w:tcW w:w="0" w:type="dxa"/>
            <w:vAlign w:val="bottom"/>
          </w:tcPr>
          <w:p>
            <w:pPr>
              <w:spacing w:after="0"/>
              <w:rPr>
                <w:sz w:val="1"/>
                <w:szCs w:val="1"/>
                <w:color w:val="auto"/>
              </w:rPr>
            </w:pPr>
          </w:p>
        </w:tc>
      </w:tr>
      <w:tr>
        <w:trPr>
          <w:trHeight w:val="20"/>
        </w:trPr>
        <w:tc>
          <w:tcPr>
            <w:tcW w:w="66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134" w:right="3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69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480" w:type="dxa"/>
            <w:vAlign w:val="bottom"/>
            <w:tcBorders>
              <w:bottom w:val="single" w:sz="8" w:color="auto"/>
            </w:tcBorders>
            <w:gridSpan w:val="3"/>
          </w:tcPr>
          <w:p>
            <w:pPr>
              <w:ind w:left="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69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180" w:type="dxa"/>
            <w:vAlign w:val="bottom"/>
            <w:gridSpan w:val="2"/>
          </w:tcPr>
          <w:p>
            <w:pPr>
              <w:ind w:left="160"/>
              <w:spacing w:after="0" w:line="135" w:lineRule="exact"/>
              <w:rPr>
                <w:sz w:val="20"/>
                <w:szCs w:val="20"/>
                <w:color w:val="auto"/>
              </w:rPr>
            </w:pPr>
            <w:r>
              <w:rPr>
                <w:rFonts w:ascii="Arial" w:cs="Arial" w:eastAsia="Arial" w:hAnsi="Arial"/>
                <w:sz w:val="14"/>
                <w:szCs w:val="14"/>
                <w:b w:val="1"/>
                <w:bCs w:val="1"/>
                <w:color w:val="auto"/>
              </w:rPr>
              <w:t>May 1,</w:t>
            </w:r>
          </w:p>
        </w:tc>
        <w:tc>
          <w:tcPr>
            <w:tcW w:w="200" w:type="dxa"/>
            <w:vAlign w:val="bottom"/>
          </w:tcPr>
          <w:p>
            <w:pPr>
              <w:spacing w:after="0"/>
              <w:rPr>
                <w:sz w:val="11"/>
                <w:szCs w:val="11"/>
                <w:color w:val="auto"/>
              </w:rPr>
            </w:pPr>
          </w:p>
        </w:tc>
        <w:tc>
          <w:tcPr>
            <w:tcW w:w="128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January 30,</w:t>
            </w:r>
          </w:p>
        </w:tc>
        <w:tc>
          <w:tcPr>
            <w:tcW w:w="280" w:type="dxa"/>
            <w:vAlign w:val="bottom"/>
          </w:tcPr>
          <w:p>
            <w:pPr>
              <w:spacing w:after="0"/>
              <w:rPr>
                <w:sz w:val="11"/>
                <w:szCs w:val="11"/>
                <w:color w:val="auto"/>
              </w:rPr>
            </w:pPr>
          </w:p>
        </w:tc>
        <w:tc>
          <w:tcPr>
            <w:tcW w:w="1040" w:type="dxa"/>
            <w:vAlign w:val="bottom"/>
          </w:tcPr>
          <w:p>
            <w:pPr>
              <w:jc w:val="right"/>
              <w:ind w:right="352"/>
              <w:spacing w:after="0" w:line="135" w:lineRule="exact"/>
              <w:rPr>
                <w:sz w:val="20"/>
                <w:szCs w:val="20"/>
                <w:color w:val="auto"/>
              </w:rPr>
            </w:pPr>
            <w:r>
              <w:rPr>
                <w:rFonts w:ascii="Arial" w:cs="Arial" w:eastAsia="Arial" w:hAnsi="Arial"/>
                <w:sz w:val="14"/>
                <w:szCs w:val="14"/>
                <w:b w:val="1"/>
                <w:bCs w:val="1"/>
                <w:color w:val="auto"/>
              </w:rPr>
              <w:t>May 2,</w:t>
            </w:r>
          </w:p>
        </w:tc>
        <w:tc>
          <w:tcPr>
            <w:tcW w:w="0" w:type="dxa"/>
            <w:vAlign w:val="bottom"/>
          </w:tcPr>
          <w:p>
            <w:pPr>
              <w:spacing w:after="0"/>
              <w:rPr>
                <w:sz w:val="1"/>
                <w:szCs w:val="1"/>
                <w:color w:val="auto"/>
              </w:rPr>
            </w:pPr>
          </w:p>
        </w:tc>
      </w:tr>
      <w:tr>
        <w:trPr>
          <w:trHeight w:val="188"/>
        </w:trPr>
        <w:tc>
          <w:tcPr>
            <w:tcW w:w="698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2021</w:t>
            </w:r>
          </w:p>
        </w:tc>
        <w:tc>
          <w:tcPr>
            <w:tcW w:w="14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2021</w:t>
            </w:r>
          </w:p>
        </w:tc>
        <w:tc>
          <w:tcPr>
            <w:tcW w:w="160" w:type="dxa"/>
            <w:vAlign w:val="bottom"/>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76"/>
        </w:trPr>
        <w:tc>
          <w:tcPr>
            <w:tcW w:w="69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40" w:type="dxa"/>
            <w:vAlign w:val="bottom"/>
          </w:tcPr>
          <w:p>
            <w:pPr>
              <w:spacing w:after="0"/>
              <w:rPr>
                <w:sz w:val="6"/>
                <w:szCs w:val="6"/>
                <w:color w:val="auto"/>
              </w:rPr>
            </w:pPr>
          </w:p>
        </w:tc>
        <w:tc>
          <w:tcPr>
            <w:tcW w:w="2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30"/>
        </w:trPr>
        <w:tc>
          <w:tcPr>
            <w:tcW w:w="69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interest and other income (loss), net</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(33,696)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(21,104)</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(12,018)</w:t>
            </w:r>
          </w:p>
        </w:tc>
        <w:tc>
          <w:tcPr>
            <w:tcW w:w="0" w:type="dxa"/>
            <w:vAlign w:val="bottom"/>
          </w:tcPr>
          <w:p>
            <w:pPr>
              <w:spacing w:after="0"/>
              <w:rPr>
                <w:sz w:val="1"/>
                <w:szCs w:val="1"/>
                <w:color w:val="auto"/>
              </w:rPr>
            </w:pPr>
          </w:p>
        </w:tc>
      </w:tr>
      <w:tr>
        <w:trPr>
          <w:trHeight w:val="229"/>
        </w:trPr>
        <w:tc>
          <w:tcPr>
            <w:tcW w:w="698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698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Restructuring and other related items (b)</w:t>
            </w:r>
          </w:p>
        </w:tc>
        <w:tc>
          <w:tcPr>
            <w:tcW w:w="280" w:type="dxa"/>
            <w:vAlign w:val="bottom"/>
            <w:shd w:val="clear" w:color="auto" w:fill="CCEEFF"/>
          </w:tcPr>
          <w:p>
            <w:pPr>
              <w:spacing w:after="0"/>
              <w:rPr>
                <w:sz w:val="19"/>
                <w:szCs w:val="19"/>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434</w:t>
            </w:r>
          </w:p>
        </w:tc>
        <w:tc>
          <w:tcPr>
            <w:tcW w:w="0" w:type="dxa"/>
            <w:vAlign w:val="bottom"/>
          </w:tcPr>
          <w:p>
            <w:pPr>
              <w:spacing w:after="0"/>
              <w:rPr>
                <w:sz w:val="1"/>
                <w:szCs w:val="1"/>
                <w:color w:val="auto"/>
              </w:rPr>
            </w:pPr>
          </w:p>
        </w:tc>
      </w:tr>
      <w:tr>
        <w:trPr>
          <w:trHeight w:val="230"/>
        </w:trPr>
        <w:tc>
          <w:tcPr>
            <w:tcW w:w="698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Debt issuance related costs (e)</w:t>
            </w: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16,901</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6,045</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9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Total special items</w:t>
            </w: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16,901</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6,017</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434</w:t>
            </w:r>
          </w:p>
        </w:tc>
        <w:tc>
          <w:tcPr>
            <w:tcW w:w="0" w:type="dxa"/>
            <w:vAlign w:val="bottom"/>
          </w:tcPr>
          <w:p>
            <w:pPr>
              <w:spacing w:after="0"/>
              <w:rPr>
                <w:sz w:val="1"/>
                <w:szCs w:val="1"/>
                <w:color w:val="auto"/>
              </w:rPr>
            </w:pPr>
          </w:p>
        </w:tc>
      </w:tr>
      <w:tr>
        <w:trPr>
          <w:trHeight w:val="223"/>
        </w:trPr>
        <w:tc>
          <w:tcPr>
            <w:tcW w:w="6980" w:type="dxa"/>
            <w:vAlign w:val="bottom"/>
          </w:tcPr>
          <w:p>
            <w:pPr>
              <w:ind w:left="220"/>
              <w:spacing w:after="0"/>
              <w:rPr>
                <w:sz w:val="20"/>
                <w:szCs w:val="20"/>
                <w:color w:val="auto"/>
              </w:rPr>
            </w:pPr>
            <w:r>
              <w:rPr>
                <w:rFonts w:ascii="Arial" w:cs="Arial" w:eastAsia="Arial" w:hAnsi="Arial"/>
                <w:sz w:val="18"/>
                <w:szCs w:val="18"/>
                <w:color w:val="auto"/>
              </w:rPr>
              <w:t>Total non-GAAP interest and other income (loss), net</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(16,795)</w:t>
            </w:r>
          </w:p>
        </w:tc>
        <w:tc>
          <w:tcPr>
            <w:tcW w:w="140" w:type="dxa"/>
            <w:vAlign w:val="bottom"/>
          </w:tcPr>
          <w:p>
            <w:pPr>
              <w:spacing w:after="0"/>
              <w:rPr>
                <w:sz w:val="19"/>
                <w:szCs w:val="19"/>
                <w:color w:val="auto"/>
              </w:rPr>
            </w:pPr>
          </w:p>
        </w:tc>
        <w:tc>
          <w:tcPr>
            <w:tcW w:w="20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(15,087)</w:t>
            </w:r>
          </w:p>
        </w:tc>
        <w:tc>
          <w:tcPr>
            <w:tcW w:w="160" w:type="dxa"/>
            <w:vAlign w:val="bottom"/>
          </w:tcPr>
          <w:p>
            <w:pPr>
              <w:spacing w:after="0"/>
              <w:rPr>
                <w:sz w:val="19"/>
                <w:szCs w:val="19"/>
                <w:color w:val="auto"/>
              </w:rPr>
            </w:pP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(11,584)</w:t>
            </w:r>
          </w:p>
        </w:tc>
        <w:tc>
          <w:tcPr>
            <w:tcW w:w="0" w:type="dxa"/>
            <w:vAlign w:val="bottom"/>
          </w:tcPr>
          <w:p>
            <w:pPr>
              <w:spacing w:after="0"/>
              <w:rPr>
                <w:sz w:val="1"/>
                <w:szCs w:val="1"/>
                <w:color w:val="auto"/>
              </w:rPr>
            </w:pPr>
          </w:p>
        </w:tc>
      </w:tr>
      <w:tr>
        <w:trPr>
          <w:trHeight w:val="20"/>
        </w:trPr>
        <w:tc>
          <w:tcPr>
            <w:tcW w:w="698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698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14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698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698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6980" w:type="dxa"/>
            <w:vAlign w:val="bottom"/>
          </w:tcPr>
          <w:p>
            <w:pPr>
              <w:ind w:left="220"/>
              <w:spacing w:after="0"/>
              <w:rPr>
                <w:sz w:val="20"/>
                <w:szCs w:val="20"/>
                <w:color w:val="auto"/>
              </w:rPr>
            </w:pPr>
            <w:r>
              <w:rPr>
                <w:rFonts w:ascii="Arial" w:cs="Arial" w:eastAsia="Arial" w:hAnsi="Arial"/>
                <w:sz w:val="18"/>
                <w:szCs w:val="18"/>
                <w:color w:val="auto"/>
              </w:rPr>
              <w:t>GAAP net loss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(88,242)</w:t>
            </w:r>
          </w:p>
        </w:tc>
        <w:tc>
          <w:tcPr>
            <w:tcW w:w="140" w:type="dxa"/>
            <w:vAlign w:val="bottom"/>
          </w:tcPr>
          <w:p>
            <w:pPr>
              <w:spacing w:after="0"/>
              <w:rPr>
                <w:sz w:val="19"/>
                <w:szCs w:val="19"/>
                <w:color w:val="auto"/>
              </w:rPr>
            </w:pPr>
          </w:p>
        </w:tc>
        <w:tc>
          <w:tcPr>
            <w:tcW w:w="200" w:type="dxa"/>
            <w:vAlign w:val="bottom"/>
          </w:tcPr>
          <w:p>
            <w:pPr>
              <w:ind w:left="20"/>
              <w:spacing w:after="0"/>
              <w:rPr>
                <w:sz w:val="20"/>
                <w:szCs w:val="20"/>
                <w:color w:val="auto"/>
              </w:rPr>
            </w:pPr>
            <w:r>
              <w:rPr>
                <w:rFonts w:ascii="Arial" w:cs="Arial" w:eastAsia="Arial" w:hAnsi="Arial"/>
                <w:sz w:val="18"/>
                <w:szCs w:val="18"/>
                <w:color w:val="auto"/>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16,536</w:t>
            </w:r>
          </w:p>
        </w:tc>
        <w:tc>
          <w:tcPr>
            <w:tcW w:w="160" w:type="dxa"/>
            <w:vAlign w:val="bottom"/>
          </w:tcPr>
          <w:p>
            <w:pPr>
              <w:spacing w:after="0"/>
              <w:rPr>
                <w:sz w:val="19"/>
                <w:szCs w:val="19"/>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(113,033)</w:t>
            </w:r>
          </w:p>
        </w:tc>
        <w:tc>
          <w:tcPr>
            <w:tcW w:w="0" w:type="dxa"/>
            <w:vAlign w:val="bottom"/>
          </w:tcPr>
          <w:p>
            <w:pPr>
              <w:spacing w:after="0"/>
              <w:rPr>
                <w:sz w:val="1"/>
                <w:szCs w:val="1"/>
                <w:color w:val="auto"/>
              </w:rPr>
            </w:pPr>
          </w:p>
        </w:tc>
      </w:tr>
      <w:tr>
        <w:trPr>
          <w:trHeight w:val="229"/>
        </w:trPr>
        <w:tc>
          <w:tcPr>
            <w:tcW w:w="69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6980" w:type="dxa"/>
            <w:vAlign w:val="bottom"/>
          </w:tcPr>
          <w:p>
            <w:pPr>
              <w:ind w:left="680"/>
              <w:spacing w:after="0"/>
              <w:rPr>
                <w:sz w:val="20"/>
                <w:szCs w:val="20"/>
                <w:color w:val="auto"/>
              </w:rPr>
            </w:pPr>
            <w:r>
              <w:rPr>
                <w:rFonts w:ascii="Arial" w:cs="Arial" w:eastAsia="Arial" w:hAnsi="Arial"/>
                <w:sz w:val="18"/>
                <w:szCs w:val="18"/>
                <w:color w:val="auto"/>
              </w:rPr>
              <w:t>Other cost of goods sold (a)</w:t>
            </w: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13,723</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796</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18,562</w:t>
            </w:r>
          </w:p>
        </w:tc>
        <w:tc>
          <w:tcPr>
            <w:tcW w:w="0" w:type="dxa"/>
            <w:vAlign w:val="bottom"/>
          </w:tcPr>
          <w:p>
            <w:pPr>
              <w:spacing w:after="0"/>
              <w:rPr>
                <w:sz w:val="1"/>
                <w:szCs w:val="1"/>
                <w:color w:val="auto"/>
              </w:rPr>
            </w:pPr>
          </w:p>
        </w:tc>
      </w:tr>
      <w:tr>
        <w:trPr>
          <w:trHeight w:val="230"/>
        </w:trPr>
        <w:tc>
          <w:tcPr>
            <w:tcW w:w="698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Share-based compensation</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109,593</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59,479</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59,687</w:t>
            </w:r>
          </w:p>
        </w:tc>
        <w:tc>
          <w:tcPr>
            <w:tcW w:w="0" w:type="dxa"/>
            <w:vAlign w:val="bottom"/>
          </w:tcPr>
          <w:p>
            <w:pPr>
              <w:spacing w:after="0"/>
              <w:rPr>
                <w:sz w:val="1"/>
                <w:szCs w:val="1"/>
                <w:color w:val="auto"/>
              </w:rPr>
            </w:pPr>
          </w:p>
        </w:tc>
      </w:tr>
      <w:tr>
        <w:trPr>
          <w:trHeight w:val="229"/>
        </w:trPr>
        <w:tc>
          <w:tcPr>
            <w:tcW w:w="6980" w:type="dxa"/>
            <w:vAlign w:val="bottom"/>
          </w:tcPr>
          <w:p>
            <w:pPr>
              <w:ind w:left="680"/>
              <w:spacing w:after="0"/>
              <w:rPr>
                <w:sz w:val="20"/>
                <w:szCs w:val="20"/>
                <w:color w:val="auto"/>
              </w:rPr>
            </w:pPr>
            <w:r>
              <w:rPr>
                <w:rFonts w:ascii="Arial" w:cs="Arial" w:eastAsia="Arial" w:hAnsi="Arial"/>
                <w:sz w:val="18"/>
                <w:szCs w:val="18"/>
                <w:color w:val="auto"/>
              </w:rPr>
              <w:t>Restructuring related charges (b)</w:t>
            </w: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12,886</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9,542</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21,721</w:t>
            </w:r>
          </w:p>
        </w:tc>
        <w:tc>
          <w:tcPr>
            <w:tcW w:w="0" w:type="dxa"/>
            <w:vAlign w:val="bottom"/>
          </w:tcPr>
          <w:p>
            <w:pPr>
              <w:spacing w:after="0"/>
              <w:rPr>
                <w:sz w:val="1"/>
                <w:szCs w:val="1"/>
                <w:color w:val="auto"/>
              </w:rPr>
            </w:pPr>
          </w:p>
        </w:tc>
      </w:tr>
      <w:tr>
        <w:trPr>
          <w:trHeight w:val="229"/>
        </w:trPr>
        <w:tc>
          <w:tcPr>
            <w:tcW w:w="6980" w:type="dxa"/>
            <w:vAlign w:val="bottom"/>
            <w:shd w:val="clear" w:color="auto" w:fill="CCEEFF"/>
          </w:tcPr>
          <w:p>
            <w:pPr>
              <w:ind w:left="680"/>
              <w:spacing w:after="0"/>
              <w:rPr>
                <w:sz w:val="20"/>
                <w:szCs w:val="20"/>
                <w:color w:val="auto"/>
              </w:rPr>
            </w:pPr>
            <w:r>
              <w:rPr>
                <w:rFonts w:ascii="Arial" w:cs="Arial" w:eastAsia="Arial" w:hAnsi="Arial"/>
                <w:sz w:val="18"/>
                <w:szCs w:val="18"/>
                <w:color w:val="auto"/>
              </w:rPr>
              <w:t>Legal settlement (c)</w:t>
            </w:r>
          </w:p>
        </w:tc>
        <w:tc>
          <w:tcPr>
            <w:tcW w:w="280" w:type="dxa"/>
            <w:vAlign w:val="bottom"/>
            <w:shd w:val="clear" w:color="auto" w:fill="CCEEFF"/>
          </w:tcPr>
          <w:p>
            <w:pPr>
              <w:spacing w:after="0"/>
              <w:rPr>
                <w:sz w:val="19"/>
                <w:szCs w:val="19"/>
                <w:color w:val="auto"/>
              </w:rPr>
            </w:pPr>
          </w:p>
        </w:tc>
        <w:tc>
          <w:tcPr>
            <w:tcW w:w="11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36,000</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6980" w:type="dxa"/>
            <w:vAlign w:val="bottom"/>
          </w:tcPr>
          <w:p>
            <w:pPr>
              <w:ind w:left="680"/>
              <w:spacing w:after="0"/>
              <w:rPr>
                <w:sz w:val="20"/>
                <w:szCs w:val="20"/>
                <w:color w:val="auto"/>
              </w:rPr>
            </w:pPr>
            <w:r>
              <w:rPr>
                <w:rFonts w:ascii="Arial" w:cs="Arial" w:eastAsia="Arial" w:hAnsi="Arial"/>
                <w:sz w:val="18"/>
                <w:szCs w:val="18"/>
                <w:color w:val="auto"/>
              </w:rPr>
              <w:t>Other operating expenses (d)</w:t>
            </w: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46,684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12,480</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19,403</w:t>
            </w:r>
          </w:p>
        </w:tc>
        <w:tc>
          <w:tcPr>
            <w:tcW w:w="0" w:type="dxa"/>
            <w:vAlign w:val="bottom"/>
          </w:tcPr>
          <w:p>
            <w:pPr>
              <w:spacing w:after="0"/>
              <w:rPr>
                <w:sz w:val="1"/>
                <w:szCs w:val="1"/>
                <w:color w:val="auto"/>
              </w:rPr>
            </w:pPr>
          </w:p>
        </w:tc>
      </w:tr>
      <w:tr>
        <w:trPr>
          <w:trHeight w:val="229"/>
        </w:trPr>
        <w:tc>
          <w:tcPr>
            <w:tcW w:w="698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128,639</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109,682</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112,922</w:t>
            </w:r>
          </w:p>
        </w:tc>
        <w:tc>
          <w:tcPr>
            <w:tcW w:w="0" w:type="dxa"/>
            <w:vAlign w:val="bottom"/>
          </w:tcPr>
          <w:p>
            <w:pPr>
              <w:spacing w:after="0"/>
              <w:rPr>
                <w:sz w:val="1"/>
                <w:szCs w:val="1"/>
                <w:color w:val="auto"/>
              </w:rPr>
            </w:pPr>
          </w:p>
        </w:tc>
      </w:tr>
      <w:tr>
        <w:trPr>
          <w:trHeight w:val="230"/>
        </w:trPr>
        <w:tc>
          <w:tcPr>
            <w:tcW w:w="698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Debt issuance related costs (e)</w:t>
            </w: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16,901</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6,045</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69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Pre-tax total special items</w:t>
            </w: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328,426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234,024</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232,295</w:t>
            </w:r>
          </w:p>
        </w:tc>
        <w:tc>
          <w:tcPr>
            <w:tcW w:w="0" w:type="dxa"/>
            <w:vAlign w:val="bottom"/>
          </w:tcPr>
          <w:p>
            <w:pPr>
              <w:spacing w:after="0"/>
              <w:rPr>
                <w:sz w:val="1"/>
                <w:szCs w:val="1"/>
                <w:color w:val="auto"/>
              </w:rPr>
            </w:pPr>
          </w:p>
        </w:tc>
      </w:tr>
      <w:tr>
        <w:trPr>
          <w:trHeight w:val="230"/>
        </w:trPr>
        <w:tc>
          <w:tcPr>
            <w:tcW w:w="698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income tax effects and adjustments (f)</w:t>
            </w: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(38,385)</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(49,936)</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(1,229)</w:t>
            </w:r>
          </w:p>
        </w:tc>
        <w:tc>
          <w:tcPr>
            <w:tcW w:w="0" w:type="dxa"/>
            <w:vAlign w:val="bottom"/>
          </w:tcPr>
          <w:p>
            <w:pPr>
              <w:spacing w:after="0"/>
              <w:rPr>
                <w:sz w:val="1"/>
                <w:szCs w:val="1"/>
                <w:color w:val="auto"/>
              </w:rPr>
            </w:pPr>
          </w:p>
        </w:tc>
      </w:tr>
      <w:tr>
        <w:trPr>
          <w:trHeight w:val="248"/>
        </w:trPr>
        <w:tc>
          <w:tcPr>
            <w:tcW w:w="698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net income</w:t>
            </w: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201,799</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200,624</w:t>
            </w:r>
          </w:p>
        </w:tc>
        <w:tc>
          <w:tcPr>
            <w:tcW w:w="1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118,033</w:t>
            </w:r>
          </w:p>
        </w:tc>
        <w:tc>
          <w:tcPr>
            <w:tcW w:w="0" w:type="dxa"/>
            <w:vAlign w:val="bottom"/>
          </w:tcPr>
          <w:p>
            <w:pPr>
              <w:spacing w:after="0"/>
              <w:rPr>
                <w:sz w:val="1"/>
                <w:szCs w:val="1"/>
                <w:color w:val="auto"/>
              </w:rPr>
            </w:pPr>
          </w:p>
        </w:tc>
      </w:tr>
      <w:tr>
        <w:trPr>
          <w:trHeight w:val="20"/>
        </w:trPr>
        <w:tc>
          <w:tcPr>
            <w:tcW w:w="69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69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698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4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698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55"/>
        </w:trPr>
        <w:tc>
          <w:tcPr>
            <w:tcW w:w="698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weighted average shares — basic</w:t>
            </w:r>
          </w:p>
        </w:tc>
        <w:tc>
          <w:tcPr>
            <w:tcW w:w="2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693,378</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673,529</w:t>
            </w:r>
          </w:p>
        </w:tc>
        <w:tc>
          <w:tcPr>
            <w:tcW w:w="1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663,547</w:t>
            </w:r>
          </w:p>
        </w:tc>
        <w:tc>
          <w:tcPr>
            <w:tcW w:w="0" w:type="dxa"/>
            <w:vAlign w:val="bottom"/>
          </w:tcPr>
          <w:p>
            <w:pPr>
              <w:spacing w:after="0"/>
              <w:rPr>
                <w:sz w:val="1"/>
                <w:szCs w:val="1"/>
                <w:color w:val="auto"/>
              </w:rPr>
            </w:pPr>
          </w:p>
        </w:tc>
      </w:tr>
      <w:tr>
        <w:trPr>
          <w:trHeight w:val="20"/>
        </w:trPr>
        <w:tc>
          <w:tcPr>
            <w:tcW w:w="698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GAAP weighted average shares — diluted</w:t>
            </w: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6"/>
        </w:trPr>
        <w:tc>
          <w:tcPr>
            <w:tcW w:w="6980" w:type="dxa"/>
            <w:vAlign w:val="bottom"/>
            <w:vMerge w:val="continue"/>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693,378</w:t>
            </w:r>
          </w:p>
        </w:tc>
        <w:tc>
          <w:tcPr>
            <w:tcW w:w="140" w:type="dxa"/>
            <w:vAlign w:val="bottom"/>
          </w:tcPr>
          <w:p>
            <w:pPr>
              <w:spacing w:after="0"/>
              <w:rPr>
                <w:sz w:val="15"/>
                <w:szCs w:val="15"/>
                <w:color w:val="auto"/>
              </w:rPr>
            </w:pPr>
          </w:p>
        </w:tc>
        <w:tc>
          <w:tcPr>
            <w:tcW w:w="200" w:type="dxa"/>
            <w:vAlign w:val="bottom"/>
            <w:tcBorders>
              <w:bottom w:val="single" w:sz="8" w:color="auto"/>
            </w:tcBorders>
          </w:tcPr>
          <w:p>
            <w:pPr>
              <w:spacing w:after="0"/>
              <w:rPr>
                <w:sz w:val="15"/>
                <w:szCs w:val="15"/>
                <w:color w:val="auto"/>
              </w:rPr>
            </w:pPr>
          </w:p>
        </w:tc>
        <w:tc>
          <w:tcPr>
            <w:tcW w:w="112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687,959</w:t>
            </w:r>
          </w:p>
        </w:tc>
        <w:tc>
          <w:tcPr>
            <w:tcW w:w="160" w:type="dxa"/>
            <w:vAlign w:val="bottom"/>
          </w:tcPr>
          <w:p>
            <w:pPr>
              <w:spacing w:after="0"/>
              <w:rPr>
                <w:sz w:val="15"/>
                <w:szCs w:val="15"/>
                <w:color w:val="auto"/>
              </w:rPr>
            </w:pPr>
          </w:p>
        </w:tc>
        <w:tc>
          <w:tcPr>
            <w:tcW w:w="280" w:type="dxa"/>
            <w:vAlign w:val="bottom"/>
            <w:tcBorders>
              <w:bottom w:val="single" w:sz="8" w:color="auto"/>
            </w:tcBorders>
          </w:tcPr>
          <w:p>
            <w:pPr>
              <w:spacing w:after="0"/>
              <w:rPr>
                <w:sz w:val="15"/>
                <w:szCs w:val="15"/>
                <w:color w:val="auto"/>
              </w:rPr>
            </w:pPr>
          </w:p>
        </w:tc>
        <w:tc>
          <w:tcPr>
            <w:tcW w:w="1040" w:type="dxa"/>
            <w:vAlign w:val="bottom"/>
            <w:tcBorders>
              <w:bottom w:val="single" w:sz="8" w:color="auto"/>
            </w:tcBorders>
          </w:tcPr>
          <w:p>
            <w:pPr>
              <w:jc w:val="right"/>
              <w:spacing w:after="0" w:line="176" w:lineRule="exact"/>
              <w:rPr>
                <w:sz w:val="20"/>
                <w:szCs w:val="20"/>
                <w:color w:val="auto"/>
              </w:rPr>
            </w:pPr>
            <w:r>
              <w:rPr>
                <w:rFonts w:ascii="Arial" w:cs="Arial" w:eastAsia="Arial" w:hAnsi="Arial"/>
                <w:sz w:val="18"/>
                <w:szCs w:val="18"/>
                <w:color w:val="auto"/>
              </w:rPr>
              <w:t>663,547</w:t>
            </w:r>
          </w:p>
        </w:tc>
        <w:tc>
          <w:tcPr>
            <w:tcW w:w="0" w:type="dxa"/>
            <w:vAlign w:val="bottom"/>
          </w:tcPr>
          <w:p>
            <w:pPr>
              <w:spacing w:after="0"/>
              <w:rPr>
                <w:sz w:val="1"/>
                <w:szCs w:val="1"/>
                <w:color w:val="auto"/>
              </w:rPr>
            </w:pPr>
          </w:p>
        </w:tc>
      </w:tr>
      <w:tr>
        <w:trPr>
          <w:trHeight w:val="20"/>
        </w:trPr>
        <w:tc>
          <w:tcPr>
            <w:tcW w:w="698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8"/>
        </w:trPr>
        <w:tc>
          <w:tcPr>
            <w:tcW w:w="698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weighted average shares — diluted (g)</w:t>
            </w:r>
          </w:p>
        </w:tc>
        <w:tc>
          <w:tcPr>
            <w:tcW w:w="2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707,488</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687,959</w:t>
            </w:r>
          </w:p>
        </w:tc>
        <w:tc>
          <w:tcPr>
            <w:tcW w:w="1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670,841</w:t>
            </w:r>
          </w:p>
        </w:tc>
        <w:tc>
          <w:tcPr>
            <w:tcW w:w="0" w:type="dxa"/>
            <w:vAlign w:val="bottom"/>
          </w:tcPr>
          <w:p>
            <w:pPr>
              <w:spacing w:after="0"/>
              <w:rPr>
                <w:sz w:val="1"/>
                <w:szCs w:val="1"/>
                <w:color w:val="auto"/>
              </w:rPr>
            </w:pPr>
          </w:p>
        </w:tc>
      </w:tr>
      <w:tr>
        <w:trPr>
          <w:trHeight w:val="20"/>
        </w:trPr>
        <w:tc>
          <w:tcPr>
            <w:tcW w:w="698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698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698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diluted net loss per share</w:t>
            </w: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(0.13)</w:t>
            </w: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6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0" w:type="dxa"/>
            <w:vAlign w:val="bottom"/>
          </w:tcPr>
          <w:p>
            <w:pPr>
              <w:spacing w:after="0"/>
              <w:rPr>
                <w:sz w:val="1"/>
                <w:szCs w:val="1"/>
                <w:color w:val="auto"/>
              </w:rPr>
            </w:pPr>
          </w:p>
        </w:tc>
      </w:tr>
      <w:tr>
        <w:trPr>
          <w:trHeight w:val="20"/>
        </w:trPr>
        <w:tc>
          <w:tcPr>
            <w:tcW w:w="698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diluted net income per share</w:t>
            </w: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6980" w:type="dxa"/>
            <w:vAlign w:val="bottom"/>
            <w:vMerge w:val="continue"/>
          </w:tcPr>
          <w:p>
            <w:pPr>
              <w:spacing w:after="0"/>
              <w:rPr>
                <w:sz w:val="17"/>
                <w:szCs w:val="17"/>
                <w:color w:val="auto"/>
              </w:rPr>
            </w:pPr>
          </w:p>
        </w:tc>
        <w:tc>
          <w:tcPr>
            <w:tcW w:w="280" w:type="dxa"/>
            <w:vAlign w:val="bottom"/>
            <w:tcBorders>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0.29</w:t>
            </w:r>
          </w:p>
        </w:tc>
        <w:tc>
          <w:tcPr>
            <w:tcW w:w="140" w:type="dxa"/>
            <w:vAlign w:val="bottom"/>
          </w:tcPr>
          <w:p>
            <w:pPr>
              <w:spacing w:after="0"/>
              <w:rPr>
                <w:sz w:val="17"/>
                <w:szCs w:val="17"/>
                <w:color w:val="auto"/>
              </w:rPr>
            </w:pPr>
          </w:p>
        </w:tc>
        <w:tc>
          <w:tcPr>
            <w:tcW w:w="200" w:type="dxa"/>
            <w:vAlign w:val="bottom"/>
            <w:tcBorders>
              <w:bottom w:val="single" w:sz="8" w:color="auto"/>
            </w:tcBorders>
          </w:tcPr>
          <w:p>
            <w:pPr>
              <w:ind w:left="20"/>
              <w:spacing w:after="0" w:line="203" w:lineRule="exact"/>
              <w:rPr>
                <w:sz w:val="20"/>
                <w:szCs w:val="20"/>
                <w:color w:val="auto"/>
              </w:rPr>
            </w:pPr>
            <w:r>
              <w:rPr>
                <w:rFonts w:ascii="Arial" w:cs="Arial" w:eastAsia="Arial" w:hAnsi="Arial"/>
                <w:sz w:val="18"/>
                <w:szCs w:val="18"/>
                <w:color w:val="auto"/>
              </w:rPr>
              <w:t>$</w:t>
            </w: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0.29</w:t>
            </w:r>
          </w:p>
        </w:tc>
        <w:tc>
          <w:tcPr>
            <w:tcW w:w="160" w:type="dxa"/>
            <w:vAlign w:val="bottom"/>
          </w:tcPr>
          <w:p>
            <w:pPr>
              <w:spacing w:after="0"/>
              <w:rPr>
                <w:sz w:val="17"/>
                <w:szCs w:val="17"/>
                <w:color w:val="auto"/>
              </w:rPr>
            </w:pPr>
          </w:p>
        </w:tc>
        <w:tc>
          <w:tcPr>
            <w:tcW w:w="280" w:type="dxa"/>
            <w:vAlign w:val="bottom"/>
            <w:tcBorders>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0.18</w:t>
            </w:r>
          </w:p>
        </w:tc>
        <w:tc>
          <w:tcPr>
            <w:tcW w:w="0" w:type="dxa"/>
            <w:vAlign w:val="bottom"/>
          </w:tcPr>
          <w:p>
            <w:pPr>
              <w:spacing w:after="0"/>
              <w:rPr>
                <w:sz w:val="1"/>
                <w:szCs w:val="1"/>
                <w:color w:val="auto"/>
              </w:rPr>
            </w:pPr>
          </w:p>
        </w:tc>
      </w:tr>
      <w:tr>
        <w:trPr>
          <w:trHeight w:val="20"/>
        </w:trPr>
        <w:tc>
          <w:tcPr>
            <w:tcW w:w="698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1134" w:right="339" w:bottom="1440" w:gutter="0" w:footer="0" w:header="0"/>
        </w:sectPr>
      </w:pPr>
    </w:p>
    <w:bookmarkStart w:id="12" w:name="page13"/>
    <w:bookmarkEnd w:id="12"/>
    <w:p>
      <w:pPr>
        <w:ind w:left="454" w:hanging="454"/>
        <w:spacing w:after="0"/>
        <w:tabs>
          <w:tab w:leader="none" w:pos="454"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amortization of acquired inventory fair value adjustments.</w:t>
      </w:r>
    </w:p>
    <w:p>
      <w:pPr>
        <w:spacing w:after="0" w:line="157" w:lineRule="exact"/>
        <w:rPr>
          <w:rFonts w:ascii="Arial" w:cs="Arial" w:eastAsia="Arial" w:hAnsi="Arial"/>
          <w:sz w:val="18"/>
          <w:szCs w:val="18"/>
          <w:i w:val="1"/>
          <w:iCs w:val="1"/>
          <w:color w:val="auto"/>
        </w:rPr>
      </w:pPr>
    </w:p>
    <w:p>
      <w:pPr>
        <w:ind w:left="454" w:hanging="454"/>
        <w:spacing w:after="0"/>
        <w:tabs>
          <w:tab w:leader="none" w:pos="454"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employee severance costs, facilities related charges, and other.</w:t>
      </w:r>
    </w:p>
    <w:p>
      <w:pPr>
        <w:spacing w:after="0" w:line="157" w:lineRule="exact"/>
        <w:rPr>
          <w:rFonts w:ascii="Arial" w:cs="Arial" w:eastAsia="Arial" w:hAnsi="Arial"/>
          <w:sz w:val="18"/>
          <w:szCs w:val="18"/>
          <w:i w:val="1"/>
          <w:iCs w:val="1"/>
          <w:color w:val="auto"/>
        </w:rPr>
      </w:pPr>
    </w:p>
    <w:p>
      <w:pPr>
        <w:ind w:left="454" w:hanging="454"/>
        <w:spacing w:after="0"/>
        <w:tabs>
          <w:tab w:leader="none" w:pos="454"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Represents a legal settlement relating to a commercial agreement.</w:t>
      </w:r>
    </w:p>
    <w:p>
      <w:pPr>
        <w:spacing w:after="0" w:line="157" w:lineRule="exact"/>
        <w:rPr>
          <w:rFonts w:ascii="Arial" w:cs="Arial" w:eastAsia="Arial" w:hAnsi="Arial"/>
          <w:sz w:val="18"/>
          <w:szCs w:val="18"/>
          <w:i w:val="1"/>
          <w:iCs w:val="1"/>
          <w:color w:val="auto"/>
        </w:rPr>
      </w:pPr>
    </w:p>
    <w:p>
      <w:pPr>
        <w:ind w:left="454" w:hanging="454"/>
        <w:spacing w:after="0"/>
        <w:tabs>
          <w:tab w:leader="none" w:pos="454"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integration and merger costs associated with acquisitions.</w:t>
      </w:r>
    </w:p>
    <w:p>
      <w:pPr>
        <w:spacing w:after="0" w:line="157" w:lineRule="exact"/>
        <w:rPr>
          <w:rFonts w:ascii="Arial" w:cs="Arial" w:eastAsia="Arial" w:hAnsi="Arial"/>
          <w:sz w:val="18"/>
          <w:szCs w:val="18"/>
          <w:i w:val="1"/>
          <w:iCs w:val="1"/>
          <w:color w:val="auto"/>
        </w:rPr>
      </w:pPr>
    </w:p>
    <w:p>
      <w:pPr>
        <w:ind w:left="454" w:hanging="454"/>
        <w:spacing w:after="0"/>
        <w:tabs>
          <w:tab w:leader="none" w:pos="454"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Debt issuance related costs is associated with partial term loan repayment and bridge financing.</w:t>
      </w:r>
    </w:p>
    <w:p>
      <w:pPr>
        <w:spacing w:after="0" w:line="157" w:lineRule="exact"/>
        <w:rPr>
          <w:rFonts w:ascii="Arial" w:cs="Arial" w:eastAsia="Arial" w:hAnsi="Arial"/>
          <w:sz w:val="18"/>
          <w:szCs w:val="18"/>
          <w:i w:val="1"/>
          <w:iCs w:val="1"/>
          <w:color w:val="auto"/>
        </w:rPr>
      </w:pPr>
    </w:p>
    <w:p>
      <w:pPr>
        <w:ind w:left="454" w:hanging="454"/>
        <w:spacing w:after="0"/>
        <w:tabs>
          <w:tab w:leader="none" w:pos="454"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5.0%.</w:t>
      </w:r>
    </w:p>
    <w:p>
      <w:pPr>
        <w:spacing w:after="0" w:line="157" w:lineRule="exact"/>
        <w:rPr>
          <w:rFonts w:ascii="Arial" w:cs="Arial" w:eastAsia="Arial" w:hAnsi="Arial"/>
          <w:sz w:val="18"/>
          <w:szCs w:val="18"/>
          <w:i w:val="1"/>
          <w:iCs w:val="1"/>
          <w:color w:val="auto"/>
        </w:rPr>
      </w:pPr>
    </w:p>
    <w:p>
      <w:pPr>
        <w:ind w:left="454" w:hanging="454"/>
        <w:spacing w:after="0"/>
        <w:tabs>
          <w:tab w:leader="none" w:pos="454" w:val="left"/>
        </w:tabs>
        <w:numPr>
          <w:ilvl w:val="0"/>
          <w:numId w:val="7"/>
        </w:numPr>
        <w:rPr>
          <w:rFonts w:ascii="Arial" w:cs="Arial" w:eastAsia="Arial" w:hAnsi="Arial"/>
          <w:sz w:val="16"/>
          <w:szCs w:val="16"/>
          <w:i w:val="1"/>
          <w:iCs w:val="1"/>
          <w:color w:val="auto"/>
        </w:rPr>
      </w:pPr>
      <w:r>
        <w:rPr>
          <w:rFonts w:ascii="Arial" w:cs="Arial" w:eastAsia="Arial" w:hAnsi="Arial"/>
          <w:sz w:val="16"/>
          <w:szCs w:val="16"/>
          <w:color w:val="auto"/>
        </w:rPr>
        <w:t>Non-GAAP diluted weighted average shares differs from GAAP diluted weighted average shares due to the non-GAAP net income reported.</w:t>
      </w:r>
    </w:p>
    <w:p>
      <w:pPr>
        <w:sectPr>
          <w:pgSz w:w="11900" w:h="16838" w:orient="portrait"/>
          <w:cols w:equalWidth="0" w:num="1">
            <w:col w:w="10594"/>
          </w:cols>
          <w:pgMar w:left="346" w:top="1138" w:right="959" w:bottom="1440" w:gutter="0" w:footer="0" w:header="0"/>
        </w:sectPr>
      </w:pPr>
    </w:p>
    <w:bookmarkStart w:id="13" w:name="page14"/>
    <w:bookmarkEnd w:id="13"/>
    <w:p>
      <w:pPr>
        <w:jc w:val="center"/>
        <w:ind w:right="-5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Combined Non-GAAP to Marvell Stand-alone Non-GAAP (Unaudited)</w:t>
      </w:r>
    </w:p>
    <w:p>
      <w:pPr>
        <w:spacing w:after="0" w:line="2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(In millions, except per share amounts)</w:t>
      </w:r>
    </w:p>
    <w:p>
      <w:pPr>
        <w:spacing w:after="0" w:line="98" w:lineRule="exact"/>
        <w:rPr>
          <w:sz w:val="20"/>
          <w:szCs w:val="20"/>
          <w:color w:val="auto"/>
        </w:rPr>
      </w:pPr>
    </w:p>
    <w:p>
      <w:pPr>
        <w:jc w:val="center"/>
        <w:ind w:left="5180"/>
        <w:spacing w:after="0"/>
        <w:rPr>
          <w:sz w:val="20"/>
          <w:szCs w:val="20"/>
          <w:color w:val="auto"/>
        </w:rPr>
      </w:pPr>
      <w:r>
        <w:rPr>
          <w:rFonts w:ascii="Arial" w:cs="Arial" w:eastAsia="Arial" w:hAnsi="Arial"/>
          <w:sz w:val="14"/>
          <w:szCs w:val="14"/>
          <w:b w:val="1"/>
          <w:bCs w:val="1"/>
          <w:color w:val="auto"/>
        </w:rPr>
        <w:t>Three Months Ended</w:t>
      </w:r>
    </w:p>
    <w:p>
      <w:pPr>
        <w:jc w:val="center"/>
        <w:ind w:left="5180"/>
        <w:spacing w:after="0"/>
        <w:rPr>
          <w:sz w:val="20"/>
          <w:szCs w:val="20"/>
          <w:color w:val="auto"/>
        </w:rPr>
      </w:pPr>
      <w:r>
        <w:rPr>
          <w:rFonts w:ascii="Arial" w:cs="Arial" w:eastAsia="Arial" w:hAnsi="Arial"/>
          <w:sz w:val="14"/>
          <w:szCs w:val="14"/>
          <w:b w:val="1"/>
          <w:bCs w:val="1"/>
          <w:color w:val="auto"/>
        </w:rPr>
        <w:t>May 1, 2021</w:t>
      </w:r>
    </w:p>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141"/>
        </w:trPr>
        <w:tc>
          <w:tcPr>
            <w:tcW w:w="5200" w:type="dxa"/>
            <w:vAlign w:val="bottom"/>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172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1940" w:type="dxa"/>
            <w:vAlign w:val="bottom"/>
            <w:tcBorders>
              <w:top w:val="single" w:sz="8" w:color="auto"/>
            </w:tcBorders>
            <w:gridSpan w:val="2"/>
          </w:tcPr>
          <w:p>
            <w:pPr>
              <w:jc w:val="center"/>
              <w:ind w:right="300"/>
              <w:spacing w:after="0" w:line="141" w:lineRule="exact"/>
              <w:rPr>
                <w:sz w:val="20"/>
                <w:szCs w:val="20"/>
                <w:color w:val="auto"/>
              </w:rPr>
            </w:pPr>
            <w:r>
              <w:rPr>
                <w:rFonts w:ascii="Arial" w:cs="Arial" w:eastAsia="Arial" w:hAnsi="Arial"/>
                <w:sz w:val="14"/>
                <w:szCs w:val="14"/>
                <w:b w:val="1"/>
                <w:bCs w:val="1"/>
                <w:color w:val="auto"/>
                <w:w w:val="93"/>
              </w:rPr>
              <w:t>Less: Non-GAAP Results</w:t>
            </w:r>
          </w:p>
        </w:tc>
        <w:tc>
          <w:tcPr>
            <w:tcW w:w="140" w:type="dxa"/>
            <w:vAlign w:val="bottom"/>
            <w:tcBorders>
              <w:top w:val="single" w:sz="8" w:color="auto"/>
            </w:tcBorders>
          </w:tcPr>
          <w:p>
            <w:pPr>
              <w:spacing w:after="0"/>
              <w:rPr>
                <w:sz w:val="12"/>
                <w:szCs w:val="12"/>
                <w:color w:val="auto"/>
              </w:rPr>
            </w:pPr>
          </w:p>
        </w:tc>
        <w:tc>
          <w:tcPr>
            <w:tcW w:w="1760" w:type="dxa"/>
            <w:vAlign w:val="bottom"/>
            <w:tcBorders>
              <w:top w:val="single" w:sz="8" w:color="auto"/>
            </w:tcBorders>
            <w:vMerge w:val="restart"/>
          </w:tcPr>
          <w:p>
            <w:pPr>
              <w:jc w:val="right"/>
              <w:ind w:right="54"/>
              <w:spacing w:after="0"/>
              <w:rPr>
                <w:sz w:val="20"/>
                <w:szCs w:val="20"/>
                <w:color w:val="auto"/>
              </w:rPr>
            </w:pPr>
            <w:r>
              <w:rPr>
                <w:rFonts w:ascii="Arial" w:cs="Arial" w:eastAsia="Arial" w:hAnsi="Arial"/>
                <w:sz w:val="14"/>
                <w:szCs w:val="14"/>
                <w:b w:val="1"/>
                <w:bCs w:val="1"/>
                <w:color w:val="auto"/>
                <w:w w:val="95"/>
              </w:rPr>
              <w:t>Marvell Stand-alone Non-</w:t>
            </w:r>
          </w:p>
        </w:tc>
        <w:tc>
          <w:tcPr>
            <w:tcW w:w="0" w:type="dxa"/>
            <w:vAlign w:val="bottom"/>
          </w:tcPr>
          <w:p>
            <w:pPr>
              <w:spacing w:after="0"/>
              <w:rPr>
                <w:sz w:val="1"/>
                <w:szCs w:val="1"/>
                <w:color w:val="auto"/>
              </w:rPr>
            </w:pPr>
          </w:p>
        </w:tc>
      </w:tr>
      <w:tr>
        <w:trPr>
          <w:trHeight w:val="135"/>
        </w:trPr>
        <w:tc>
          <w:tcPr>
            <w:tcW w:w="52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920" w:type="dxa"/>
            <w:vAlign w:val="bottom"/>
            <w:gridSpan w:val="2"/>
            <w:vMerge w:val="restart"/>
          </w:tcPr>
          <w:p>
            <w:pPr>
              <w:ind w:left="40"/>
              <w:spacing w:after="0"/>
              <w:rPr>
                <w:sz w:val="20"/>
                <w:szCs w:val="20"/>
                <w:color w:val="auto"/>
              </w:rPr>
            </w:pPr>
            <w:r>
              <w:rPr>
                <w:rFonts w:ascii="Arial" w:cs="Arial" w:eastAsia="Arial" w:hAnsi="Arial"/>
                <w:sz w:val="14"/>
                <w:szCs w:val="14"/>
                <w:b w:val="1"/>
                <w:bCs w:val="1"/>
                <w:color w:val="auto"/>
              </w:rPr>
              <w:t>Combined Non-GAAP*</w:t>
            </w:r>
          </w:p>
        </w:tc>
        <w:tc>
          <w:tcPr>
            <w:tcW w:w="120" w:type="dxa"/>
            <w:vAlign w:val="bottom"/>
          </w:tcPr>
          <w:p>
            <w:pPr>
              <w:spacing w:after="0"/>
              <w:rPr>
                <w:sz w:val="11"/>
                <w:szCs w:val="11"/>
                <w:color w:val="auto"/>
              </w:rPr>
            </w:pPr>
          </w:p>
        </w:tc>
        <w:tc>
          <w:tcPr>
            <w:tcW w:w="194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7"/>
              </w:rPr>
              <w:t>Attributable to Inphi</w:t>
            </w:r>
          </w:p>
        </w:tc>
        <w:tc>
          <w:tcPr>
            <w:tcW w:w="140" w:type="dxa"/>
            <w:vAlign w:val="bottom"/>
          </w:tcPr>
          <w:p>
            <w:pPr>
              <w:spacing w:after="0"/>
              <w:rPr>
                <w:sz w:val="11"/>
                <w:szCs w:val="11"/>
                <w:color w:val="auto"/>
              </w:rPr>
            </w:pPr>
          </w:p>
        </w:tc>
        <w:tc>
          <w:tcPr>
            <w:tcW w:w="176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88"/>
        </w:trPr>
        <w:tc>
          <w:tcPr>
            <w:tcW w:w="52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20" w:type="dxa"/>
            <w:vAlign w:val="bottom"/>
          </w:tcPr>
          <w:p>
            <w:pPr>
              <w:spacing w:after="0"/>
              <w:rPr>
                <w:sz w:val="16"/>
                <w:szCs w:val="16"/>
                <w:color w:val="auto"/>
              </w:rPr>
            </w:pPr>
          </w:p>
        </w:tc>
        <w:tc>
          <w:tcPr>
            <w:tcW w:w="194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1"/>
              </w:rPr>
              <w:t>Acquisition</w:t>
            </w:r>
          </w:p>
        </w:tc>
        <w:tc>
          <w:tcPr>
            <w:tcW w:w="140" w:type="dxa"/>
            <w:vAlign w:val="bottom"/>
          </w:tcPr>
          <w:p>
            <w:pPr>
              <w:spacing w:after="0"/>
              <w:rPr>
                <w:sz w:val="16"/>
                <w:szCs w:val="16"/>
                <w:color w:val="auto"/>
              </w:rPr>
            </w:pPr>
          </w:p>
        </w:tc>
        <w:tc>
          <w:tcPr>
            <w:tcW w:w="1760" w:type="dxa"/>
            <w:vAlign w:val="bottom"/>
          </w:tcPr>
          <w:p>
            <w:pPr>
              <w:jc w:val="right"/>
              <w:ind w:right="614"/>
              <w:spacing w:after="0"/>
              <w:rPr>
                <w:sz w:val="20"/>
                <w:szCs w:val="20"/>
                <w:color w:val="auto"/>
              </w:rPr>
            </w:pPr>
            <w:r>
              <w:rPr>
                <w:rFonts w:ascii="Arial" w:cs="Arial" w:eastAsia="Arial" w:hAnsi="Arial"/>
                <w:sz w:val="14"/>
                <w:szCs w:val="14"/>
                <w:b w:val="1"/>
                <w:bCs w:val="1"/>
                <w:color w:val="auto"/>
              </w:rPr>
              <w:t>GAAP*</w:t>
            </w:r>
          </w:p>
        </w:tc>
        <w:tc>
          <w:tcPr>
            <w:tcW w:w="0" w:type="dxa"/>
            <w:vAlign w:val="bottom"/>
          </w:tcPr>
          <w:p>
            <w:pPr>
              <w:spacing w:after="0"/>
              <w:rPr>
                <w:sz w:val="1"/>
                <w:szCs w:val="1"/>
                <w:color w:val="auto"/>
              </w:rPr>
            </w:pPr>
          </w:p>
        </w:tc>
      </w:tr>
      <w:tr>
        <w:trPr>
          <w:trHeight w:val="224"/>
        </w:trPr>
        <w:tc>
          <w:tcPr>
            <w:tcW w:w="52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832,279</w:t>
            </w:r>
          </w:p>
        </w:tc>
        <w:tc>
          <w:tcPr>
            <w:tcW w:w="20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21,783</w:t>
            </w:r>
          </w:p>
        </w:tc>
        <w:tc>
          <w:tcPr>
            <w:tcW w:w="18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810,496</w:t>
            </w:r>
          </w:p>
        </w:tc>
        <w:tc>
          <w:tcPr>
            <w:tcW w:w="0" w:type="dxa"/>
            <w:vAlign w:val="bottom"/>
          </w:tcPr>
          <w:p>
            <w:pPr>
              <w:spacing w:after="0"/>
              <w:rPr>
                <w:sz w:val="1"/>
                <w:szCs w:val="1"/>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Gross profit</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720" w:type="dxa"/>
            <w:vAlign w:val="bottom"/>
          </w:tcPr>
          <w:p>
            <w:pPr>
              <w:jc w:val="right"/>
              <w:spacing w:after="0"/>
              <w:rPr>
                <w:sz w:val="20"/>
                <w:szCs w:val="20"/>
                <w:color w:val="auto"/>
              </w:rPr>
            </w:pPr>
            <w:r>
              <w:rPr>
                <w:rFonts w:ascii="Arial" w:cs="Arial" w:eastAsia="Arial" w:hAnsi="Arial"/>
                <w:sz w:val="18"/>
                <w:szCs w:val="18"/>
                <w:color w:val="auto"/>
              </w:rPr>
              <w:t>535,479</w:t>
            </w:r>
          </w:p>
        </w:tc>
        <w:tc>
          <w:tcPr>
            <w:tcW w:w="20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760" w:type="dxa"/>
            <w:vAlign w:val="bottom"/>
          </w:tcPr>
          <w:p>
            <w:pPr>
              <w:jc w:val="right"/>
              <w:spacing w:after="0"/>
              <w:rPr>
                <w:sz w:val="20"/>
                <w:szCs w:val="20"/>
                <w:color w:val="auto"/>
              </w:rPr>
            </w:pPr>
            <w:r>
              <w:rPr>
                <w:rFonts w:ascii="Arial" w:cs="Arial" w:eastAsia="Arial" w:hAnsi="Arial"/>
                <w:sz w:val="18"/>
                <w:szCs w:val="18"/>
                <w:color w:val="auto"/>
              </w:rPr>
              <w:t>14,166</w:t>
            </w:r>
          </w:p>
        </w:tc>
        <w:tc>
          <w:tcPr>
            <w:tcW w:w="18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760" w:type="dxa"/>
            <w:vAlign w:val="bottom"/>
          </w:tcPr>
          <w:p>
            <w:pPr>
              <w:jc w:val="right"/>
              <w:spacing w:after="0"/>
              <w:rPr>
                <w:sz w:val="20"/>
                <w:szCs w:val="20"/>
                <w:color w:val="auto"/>
              </w:rPr>
            </w:pPr>
            <w:r>
              <w:rPr>
                <w:rFonts w:ascii="Arial" w:cs="Arial" w:eastAsia="Arial" w:hAnsi="Arial"/>
                <w:sz w:val="18"/>
                <w:szCs w:val="18"/>
                <w:color w:val="auto"/>
              </w:rPr>
              <w:t>521,313</w:t>
            </w: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Total operating expenses</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306,265</w:t>
            </w:r>
          </w:p>
        </w:tc>
        <w:tc>
          <w:tcPr>
            <w:tcW w:w="200" w:type="dxa"/>
            <w:vAlign w:val="bottom"/>
            <w:shd w:val="clear" w:color="auto" w:fill="CCEEFF"/>
          </w:tcPr>
          <w:p>
            <w:pPr>
              <w:spacing w:after="0"/>
              <w:rPr>
                <w:sz w:val="19"/>
                <w:szCs w:val="19"/>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9,485</w:t>
            </w:r>
          </w:p>
        </w:tc>
        <w:tc>
          <w:tcPr>
            <w:tcW w:w="18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296,780</w:t>
            </w:r>
          </w:p>
        </w:tc>
        <w:tc>
          <w:tcPr>
            <w:tcW w:w="0" w:type="dxa"/>
            <w:vAlign w:val="bottom"/>
          </w:tcPr>
          <w:p>
            <w:pPr>
              <w:spacing w:after="0"/>
              <w:rPr>
                <w:sz w:val="1"/>
                <w:szCs w:val="1"/>
                <w:color w:val="auto"/>
              </w:rPr>
            </w:pPr>
          </w:p>
        </w:tc>
      </w:tr>
      <w:tr>
        <w:trPr>
          <w:trHeight w:val="229"/>
        </w:trPr>
        <w:tc>
          <w:tcPr>
            <w:tcW w:w="5200" w:type="dxa"/>
            <w:vAlign w:val="bottom"/>
          </w:tcPr>
          <w:p>
            <w:pPr>
              <w:ind w:left="20"/>
              <w:spacing w:after="0"/>
              <w:rPr>
                <w:sz w:val="20"/>
                <w:szCs w:val="20"/>
                <w:color w:val="auto"/>
              </w:rPr>
            </w:pPr>
            <w:r>
              <w:rPr>
                <w:rFonts w:ascii="Arial" w:cs="Arial" w:eastAsia="Arial" w:hAnsi="Arial"/>
                <w:sz w:val="18"/>
                <w:szCs w:val="18"/>
                <w:color w:val="auto"/>
              </w:rPr>
              <w:t>Interest and other income (loss), net</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720" w:type="dxa"/>
            <w:vAlign w:val="bottom"/>
          </w:tcPr>
          <w:p>
            <w:pPr>
              <w:jc w:val="right"/>
              <w:spacing w:after="0"/>
              <w:rPr>
                <w:sz w:val="20"/>
                <w:szCs w:val="20"/>
                <w:color w:val="auto"/>
              </w:rPr>
            </w:pPr>
            <w:r>
              <w:rPr>
                <w:rFonts w:ascii="Arial" w:cs="Arial" w:eastAsia="Arial" w:hAnsi="Arial"/>
                <w:sz w:val="18"/>
                <w:szCs w:val="18"/>
                <w:color w:val="auto"/>
              </w:rPr>
              <w:t>(16,795)</w:t>
            </w:r>
          </w:p>
        </w:tc>
        <w:tc>
          <w:tcPr>
            <w:tcW w:w="200" w:type="dxa"/>
            <w:vAlign w:val="bottom"/>
          </w:tcPr>
          <w:p>
            <w:pPr>
              <w:spacing w:after="0"/>
              <w:rPr>
                <w:sz w:val="19"/>
                <w:szCs w:val="19"/>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760" w:type="dxa"/>
            <w:vAlign w:val="bottom"/>
          </w:tcPr>
          <w:p>
            <w:pPr>
              <w:jc w:val="right"/>
              <w:spacing w:after="0"/>
              <w:rPr>
                <w:sz w:val="20"/>
                <w:szCs w:val="20"/>
                <w:color w:val="auto"/>
              </w:rPr>
            </w:pPr>
            <w:r>
              <w:rPr>
                <w:rFonts w:ascii="Arial" w:cs="Arial" w:eastAsia="Arial" w:hAnsi="Arial"/>
                <w:sz w:val="18"/>
                <w:szCs w:val="18"/>
                <w:color w:val="auto"/>
              </w:rPr>
              <w:t>(29,764)</w:t>
            </w:r>
          </w:p>
        </w:tc>
        <w:tc>
          <w:tcPr>
            <w:tcW w:w="18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760" w:type="dxa"/>
            <w:vAlign w:val="bottom"/>
          </w:tcPr>
          <w:p>
            <w:pPr>
              <w:jc w:val="right"/>
              <w:spacing w:after="0"/>
              <w:rPr>
                <w:sz w:val="20"/>
                <w:szCs w:val="20"/>
                <w:color w:val="auto"/>
              </w:rPr>
            </w:pPr>
            <w:r>
              <w:rPr>
                <w:rFonts w:ascii="Arial" w:cs="Arial" w:eastAsia="Arial" w:hAnsi="Arial"/>
                <w:sz w:val="18"/>
                <w:szCs w:val="18"/>
                <w:color w:val="auto"/>
              </w:rPr>
              <w:t>12,969</w:t>
            </w: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income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201,799</w:t>
            </w:r>
          </w:p>
        </w:tc>
        <w:tc>
          <w:tcPr>
            <w:tcW w:w="200" w:type="dxa"/>
            <w:vAlign w:val="bottom"/>
            <w:shd w:val="clear" w:color="auto" w:fill="CCEEFF"/>
          </w:tcPr>
          <w:p>
            <w:pPr>
              <w:spacing w:after="0"/>
              <w:rPr>
                <w:sz w:val="19"/>
                <w:szCs w:val="19"/>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862</w:t>
            </w:r>
          </w:p>
        </w:tc>
        <w:tc>
          <w:tcPr>
            <w:tcW w:w="18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200,937</w:t>
            </w:r>
          </w:p>
        </w:tc>
        <w:tc>
          <w:tcPr>
            <w:tcW w:w="0" w:type="dxa"/>
            <w:vAlign w:val="bottom"/>
          </w:tcPr>
          <w:p>
            <w:pPr>
              <w:spacing w:after="0"/>
              <w:rPr>
                <w:sz w:val="1"/>
                <w:szCs w:val="1"/>
                <w:color w:val="auto"/>
              </w:rPr>
            </w:pPr>
          </w:p>
        </w:tc>
      </w:tr>
      <w:tr>
        <w:trPr>
          <w:trHeight w:val="270"/>
        </w:trPr>
        <w:tc>
          <w:tcPr>
            <w:tcW w:w="52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72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7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1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Diluted net income per share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0.29</w:t>
            </w:r>
          </w:p>
        </w:tc>
        <w:tc>
          <w:tcPr>
            <w:tcW w:w="200" w:type="dxa"/>
            <w:vAlign w:val="bottom"/>
            <w:shd w:val="clear" w:color="auto" w:fill="CCEEFF"/>
          </w:tcPr>
          <w:p>
            <w:pPr>
              <w:spacing w:after="0"/>
              <w:rPr>
                <w:sz w:val="19"/>
                <w:szCs w:val="19"/>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9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0.29</w:t>
            </w:r>
          </w:p>
        </w:tc>
        <w:tc>
          <w:tcPr>
            <w:tcW w:w="0" w:type="dxa"/>
            <w:vAlign w:val="bottom"/>
          </w:tcPr>
          <w:p>
            <w:pPr>
              <w:spacing w:after="0"/>
              <w:rPr>
                <w:sz w:val="1"/>
                <w:szCs w:val="1"/>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Diluted weighted-average shares</w:t>
            </w:r>
          </w:p>
        </w:tc>
        <w:tc>
          <w:tcPr>
            <w:tcW w:w="160" w:type="dxa"/>
            <w:vAlign w:val="bottom"/>
          </w:tcPr>
          <w:p>
            <w:pPr>
              <w:spacing w:after="0"/>
              <w:rPr>
                <w:sz w:val="20"/>
                <w:szCs w:val="20"/>
                <w:color w:val="auto"/>
              </w:rPr>
            </w:pPr>
          </w:p>
        </w:tc>
        <w:tc>
          <w:tcPr>
            <w:tcW w:w="1720" w:type="dxa"/>
            <w:vAlign w:val="bottom"/>
          </w:tcPr>
          <w:p>
            <w:pPr>
              <w:jc w:val="right"/>
              <w:spacing w:after="0"/>
              <w:rPr>
                <w:sz w:val="20"/>
                <w:szCs w:val="20"/>
                <w:color w:val="auto"/>
              </w:rPr>
            </w:pPr>
            <w:r>
              <w:rPr>
                <w:rFonts w:ascii="Arial" w:cs="Arial" w:eastAsia="Arial" w:hAnsi="Arial"/>
                <w:sz w:val="18"/>
                <w:szCs w:val="18"/>
                <w:color w:val="auto"/>
              </w:rPr>
              <w:t>707,488</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18,465</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689,023</w:t>
            </w:r>
          </w:p>
        </w:tc>
        <w:tc>
          <w:tcPr>
            <w:tcW w:w="0" w:type="dxa"/>
            <w:vAlign w:val="bottom"/>
          </w:tcPr>
          <w:p>
            <w:pPr>
              <w:spacing w:after="0"/>
              <w:rPr>
                <w:sz w:val="1"/>
                <w:szCs w:val="1"/>
                <w:color w:val="auto"/>
              </w:rPr>
            </w:pPr>
          </w:p>
        </w:tc>
      </w:tr>
    </w:tbl>
    <w:p>
      <w:pPr>
        <w:spacing w:after="0" w:line="336"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*Combined Non-GAAP net revenue is equal to GAAP net revenue. See "Reconciliations from GAAP to Non-GAAP (Unaudited)" for a reconciliation of other Combined Non-GAAP results to GAAP results for the period.</w:t>
      </w:r>
    </w:p>
    <w:p>
      <w:pPr>
        <w:sectPr>
          <w:pgSz w:w="11900" w:h="16838" w:orient="portrait"/>
          <w:cols w:equalWidth="0" w:num="1">
            <w:col w:w="11240"/>
          </w:cols>
          <w:pgMar w:left="320" w:top="1134" w:right="339" w:bottom="1440" w:gutter="0" w:footer="0" w:header="0"/>
        </w:sectPr>
      </w:pPr>
    </w:p>
    <w:bookmarkStart w:id="14" w:name="page15"/>
    <w:bookmarkEnd w:id="14"/>
    <w:p>
      <w:pPr>
        <w:jc w:val="center"/>
        <w:ind w:right="-79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799"/>
        <w:spacing w:after="0"/>
        <w:rPr>
          <w:sz w:val="20"/>
          <w:szCs w:val="20"/>
          <w:color w:val="auto"/>
        </w:rPr>
      </w:pPr>
      <w:r>
        <w:rPr>
          <w:rFonts w:ascii="Arial" w:cs="Arial" w:eastAsia="Arial" w:hAnsi="Arial"/>
          <w:sz w:val="17"/>
          <w:szCs w:val="17"/>
          <w:b w:val="1"/>
          <w:bCs w:val="1"/>
          <w:color w:val="auto"/>
        </w:rPr>
        <w:t>Outlook for the Second Quarter of Fiscal Year 2022</w:t>
      </w:r>
    </w:p>
    <w:p>
      <w:pPr>
        <w:spacing w:after="0" w:line="34" w:lineRule="exact"/>
        <w:rPr>
          <w:sz w:val="20"/>
          <w:szCs w:val="20"/>
          <w:color w:val="auto"/>
        </w:rPr>
      </w:pPr>
    </w:p>
    <w:p>
      <w:pPr>
        <w:jc w:val="center"/>
        <w:ind w:right="-759"/>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46" w:lineRule="exact"/>
        <w:rPr>
          <w:sz w:val="20"/>
          <w:szCs w:val="20"/>
          <w:color w:val="auto"/>
        </w:rPr>
      </w:pPr>
    </w:p>
    <w:p>
      <w:pPr>
        <w:jc w:val="center"/>
        <w:ind w:right="-79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0440"/>
          </w:cols>
          <w:pgMar w:left="340" w:top="1134" w:right="1119" w:bottom="1440" w:gutter="0" w:footer="0" w:header="0"/>
        </w:sect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-136525</wp:posOffset>
            </wp:positionV>
            <wp:extent cx="7132320" cy="1543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543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Non-GAAP net revenue</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-127635</wp:posOffset>
            </wp:positionV>
            <wp:extent cx="7132320" cy="1460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460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Share-based compensation</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29210</wp:posOffset>
            </wp:positionV>
            <wp:extent cx="7132320" cy="1454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2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Other costs of goods sold</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Non-GAAP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631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63195"/>
                    </a:xfrm>
                    <a:prstGeom prst="rect">
                      <a:avLst/>
                    </a:prstGeom>
                    <a:noFill/>
                  </pic:spPr>
                </pic:pic>
              </a:graphicData>
            </a:graphic>
          </wp:anchor>
        </w:drawing>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17145</wp:posOffset>
            </wp:positionV>
            <wp:extent cx="7132320" cy="14541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Share-based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454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Amortization of acquired intangible assets</w:t>
      </w:r>
    </w:p>
    <w:p>
      <w:pPr>
        <w:spacing w:after="0" w:line="4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Restructuring related charges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454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Other operating expenses</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28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28905"/>
                    </a:xfrm>
                    <a:prstGeom prst="rect">
                      <a:avLst/>
                    </a:prstGeom>
                    <a:noFill/>
                  </pic:spPr>
                </pic:pic>
              </a:graphicData>
            </a:graphic>
          </wp:anchor>
        </w:drawing>
      </w:r>
    </w:p>
    <w:p>
      <w:pPr>
        <w:spacing w:after="0" w:line="200" w:lineRule="exact"/>
        <w:rPr>
          <w:sz w:val="20"/>
          <w:szCs w:val="20"/>
          <w:color w:val="auto"/>
        </w:rPr>
      </w:pPr>
    </w:p>
    <w:p>
      <w:pPr>
        <w:spacing w:after="0" w:line="2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diluted net loss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-127635</wp:posOffset>
            </wp:positionV>
            <wp:extent cx="7132320" cy="1460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460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Share-based compensation</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29210</wp:posOffset>
            </wp:positionV>
            <wp:extent cx="7132320" cy="1460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2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Restructuring related charges</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Other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543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Non-GAAP diluted net income per share</w:t>
      </w:r>
    </w:p>
    <w:p>
      <w:pPr>
        <w:spacing w:after="0" w:line="20" w:lineRule="exact"/>
        <w:rPr>
          <w:sz w:val="20"/>
          <w:szCs w:val="20"/>
          <w:color w:val="auto"/>
        </w:rPr>
      </w:pPr>
      <w:r>
        <w:rPr>
          <w:sz w:val="20"/>
          <w:szCs w:val="20"/>
          <w:color w:val="auto"/>
        </w:rPr>
        <w:br w:type="column"/>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3"/>
          <w:szCs w:val="13"/>
          <w:b w:val="1"/>
          <w:bCs w:val="1"/>
          <w:color w:val="auto"/>
        </w:rPr>
        <w:t>Outlook for Three Months Ended</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July 31, 2021</w:t>
      </w:r>
    </w:p>
    <w:p>
      <w:pPr>
        <w:spacing w:after="0" w:line="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$1,065 +/- 3%</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pacing w:after="0" w:line="35" w:lineRule="exact"/>
        <w:rPr>
          <w:sz w:val="20"/>
          <w:szCs w:val="20"/>
          <w:color w:val="auto"/>
        </w:rPr>
      </w:pPr>
    </w:p>
    <w:p>
      <w:pPr>
        <w:ind w:left="520"/>
        <w:spacing w:after="0"/>
        <w:rPr>
          <w:sz w:val="20"/>
          <w:szCs w:val="20"/>
          <w:color w:val="auto"/>
        </w:rPr>
      </w:pPr>
      <w:r>
        <w:rPr>
          <w:rFonts w:ascii="Arial" w:cs="Arial" w:eastAsia="Arial" w:hAnsi="Arial"/>
          <w:sz w:val="18"/>
          <w:szCs w:val="18"/>
          <w:color w:val="auto"/>
        </w:rPr>
        <w:t>$1,065 +/- 3%</w:t>
      </w: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34.8% - 37.5%</w:t>
      </w:r>
    </w:p>
    <w:p>
      <w:pPr>
        <w:spacing w:after="0" w:line="252" w:lineRule="exact"/>
        <w:rPr>
          <w:sz w:val="20"/>
          <w:szCs w:val="20"/>
          <w:color w:val="auto"/>
        </w:rPr>
      </w:pPr>
    </w:p>
    <w:p>
      <w:pPr>
        <w:ind w:left="840"/>
        <w:spacing w:after="0"/>
        <w:rPr>
          <w:sz w:val="20"/>
          <w:szCs w:val="20"/>
          <w:color w:val="auto"/>
        </w:rPr>
      </w:pPr>
      <w:r>
        <w:rPr>
          <w:rFonts w:ascii="Arial" w:cs="Arial" w:eastAsia="Arial" w:hAnsi="Arial"/>
          <w:sz w:val="18"/>
          <w:szCs w:val="18"/>
          <w:color w:val="auto"/>
        </w:rPr>
        <w:t>0.9%</w:t>
      </w:r>
    </w:p>
    <w:p>
      <w:pPr>
        <w:spacing w:after="0" w:line="23" w:lineRule="exact"/>
        <w:rPr>
          <w:sz w:val="20"/>
          <w:szCs w:val="20"/>
          <w:color w:val="auto"/>
        </w:rPr>
      </w:pPr>
    </w:p>
    <w:p>
      <w:pPr>
        <w:ind w:left="800"/>
        <w:spacing w:after="0"/>
        <w:rPr>
          <w:sz w:val="20"/>
          <w:szCs w:val="20"/>
          <w:color w:val="auto"/>
        </w:rPr>
      </w:pPr>
      <w:r>
        <w:rPr>
          <w:rFonts w:ascii="Arial" w:cs="Arial" w:eastAsia="Arial" w:hAnsi="Arial"/>
          <w:sz w:val="18"/>
          <w:szCs w:val="18"/>
          <w:color w:val="auto"/>
        </w:rPr>
        <w:t>16.0%</w:t>
      </w:r>
    </w:p>
    <w:p>
      <w:pPr>
        <w:spacing w:after="0" w:line="23" w:lineRule="exact"/>
        <w:rPr>
          <w:sz w:val="20"/>
          <w:szCs w:val="20"/>
          <w:color w:val="auto"/>
        </w:rPr>
      </w:pPr>
    </w:p>
    <w:p>
      <w:pPr>
        <w:ind w:left="800"/>
        <w:spacing w:after="0"/>
        <w:rPr>
          <w:sz w:val="20"/>
          <w:szCs w:val="20"/>
          <w:color w:val="auto"/>
        </w:rPr>
      </w:pPr>
      <w:r>
        <w:rPr>
          <w:rFonts w:ascii="Arial" w:cs="Arial" w:eastAsia="Arial" w:hAnsi="Arial"/>
          <w:sz w:val="18"/>
          <w:szCs w:val="18"/>
          <w:color w:val="auto"/>
        </w:rPr>
        <w:t>10.9%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-493395</wp:posOffset>
            </wp:positionH>
            <wp:positionV relativeFrom="paragraph">
              <wp:posOffset>14605</wp:posOffset>
            </wp:positionV>
            <wp:extent cx="2297430" cy="82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2297430" cy="8255"/>
                    </a:xfrm>
                    <a:prstGeom prst="rect">
                      <a:avLst/>
                    </a:prstGeom>
                    <a:noFill/>
                  </pic:spPr>
                </pic:pic>
              </a:graphicData>
            </a:graphic>
          </wp:anchor>
        </w:drawing>
      </w:r>
    </w:p>
    <w:p>
      <w:pPr>
        <w:spacing w:after="0" w:line="15" w:lineRule="exact"/>
        <w:rPr>
          <w:sz w:val="20"/>
          <w:szCs w:val="20"/>
          <w:color w:val="auto"/>
        </w:rPr>
      </w:pPr>
    </w:p>
    <w:p>
      <w:pPr>
        <w:ind w:left="820"/>
        <w:spacing w:after="0"/>
        <w:rPr>
          <w:sz w:val="20"/>
          <w:szCs w:val="20"/>
          <w:color w:val="auto"/>
        </w:rPr>
      </w:pPr>
      <w:r>
        <w:rPr>
          <w:rFonts w:ascii="Arial" w:cs="Arial" w:eastAsia="Arial" w:hAnsi="Arial"/>
          <w:sz w:val="18"/>
          <w:szCs w:val="18"/>
          <w:color w:val="auto"/>
        </w:rPr>
        <w:t>~64%</w:t>
      </w: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$633 - $643</w:t>
      </w:r>
    </w:p>
    <w:p>
      <w:pPr>
        <w:spacing w:after="0" w:line="252" w:lineRule="exact"/>
        <w:rPr>
          <w:sz w:val="20"/>
          <w:szCs w:val="20"/>
          <w:color w:val="auto"/>
        </w:rPr>
      </w:pPr>
    </w:p>
    <w:p>
      <w:pPr>
        <w:ind w:left="900"/>
        <w:spacing w:after="0"/>
        <w:rPr>
          <w:sz w:val="20"/>
          <w:szCs w:val="20"/>
          <w:color w:val="auto"/>
        </w:rPr>
      </w:pPr>
      <w:r>
        <w:rPr>
          <w:rFonts w:ascii="Arial" w:cs="Arial" w:eastAsia="Arial" w:hAnsi="Arial"/>
          <w:sz w:val="18"/>
          <w:szCs w:val="18"/>
          <w:color w:val="auto"/>
        </w:rPr>
        <w:t>111</w:t>
      </w:r>
    </w:p>
    <w:p>
      <w:pPr>
        <w:spacing w:after="0" w:line="23" w:lineRule="exact"/>
        <w:rPr>
          <w:sz w:val="20"/>
          <w:szCs w:val="20"/>
          <w:color w:val="auto"/>
        </w:rPr>
      </w:pPr>
    </w:p>
    <w:p>
      <w:pPr>
        <w:ind w:left="900"/>
        <w:spacing w:after="0"/>
        <w:rPr>
          <w:sz w:val="20"/>
          <w:szCs w:val="20"/>
          <w:color w:val="auto"/>
        </w:rPr>
      </w:pPr>
      <w:r>
        <w:rPr>
          <w:rFonts w:ascii="Arial" w:cs="Arial" w:eastAsia="Arial" w:hAnsi="Arial"/>
          <w:sz w:val="18"/>
          <w:szCs w:val="18"/>
          <w:color w:val="auto"/>
        </w:rPr>
        <w:t>109</w:t>
      </w:r>
    </w:p>
    <w:p>
      <w:pPr>
        <w:spacing w:after="0" w:line="23" w:lineRule="exact"/>
        <w:rPr>
          <w:sz w:val="20"/>
          <w:szCs w:val="20"/>
          <w:color w:val="auto"/>
        </w:rPr>
      </w:pPr>
    </w:p>
    <w:p>
      <w:pPr>
        <w:ind w:left="940"/>
        <w:spacing w:after="0"/>
        <w:rPr>
          <w:sz w:val="20"/>
          <w:szCs w:val="20"/>
          <w:color w:val="auto"/>
        </w:rPr>
      </w:pPr>
      <w:r>
        <w:rPr>
          <w:rFonts w:ascii="Arial" w:cs="Arial" w:eastAsia="Arial" w:hAnsi="Arial"/>
          <w:sz w:val="18"/>
          <w:szCs w:val="18"/>
          <w:color w:val="auto"/>
        </w:rPr>
        <w:t>30</w:t>
      </w:r>
    </w:p>
    <w:p>
      <w:pPr>
        <w:spacing w:after="0" w:line="23" w:lineRule="exact"/>
        <w:rPr>
          <w:sz w:val="20"/>
          <w:szCs w:val="20"/>
          <w:color w:val="auto"/>
        </w:rPr>
      </w:pPr>
    </w:p>
    <w:p>
      <w:pPr>
        <w:ind w:left="940"/>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-493395</wp:posOffset>
            </wp:positionH>
            <wp:positionV relativeFrom="paragraph">
              <wp:posOffset>14605</wp:posOffset>
            </wp:positionV>
            <wp:extent cx="229743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297430" cy="8255"/>
                    </a:xfrm>
                    <a:prstGeom prst="rect">
                      <a:avLst/>
                    </a:prstGeom>
                    <a:noFill/>
                  </pic:spPr>
                </pic:pic>
              </a:graphicData>
            </a:graphic>
          </wp:anchor>
        </w:drawing>
      </w:r>
    </w:p>
    <w:p>
      <w:pPr>
        <w:spacing w:after="0" w:line="15" w:lineRule="exact"/>
        <w:rPr>
          <w:sz w:val="20"/>
          <w:szCs w:val="20"/>
          <w:color w:val="auto"/>
        </w:rPr>
      </w:pPr>
    </w:p>
    <w:p>
      <w:pPr>
        <w:ind w:left="600"/>
        <w:spacing w:after="0"/>
        <w:rPr>
          <w:sz w:val="20"/>
          <w:szCs w:val="20"/>
          <w:color w:val="auto"/>
        </w:rPr>
      </w:pPr>
      <w:r>
        <w:rPr>
          <w:rFonts w:ascii="Arial" w:cs="Arial" w:eastAsia="Arial" w:hAnsi="Arial"/>
          <w:sz w:val="18"/>
          <w:szCs w:val="18"/>
          <w:color w:val="auto"/>
        </w:rPr>
        <w:t>$370 - $375</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$(0.37) +/- $0.04</w:t>
      </w:r>
    </w:p>
    <w:p>
      <w:pPr>
        <w:spacing w:after="0" w:line="252"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0.14</w:t>
      </w:r>
    </w:p>
    <w:p>
      <w:pPr>
        <w:spacing w:after="0" w:line="23"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0.48</w:t>
      </w:r>
    </w:p>
    <w:p>
      <w:pPr>
        <w:spacing w:after="0" w:line="23"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0.04</w:t>
      </w:r>
    </w:p>
    <w:p>
      <w:pPr>
        <w:spacing w:after="0" w:line="23"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0.02</w:t>
      </w:r>
    </w:p>
    <w:p>
      <w:pPr>
        <w:spacing w:after="0" w:line="35" w:lineRule="exact"/>
        <w:rPr>
          <w:sz w:val="20"/>
          <w:szCs w:val="20"/>
          <w:color w:val="auto"/>
        </w:rPr>
      </w:pPr>
    </w:p>
    <w:p>
      <w:pPr>
        <w:ind w:left="480"/>
        <w:spacing w:after="0"/>
        <w:rPr>
          <w:sz w:val="20"/>
          <w:szCs w:val="20"/>
          <w:color w:val="auto"/>
        </w:rPr>
      </w:pPr>
      <w:r>
        <w:rPr>
          <w:rFonts w:ascii="Arial" w:cs="Arial" w:eastAsia="Arial" w:hAnsi="Arial"/>
          <w:sz w:val="18"/>
          <w:szCs w:val="18"/>
          <w:color w:val="auto"/>
        </w:rPr>
        <w:t>$0.31 +/- $0.03</w:t>
      </w:r>
    </w:p>
    <w:p>
      <w:pPr>
        <w:sectPr>
          <w:pgSz w:w="11900" w:h="16838" w:orient="portrait"/>
          <w:cols w:equalWidth="0" w:num="2">
            <w:col w:w="7660" w:space="720"/>
            <w:col w:w="2060"/>
          </w:cols>
          <w:pgMar w:left="340" w:top="1134" w:right="1119" w:bottom="1440" w:gutter="0" w:footer="0" w:header="0"/>
          <w:type w:val="continuous"/>
        </w:sectPr>
      </w:pPr>
    </w:p>
    <w:bookmarkStart w:id="15" w:name="page16"/>
    <w:bookmarkEnd w:id="15"/>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9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700" w:type="dxa"/>
            <w:vAlign w:val="bottom"/>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66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720" w:type="dxa"/>
            <w:vAlign w:val="bottom"/>
            <w:tcBorders>
              <w:bottom w:val="single" w:sz="8" w:color="auto"/>
            </w:tcBorders>
            <w:gridSpan w:val="2"/>
          </w:tcPr>
          <w:p>
            <w:pPr>
              <w:jc w:val="center"/>
              <w:ind w:right="320"/>
              <w:spacing w:after="0"/>
              <w:rPr>
                <w:sz w:val="20"/>
                <w:szCs w:val="20"/>
                <w:color w:val="auto"/>
              </w:rPr>
            </w:pPr>
            <w:r>
              <w:rPr>
                <w:rFonts w:ascii="Arial" w:cs="Arial" w:eastAsia="Arial" w:hAnsi="Arial"/>
                <w:sz w:val="14"/>
                <w:szCs w:val="14"/>
                <w:b w:val="1"/>
                <w:bCs w:val="1"/>
                <w:color w:val="auto"/>
                <w:w w:val="95"/>
              </w:rPr>
              <w:t>Three Months Ended</w:t>
            </w:r>
          </w:p>
        </w:tc>
        <w:tc>
          <w:tcPr>
            <w:tcW w:w="380" w:type="dxa"/>
            <w:vAlign w:val="bottom"/>
            <w:tcBorders>
              <w:bottom w:val="single" w:sz="8" w:color="auto"/>
            </w:tcBorders>
          </w:tcPr>
          <w:p>
            <w:pPr>
              <w:spacing w:after="0"/>
              <w:rPr>
                <w:sz w:val="16"/>
                <w:szCs w:val="16"/>
                <w:color w:val="auto"/>
              </w:rPr>
            </w:pPr>
          </w:p>
        </w:tc>
        <w:tc>
          <w:tcPr>
            <w:tcW w:w="134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1940" w:type="dxa"/>
            <w:vAlign w:val="bottom"/>
            <w:tcBorders>
              <w:bottom w:val="single" w:sz="8" w:color="auto"/>
            </w:tcBorders>
            <w:gridSpan w:val="3"/>
          </w:tcPr>
          <w:p>
            <w:pPr>
              <w:ind w:left="1140"/>
              <w:spacing w:after="0"/>
              <w:rPr>
                <w:sz w:val="20"/>
                <w:szCs w:val="20"/>
                <w:color w:val="auto"/>
              </w:rPr>
            </w:pPr>
            <w:r>
              <w:rPr>
                <w:rFonts w:ascii="Arial" w:cs="Arial" w:eastAsia="Arial" w:hAnsi="Arial"/>
                <w:sz w:val="14"/>
                <w:szCs w:val="14"/>
                <w:b w:val="1"/>
                <w:bCs w:val="1"/>
                <w:color w:val="auto"/>
              </w:rPr>
              <w:t>% Change</w:t>
            </w:r>
          </w:p>
        </w:tc>
        <w:tc>
          <w:tcPr>
            <w:tcW w:w="100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2700" w:type="dxa"/>
            <w:vAlign w:val="bottom"/>
          </w:tcPr>
          <w:p>
            <w:pPr>
              <w:spacing w:after="0"/>
              <w:rPr>
                <w:sz w:val="11"/>
                <w:szCs w:val="11"/>
                <w:color w:val="auto"/>
              </w:rPr>
            </w:pPr>
          </w:p>
        </w:tc>
        <w:tc>
          <w:tcPr>
            <w:tcW w:w="1040" w:type="dxa"/>
            <w:vAlign w:val="bottom"/>
          </w:tcPr>
          <w:p>
            <w:pPr>
              <w:jc w:val="right"/>
              <w:spacing w:after="0" w:line="135" w:lineRule="exact"/>
              <w:rPr>
                <w:sz w:val="20"/>
                <w:szCs w:val="20"/>
                <w:color w:val="auto"/>
              </w:rPr>
            </w:pPr>
            <w:r>
              <w:rPr>
                <w:rFonts w:ascii="Arial" w:cs="Arial" w:eastAsia="Arial" w:hAnsi="Arial"/>
                <w:sz w:val="14"/>
                <w:szCs w:val="14"/>
                <w:b w:val="1"/>
                <w:bCs w:val="1"/>
                <w:color w:val="auto"/>
              </w:rPr>
              <w:t>May 1,</w:t>
            </w: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720" w:type="dxa"/>
            <w:vAlign w:val="bottom"/>
            <w:gridSpan w:val="2"/>
          </w:tcPr>
          <w:p>
            <w:pPr>
              <w:jc w:val="center"/>
              <w:ind w:right="320"/>
              <w:spacing w:after="0" w:line="135" w:lineRule="exact"/>
              <w:rPr>
                <w:sz w:val="20"/>
                <w:szCs w:val="20"/>
                <w:color w:val="auto"/>
              </w:rPr>
            </w:pPr>
            <w:r>
              <w:rPr>
                <w:rFonts w:ascii="Arial" w:cs="Arial" w:eastAsia="Arial" w:hAnsi="Arial"/>
                <w:sz w:val="14"/>
                <w:szCs w:val="14"/>
                <w:b w:val="1"/>
                <w:bCs w:val="1"/>
                <w:color w:val="auto"/>
                <w:w w:val="93"/>
              </w:rPr>
              <w:t>January 30,</w:t>
            </w:r>
          </w:p>
        </w:tc>
        <w:tc>
          <w:tcPr>
            <w:tcW w:w="380" w:type="dxa"/>
            <w:vAlign w:val="bottom"/>
          </w:tcPr>
          <w:p>
            <w:pPr>
              <w:spacing w:after="0"/>
              <w:rPr>
                <w:sz w:val="11"/>
                <w:szCs w:val="11"/>
                <w:color w:val="auto"/>
              </w:rPr>
            </w:pPr>
          </w:p>
        </w:tc>
        <w:tc>
          <w:tcPr>
            <w:tcW w:w="1340" w:type="dxa"/>
            <w:vAlign w:val="bottom"/>
          </w:tcPr>
          <w:p>
            <w:pPr>
              <w:jc w:val="right"/>
              <w:ind w:right="555"/>
              <w:spacing w:after="0" w:line="135" w:lineRule="exact"/>
              <w:rPr>
                <w:sz w:val="20"/>
                <w:szCs w:val="20"/>
                <w:color w:val="auto"/>
              </w:rPr>
            </w:pPr>
            <w:r>
              <w:rPr>
                <w:rFonts w:ascii="Arial" w:cs="Arial" w:eastAsia="Arial" w:hAnsi="Arial"/>
                <w:sz w:val="14"/>
                <w:szCs w:val="14"/>
                <w:b w:val="1"/>
                <w:bCs w:val="1"/>
                <w:color w:val="auto"/>
              </w:rPr>
              <w:t>May 2,</w:t>
            </w:r>
          </w:p>
        </w:tc>
        <w:tc>
          <w:tcPr>
            <w:tcW w:w="120" w:type="dxa"/>
            <w:vAlign w:val="bottom"/>
          </w:tcPr>
          <w:p>
            <w:pPr>
              <w:spacing w:after="0"/>
              <w:rPr>
                <w:sz w:val="11"/>
                <w:szCs w:val="11"/>
                <w:color w:val="auto"/>
              </w:rPr>
            </w:pPr>
          </w:p>
        </w:tc>
        <w:tc>
          <w:tcPr>
            <w:tcW w:w="1940" w:type="dxa"/>
            <w:vAlign w:val="bottom"/>
            <w:gridSpan w:val="3"/>
            <w:vMerge w:val="restart"/>
          </w:tcPr>
          <w:p>
            <w:pPr>
              <w:ind w:left="560"/>
              <w:spacing w:after="0"/>
              <w:rPr>
                <w:sz w:val="20"/>
                <w:szCs w:val="20"/>
                <w:color w:val="auto"/>
              </w:rPr>
            </w:pPr>
            <w:r>
              <w:rPr>
                <w:rFonts w:ascii="Arial" w:cs="Arial" w:eastAsia="Arial" w:hAnsi="Arial"/>
                <w:sz w:val="14"/>
                <w:szCs w:val="14"/>
                <w:b w:val="1"/>
                <w:bCs w:val="1"/>
                <w:color w:val="auto"/>
              </w:rPr>
              <w:t>YoY</w:t>
            </w:r>
          </w:p>
        </w:tc>
        <w:tc>
          <w:tcPr>
            <w:tcW w:w="1000" w:type="dxa"/>
            <w:vAlign w:val="bottom"/>
            <w:vMerge w:val="restart"/>
          </w:tcPr>
          <w:p>
            <w:pPr>
              <w:jc w:val="right"/>
              <w:ind w:right="453"/>
              <w:spacing w:after="0"/>
              <w:rPr>
                <w:sz w:val="20"/>
                <w:szCs w:val="20"/>
                <w:color w:val="auto"/>
              </w:rPr>
            </w:pPr>
            <w:r>
              <w:rPr>
                <w:rFonts w:ascii="Arial" w:cs="Arial" w:eastAsia="Arial" w:hAnsi="Arial"/>
                <w:sz w:val="14"/>
                <w:szCs w:val="14"/>
                <w:b w:val="1"/>
                <w:bCs w:val="1"/>
                <w:color w:val="auto"/>
              </w:rPr>
              <w:t>QoQ</w:t>
            </w:r>
          </w:p>
        </w:tc>
        <w:tc>
          <w:tcPr>
            <w:tcW w:w="0" w:type="dxa"/>
            <w:vAlign w:val="bottom"/>
          </w:tcPr>
          <w:p>
            <w:pPr>
              <w:spacing w:after="0"/>
              <w:rPr>
                <w:sz w:val="1"/>
                <w:szCs w:val="1"/>
                <w:color w:val="auto"/>
              </w:rPr>
            </w:pPr>
          </w:p>
        </w:tc>
      </w:tr>
      <w:tr>
        <w:trPr>
          <w:trHeight w:val="188"/>
        </w:trPr>
        <w:tc>
          <w:tcPr>
            <w:tcW w:w="2700" w:type="dxa"/>
            <w:vAlign w:val="bottom"/>
          </w:tcPr>
          <w:p>
            <w:pPr>
              <w:spacing w:after="0"/>
              <w:rPr>
                <w:sz w:val="16"/>
                <w:szCs w:val="16"/>
                <w:color w:val="auto"/>
              </w:rPr>
            </w:pPr>
          </w:p>
        </w:tc>
        <w:tc>
          <w:tcPr>
            <w:tcW w:w="1040" w:type="dxa"/>
            <w:vAlign w:val="bottom"/>
          </w:tcPr>
          <w:p>
            <w:pPr>
              <w:jc w:val="right"/>
              <w:spacing w:after="0"/>
              <w:rPr>
                <w:sz w:val="20"/>
                <w:szCs w:val="20"/>
                <w:color w:val="auto"/>
              </w:rPr>
            </w:pPr>
            <w:r>
              <w:rPr>
                <w:rFonts w:ascii="Arial" w:cs="Arial" w:eastAsia="Arial" w:hAnsi="Arial"/>
                <w:sz w:val="14"/>
                <w:szCs w:val="14"/>
                <w:b w:val="1"/>
                <w:bCs w:val="1"/>
                <w:color w:val="auto"/>
              </w:rPr>
              <w:t>2021*</w:t>
            </w:r>
          </w:p>
        </w:tc>
        <w:tc>
          <w:tcPr>
            <w:tcW w:w="6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60" w:type="dxa"/>
            <w:vAlign w:val="bottom"/>
          </w:tcPr>
          <w:p>
            <w:pPr>
              <w:jc w:val="center"/>
              <w:ind w:right="77"/>
              <w:spacing w:after="0"/>
              <w:rPr>
                <w:sz w:val="20"/>
                <w:szCs w:val="20"/>
                <w:color w:val="auto"/>
              </w:rPr>
            </w:pPr>
            <w:r>
              <w:rPr>
                <w:rFonts w:ascii="Arial" w:cs="Arial" w:eastAsia="Arial" w:hAnsi="Arial"/>
                <w:sz w:val="14"/>
                <w:szCs w:val="14"/>
                <w:b w:val="1"/>
                <w:bCs w:val="1"/>
                <w:color w:val="auto"/>
                <w:w w:val="89"/>
              </w:rPr>
              <w:t>2021</w:t>
            </w:r>
          </w:p>
        </w:tc>
        <w:tc>
          <w:tcPr>
            <w:tcW w:w="160" w:type="dxa"/>
            <w:vAlign w:val="bottom"/>
          </w:tcPr>
          <w:p>
            <w:pPr>
              <w:spacing w:after="0"/>
              <w:rPr>
                <w:sz w:val="16"/>
                <w:szCs w:val="16"/>
                <w:color w:val="auto"/>
              </w:rPr>
            </w:pPr>
          </w:p>
        </w:tc>
        <w:tc>
          <w:tcPr>
            <w:tcW w:w="380" w:type="dxa"/>
            <w:vAlign w:val="bottom"/>
          </w:tcPr>
          <w:p>
            <w:pPr>
              <w:spacing w:after="0"/>
              <w:rPr>
                <w:sz w:val="16"/>
                <w:szCs w:val="16"/>
                <w:color w:val="auto"/>
              </w:rPr>
            </w:pPr>
          </w:p>
        </w:tc>
        <w:tc>
          <w:tcPr>
            <w:tcW w:w="1340" w:type="dxa"/>
            <w:vAlign w:val="bottom"/>
          </w:tcPr>
          <w:p>
            <w:pPr>
              <w:jc w:val="right"/>
              <w:ind w:right="635"/>
              <w:spacing w:after="0"/>
              <w:rPr>
                <w:sz w:val="20"/>
                <w:szCs w:val="20"/>
                <w:color w:val="auto"/>
              </w:rPr>
            </w:pPr>
            <w:r>
              <w:rPr>
                <w:rFonts w:ascii="Arial" w:cs="Arial" w:eastAsia="Arial" w:hAnsi="Arial"/>
                <w:sz w:val="14"/>
                <w:szCs w:val="14"/>
                <w:b w:val="1"/>
                <w:bCs w:val="1"/>
                <w:color w:val="auto"/>
              </w:rPr>
              <w:t>2020</w:t>
            </w:r>
          </w:p>
        </w:tc>
        <w:tc>
          <w:tcPr>
            <w:tcW w:w="120" w:type="dxa"/>
            <w:vAlign w:val="bottom"/>
          </w:tcPr>
          <w:p>
            <w:pPr>
              <w:spacing w:after="0"/>
              <w:rPr>
                <w:sz w:val="16"/>
                <w:szCs w:val="16"/>
                <w:color w:val="auto"/>
              </w:rPr>
            </w:pPr>
          </w:p>
        </w:tc>
        <w:tc>
          <w:tcPr>
            <w:tcW w:w="1940" w:type="dxa"/>
            <w:vAlign w:val="bottom"/>
            <w:gridSpan w:val="3"/>
            <w:vMerge w:val="continue"/>
          </w:tcPr>
          <w:p>
            <w:pPr>
              <w:spacing w:after="0"/>
              <w:rPr>
                <w:sz w:val="16"/>
                <w:szCs w:val="16"/>
                <w:color w:val="auto"/>
              </w:rPr>
            </w:pPr>
          </w:p>
        </w:tc>
        <w:tc>
          <w:tcPr>
            <w:tcW w:w="10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27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 xml:space="preserve">Networking </w:t>
            </w:r>
            <w:r>
              <w:rPr>
                <w:rFonts w:ascii="Arial" w:cs="Arial" w:eastAsia="Arial" w:hAnsi="Arial"/>
                <w:sz w:val="18"/>
                <w:szCs w:val="18"/>
                <w:i w:val="1"/>
                <w:iCs w:val="1"/>
                <w:color w:val="auto"/>
              </w:rPr>
              <w:t>(1)</w:t>
            </w:r>
          </w:p>
        </w:tc>
        <w:tc>
          <w:tcPr>
            <w:tcW w:w="1040" w:type="dxa"/>
            <w:vAlign w:val="bottom"/>
            <w:tcBorders>
              <w:top w:val="single" w:sz="8" w:color="auto"/>
            </w:tcBorders>
            <w:shd w:val="clear" w:color="auto" w:fill="CCEEFF"/>
          </w:tcPr>
          <w:p>
            <w:pPr>
              <w:jc w:val="right"/>
              <w:ind w:right="859"/>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498,250</w:t>
            </w:r>
          </w:p>
        </w:tc>
        <w:tc>
          <w:tcPr>
            <w:tcW w:w="180" w:type="dxa"/>
            <w:vAlign w:val="bottom"/>
            <w:tcBorders>
              <w:top w:val="single" w:sz="8" w:color="CCEEFF"/>
            </w:tcBorders>
            <w:shd w:val="clear" w:color="auto" w:fill="CCEEFF"/>
          </w:tcPr>
          <w:p>
            <w:pPr>
              <w:spacing w:after="0"/>
              <w:rPr>
                <w:sz w:val="19"/>
                <w:szCs w:val="19"/>
                <w:color w:val="auto"/>
              </w:rPr>
            </w:pPr>
          </w:p>
        </w:tc>
        <w:tc>
          <w:tcPr>
            <w:tcW w:w="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438,610</w:t>
            </w:r>
          </w:p>
        </w:tc>
        <w:tc>
          <w:tcPr>
            <w:tcW w:w="160" w:type="dxa"/>
            <w:vAlign w:val="bottom"/>
            <w:tcBorders>
              <w:top w:val="single" w:sz="8" w:color="CCEEFF"/>
            </w:tcBorders>
            <w:shd w:val="clear" w:color="auto" w:fill="CCEEFF"/>
          </w:tcPr>
          <w:p>
            <w:pPr>
              <w:spacing w:after="0"/>
              <w:rPr>
                <w:sz w:val="19"/>
                <w:szCs w:val="19"/>
                <w:color w:val="auto"/>
              </w:rPr>
            </w:pPr>
          </w:p>
        </w:tc>
        <w:tc>
          <w:tcPr>
            <w:tcW w:w="380" w:type="dxa"/>
            <w:vAlign w:val="bottom"/>
            <w:tcBorders>
              <w:top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3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393,920</w:t>
            </w:r>
          </w:p>
        </w:tc>
        <w:tc>
          <w:tcPr>
            <w:tcW w:w="120" w:type="dxa"/>
            <w:vAlign w:val="bottom"/>
            <w:tcBorders>
              <w:top w:val="single" w:sz="8" w:color="CCEEFF"/>
            </w:tcBorders>
            <w:shd w:val="clear" w:color="auto" w:fill="CCEEFF"/>
          </w:tcPr>
          <w:p>
            <w:pPr>
              <w:spacing w:after="0"/>
              <w:rPr>
                <w:sz w:val="19"/>
                <w:szCs w:val="19"/>
                <w:color w:val="auto"/>
              </w:rPr>
            </w:pP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160" w:type="dxa"/>
            <w:vAlign w:val="bottom"/>
            <w:tcBorders>
              <w:top w:val="single" w:sz="8" w:color="CCEEFF"/>
            </w:tcBorders>
            <w:shd w:val="clear" w:color="auto" w:fill="CCEEFF"/>
          </w:tcPr>
          <w:p>
            <w:pPr>
              <w:spacing w:after="0"/>
              <w:rPr>
                <w:sz w:val="19"/>
                <w:szCs w:val="19"/>
                <w:color w:val="auto"/>
              </w:rPr>
            </w:pPr>
          </w:p>
        </w:tc>
        <w:tc>
          <w:tcPr>
            <w:tcW w:w="400" w:type="dxa"/>
            <w:vAlign w:val="bottom"/>
            <w:tcBorders>
              <w:top w:val="single" w:sz="8" w:color="auto"/>
            </w:tcBorders>
            <w:shd w:val="clear" w:color="auto" w:fill="CCEEFF"/>
          </w:tcPr>
          <w:p>
            <w:pPr>
              <w:spacing w:after="0"/>
              <w:rPr>
                <w:sz w:val="19"/>
                <w:szCs w:val="19"/>
                <w:color w:val="auto"/>
              </w:rPr>
            </w:pPr>
          </w:p>
        </w:tc>
        <w:tc>
          <w:tcPr>
            <w:tcW w:w="10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14 %</w:t>
            </w:r>
          </w:p>
        </w:tc>
        <w:tc>
          <w:tcPr>
            <w:tcW w:w="0" w:type="dxa"/>
            <w:vAlign w:val="bottom"/>
          </w:tcPr>
          <w:p>
            <w:pPr>
              <w:spacing w:after="0"/>
              <w:rPr>
                <w:sz w:val="1"/>
                <w:szCs w:val="1"/>
                <w:color w:val="auto"/>
              </w:rPr>
            </w:pPr>
          </w:p>
        </w:tc>
      </w:tr>
      <w:tr>
        <w:trPr>
          <w:trHeight w:val="229"/>
        </w:trPr>
        <w:tc>
          <w:tcPr>
            <w:tcW w:w="27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 xml:space="preserve">Storage </w:t>
            </w:r>
            <w:r>
              <w:rPr>
                <w:rFonts w:ascii="Arial" w:cs="Arial" w:eastAsia="Arial" w:hAnsi="Arial"/>
                <w:sz w:val="18"/>
                <w:szCs w:val="18"/>
                <w:i w:val="1"/>
                <w:iCs w:val="1"/>
                <w:color w:val="auto"/>
              </w:rPr>
              <w:t>(2)</w:t>
            </w:r>
          </w:p>
        </w:tc>
        <w:tc>
          <w:tcPr>
            <w:tcW w:w="104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9"/>
              </w:rPr>
              <w:t>302,918</w:t>
            </w:r>
          </w:p>
        </w:tc>
        <w:tc>
          <w:tcPr>
            <w:tcW w:w="18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326,412</w:t>
            </w:r>
          </w:p>
        </w:tc>
        <w:tc>
          <w:tcPr>
            <w:tcW w:w="160" w:type="dxa"/>
            <w:vAlign w:val="bottom"/>
            <w:tcBorders>
              <w:bottom w:val="single" w:sz="8" w:color="CCEEFF"/>
            </w:tcBorders>
          </w:tcPr>
          <w:p>
            <w:pPr>
              <w:spacing w:after="0"/>
              <w:rPr>
                <w:sz w:val="19"/>
                <w:szCs w:val="19"/>
                <w:color w:val="auto"/>
              </w:rPr>
            </w:pPr>
          </w:p>
        </w:tc>
        <w:tc>
          <w:tcPr>
            <w:tcW w:w="38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258,688</w:t>
            </w:r>
          </w:p>
        </w:tc>
        <w:tc>
          <w:tcPr>
            <w:tcW w:w="120" w:type="dxa"/>
            <w:vAlign w:val="bottom"/>
            <w:tcBorders>
              <w:bottom w:val="single" w:sz="8" w:color="CCEEFF"/>
            </w:tcBorders>
          </w:tcPr>
          <w:p>
            <w:pPr>
              <w:spacing w:after="0"/>
              <w:rPr>
                <w:sz w:val="19"/>
                <w:szCs w:val="19"/>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17 %</w:t>
            </w:r>
          </w:p>
        </w:tc>
        <w:tc>
          <w:tcPr>
            <w:tcW w:w="160" w:type="dxa"/>
            <w:vAlign w:val="bottom"/>
            <w:tcBorders>
              <w:bottom w:val="single" w:sz="8" w:color="CCEEFF"/>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23"/>
        </w:trPr>
        <w:tc>
          <w:tcPr>
            <w:tcW w:w="2700" w:type="dxa"/>
            <w:vAlign w:val="bottom"/>
            <w:shd w:val="clear" w:color="auto" w:fill="CCEEFF"/>
          </w:tcPr>
          <w:p>
            <w:pPr>
              <w:ind w:left="160"/>
              <w:spacing w:after="0"/>
              <w:rPr>
                <w:sz w:val="20"/>
                <w:szCs w:val="20"/>
                <w:color w:val="auto"/>
              </w:rPr>
            </w:pPr>
            <w:r>
              <w:rPr>
                <w:rFonts w:ascii="Arial" w:cs="Arial" w:eastAsia="Arial" w:hAnsi="Arial"/>
                <w:sz w:val="18"/>
                <w:szCs w:val="18"/>
                <w:color w:val="auto"/>
              </w:rPr>
              <w:t>Total Core</w:t>
            </w:r>
          </w:p>
        </w:tc>
        <w:tc>
          <w:tcPr>
            <w:tcW w:w="1040" w:type="dxa"/>
            <w:vAlign w:val="bottom"/>
            <w:shd w:val="clear" w:color="auto" w:fill="CCEEFF"/>
          </w:tcPr>
          <w:p>
            <w:pPr>
              <w:spacing w:after="0"/>
              <w:rPr>
                <w:sz w:val="19"/>
                <w:szCs w:val="19"/>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801,168</w:t>
            </w:r>
          </w:p>
        </w:tc>
        <w:tc>
          <w:tcPr>
            <w:tcW w:w="18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765,022</w:t>
            </w:r>
          </w:p>
        </w:tc>
        <w:tc>
          <w:tcPr>
            <w:tcW w:w="1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652,608</w:t>
            </w:r>
          </w:p>
        </w:tc>
        <w:tc>
          <w:tcPr>
            <w:tcW w:w="120" w:type="dxa"/>
            <w:vAlign w:val="bottom"/>
            <w:shd w:val="clear" w:color="auto" w:fill="CCEEFF"/>
          </w:tcPr>
          <w:p>
            <w:pPr>
              <w:spacing w:after="0"/>
              <w:rPr>
                <w:sz w:val="19"/>
                <w:szCs w:val="19"/>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23 %</w:t>
            </w:r>
          </w:p>
        </w:tc>
        <w:tc>
          <w:tcPr>
            <w:tcW w:w="16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29"/>
        </w:trPr>
        <w:tc>
          <w:tcPr>
            <w:tcW w:w="27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(3)</w:t>
            </w:r>
          </w:p>
        </w:tc>
        <w:tc>
          <w:tcPr>
            <w:tcW w:w="104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31,111</w:t>
            </w:r>
          </w:p>
        </w:tc>
        <w:tc>
          <w:tcPr>
            <w:tcW w:w="18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32,797</w:t>
            </w:r>
          </w:p>
        </w:tc>
        <w:tc>
          <w:tcPr>
            <w:tcW w:w="160" w:type="dxa"/>
            <w:vAlign w:val="bottom"/>
            <w:tcBorders>
              <w:bottom w:val="single" w:sz="8" w:color="CCEEFF"/>
            </w:tcBorders>
          </w:tcPr>
          <w:p>
            <w:pPr>
              <w:spacing w:after="0"/>
              <w:rPr>
                <w:sz w:val="19"/>
                <w:szCs w:val="19"/>
                <w:color w:val="auto"/>
              </w:rPr>
            </w:pPr>
          </w:p>
        </w:tc>
        <w:tc>
          <w:tcPr>
            <w:tcW w:w="380" w:type="dxa"/>
            <w:vAlign w:val="bottom"/>
            <w:tcBorders>
              <w:bottom w:val="single" w:sz="8" w:color="auto"/>
            </w:tcBorders>
          </w:tcPr>
          <w:p>
            <w:pPr>
              <w:spacing w:after="0"/>
              <w:rPr>
                <w:sz w:val="19"/>
                <w:szCs w:val="19"/>
                <w:color w:val="auto"/>
              </w:rPr>
            </w:pPr>
          </w:p>
        </w:tc>
        <w:tc>
          <w:tcPr>
            <w:tcW w:w="13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41,033</w:t>
            </w:r>
          </w:p>
        </w:tc>
        <w:tc>
          <w:tcPr>
            <w:tcW w:w="120" w:type="dxa"/>
            <w:vAlign w:val="bottom"/>
            <w:tcBorders>
              <w:bottom w:val="single" w:sz="8" w:color="CCEEFF"/>
            </w:tcBorders>
          </w:tcPr>
          <w:p>
            <w:pPr>
              <w:spacing w:after="0"/>
              <w:rPr>
                <w:sz w:val="19"/>
                <w:szCs w:val="19"/>
                <w:color w:val="auto"/>
              </w:rPr>
            </w:pPr>
          </w:p>
        </w:tc>
        <w:tc>
          <w:tcPr>
            <w:tcW w:w="13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w:t>
            </w:r>
          </w:p>
        </w:tc>
        <w:tc>
          <w:tcPr>
            <w:tcW w:w="160" w:type="dxa"/>
            <w:vAlign w:val="bottom"/>
            <w:tcBorders>
              <w:bottom w:val="single" w:sz="8" w:color="CCEEFF"/>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248"/>
        </w:trPr>
        <w:tc>
          <w:tcPr>
            <w:tcW w:w="2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Net Revenue</w:t>
            </w:r>
          </w:p>
        </w:tc>
        <w:tc>
          <w:tcPr>
            <w:tcW w:w="1040" w:type="dxa"/>
            <w:vAlign w:val="bottom"/>
            <w:tcBorders>
              <w:bottom w:val="single" w:sz="8" w:color="auto"/>
            </w:tcBorders>
            <w:shd w:val="clear" w:color="auto" w:fill="CCEEFF"/>
          </w:tcPr>
          <w:p>
            <w:pPr>
              <w:jc w:val="right"/>
              <w:ind w:right="859"/>
              <w:spacing w:after="0"/>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832,279</w:t>
            </w:r>
          </w:p>
        </w:tc>
        <w:tc>
          <w:tcPr>
            <w:tcW w:w="18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797,819</w:t>
            </w:r>
          </w:p>
        </w:tc>
        <w:tc>
          <w:tcPr>
            <w:tcW w:w="160" w:type="dxa"/>
            <w:vAlign w:val="bottom"/>
            <w:tcBorders>
              <w:bottom w:val="single" w:sz="8" w:color="CCEEFF"/>
            </w:tcBorders>
            <w:shd w:val="clear" w:color="auto" w:fill="CCEEFF"/>
          </w:tcPr>
          <w:p>
            <w:pPr>
              <w:spacing w:after="0"/>
              <w:rPr>
                <w:sz w:val="21"/>
                <w:szCs w:val="21"/>
                <w:color w:val="auto"/>
              </w:rPr>
            </w:pPr>
          </w:p>
        </w:tc>
        <w:tc>
          <w:tcPr>
            <w:tcW w:w="380" w:type="dxa"/>
            <w:vAlign w:val="bottom"/>
            <w:tcBorders>
              <w:bottom w:val="single" w:sz="8" w:color="auto"/>
            </w:tcBorders>
            <w:shd w:val="clear" w:color="auto" w:fill="CCEEFF"/>
          </w:tcPr>
          <w:p>
            <w:pPr>
              <w:jc w:val="right"/>
              <w:ind w:right="190"/>
              <w:spacing w:after="0"/>
              <w:rPr>
                <w:sz w:val="20"/>
                <w:szCs w:val="20"/>
                <w:color w:val="auto"/>
              </w:rPr>
            </w:pPr>
            <w:r>
              <w:rPr>
                <w:rFonts w:ascii="Arial" w:cs="Arial" w:eastAsia="Arial" w:hAnsi="Arial"/>
                <w:sz w:val="18"/>
                <w:szCs w:val="18"/>
                <w:color w:val="auto"/>
                <w:w w:val="79"/>
              </w:rPr>
              <w:t>$</w:t>
            </w:r>
          </w:p>
        </w:tc>
        <w:tc>
          <w:tcPr>
            <w:tcW w:w="13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693,641</w:t>
            </w:r>
          </w:p>
        </w:tc>
        <w:tc>
          <w:tcPr>
            <w:tcW w:w="120" w:type="dxa"/>
            <w:vAlign w:val="bottom"/>
            <w:tcBorders>
              <w:bottom w:val="single" w:sz="8" w:color="CCEEFF"/>
            </w:tcBorders>
            <w:shd w:val="clear" w:color="auto" w:fill="CCEEFF"/>
          </w:tcPr>
          <w:p>
            <w:pPr>
              <w:spacing w:after="0"/>
              <w:rPr>
                <w:sz w:val="21"/>
                <w:szCs w:val="21"/>
                <w:color w:val="auto"/>
              </w:rPr>
            </w:pPr>
          </w:p>
        </w:tc>
        <w:tc>
          <w:tcPr>
            <w:tcW w:w="1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160" w:type="dxa"/>
            <w:vAlign w:val="bottom"/>
            <w:tcBorders>
              <w:bottom w:val="single" w:sz="8" w:color="CCEEFF"/>
            </w:tcBorders>
            <w:shd w:val="clear" w:color="auto" w:fill="CCEEFF"/>
          </w:tcPr>
          <w:p>
            <w:pPr>
              <w:spacing w:after="0"/>
              <w:rPr>
                <w:sz w:val="21"/>
                <w:szCs w:val="21"/>
                <w:color w:val="auto"/>
              </w:rPr>
            </w:pPr>
          </w:p>
        </w:tc>
        <w:tc>
          <w:tcPr>
            <w:tcW w:w="40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0"/>
        </w:trPr>
        <w:tc>
          <w:tcPr>
            <w:tcW w:w="270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66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56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38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40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37" w:lineRule="exact"/>
        <w:rPr>
          <w:sz w:val="20"/>
          <w:szCs w:val="20"/>
          <w:color w:val="auto"/>
        </w:rPr>
      </w:pPr>
    </w:p>
    <w:p>
      <w:pPr>
        <w:spacing w:after="0"/>
        <w:rPr>
          <w:sz w:val="20"/>
          <w:szCs w:val="20"/>
          <w:color w:val="auto"/>
        </w:rPr>
      </w:pPr>
      <w:r>
        <w:rPr>
          <w:rFonts w:ascii="Arial" w:cs="Arial" w:eastAsia="Arial" w:hAnsi="Arial"/>
          <w:sz w:val="18"/>
          <w:szCs w:val="18"/>
          <w:color w:val="auto"/>
        </w:rPr>
        <w:t>*Results for the three months ended May 1, 2021 include total Inphi revenue from the period of April 20, 2021 to May 1, 2021.</w:t>
      </w:r>
    </w:p>
    <w:p>
      <w:pPr>
        <w:spacing w:after="0" w:line="284" w:lineRule="exact"/>
        <w:rPr>
          <w:sz w:val="20"/>
          <w:szCs w:val="20"/>
          <w:color w:val="auto"/>
        </w:rPr>
      </w:pPr>
    </w:p>
    <w:tbl>
      <w:tblPr>
        <w:tblLayout w:type="fixed"/>
        <w:tblInd w:w="20" w:type="dxa"/>
        <w:tblCellMar>
          <w:top w:w="0" w:type="dxa"/>
          <w:left w:w="0" w:type="dxa"/>
          <w:bottom w:w="0" w:type="dxa"/>
          <w:right w:w="0" w:type="dxa"/>
        </w:tblCellMar>
      </w:tblPr>
      <w:tr>
        <w:trPr>
          <w:trHeight w:val="192"/>
        </w:trPr>
        <w:tc>
          <w:tcPr>
            <w:tcW w:w="4960" w:type="dxa"/>
            <w:vAlign w:val="bottom"/>
          </w:tcPr>
          <w:p>
            <w:pPr>
              <w:spacing w:after="0"/>
              <w:rPr>
                <w:sz w:val="16"/>
                <w:szCs w:val="16"/>
                <w:color w:val="auto"/>
              </w:rPr>
            </w:pPr>
          </w:p>
        </w:tc>
        <w:tc>
          <w:tcPr>
            <w:tcW w:w="1340" w:type="dxa"/>
            <w:vAlign w:val="bottom"/>
            <w:tcBorders>
              <w:bottom w:val="single" w:sz="8" w:color="auto"/>
            </w:tcBorders>
          </w:tcPr>
          <w:p>
            <w:pPr>
              <w:spacing w:after="0"/>
              <w:rPr>
                <w:sz w:val="16"/>
                <w:szCs w:val="16"/>
                <w:color w:val="auto"/>
              </w:rPr>
            </w:pPr>
          </w:p>
        </w:tc>
        <w:tc>
          <w:tcPr>
            <w:tcW w:w="62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160" w:type="dxa"/>
            <w:vAlign w:val="bottom"/>
            <w:tcBorders>
              <w:bottom w:val="single" w:sz="8" w:color="auto"/>
            </w:tcBorders>
            <w:gridSpan w:val="2"/>
          </w:tcPr>
          <w:p>
            <w:pPr>
              <w:jc w:val="center"/>
              <w:ind w:right="140"/>
              <w:spacing w:after="0"/>
              <w:rPr>
                <w:sz w:val="20"/>
                <w:szCs w:val="20"/>
                <w:color w:val="auto"/>
              </w:rPr>
            </w:pPr>
            <w:r>
              <w:rPr>
                <w:rFonts w:ascii="Arial" w:cs="Arial" w:eastAsia="Arial" w:hAnsi="Arial"/>
                <w:sz w:val="14"/>
                <w:szCs w:val="14"/>
                <w:b w:val="1"/>
                <w:bCs w:val="1"/>
                <w:color w:val="auto"/>
                <w:w w:val="93"/>
              </w:rPr>
              <w:t>Three Months Ended</w:t>
            </w:r>
          </w:p>
        </w:tc>
        <w:tc>
          <w:tcPr>
            <w:tcW w:w="19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4960" w:type="dxa"/>
            <w:vAlign w:val="bottom"/>
            <w:vMerge w:val="restart"/>
          </w:tcPr>
          <w:p>
            <w:pPr>
              <w:ind w:left="20"/>
              <w:spacing w:after="0"/>
              <w:rPr>
                <w:sz w:val="20"/>
                <w:szCs w:val="20"/>
                <w:color w:val="auto"/>
              </w:rPr>
            </w:pPr>
            <w:r>
              <w:rPr>
                <w:rFonts w:ascii="Arial" w:cs="Arial" w:eastAsia="Arial" w:hAnsi="Arial"/>
                <w:sz w:val="18"/>
                <w:szCs w:val="18"/>
                <w:b w:val="1"/>
                <w:bCs w:val="1"/>
                <w:color w:val="auto"/>
              </w:rPr>
              <w:t>% of Total</w:t>
            </w:r>
          </w:p>
        </w:tc>
        <w:tc>
          <w:tcPr>
            <w:tcW w:w="1340" w:type="dxa"/>
            <w:vAlign w:val="bottom"/>
          </w:tcPr>
          <w:p>
            <w:pPr>
              <w:jc w:val="center"/>
              <w:ind w:left="568"/>
              <w:spacing w:after="0" w:line="135" w:lineRule="exact"/>
              <w:rPr>
                <w:sz w:val="20"/>
                <w:szCs w:val="20"/>
                <w:color w:val="auto"/>
              </w:rPr>
            </w:pPr>
            <w:r>
              <w:rPr>
                <w:rFonts w:ascii="Arial" w:cs="Arial" w:eastAsia="Arial" w:hAnsi="Arial"/>
                <w:sz w:val="14"/>
                <w:szCs w:val="14"/>
                <w:b w:val="1"/>
                <w:bCs w:val="1"/>
                <w:color w:val="auto"/>
                <w:w w:val="98"/>
              </w:rPr>
              <w:t>May 1,</w:t>
            </w: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2160" w:type="dxa"/>
            <w:vAlign w:val="bottom"/>
            <w:gridSpan w:val="2"/>
          </w:tcPr>
          <w:p>
            <w:pPr>
              <w:jc w:val="center"/>
              <w:ind w:right="160"/>
              <w:spacing w:after="0" w:line="135" w:lineRule="exact"/>
              <w:rPr>
                <w:sz w:val="20"/>
                <w:szCs w:val="20"/>
                <w:color w:val="auto"/>
              </w:rPr>
            </w:pPr>
            <w:r>
              <w:rPr>
                <w:rFonts w:ascii="Arial" w:cs="Arial" w:eastAsia="Arial" w:hAnsi="Arial"/>
                <w:sz w:val="14"/>
                <w:szCs w:val="14"/>
                <w:b w:val="1"/>
                <w:bCs w:val="1"/>
                <w:color w:val="auto"/>
                <w:w w:val="93"/>
              </w:rPr>
              <w:t>January 30,</w:t>
            </w:r>
          </w:p>
        </w:tc>
        <w:tc>
          <w:tcPr>
            <w:tcW w:w="1960" w:type="dxa"/>
            <w:vAlign w:val="bottom"/>
          </w:tcPr>
          <w:p>
            <w:pPr>
              <w:jc w:val="right"/>
              <w:ind w:right="675"/>
              <w:spacing w:after="0" w:line="135" w:lineRule="exact"/>
              <w:rPr>
                <w:sz w:val="20"/>
                <w:szCs w:val="20"/>
                <w:color w:val="auto"/>
              </w:rPr>
            </w:pPr>
            <w:r>
              <w:rPr>
                <w:rFonts w:ascii="Arial" w:cs="Arial" w:eastAsia="Arial" w:hAnsi="Arial"/>
                <w:sz w:val="14"/>
                <w:szCs w:val="14"/>
                <w:b w:val="1"/>
                <w:bCs w:val="1"/>
                <w:color w:val="auto"/>
              </w:rPr>
              <w:t>May 2,</w:t>
            </w:r>
          </w:p>
        </w:tc>
        <w:tc>
          <w:tcPr>
            <w:tcW w:w="0" w:type="dxa"/>
            <w:vAlign w:val="bottom"/>
          </w:tcPr>
          <w:p>
            <w:pPr>
              <w:spacing w:after="0"/>
              <w:rPr>
                <w:sz w:val="1"/>
                <w:szCs w:val="1"/>
                <w:color w:val="auto"/>
              </w:rPr>
            </w:pPr>
          </w:p>
        </w:tc>
      </w:tr>
      <w:tr>
        <w:trPr>
          <w:trHeight w:val="189"/>
        </w:trPr>
        <w:tc>
          <w:tcPr>
            <w:tcW w:w="4960" w:type="dxa"/>
            <w:vAlign w:val="bottom"/>
            <w:tcBorders>
              <w:bottom w:val="single" w:sz="8" w:color="CCEEFF"/>
            </w:tcBorders>
            <w:vMerge w:val="continue"/>
          </w:tcPr>
          <w:p>
            <w:pPr>
              <w:spacing w:after="0"/>
              <w:rPr>
                <w:sz w:val="16"/>
                <w:szCs w:val="16"/>
                <w:color w:val="auto"/>
              </w:rPr>
            </w:pPr>
          </w:p>
        </w:tc>
        <w:tc>
          <w:tcPr>
            <w:tcW w:w="1340" w:type="dxa"/>
            <w:vAlign w:val="bottom"/>
            <w:tcBorders>
              <w:bottom w:val="single" w:sz="8" w:color="auto"/>
            </w:tcBorders>
          </w:tcPr>
          <w:p>
            <w:pPr>
              <w:jc w:val="right"/>
              <w:ind w:right="128"/>
              <w:spacing w:after="0"/>
              <w:rPr>
                <w:sz w:val="20"/>
                <w:szCs w:val="20"/>
                <w:color w:val="auto"/>
              </w:rPr>
            </w:pPr>
            <w:r>
              <w:rPr>
                <w:rFonts w:ascii="Arial" w:cs="Arial" w:eastAsia="Arial" w:hAnsi="Arial"/>
                <w:sz w:val="14"/>
                <w:szCs w:val="14"/>
                <w:b w:val="1"/>
                <w:bCs w:val="1"/>
                <w:color w:val="auto"/>
              </w:rPr>
              <w:t>2021</w:t>
            </w:r>
          </w:p>
        </w:tc>
        <w:tc>
          <w:tcPr>
            <w:tcW w:w="620" w:type="dxa"/>
            <w:vAlign w:val="bottom"/>
            <w:tcBorders>
              <w:bottom w:val="single" w:sz="8" w:color="auto"/>
            </w:tcBorders>
          </w:tcPr>
          <w:p>
            <w:pPr>
              <w:spacing w:after="0"/>
              <w:rPr>
                <w:sz w:val="16"/>
                <w:szCs w:val="16"/>
                <w:color w:val="auto"/>
              </w:rPr>
            </w:pPr>
          </w:p>
        </w:tc>
        <w:tc>
          <w:tcPr>
            <w:tcW w:w="160" w:type="dxa"/>
            <w:vAlign w:val="bottom"/>
            <w:tcBorders>
              <w:bottom w:val="single" w:sz="8" w:color="CCEEFF"/>
            </w:tcBorders>
          </w:tcPr>
          <w:p>
            <w:pPr>
              <w:spacing w:after="0"/>
              <w:rPr>
                <w:sz w:val="16"/>
                <w:szCs w:val="16"/>
                <w:color w:val="auto"/>
              </w:rPr>
            </w:pPr>
          </w:p>
        </w:tc>
        <w:tc>
          <w:tcPr>
            <w:tcW w:w="19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2021</w:t>
            </w:r>
          </w:p>
        </w:tc>
        <w:tc>
          <w:tcPr>
            <w:tcW w:w="180" w:type="dxa"/>
            <w:vAlign w:val="bottom"/>
            <w:tcBorders>
              <w:bottom w:val="single" w:sz="8" w:color="CCEEFF"/>
            </w:tcBorders>
          </w:tcPr>
          <w:p>
            <w:pPr>
              <w:spacing w:after="0"/>
              <w:rPr>
                <w:sz w:val="16"/>
                <w:szCs w:val="16"/>
                <w:color w:val="auto"/>
              </w:rPr>
            </w:pPr>
          </w:p>
        </w:tc>
        <w:tc>
          <w:tcPr>
            <w:tcW w:w="1960" w:type="dxa"/>
            <w:vAlign w:val="bottom"/>
            <w:tcBorders>
              <w:bottom w:val="single" w:sz="8" w:color="auto"/>
            </w:tcBorders>
          </w:tcPr>
          <w:p>
            <w:pPr>
              <w:jc w:val="right"/>
              <w:ind w:right="735"/>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23"/>
        </w:trPr>
        <w:tc>
          <w:tcPr>
            <w:tcW w:w="4960" w:type="dxa"/>
            <w:vAlign w:val="bottom"/>
            <w:shd w:val="clear" w:color="auto" w:fill="CCEEFF"/>
          </w:tcPr>
          <w:p>
            <w:pPr>
              <w:ind w:left="60"/>
              <w:spacing w:after="0"/>
              <w:rPr>
                <w:sz w:val="20"/>
                <w:szCs w:val="20"/>
                <w:color w:val="auto"/>
              </w:rPr>
            </w:pPr>
            <w:r>
              <w:rPr>
                <w:rFonts w:ascii="Arial" w:cs="Arial" w:eastAsia="Arial" w:hAnsi="Arial"/>
                <w:sz w:val="18"/>
                <w:szCs w:val="18"/>
                <w:color w:val="auto"/>
              </w:rPr>
              <w:t xml:space="preserve">Networking </w:t>
            </w:r>
            <w:r>
              <w:rPr>
                <w:rFonts w:ascii="Arial" w:cs="Arial" w:eastAsia="Arial" w:hAnsi="Arial"/>
                <w:sz w:val="18"/>
                <w:szCs w:val="18"/>
                <w:i w:val="1"/>
                <w:iCs w:val="1"/>
                <w:color w:val="auto"/>
              </w:rPr>
              <w:t>(1)</w:t>
            </w:r>
          </w:p>
        </w:tc>
        <w:tc>
          <w:tcPr>
            <w:tcW w:w="1340" w:type="dxa"/>
            <w:vAlign w:val="bottom"/>
            <w:shd w:val="clear" w:color="auto" w:fill="CCEEFF"/>
          </w:tcPr>
          <w:p>
            <w:pPr>
              <w:spacing w:after="0"/>
              <w:rPr>
                <w:sz w:val="19"/>
                <w:szCs w:val="19"/>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60 %</w:t>
            </w:r>
          </w:p>
        </w:tc>
        <w:tc>
          <w:tcPr>
            <w:tcW w:w="1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55 %</w:t>
            </w:r>
          </w:p>
        </w:tc>
        <w:tc>
          <w:tcPr>
            <w:tcW w:w="180" w:type="dxa"/>
            <w:vAlign w:val="bottom"/>
            <w:shd w:val="clear" w:color="auto" w:fill="CCEEFF"/>
          </w:tcPr>
          <w:p>
            <w:pPr>
              <w:spacing w:after="0"/>
              <w:rPr>
                <w:sz w:val="19"/>
                <w:szCs w:val="19"/>
                <w:color w:val="auto"/>
              </w:rPr>
            </w:pPr>
          </w:p>
        </w:tc>
        <w:tc>
          <w:tcPr>
            <w:tcW w:w="1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57 %</w:t>
            </w:r>
          </w:p>
        </w:tc>
        <w:tc>
          <w:tcPr>
            <w:tcW w:w="0" w:type="dxa"/>
            <w:vAlign w:val="bottom"/>
          </w:tcPr>
          <w:p>
            <w:pPr>
              <w:spacing w:after="0"/>
              <w:rPr>
                <w:sz w:val="1"/>
                <w:szCs w:val="1"/>
                <w:color w:val="auto"/>
              </w:rPr>
            </w:pPr>
          </w:p>
        </w:tc>
      </w:tr>
      <w:tr>
        <w:trPr>
          <w:trHeight w:val="230"/>
        </w:trPr>
        <w:tc>
          <w:tcPr>
            <w:tcW w:w="496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 xml:space="preserve">Storage </w:t>
            </w:r>
            <w:r>
              <w:rPr>
                <w:rFonts w:ascii="Arial" w:cs="Arial" w:eastAsia="Arial" w:hAnsi="Arial"/>
                <w:sz w:val="18"/>
                <w:szCs w:val="18"/>
                <w:i w:val="1"/>
                <w:iCs w:val="1"/>
                <w:color w:val="auto"/>
              </w:rPr>
              <w:t>(2)</w:t>
            </w:r>
          </w:p>
        </w:tc>
        <w:tc>
          <w:tcPr>
            <w:tcW w:w="134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36 %</w:t>
            </w:r>
          </w:p>
        </w:tc>
        <w:tc>
          <w:tcPr>
            <w:tcW w:w="160" w:type="dxa"/>
            <w:vAlign w:val="bottom"/>
            <w:tcBorders>
              <w:bottom w:val="single" w:sz="8" w:color="CCEEFF"/>
            </w:tcBorders>
          </w:tcPr>
          <w:p>
            <w:pPr>
              <w:spacing w:after="0"/>
              <w:rPr>
                <w:sz w:val="19"/>
                <w:szCs w:val="19"/>
                <w:color w:val="auto"/>
              </w:rPr>
            </w:pPr>
          </w:p>
        </w:tc>
        <w:tc>
          <w:tcPr>
            <w:tcW w:w="1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41 %</w:t>
            </w:r>
          </w:p>
        </w:tc>
        <w:tc>
          <w:tcPr>
            <w:tcW w:w="180" w:type="dxa"/>
            <w:vAlign w:val="bottom"/>
            <w:tcBorders>
              <w:bottom w:val="single" w:sz="8" w:color="CCEEFF"/>
            </w:tcBorders>
          </w:tcPr>
          <w:p>
            <w:pPr>
              <w:spacing w:after="0"/>
              <w:rPr>
                <w:sz w:val="19"/>
                <w:szCs w:val="19"/>
                <w:color w:val="auto"/>
              </w:rPr>
            </w:pPr>
          </w:p>
        </w:tc>
        <w:tc>
          <w:tcPr>
            <w:tcW w:w="1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37 %</w:t>
            </w:r>
          </w:p>
        </w:tc>
        <w:tc>
          <w:tcPr>
            <w:tcW w:w="0" w:type="dxa"/>
            <w:vAlign w:val="bottom"/>
          </w:tcPr>
          <w:p>
            <w:pPr>
              <w:spacing w:after="0"/>
              <w:rPr>
                <w:sz w:val="1"/>
                <w:szCs w:val="1"/>
                <w:color w:val="auto"/>
              </w:rPr>
            </w:pPr>
          </w:p>
        </w:tc>
      </w:tr>
      <w:tr>
        <w:trPr>
          <w:trHeight w:val="223"/>
        </w:trPr>
        <w:tc>
          <w:tcPr>
            <w:tcW w:w="4960" w:type="dxa"/>
            <w:vAlign w:val="bottom"/>
            <w:shd w:val="clear" w:color="auto" w:fill="CCEEFF"/>
          </w:tcPr>
          <w:p>
            <w:pPr>
              <w:ind w:left="160"/>
              <w:spacing w:after="0"/>
              <w:rPr>
                <w:sz w:val="20"/>
                <w:szCs w:val="20"/>
                <w:color w:val="auto"/>
              </w:rPr>
            </w:pPr>
            <w:r>
              <w:rPr>
                <w:rFonts w:ascii="Arial" w:cs="Arial" w:eastAsia="Arial" w:hAnsi="Arial"/>
                <w:sz w:val="18"/>
                <w:szCs w:val="18"/>
                <w:color w:val="auto"/>
              </w:rPr>
              <w:t>Total Core</w:t>
            </w:r>
          </w:p>
        </w:tc>
        <w:tc>
          <w:tcPr>
            <w:tcW w:w="1340" w:type="dxa"/>
            <w:vAlign w:val="bottom"/>
            <w:shd w:val="clear" w:color="auto" w:fill="CCEEFF"/>
          </w:tcPr>
          <w:p>
            <w:pPr>
              <w:spacing w:after="0"/>
              <w:rPr>
                <w:sz w:val="19"/>
                <w:szCs w:val="19"/>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96 %</w:t>
            </w:r>
          </w:p>
        </w:tc>
        <w:tc>
          <w:tcPr>
            <w:tcW w:w="160" w:type="dxa"/>
            <w:vAlign w:val="bottom"/>
            <w:shd w:val="clear" w:color="auto" w:fill="CCEEFF"/>
          </w:tcPr>
          <w:p>
            <w:pPr>
              <w:spacing w:after="0"/>
              <w:rPr>
                <w:sz w:val="19"/>
                <w:szCs w:val="19"/>
                <w:color w:val="auto"/>
              </w:rPr>
            </w:pPr>
          </w:p>
        </w:tc>
        <w:tc>
          <w:tcPr>
            <w:tcW w:w="1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96 %</w:t>
            </w:r>
          </w:p>
        </w:tc>
        <w:tc>
          <w:tcPr>
            <w:tcW w:w="180" w:type="dxa"/>
            <w:vAlign w:val="bottom"/>
            <w:shd w:val="clear" w:color="auto" w:fill="CCEEFF"/>
          </w:tcPr>
          <w:p>
            <w:pPr>
              <w:spacing w:after="0"/>
              <w:rPr>
                <w:sz w:val="19"/>
                <w:szCs w:val="19"/>
                <w:color w:val="auto"/>
              </w:rPr>
            </w:pPr>
          </w:p>
        </w:tc>
        <w:tc>
          <w:tcPr>
            <w:tcW w:w="1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94 %</w:t>
            </w:r>
          </w:p>
        </w:tc>
        <w:tc>
          <w:tcPr>
            <w:tcW w:w="0" w:type="dxa"/>
            <w:vAlign w:val="bottom"/>
          </w:tcPr>
          <w:p>
            <w:pPr>
              <w:spacing w:after="0"/>
              <w:rPr>
                <w:sz w:val="1"/>
                <w:szCs w:val="1"/>
                <w:color w:val="auto"/>
              </w:rPr>
            </w:pPr>
          </w:p>
        </w:tc>
      </w:tr>
      <w:tr>
        <w:trPr>
          <w:trHeight w:val="230"/>
        </w:trPr>
        <w:tc>
          <w:tcPr>
            <w:tcW w:w="4960" w:type="dxa"/>
            <w:vAlign w:val="bottom"/>
            <w:tcBorders>
              <w:bottom w:val="single" w:sz="8" w:color="CCEEFF"/>
            </w:tcBorders>
          </w:tcPr>
          <w:p>
            <w:pPr>
              <w:ind w:left="6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(3)</w:t>
            </w:r>
          </w:p>
        </w:tc>
        <w:tc>
          <w:tcPr>
            <w:tcW w:w="1340" w:type="dxa"/>
            <w:vAlign w:val="bottom"/>
            <w:tcBorders>
              <w:bottom w:val="single" w:sz="8" w:color="auto"/>
            </w:tcBorders>
          </w:tcPr>
          <w:p>
            <w:pPr>
              <w:spacing w:after="0"/>
              <w:rPr>
                <w:sz w:val="19"/>
                <w:szCs w:val="19"/>
                <w:color w:val="auto"/>
              </w:rPr>
            </w:pPr>
          </w:p>
        </w:tc>
        <w:tc>
          <w:tcPr>
            <w:tcW w:w="6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4 %</w:t>
            </w:r>
          </w:p>
        </w:tc>
        <w:tc>
          <w:tcPr>
            <w:tcW w:w="160" w:type="dxa"/>
            <w:vAlign w:val="bottom"/>
            <w:tcBorders>
              <w:bottom w:val="single" w:sz="8" w:color="CCEEFF"/>
            </w:tcBorders>
          </w:tcPr>
          <w:p>
            <w:pPr>
              <w:spacing w:after="0"/>
              <w:rPr>
                <w:sz w:val="19"/>
                <w:szCs w:val="19"/>
                <w:color w:val="auto"/>
              </w:rPr>
            </w:pPr>
          </w:p>
        </w:tc>
        <w:tc>
          <w:tcPr>
            <w:tcW w:w="1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4 %</w:t>
            </w:r>
          </w:p>
        </w:tc>
        <w:tc>
          <w:tcPr>
            <w:tcW w:w="180" w:type="dxa"/>
            <w:vAlign w:val="bottom"/>
            <w:tcBorders>
              <w:bottom w:val="single" w:sz="8" w:color="CCEEFF"/>
            </w:tcBorders>
          </w:tcPr>
          <w:p>
            <w:pPr>
              <w:spacing w:after="0"/>
              <w:rPr>
                <w:sz w:val="19"/>
                <w:szCs w:val="19"/>
                <w:color w:val="auto"/>
              </w:rPr>
            </w:pPr>
          </w:p>
        </w:tc>
        <w:tc>
          <w:tcPr>
            <w:tcW w:w="19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48"/>
        </w:trPr>
        <w:tc>
          <w:tcPr>
            <w:tcW w:w="496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Total Net Revenue</w:t>
            </w:r>
          </w:p>
        </w:tc>
        <w:tc>
          <w:tcPr>
            <w:tcW w:w="1340" w:type="dxa"/>
            <w:vAlign w:val="bottom"/>
            <w:tcBorders>
              <w:bottom w:val="single" w:sz="8" w:color="auto"/>
            </w:tcBorders>
            <w:shd w:val="clear" w:color="auto" w:fill="CCEEFF"/>
          </w:tcPr>
          <w:p>
            <w:pPr>
              <w:spacing w:after="0"/>
              <w:rPr>
                <w:sz w:val="21"/>
                <w:szCs w:val="21"/>
                <w:color w:val="auto"/>
              </w:rPr>
            </w:pPr>
          </w:p>
        </w:tc>
        <w:tc>
          <w:tcPr>
            <w:tcW w:w="6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160" w:type="dxa"/>
            <w:vAlign w:val="bottom"/>
            <w:tcBorders>
              <w:bottom w:val="single" w:sz="8" w:color="CCEEFF"/>
            </w:tcBorders>
            <w:shd w:val="clear" w:color="auto" w:fill="CCEEFF"/>
          </w:tcPr>
          <w:p>
            <w:pPr>
              <w:spacing w:after="0"/>
              <w:rPr>
                <w:sz w:val="21"/>
                <w:szCs w:val="21"/>
                <w:color w:val="auto"/>
              </w:rPr>
            </w:pPr>
          </w:p>
        </w:tc>
        <w:tc>
          <w:tcPr>
            <w:tcW w:w="1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180" w:type="dxa"/>
            <w:vAlign w:val="bottom"/>
            <w:tcBorders>
              <w:bottom w:val="single" w:sz="8" w:color="CCEEFF"/>
            </w:tcBorders>
            <w:shd w:val="clear" w:color="auto" w:fill="CCEEFF"/>
          </w:tcPr>
          <w:p>
            <w:pPr>
              <w:spacing w:after="0"/>
              <w:rPr>
                <w:sz w:val="21"/>
                <w:szCs w:val="21"/>
                <w:color w:val="auto"/>
              </w:rPr>
            </w:pPr>
          </w:p>
        </w:tc>
        <w:tc>
          <w:tcPr>
            <w:tcW w:w="19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r>
        <w:trPr>
          <w:trHeight w:val="20"/>
        </w:trPr>
        <w:tc>
          <w:tcPr>
            <w:tcW w:w="4960" w:type="dxa"/>
            <w:vAlign w:val="bottom"/>
            <w:tcBorders>
              <w:top w:val="single" w:sz="8" w:color="CCEEFF"/>
            </w:tcBorders>
          </w:tcPr>
          <w:p>
            <w:pPr>
              <w:spacing w:after="0" w:line="20" w:lineRule="exact"/>
              <w:rPr>
                <w:sz w:val="1"/>
                <w:szCs w:val="1"/>
                <w:color w:val="auto"/>
              </w:rPr>
            </w:pPr>
          </w:p>
        </w:tc>
        <w:tc>
          <w:tcPr>
            <w:tcW w:w="1340" w:type="dxa"/>
            <w:vAlign w:val="bottom"/>
            <w:tcBorders>
              <w:top w:val="single" w:sz="8" w:color="CCEEFF"/>
              <w:bottom w:val="single" w:sz="8" w:color="auto"/>
            </w:tcBorders>
          </w:tcPr>
          <w:p>
            <w:pPr>
              <w:spacing w:after="0" w:line="20" w:lineRule="exact"/>
              <w:rPr>
                <w:sz w:val="1"/>
                <w:szCs w:val="1"/>
                <w:color w:val="auto"/>
              </w:rPr>
            </w:pPr>
          </w:p>
        </w:tc>
        <w:tc>
          <w:tcPr>
            <w:tcW w:w="6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9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9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77" w:lineRule="exact"/>
        <w:rPr>
          <w:sz w:val="20"/>
          <w:szCs w:val="20"/>
          <w:color w:val="auto"/>
        </w:rPr>
      </w:pPr>
    </w:p>
    <w:p>
      <w:pPr>
        <w:ind w:left="280" w:hanging="254"/>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solutions, embedded processors, custom ASICs and electro-optics solutions.</w:t>
      </w:r>
    </w:p>
    <w:p>
      <w:pPr>
        <w:spacing w:after="0" w:line="23" w:lineRule="exact"/>
        <w:rPr>
          <w:rFonts w:ascii="Arial" w:cs="Arial" w:eastAsia="Arial" w:hAnsi="Arial"/>
          <w:sz w:val="18"/>
          <w:szCs w:val="18"/>
          <w:i w:val="1"/>
          <w:iCs w:val="1"/>
          <w:color w:val="auto"/>
        </w:rPr>
      </w:pPr>
    </w:p>
    <w:p>
      <w:pPr>
        <w:ind w:left="280" w:hanging="254"/>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storage controllers and fibre channel adapters.</w:t>
      </w:r>
    </w:p>
    <w:p>
      <w:pPr>
        <w:spacing w:after="0" w:line="22" w:lineRule="exact"/>
        <w:rPr>
          <w:rFonts w:ascii="Arial" w:cs="Arial" w:eastAsia="Arial" w:hAnsi="Arial"/>
          <w:sz w:val="18"/>
          <w:szCs w:val="18"/>
          <w:i w:val="1"/>
          <w:iCs w:val="1"/>
          <w:color w:val="auto"/>
        </w:rPr>
      </w:pPr>
    </w:p>
    <w:p>
      <w:pPr>
        <w:ind w:left="280" w:hanging="254"/>
        <w:spacing w:after="0"/>
        <w:tabs>
          <w:tab w:leader="none" w:pos="280" w:val="left"/>
        </w:tabs>
        <w:numPr>
          <w:ilvl w:val="0"/>
          <w:numId w:val="8"/>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w:t>
      </w:r>
    </w:p>
    <w:p>
      <w:pPr>
        <w:spacing w:after="0" w:line="35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4" w:lineRule="auto"/>
        <w:rPr>
          <w:sz w:val="20"/>
          <w:szCs w:val="20"/>
          <w:color w:val="auto"/>
        </w:rPr>
      </w:pPr>
      <w:r>
        <w:rPr>
          <w:rFonts w:ascii="Arial" w:cs="Arial" w:eastAsia="Arial" w:hAnsi="Arial"/>
          <w:sz w:val="18"/>
          <w:szCs w:val="18"/>
          <w:color w:val="auto"/>
        </w:rPr>
        <w:t>Vice President, Investor Relations</w:t>
      </w:r>
    </w:p>
    <w:p>
      <w:pPr>
        <w:spacing w:after="0" w:line="235" w:lineRule="auto"/>
        <w:rPr>
          <w:sz w:val="20"/>
          <w:szCs w:val="20"/>
          <w:color w:val="auto"/>
        </w:rPr>
      </w:pPr>
      <w:r>
        <w:rPr>
          <w:rFonts w:ascii="Arial" w:cs="Arial" w:eastAsia="Arial" w:hAnsi="Arial"/>
          <w:sz w:val="18"/>
          <w:szCs w:val="18"/>
          <w:color w:val="auto"/>
        </w:rPr>
        <w:t>408-222-0777</w:t>
      </w:r>
    </w:p>
    <w:p>
      <w:pPr>
        <w:spacing w:after="0" w:line="1"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1093"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1."/>
      <w:numFmt w:val="decimal"/>
      <w:start w:val="18"/>
    </w:lvl>
  </w:abstractNum>
  <w:abstractNum w:abstractNumId="2">
    <w:nsid w:val="3D1B58BA"/>
    <w:multiLevelType w:val="hybridMultilevel"/>
    <w:lvl w:ilvl="0">
      <w:lvlJc w:val="left"/>
      <w:lvlText w:val="(%1)"/>
      <w:numFmt w:val="lowerLetter"/>
      <w:start w:val="4"/>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lowerLetter"/>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2021-06-07T15:14:24Z</dcterms:created>
  <dcterms:modified xsi:type="dcterms:W3CDTF">2021-06-07T15:14:24Z</dcterms:modified>
</cp:coreProperties>
</file>