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3940" w:right="1360" w:hanging="3914"/>
        <w:spacing w:after="0" w:line="375" w:lineRule="auto"/>
        <w:tabs>
          <w:tab w:leader="none" w:pos="674"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May 1, 2021</w:t>
      </w:r>
    </w:p>
    <w:p>
      <w:pPr>
        <w:spacing w:after="0" w:line="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54"/>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17"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255"/>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84" w:lineRule="exact"/>
        <w:rPr>
          <w:sz w:val="24"/>
          <w:szCs w:val="24"/>
          <w:color w:val="auto"/>
        </w:rPr>
      </w:pPr>
    </w:p>
    <w:tbl>
      <w:tblPr>
        <w:tblLayout w:type="fixed"/>
        <w:tblInd w:w="1840" w:type="dxa"/>
        <w:tblCellMar>
          <w:top w:w="0" w:type="dxa"/>
          <w:left w:w="0" w:type="dxa"/>
          <w:bottom w:w="0" w:type="dxa"/>
          <w:right w:w="0" w:type="dxa"/>
        </w:tblCellMar>
      </w:tblPr>
      <w:tr>
        <w:trPr>
          <w:trHeight w:val="225"/>
        </w:trPr>
        <w:tc>
          <w:tcPr>
            <w:tcW w:w="4000" w:type="dxa"/>
            <w:vAlign w:val="bottom"/>
          </w:tcPr>
          <w:p>
            <w:pPr>
              <w:jc w:val="center"/>
              <w:ind w:right="2042"/>
              <w:spacing w:after="0"/>
              <w:rPr>
                <w:sz w:val="20"/>
                <w:szCs w:val="20"/>
                <w:color w:val="auto"/>
              </w:rPr>
            </w:pPr>
            <w:r>
              <w:rPr>
                <w:rFonts w:ascii="Arial" w:cs="Arial" w:eastAsia="Arial" w:hAnsi="Arial"/>
                <w:sz w:val="18"/>
                <w:szCs w:val="18"/>
                <w:b w:val="1"/>
                <w:bCs w:val="1"/>
                <w:color w:val="auto"/>
                <w:w w:val="91"/>
              </w:rPr>
              <w:t>Delaware</w:t>
            </w:r>
          </w:p>
        </w:tc>
        <w:tc>
          <w:tcPr>
            <w:tcW w:w="3280" w:type="dxa"/>
            <w:vAlign w:val="bottom"/>
          </w:tcPr>
          <w:p>
            <w:pPr>
              <w:jc w:val="center"/>
              <w:ind w:left="2062"/>
              <w:spacing w:after="0"/>
              <w:rPr>
                <w:sz w:val="20"/>
                <w:szCs w:val="20"/>
                <w:color w:val="auto"/>
              </w:rPr>
            </w:pPr>
            <w:r>
              <w:rPr>
                <w:rFonts w:ascii="Arial" w:cs="Arial" w:eastAsia="Arial" w:hAnsi="Arial"/>
                <w:sz w:val="18"/>
                <w:szCs w:val="18"/>
                <w:b w:val="1"/>
                <w:bCs w:val="1"/>
                <w:color w:val="auto"/>
                <w:w w:val="89"/>
              </w:rPr>
              <w:t>85-3971597</w:t>
            </w:r>
          </w:p>
        </w:tc>
      </w:tr>
      <w:tr>
        <w:trPr>
          <w:trHeight w:val="144"/>
        </w:trPr>
        <w:tc>
          <w:tcPr>
            <w:tcW w:w="4000" w:type="dxa"/>
            <w:vAlign w:val="bottom"/>
          </w:tcPr>
          <w:p>
            <w:pPr>
              <w:jc w:val="center"/>
              <w:ind w:right="2042"/>
              <w:spacing w:after="0" w:line="145" w:lineRule="exact"/>
              <w:rPr>
                <w:sz w:val="20"/>
                <w:szCs w:val="20"/>
                <w:color w:val="auto"/>
              </w:rPr>
            </w:pPr>
            <w:r>
              <w:rPr>
                <w:rFonts w:ascii="Arial" w:cs="Arial" w:eastAsia="Arial" w:hAnsi="Arial"/>
                <w:sz w:val="14"/>
                <w:szCs w:val="14"/>
                <w:b w:val="1"/>
                <w:bCs w:val="1"/>
                <w:color w:val="auto"/>
                <w:w w:val="93"/>
              </w:rPr>
              <w:t>(State or other jurisdiction of</w:t>
            </w:r>
          </w:p>
        </w:tc>
        <w:tc>
          <w:tcPr>
            <w:tcW w:w="3280" w:type="dxa"/>
            <w:vAlign w:val="bottom"/>
          </w:tcPr>
          <w:p>
            <w:pPr>
              <w:jc w:val="center"/>
              <w:ind w:left="2042"/>
              <w:spacing w:after="0" w:line="145"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000" w:type="dxa"/>
            <w:vAlign w:val="bottom"/>
          </w:tcPr>
          <w:p>
            <w:pPr>
              <w:jc w:val="center"/>
              <w:ind w:right="2042"/>
              <w:spacing w:after="0"/>
              <w:rPr>
                <w:sz w:val="20"/>
                <w:szCs w:val="20"/>
                <w:color w:val="auto"/>
              </w:rPr>
            </w:pPr>
            <w:r>
              <w:rPr>
                <w:rFonts w:ascii="Arial" w:cs="Arial" w:eastAsia="Arial" w:hAnsi="Arial"/>
                <w:sz w:val="14"/>
                <w:szCs w:val="14"/>
                <w:b w:val="1"/>
                <w:bCs w:val="1"/>
                <w:color w:val="auto"/>
                <w:w w:val="94"/>
              </w:rPr>
              <w:t>incorporation or organization)</w:t>
            </w:r>
          </w:p>
        </w:tc>
        <w:tc>
          <w:tcPr>
            <w:tcW w:w="3280" w:type="dxa"/>
            <w:vAlign w:val="bottom"/>
          </w:tcPr>
          <w:p>
            <w:pPr>
              <w:jc w:val="center"/>
              <w:ind w:left="206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46"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70" w:lineRule="exact"/>
        <w:rPr>
          <w:sz w:val="24"/>
          <w:szCs w:val="24"/>
          <w:color w:val="auto"/>
        </w:rPr>
      </w:pPr>
    </w:p>
    <w:tbl>
      <w:tblPr>
        <w:tblLayout w:type="fixed"/>
        <w:tblInd w:w="140" w:type="dxa"/>
        <w:tblCellMar>
          <w:top w:w="0" w:type="dxa"/>
          <w:left w:w="0" w:type="dxa"/>
          <w:bottom w:w="0" w:type="dxa"/>
          <w:right w:w="0" w:type="dxa"/>
        </w:tblCellMar>
      </w:tblPr>
      <w:tr>
        <w:trPr>
          <w:trHeight w:val="213"/>
        </w:trPr>
        <w:tc>
          <w:tcPr>
            <w:tcW w:w="460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88"/>
              </w:rPr>
              <w:t>Title of each class</w:t>
            </w:r>
          </w:p>
        </w:tc>
        <w:tc>
          <w:tcPr>
            <w:tcW w:w="232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2"/>
              </w:rPr>
              <w:t>Trading Symbol(s)</w:t>
            </w:r>
          </w:p>
        </w:tc>
        <w:tc>
          <w:tcPr>
            <w:tcW w:w="406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227"/>
        </w:trPr>
        <w:tc>
          <w:tcPr>
            <w:tcW w:w="43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60" w:type="dxa"/>
            <w:vAlign w:val="bottom"/>
          </w:tcPr>
          <w:p>
            <w:pPr>
              <w:spacing w:after="0"/>
              <w:rPr>
                <w:sz w:val="19"/>
                <w:szCs w:val="19"/>
                <w:color w:val="auto"/>
              </w:rPr>
            </w:pPr>
          </w:p>
        </w:tc>
        <w:tc>
          <w:tcPr>
            <w:tcW w:w="20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93"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4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28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74" w:lineRule="exact"/>
        <w:rPr>
          <w:sz w:val="24"/>
          <w:szCs w:val="24"/>
          <w:color w:val="auto"/>
        </w:rPr>
      </w:pPr>
    </w:p>
    <w:p>
      <w:pPr>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60" w:right="1340"/>
        <w:spacing w:after="0" w:line="260"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The number of common shares of the registrant outstanding as of June 2, 2021 was 819.5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313690</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9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8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9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940" w:type="dxa"/>
            <w:vAlign w:val="bottom"/>
            <w:gridSpan w:val="13"/>
          </w:tcPr>
          <w:p>
            <w:pPr>
              <w:jc w:val="center"/>
              <w:ind w:right="2120"/>
              <w:spacing w:after="0" w:line="176" w:lineRule="exact"/>
              <w:rPr>
                <w:rFonts w:ascii="Arial" w:cs="Arial" w:eastAsia="Arial" w:hAnsi="Arial"/>
                <w:sz w:val="18"/>
                <w:szCs w:val="18"/>
                <w:b w:val="1"/>
                <w:bCs w:val="1"/>
                <w:color w:val="0000FF"/>
              </w:rPr>
            </w:pPr>
            <w:hyperlink w:anchor="page2">
              <w:r>
                <w:rPr>
                  <w:rFonts w:ascii="Arial" w:cs="Arial" w:eastAsia="Arial" w:hAnsi="Arial"/>
                  <w:sz w:val="18"/>
                  <w:szCs w:val="18"/>
                  <w:b w:val="1"/>
                  <w:bCs w:val="1"/>
                  <w:color w:val="0000FF"/>
                </w:rPr>
                <w:t>PART I. FINANCIAL INFORMATION</w:t>
              </w:r>
            </w:hyperlink>
          </w:p>
        </w:tc>
        <w:tc>
          <w:tcPr>
            <w:tcW w:w="3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8"/>
          </w:tcPr>
          <w:p>
            <w:pPr>
              <w:spacing w:after="0"/>
              <w:rPr>
                <w:rFonts w:ascii="Arial" w:cs="Arial" w:eastAsia="Arial" w:hAnsi="Arial"/>
                <w:sz w:val="18"/>
                <w:szCs w:val="18"/>
                <w:color w:val="0000FF"/>
              </w:rPr>
            </w:pPr>
            <w:hyperlink w:anchor="page3">
              <w:r>
                <w:rPr>
                  <w:rFonts w:ascii="Arial" w:cs="Arial" w:eastAsia="Arial" w:hAnsi="Arial"/>
                  <w:sz w:val="18"/>
                  <w:szCs w:val="18"/>
                  <w:color w:val="0000FF"/>
                </w:rPr>
                <w:t>Financial Statements:</w:t>
              </w:r>
            </w:hyperlink>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6660" w:type="dxa"/>
            <w:vAlign w:val="bottom"/>
            <w:tcBorders>
              <w:bottom w:val="single" w:sz="8" w:color="0000FF"/>
            </w:tcBorders>
            <w:gridSpan w:val="15"/>
          </w:tcPr>
          <w:p>
            <w:pPr>
              <w:spacing w:after="0"/>
              <w:rPr>
                <w:rFonts w:ascii="Arial" w:cs="Arial" w:eastAsia="Arial" w:hAnsi="Arial"/>
                <w:sz w:val="18"/>
                <w:szCs w:val="18"/>
                <w:color w:val="0000FF"/>
                <w:w w:val="88"/>
              </w:rPr>
            </w:pPr>
            <w:hyperlink w:anchor="page3">
              <w:r>
                <w:rPr>
                  <w:rFonts w:ascii="Arial" w:cs="Arial" w:eastAsia="Arial" w:hAnsi="Arial"/>
                  <w:sz w:val="18"/>
                  <w:szCs w:val="18"/>
                  <w:color w:val="0000FF"/>
                  <w:w w:val="88"/>
                </w:rPr>
                <w:t>Unaudited Condensed Consolidated Balance Sheets as of May 1, 2021 and January 30, 2021</w:t>
              </w:r>
            </w:hyperlink>
          </w:p>
        </w:tc>
        <w:tc>
          <w:tcPr>
            <w:tcW w:w="3040" w:type="dxa"/>
            <w:vAlign w:val="bottom"/>
            <w:gridSpan w:val="5"/>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0"/>
          </w:tcPr>
          <w:p>
            <w:pPr>
              <w:spacing w:after="0"/>
              <w:rPr>
                <w:rFonts w:ascii="Arial" w:cs="Arial" w:eastAsia="Arial" w:hAnsi="Arial"/>
                <w:sz w:val="18"/>
                <w:szCs w:val="18"/>
                <w:color w:val="0000FF"/>
              </w:rPr>
            </w:pPr>
            <w:hyperlink w:anchor="page3">
              <w:r>
                <w:rPr>
                  <w:rFonts w:ascii="Arial" w:cs="Arial" w:eastAsia="Arial" w:hAnsi="Arial"/>
                  <w:sz w:val="18"/>
                  <w:szCs w:val="18"/>
                  <w:color w:val="0000FF"/>
                </w:rPr>
                <w:t>Unaudited Condensed Consolidated Statements of Operations for the three months ended May 1, 2021 and May 2, 2020</w:t>
              </w:r>
            </w:hyperlink>
          </w:p>
        </w:tc>
        <w:tc>
          <w:tcPr>
            <w:tcW w:w="580" w:type="dxa"/>
            <w:vAlign w:val="bottom"/>
            <w:gridSpan w:val="4"/>
          </w:tcPr>
          <w:p>
            <w:pPr>
              <w:jc w:val="right"/>
              <w:ind w:right="20"/>
              <w:spacing w:after="0"/>
              <w:rPr>
                <w:rFonts w:ascii="Arial" w:cs="Arial" w:eastAsia="Arial" w:hAnsi="Arial"/>
                <w:sz w:val="18"/>
                <w:szCs w:val="18"/>
                <w:color w:val="0000FF"/>
              </w:rPr>
            </w:pPr>
            <w:hyperlink w:anchor="page3">
              <w:r>
                <w:rPr>
                  <w:rFonts w:ascii="Arial" w:cs="Arial" w:eastAsia="Arial" w:hAnsi="Arial"/>
                  <w:sz w:val="18"/>
                  <w:szCs w:val="18"/>
                  <w:color w:val="0000FF"/>
                </w:rPr>
                <w:t>3</w:t>
              </w:r>
            </w:hyperlink>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980" w:type="dxa"/>
            <w:vAlign w:val="bottom"/>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0"/>
          </w:tcPr>
          <w:p>
            <w:pPr>
              <w:spacing w:after="0"/>
              <w:rPr>
                <w:rFonts w:ascii="Arial" w:cs="Arial" w:eastAsia="Arial" w:hAnsi="Arial"/>
                <w:sz w:val="18"/>
                <w:szCs w:val="18"/>
                <w:color w:val="0000FF"/>
                <w:w w:val="90"/>
              </w:rPr>
            </w:pPr>
            <w:hyperlink w:anchor="page4">
              <w:r>
                <w:rPr>
                  <w:rFonts w:ascii="Arial" w:cs="Arial" w:eastAsia="Arial" w:hAnsi="Arial"/>
                  <w:sz w:val="18"/>
                  <w:szCs w:val="18"/>
                  <w:color w:val="0000FF"/>
                  <w:w w:val="90"/>
                </w:rPr>
                <w:t>Unaudited Condensed Consolidated Statements of Comprehensive Income (Loss) for the three months ended May 1, 2021 and May 2,</w:t>
              </w:r>
            </w:hyperlink>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rFonts w:ascii="Arial" w:cs="Arial" w:eastAsia="Arial" w:hAnsi="Arial"/>
                <w:sz w:val="18"/>
                <w:szCs w:val="18"/>
                <w:color w:val="0000FF"/>
                <w:w w:val="79"/>
              </w:rPr>
            </w:pPr>
            <w:hyperlink w:anchor="page4">
              <w:r>
                <w:rPr>
                  <w:rFonts w:ascii="Arial" w:cs="Arial" w:eastAsia="Arial" w:hAnsi="Arial"/>
                  <w:sz w:val="18"/>
                  <w:szCs w:val="18"/>
                  <w:color w:val="0000FF"/>
                  <w:w w:val="79"/>
                </w:rPr>
                <w:t>4</w:t>
              </w:r>
            </w:hyperlink>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w:anchor="page4">
              <w:r>
                <w:rPr>
                  <w:rFonts w:ascii="Arial" w:cs="Arial" w:eastAsia="Arial" w:hAnsi="Arial"/>
                  <w:sz w:val="18"/>
                  <w:szCs w:val="18"/>
                  <w:color w:val="0000FF"/>
                  <w:w w:val="84"/>
                </w:rPr>
                <w:t>2020</w:t>
              </w:r>
            </w:hyperlink>
          </w:p>
        </w:tc>
        <w:tc>
          <w:tcPr>
            <w:tcW w:w="2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2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13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10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12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198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68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40" w:type="dxa"/>
            <w:vAlign w:val="bottom"/>
          </w:tcPr>
          <w:p>
            <w:pPr>
              <w:spacing w:after="0"/>
              <w:rPr>
                <w:sz w:val="13"/>
                <w:szCs w:val="13"/>
                <w:color w:val="auto"/>
              </w:rPr>
            </w:pPr>
          </w:p>
        </w:tc>
        <w:tc>
          <w:tcPr>
            <w:tcW w:w="460" w:type="dxa"/>
            <w:vAlign w:val="bottom"/>
            <w:gridSpan w:val="2"/>
            <w:vMerge w:val="continue"/>
          </w:tcPr>
          <w:p>
            <w:pPr>
              <w:spacing w:after="0"/>
              <w:rPr>
                <w:sz w:val="13"/>
                <w:szCs w:val="13"/>
                <w:color w:val="auto"/>
              </w:rPr>
            </w:pPr>
          </w:p>
        </w:tc>
        <w:tc>
          <w:tcPr>
            <w:tcW w:w="100" w:type="dxa"/>
            <w:vAlign w:val="bottom"/>
            <w:tcBorders>
              <w:bottom w:val="single" w:sz="8" w:color="0000FF"/>
            </w:tcBorders>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380" w:type="dxa"/>
            <w:vAlign w:val="bottom"/>
            <w:tcBorders>
              <w:bottom w:val="single" w:sz="8" w:color="0000FF"/>
            </w:tcBorders>
            <w:gridSpan w:val="18"/>
          </w:tcPr>
          <w:p>
            <w:pPr>
              <w:spacing w:after="0"/>
              <w:rPr>
                <w:rFonts w:ascii="Arial" w:cs="Arial" w:eastAsia="Arial" w:hAnsi="Arial"/>
                <w:sz w:val="18"/>
                <w:szCs w:val="18"/>
                <w:color w:val="0000FF"/>
                <w:w w:val="90"/>
              </w:rPr>
            </w:pPr>
            <w:hyperlink w:anchor="page5">
              <w:r>
                <w:rPr>
                  <w:rFonts w:ascii="Arial" w:cs="Arial" w:eastAsia="Arial" w:hAnsi="Arial"/>
                  <w:sz w:val="18"/>
                  <w:szCs w:val="18"/>
                  <w:color w:val="0000FF"/>
                  <w:w w:val="90"/>
                </w:rPr>
                <w:t>Unaudited Condensed Consolidated Statements of Stockholders’ Equity for the three months ended May 1, 2021 and May 2, 2020</w:t>
              </w:r>
            </w:hyperlink>
          </w:p>
        </w:tc>
        <w:tc>
          <w:tcPr>
            <w:tcW w:w="320" w:type="dxa"/>
            <w:vAlign w:val="bottom"/>
            <w:gridSpan w:val="2"/>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5">
              <w:r>
                <w:rPr>
                  <w:rFonts w:ascii="Arial" w:cs="Arial" w:eastAsia="Arial" w:hAnsi="Arial"/>
                  <w:sz w:val="18"/>
                  <w:szCs w:val="18"/>
                  <w:color w:val="0000FF"/>
                  <w:w w:val="79"/>
                </w:rPr>
                <w:t>5</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8700" w:type="dxa"/>
            <w:vAlign w:val="bottom"/>
            <w:tcBorders>
              <w:bottom w:val="single" w:sz="8" w:color="0000FF"/>
            </w:tcBorders>
            <w:gridSpan w:val="17"/>
          </w:tcPr>
          <w:p>
            <w:pPr>
              <w:spacing w:after="0"/>
              <w:rPr>
                <w:rFonts w:ascii="Arial" w:cs="Arial" w:eastAsia="Arial" w:hAnsi="Arial"/>
                <w:sz w:val="18"/>
                <w:szCs w:val="18"/>
                <w:color w:val="0000FF"/>
                <w:w w:val="89"/>
              </w:rPr>
            </w:pPr>
            <w:hyperlink w:anchor="page6">
              <w:r>
                <w:rPr>
                  <w:rFonts w:ascii="Arial" w:cs="Arial" w:eastAsia="Arial" w:hAnsi="Arial"/>
                  <w:sz w:val="18"/>
                  <w:szCs w:val="18"/>
                  <w:color w:val="0000FF"/>
                  <w:w w:val="89"/>
                </w:rPr>
                <w:t>Unaudited Condensed Consolidated Statements of Cash Flows for the three months ended May 1, 2021 and May 2, 2020</w:t>
              </w:r>
            </w:hyperlink>
          </w:p>
        </w:tc>
        <w:tc>
          <w:tcPr>
            <w:tcW w:w="1000" w:type="dxa"/>
            <w:vAlign w:val="bottom"/>
            <w:gridSpan w:val="3"/>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6">
              <w:r>
                <w:rPr>
                  <w:rFonts w:ascii="Arial" w:cs="Arial" w:eastAsia="Arial" w:hAnsi="Arial"/>
                  <w:sz w:val="18"/>
                  <w:szCs w:val="18"/>
                  <w:color w:val="0000FF"/>
                  <w:w w:val="79"/>
                </w:rPr>
                <w:t>6</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bottom w:val="single" w:sz="8" w:color="0000FF"/>
            </w:tcBorders>
            <w:gridSpan w:val="11"/>
          </w:tcPr>
          <w:p>
            <w:pPr>
              <w:spacing w:after="0"/>
              <w:rPr>
                <w:rFonts w:ascii="Arial" w:cs="Arial" w:eastAsia="Arial" w:hAnsi="Arial"/>
                <w:sz w:val="18"/>
                <w:szCs w:val="18"/>
                <w:color w:val="0000FF"/>
                <w:w w:val="89"/>
              </w:rPr>
            </w:pPr>
            <w:hyperlink w:anchor="page7">
              <w:r>
                <w:rPr>
                  <w:rFonts w:ascii="Arial" w:cs="Arial" w:eastAsia="Arial" w:hAnsi="Arial"/>
                  <w:sz w:val="18"/>
                  <w:szCs w:val="18"/>
                  <w:color w:val="0000FF"/>
                  <w:w w:val="89"/>
                </w:rPr>
                <w:t>Notes to Unaudited Condensed Consolidated Financial Statements</w:t>
              </w:r>
            </w:hyperlink>
          </w:p>
        </w:tc>
        <w:tc>
          <w:tcPr>
            <w:tcW w:w="4920" w:type="dxa"/>
            <w:vAlign w:val="bottom"/>
            <w:gridSpan w:val="9"/>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7">
              <w:r>
                <w:rPr>
                  <w:rFonts w:ascii="Arial" w:cs="Arial" w:eastAsia="Arial" w:hAnsi="Arial"/>
                  <w:sz w:val="18"/>
                  <w:szCs w:val="18"/>
                  <w:color w:val="0000FF"/>
                  <w:w w:val="79"/>
                </w:rPr>
                <w:t>7</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0"/>
          </w:tcPr>
          <w:p>
            <w:pPr>
              <w:spacing w:after="0"/>
              <w:rPr>
                <w:rFonts w:ascii="Arial" w:cs="Arial" w:eastAsia="Arial" w:hAnsi="Arial"/>
                <w:sz w:val="18"/>
                <w:szCs w:val="18"/>
                <w:color w:val="0000FF"/>
              </w:rPr>
            </w:pPr>
            <w:hyperlink w:anchor="page29">
              <w:r>
                <w:rPr>
                  <w:rFonts w:ascii="Arial" w:cs="Arial" w:eastAsia="Arial" w:hAnsi="Arial"/>
                  <w:sz w:val="18"/>
                  <w:szCs w:val="18"/>
                  <w:color w:val="0000FF"/>
                </w:rPr>
                <w:t>Management’s Discussion and Analysis of Financial Condition and Results of Operations</w:t>
              </w:r>
            </w:hyperlink>
          </w:p>
        </w:tc>
        <w:tc>
          <w:tcPr>
            <w:tcW w:w="560" w:type="dxa"/>
            <w:vAlign w:val="bottom"/>
            <w:gridSpan w:val="3"/>
          </w:tcPr>
          <w:p>
            <w:pPr>
              <w:jc w:val="right"/>
              <w:spacing w:after="0"/>
              <w:rPr>
                <w:rFonts w:ascii="Arial" w:cs="Arial" w:eastAsia="Arial" w:hAnsi="Arial"/>
                <w:sz w:val="18"/>
                <w:szCs w:val="18"/>
                <w:color w:val="0000FF"/>
              </w:rPr>
            </w:pPr>
            <w:hyperlink w:anchor="page29">
              <w:r>
                <w:rPr>
                  <w:rFonts w:ascii="Arial" w:cs="Arial" w:eastAsia="Arial" w:hAnsi="Arial"/>
                  <w:sz w:val="18"/>
                  <w:szCs w:val="18"/>
                  <w:color w:val="0000FF"/>
                </w:rPr>
                <w:t>29</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6440" w:type="dxa"/>
            <w:vAlign w:val="bottom"/>
            <w:gridSpan w:val="14"/>
          </w:tcPr>
          <w:p>
            <w:pPr>
              <w:spacing w:after="0"/>
              <w:rPr>
                <w:rFonts w:ascii="Arial" w:cs="Arial" w:eastAsia="Arial" w:hAnsi="Arial"/>
                <w:sz w:val="18"/>
                <w:szCs w:val="18"/>
                <w:color w:val="0000FF"/>
              </w:rPr>
            </w:pPr>
            <w:hyperlink w:anchor="page38">
              <w:r>
                <w:rPr>
                  <w:rFonts w:ascii="Arial" w:cs="Arial" w:eastAsia="Arial" w:hAnsi="Arial"/>
                  <w:sz w:val="18"/>
                  <w:szCs w:val="18"/>
                  <w:color w:val="0000FF"/>
                </w:rPr>
                <w:t>Quantitative and Qualitative Disclosures About Market Risk</w:t>
              </w:r>
            </w:hyperlink>
          </w:p>
        </w:tc>
        <w:tc>
          <w:tcPr>
            <w:tcW w:w="3260" w:type="dxa"/>
            <w:vAlign w:val="bottom"/>
            <w:gridSpan w:val="6"/>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38">
              <w:r>
                <w:rPr>
                  <w:rFonts w:ascii="Arial" w:cs="Arial" w:eastAsia="Arial" w:hAnsi="Arial"/>
                  <w:sz w:val="18"/>
                  <w:szCs w:val="18"/>
                  <w:color w:val="0000FF"/>
                </w:rPr>
                <w:t>38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0"/>
          </w:tcPr>
          <w:p>
            <w:pPr>
              <w:spacing w:after="0"/>
              <w:rPr>
                <w:rFonts w:ascii="Arial" w:cs="Arial" w:eastAsia="Arial" w:hAnsi="Arial"/>
                <w:sz w:val="18"/>
                <w:szCs w:val="18"/>
                <w:color w:val="0000FF"/>
              </w:rPr>
            </w:pPr>
            <w:hyperlink w:anchor="page39">
              <w:r>
                <w:rPr>
                  <w:rFonts w:ascii="Arial" w:cs="Arial" w:eastAsia="Arial" w:hAnsi="Arial"/>
                  <w:sz w:val="18"/>
                  <w:szCs w:val="18"/>
                  <w:color w:val="0000FF"/>
                </w:rPr>
                <w:t>Controls and Procedures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39">
              <w:r>
                <w:rPr>
                  <w:rFonts w:ascii="Arial" w:cs="Arial" w:eastAsia="Arial" w:hAnsi="Arial"/>
                  <w:sz w:val="18"/>
                  <w:szCs w:val="18"/>
                  <w:color w:val="0000FF"/>
                </w:rPr>
                <w:t>39</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4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1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rFonts w:ascii="Arial" w:cs="Arial" w:eastAsia="Arial" w:hAnsi="Arial"/>
                <w:sz w:val="18"/>
                <w:szCs w:val="18"/>
                <w:b w:val="1"/>
                <w:bCs w:val="1"/>
                <w:color w:val="0000FF"/>
              </w:rPr>
            </w:pPr>
            <w:hyperlink w:anchor="page40">
              <w:r>
                <w:rPr>
                  <w:rFonts w:ascii="Arial" w:cs="Arial" w:eastAsia="Arial" w:hAnsi="Arial"/>
                  <w:sz w:val="18"/>
                  <w:szCs w:val="18"/>
                  <w:b w:val="1"/>
                  <w:bCs w:val="1"/>
                  <w:color w:val="0000FF"/>
                </w:rPr>
                <w:t>PART II. OTHER INFORMATION</w:t>
              </w:r>
            </w:hyperlink>
          </w:p>
        </w:tc>
        <w:tc>
          <w:tcPr>
            <w:tcW w:w="3640" w:type="dxa"/>
            <w:vAlign w:val="bottom"/>
            <w:gridSpan w:val="8"/>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0"/>
          </w:tcPr>
          <w:p>
            <w:pPr>
              <w:spacing w:after="0"/>
              <w:rPr>
                <w:rFonts w:ascii="Arial" w:cs="Arial" w:eastAsia="Arial" w:hAnsi="Arial"/>
                <w:sz w:val="18"/>
                <w:szCs w:val="18"/>
                <w:color w:val="0000FF"/>
              </w:rPr>
            </w:pPr>
            <w:hyperlink w:anchor="page41">
              <w:r>
                <w:rPr>
                  <w:rFonts w:ascii="Arial" w:cs="Arial" w:eastAsia="Arial" w:hAnsi="Arial"/>
                  <w:sz w:val="18"/>
                  <w:szCs w:val="18"/>
                  <w:color w:val="0000FF"/>
                </w:rPr>
                <w:t>Legal Proceedings</w:t>
              </w:r>
            </w:hyperlink>
          </w:p>
        </w:tc>
        <w:tc>
          <w:tcPr>
            <w:tcW w:w="560" w:type="dxa"/>
            <w:vAlign w:val="bottom"/>
            <w:gridSpan w:val="3"/>
          </w:tcPr>
          <w:p>
            <w:pPr>
              <w:jc w:val="right"/>
              <w:spacing w:after="0"/>
              <w:rPr>
                <w:rFonts w:ascii="Arial" w:cs="Arial" w:eastAsia="Arial" w:hAnsi="Arial"/>
                <w:sz w:val="18"/>
                <w:szCs w:val="18"/>
                <w:color w:val="0000FF"/>
              </w:rPr>
            </w:pPr>
            <w:hyperlink w:anchor="page41">
              <w:r>
                <w:rPr>
                  <w:rFonts w:ascii="Arial" w:cs="Arial" w:eastAsia="Arial" w:hAnsi="Arial"/>
                  <w:sz w:val="18"/>
                  <w:szCs w:val="18"/>
                  <w:color w:val="0000FF"/>
                </w:rPr>
                <w:t>40</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FF"/>
                <w:w w:val="87"/>
              </w:rPr>
            </w:pPr>
            <w:hyperlink w:anchor="page41">
              <w:r>
                <w:rPr>
                  <w:rFonts w:ascii="Arial" w:cs="Arial" w:eastAsia="Arial" w:hAnsi="Arial"/>
                  <w:sz w:val="18"/>
                  <w:szCs w:val="18"/>
                  <w:color w:val="0000FF"/>
                  <w:w w:val="87"/>
                </w:rPr>
                <w:t>Risk Factors</w:t>
              </w:r>
            </w:hyperlink>
          </w:p>
        </w:tc>
        <w:tc>
          <w:tcPr>
            <w:tcW w:w="420" w:type="dxa"/>
            <w:vAlign w:val="bottom"/>
          </w:tcPr>
          <w:p>
            <w:pPr>
              <w:spacing w:after="0"/>
              <w:rPr>
                <w:sz w:val="18"/>
                <w:szCs w:val="18"/>
                <w:color w:val="auto"/>
              </w:rPr>
            </w:pPr>
          </w:p>
        </w:tc>
        <w:tc>
          <w:tcPr>
            <w:tcW w:w="8380" w:type="dxa"/>
            <w:vAlign w:val="bottom"/>
            <w:gridSpan w:val="15"/>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1">
              <w:r>
                <w:rPr>
                  <w:rFonts w:ascii="Arial" w:cs="Arial" w:eastAsia="Arial" w:hAnsi="Arial"/>
                  <w:sz w:val="18"/>
                  <w:szCs w:val="18"/>
                  <w:color w:val="0000FF"/>
                </w:rPr>
                <w:t>40</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0"/>
          </w:tcPr>
          <w:p>
            <w:pPr>
              <w:spacing w:after="0"/>
              <w:rPr>
                <w:rFonts w:ascii="Arial" w:cs="Arial" w:eastAsia="Arial" w:hAnsi="Arial"/>
                <w:sz w:val="18"/>
                <w:szCs w:val="18"/>
                <w:color w:val="0000FF"/>
                <w:w w:val="89"/>
              </w:rPr>
            </w:pPr>
            <w:hyperlink w:anchor="page65">
              <w:r>
                <w:rPr>
                  <w:rFonts w:ascii="Arial" w:cs="Arial" w:eastAsia="Arial" w:hAnsi="Arial"/>
                  <w:sz w:val="18"/>
                  <w:szCs w:val="18"/>
                  <w:color w:val="0000FF"/>
                  <w:w w:val="89"/>
                </w:rPr>
                <w:t>Unregistered Sales of Equity Securities and Use of Proceeds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5">
              <w:r>
                <w:rPr>
                  <w:rFonts w:ascii="Arial" w:cs="Arial" w:eastAsia="Arial" w:hAnsi="Arial"/>
                  <w:sz w:val="18"/>
                  <w:szCs w:val="18"/>
                  <w:color w:val="0000FF"/>
                </w:rPr>
                <w:t>64</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FF"/>
                <w:w w:val="91"/>
              </w:rPr>
            </w:pPr>
            <w:hyperlink w:anchor="page65">
              <w:r>
                <w:rPr>
                  <w:rFonts w:ascii="Arial" w:cs="Arial" w:eastAsia="Arial" w:hAnsi="Arial"/>
                  <w:sz w:val="18"/>
                  <w:szCs w:val="18"/>
                  <w:color w:val="0000FF"/>
                  <w:w w:val="91"/>
                </w:rPr>
                <w:t>Exhibits</w:t>
              </w:r>
            </w:hyperlink>
          </w:p>
        </w:tc>
        <w:tc>
          <w:tcPr>
            <w:tcW w:w="3740" w:type="dxa"/>
            <w:vAlign w:val="bottom"/>
            <w:gridSpan w:val="8"/>
          </w:tcPr>
          <w:p>
            <w:pPr>
              <w:spacing w:after="0"/>
              <w:rPr>
                <w:sz w:val="18"/>
                <w:szCs w:val="18"/>
                <w:color w:val="auto"/>
              </w:rPr>
            </w:pP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5">
              <w:r>
                <w:rPr>
                  <w:rFonts w:ascii="Arial" w:cs="Arial" w:eastAsia="Arial" w:hAnsi="Arial"/>
                  <w:sz w:val="18"/>
                  <w:szCs w:val="18"/>
                  <w:color w:val="0000FF"/>
                </w:rPr>
                <w:t>65</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7"/>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rFonts w:ascii="Arial" w:cs="Arial" w:eastAsia="Arial" w:hAnsi="Arial"/>
                <w:sz w:val="18"/>
                <w:szCs w:val="18"/>
                <w:color w:val="0000FF"/>
                <w:w w:val="85"/>
              </w:rPr>
            </w:pPr>
            <w:hyperlink w:anchor="page68">
              <w:r>
                <w:rPr>
                  <w:rFonts w:ascii="Arial" w:cs="Arial" w:eastAsia="Arial" w:hAnsi="Arial"/>
                  <w:sz w:val="18"/>
                  <w:szCs w:val="18"/>
                  <w:color w:val="0000FF"/>
                  <w:w w:val="85"/>
                </w:rPr>
                <w:t>Signatures</w:t>
              </w:r>
            </w:hyperlink>
          </w:p>
        </w:tc>
        <w:tc>
          <w:tcPr>
            <w:tcW w:w="8940" w:type="dxa"/>
            <w:vAlign w:val="bottom"/>
            <w:gridSpan w:val="17"/>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8">
              <w:r>
                <w:rPr>
                  <w:rFonts w:ascii="Arial" w:cs="Arial" w:eastAsia="Arial" w:hAnsi="Arial"/>
                  <w:sz w:val="18"/>
                  <w:szCs w:val="18"/>
                  <w:color w:val="0000FF"/>
                </w:rPr>
                <w:t>68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2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r>
      <w:tr>
        <w:trPr>
          <w:trHeight w:val="211"/>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96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522,512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694,395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538,117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9"/>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132,787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1,887,811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424,733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10,965,666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6,562,061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725,636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664,030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21,229,937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29"/>
        </w:trPr>
        <w:tc>
          <w:tcPr>
            <w:tcW w:w="3620" w:type="dxa"/>
            <w:vAlign w:val="bottom"/>
            <w:shd w:val="clear" w:color="auto" w:fill="CCEEFF"/>
          </w:tcPr>
          <w:p>
            <w:pPr>
              <w:spacing w:after="0"/>
              <w:rPr>
                <w:sz w:val="19"/>
                <w:szCs w:val="19"/>
                <w:color w:val="auto"/>
              </w:rPr>
            </w:pPr>
          </w:p>
        </w:tc>
        <w:tc>
          <w:tcPr>
            <w:tcW w:w="4960" w:type="dxa"/>
            <w:vAlign w:val="bottom"/>
            <w:gridSpan w:val="2"/>
            <w:shd w:val="clear" w:color="auto" w:fill="CCEEFF"/>
          </w:tcPr>
          <w:p>
            <w:pPr>
              <w:jc w:val="right"/>
              <w:ind w:right="910"/>
              <w:spacing w:after="0"/>
              <w:rPr>
                <w:sz w:val="20"/>
                <w:szCs w:val="20"/>
                <w:color w:val="auto"/>
              </w:rPr>
            </w:pPr>
            <w:r>
              <w:rPr>
                <w:rFonts w:ascii="Arial" w:cs="Arial" w:eastAsia="Arial" w:hAnsi="Arial"/>
                <w:sz w:val="18"/>
                <w:szCs w:val="18"/>
                <w:b w:val="1"/>
                <w:bCs w:val="1"/>
                <w:color w:val="auto"/>
              </w:rPr>
              <w:t>LIABILITIES AND STOCKHOLDERS’ EQUITY</w:t>
            </w: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96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304,425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478,158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153,943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Short-term convertible debt</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193,269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30,308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199,641</w:t>
            </w:r>
          </w:p>
        </w:tc>
      </w:tr>
      <w:tr>
        <w:trPr>
          <w:trHeight w:val="223"/>
        </w:trPr>
        <w:tc>
          <w:tcPr>
            <w:tcW w:w="3620" w:type="dxa"/>
            <w:vAlign w:val="bottom"/>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1,160,103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1,077,097</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Long-term convertible debt</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4,673,707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539,611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6,374,567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21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shares, $0.002 par value</w:t>
            </w:r>
          </w:p>
        </w:tc>
        <w:tc>
          <w:tcPr>
            <w:tcW w:w="46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12,879,095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1,974,642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14,855,370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21,229,937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r>
      <w:tr>
        <w:trPr>
          <w:trHeight w:val="134"/>
        </w:trPr>
        <w:tc>
          <w:tcPr>
            <w:tcW w:w="8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May 1,</w:t>
            </w:r>
          </w:p>
        </w:tc>
        <w:tc>
          <w:tcPr>
            <w:tcW w:w="320" w:type="dxa"/>
            <w:vAlign w:val="bottom"/>
          </w:tcPr>
          <w:p>
            <w:pPr>
              <w:spacing w:after="0"/>
              <w:rPr>
                <w:sz w:val="11"/>
                <w:szCs w:val="11"/>
                <w:color w:val="auto"/>
              </w:rPr>
            </w:pPr>
          </w:p>
        </w:tc>
        <w:tc>
          <w:tcPr>
            <w:tcW w:w="1120" w:type="dxa"/>
            <w:vAlign w:val="bottom"/>
          </w:tcPr>
          <w:p>
            <w:pPr>
              <w:jc w:val="right"/>
              <w:ind w:right="412"/>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r>
      <w:tr>
        <w:trPr>
          <w:trHeight w:val="224"/>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693,641</w:t>
            </w:r>
          </w:p>
        </w:tc>
      </w:tr>
      <w:tr>
        <w:trPr>
          <w:trHeight w:val="229"/>
        </w:trPr>
        <w:tc>
          <w:tcPr>
            <w:tcW w:w="82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414,138</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366,739</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418,141</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326,902</w:t>
            </w:r>
          </w:p>
        </w:tc>
      </w:tr>
      <w:tr>
        <w:trPr>
          <w:trHeight w:val="209"/>
        </w:trPr>
        <w:tc>
          <w:tcPr>
            <w:tcW w:w="82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286,100</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279,584</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201,466</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122,027</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12,886</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r>
      <w:tr>
        <w:trPr>
          <w:trHeight w:val="223"/>
        </w:trPr>
        <w:tc>
          <w:tcPr>
            <w:tcW w:w="82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500,452</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422,898</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(82,311)</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(95,996)</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222</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1,058</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(35,141)</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(16,830)</w:t>
            </w:r>
          </w:p>
        </w:tc>
      </w:tr>
      <w:tr>
        <w:trPr>
          <w:trHeight w:val="230"/>
        </w:trPr>
        <w:tc>
          <w:tcPr>
            <w:tcW w:w="82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income, net</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1,223</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3,754</w:t>
            </w:r>
          </w:p>
        </w:tc>
      </w:tr>
      <w:tr>
        <w:trPr>
          <w:trHeight w:val="223"/>
        </w:trPr>
        <w:tc>
          <w:tcPr>
            <w:tcW w:w="82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and other income (loss), net</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(33,696)</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(12,018)</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(116,007)</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(108,014)</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(27,765)</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5,019</w:t>
            </w:r>
          </w:p>
        </w:tc>
      </w:tr>
      <w:tr>
        <w:trPr>
          <w:trHeight w:val="196"/>
        </w:trPr>
        <w:tc>
          <w:tcPr>
            <w:tcW w:w="8260" w:type="dxa"/>
            <w:vAlign w:val="bottom"/>
          </w:tcPr>
          <w:p>
            <w:pPr>
              <w:ind w:left="20"/>
              <w:spacing w:after="0" w:line="196" w:lineRule="exact"/>
              <w:rPr>
                <w:sz w:val="20"/>
                <w:szCs w:val="20"/>
                <w:color w:val="auto"/>
              </w:rPr>
            </w:pPr>
            <w:r>
              <w:rPr>
                <w:rFonts w:ascii="Arial" w:cs="Arial" w:eastAsia="Arial" w:hAnsi="Arial"/>
                <w:sz w:val="18"/>
                <w:szCs w:val="18"/>
                <w:color w:val="auto"/>
              </w:rPr>
              <w:t>Net loss</w:t>
            </w:r>
          </w:p>
        </w:tc>
        <w:tc>
          <w:tcPr>
            <w:tcW w:w="320" w:type="dxa"/>
            <w:vAlign w:val="bottom"/>
            <w:tcBorders>
              <w:bottom w:val="single" w:sz="8" w:color="auto"/>
            </w:tcBorders>
          </w:tcPr>
          <w:p>
            <w:pPr>
              <w:jc w:val="right"/>
              <w:ind w:right="110"/>
              <w:spacing w:after="0" w:line="196"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(88,242)</w:t>
            </w:r>
          </w:p>
        </w:tc>
        <w:tc>
          <w:tcPr>
            <w:tcW w:w="100" w:type="dxa"/>
            <w:vAlign w:val="bottom"/>
          </w:tcPr>
          <w:p>
            <w:pPr>
              <w:spacing w:after="0"/>
              <w:rPr>
                <w:sz w:val="17"/>
                <w:szCs w:val="17"/>
                <w:color w:val="auto"/>
              </w:rPr>
            </w:pPr>
          </w:p>
        </w:tc>
        <w:tc>
          <w:tcPr>
            <w:tcW w:w="320" w:type="dxa"/>
            <w:vAlign w:val="bottom"/>
            <w:tcBorders>
              <w:bottom w:val="single" w:sz="8" w:color="auto"/>
            </w:tcBorders>
          </w:tcPr>
          <w:p>
            <w:pPr>
              <w:jc w:val="right"/>
              <w:ind w:right="110"/>
              <w:spacing w:after="0" w:line="196"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(113,033)</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(0.13)</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(0.17)</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(0.13)</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(0.17)</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r>
      <w:tr>
        <w:trPr>
          <w:trHeight w:val="255"/>
        </w:trPr>
        <w:tc>
          <w:tcPr>
            <w:tcW w:w="82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693,378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663,547</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8260" w:type="dxa"/>
            <w:vAlign w:val="bottom"/>
          </w:tcPr>
          <w:p>
            <w:pPr>
              <w:ind w:left="360"/>
              <w:spacing w:after="0" w:line="203" w:lineRule="exact"/>
              <w:rPr>
                <w:sz w:val="20"/>
                <w:szCs w:val="20"/>
                <w:color w:val="auto"/>
              </w:rPr>
            </w:pPr>
            <w:r>
              <w:rPr>
                <w:rFonts w:ascii="Arial" w:cs="Arial" w:eastAsia="Arial" w:hAnsi="Arial"/>
                <w:sz w:val="18"/>
                <w:szCs w:val="18"/>
                <w:color w:val="auto"/>
              </w:rPr>
              <w:t>Diluted</w:t>
            </w: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693,378</w:t>
            </w:r>
          </w:p>
        </w:tc>
        <w:tc>
          <w:tcPr>
            <w:tcW w:w="10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663,547</w:t>
            </w:r>
          </w:p>
        </w:tc>
      </w:tr>
      <w:tr>
        <w:trPr>
          <w:trHeight w:val="20"/>
        </w:trPr>
        <w:tc>
          <w:tcPr>
            <w:tcW w:w="82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6"/>
              <w:spacing w:after="0"/>
              <w:rPr>
                <w:sz w:val="20"/>
                <w:szCs w:val="20"/>
                <w:color w:val="auto"/>
              </w:rPr>
            </w:pPr>
            <w:r>
              <w:rPr>
                <w:rFonts w:ascii="Arial" w:cs="Arial" w:eastAsia="Arial" w:hAnsi="Arial"/>
                <w:sz w:val="14"/>
                <w:szCs w:val="14"/>
                <w:b w:val="1"/>
                <w:bCs w:val="1"/>
                <w:color w:val="auto"/>
              </w:rPr>
              <w:t>Three Months Ended</w:t>
            </w:r>
          </w:p>
        </w:tc>
      </w:tr>
      <w:tr>
        <w:trPr>
          <w:trHeight w:val="135"/>
        </w:trPr>
        <w:tc>
          <w:tcPr>
            <w:tcW w:w="82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8"/>
              </w:rPr>
              <w:t>May 1,</w:t>
            </w:r>
          </w:p>
        </w:tc>
        <w:tc>
          <w:tcPr>
            <w:tcW w:w="320" w:type="dxa"/>
            <w:vAlign w:val="bottom"/>
          </w:tcPr>
          <w:p>
            <w:pPr>
              <w:spacing w:after="0"/>
              <w:rPr>
                <w:sz w:val="11"/>
                <w:szCs w:val="11"/>
                <w:color w:val="auto"/>
              </w:rPr>
            </w:pPr>
          </w:p>
        </w:tc>
        <w:tc>
          <w:tcPr>
            <w:tcW w:w="1120" w:type="dxa"/>
            <w:vAlign w:val="bottom"/>
          </w:tcPr>
          <w:p>
            <w:pPr>
              <w:jc w:val="right"/>
              <w:ind w:right="416"/>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24"/>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cash flow hedges</w:t>
            </w:r>
          </w:p>
        </w:tc>
        <w:tc>
          <w:tcPr>
            <w:tcW w:w="32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868</w:t>
            </w:r>
          </w:p>
        </w:tc>
      </w:tr>
      <w:tr>
        <w:trPr>
          <w:trHeight w:val="223"/>
        </w:trPr>
        <w:tc>
          <w:tcPr>
            <w:tcW w:w="82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320" w:type="dxa"/>
            <w:vAlign w:val="bottom"/>
            <w:tcBorders>
              <w:top w:val="single" w:sz="8" w:color="auto"/>
              <w:bottom w:val="single" w:sz="8" w:color="auto"/>
            </w:tcBorders>
          </w:tcPr>
          <w:p>
            <w:pPr>
              <w:spacing w:after="0"/>
              <w:rPr>
                <w:sz w:val="19"/>
                <w:szCs w:val="19"/>
                <w:color w:val="auto"/>
              </w:rPr>
            </w:pPr>
          </w:p>
        </w:tc>
        <w:tc>
          <w:tcPr>
            <w:tcW w:w="1120" w:type="dxa"/>
            <w:vAlign w:val="bottom"/>
            <w:tcBorders>
              <w:top w:val="single" w:sz="8" w:color="auto"/>
              <w:bottom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320" w:type="dxa"/>
            <w:vAlign w:val="bottom"/>
            <w:tcBorders>
              <w:top w:val="single" w:sz="8" w:color="auto"/>
              <w:bottom w:val="single" w:sz="8" w:color="auto"/>
            </w:tcBorders>
          </w:tcPr>
          <w:p>
            <w:pPr>
              <w:spacing w:after="0"/>
              <w:rPr>
                <w:sz w:val="19"/>
                <w:szCs w:val="19"/>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868</w:t>
            </w:r>
          </w:p>
        </w:tc>
      </w:tr>
      <w:tr>
        <w:trPr>
          <w:trHeight w:val="24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(112,165)</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120" w:type="dxa"/>
            <w:vAlign w:val="bottom"/>
            <w:tcBorders>
              <w:bottom w:val="single" w:sz="8" w:color="auto"/>
            </w:tcBorders>
            <w:gridSpan w:val="6"/>
          </w:tcPr>
          <w:p>
            <w:pPr>
              <w:ind w:left="580"/>
              <w:spacing w:after="0"/>
              <w:rPr>
                <w:sz w:val="20"/>
                <w:szCs w:val="20"/>
                <w:color w:val="auto"/>
              </w:rPr>
            </w:pPr>
            <w:r>
              <w:rPr>
                <w:rFonts w:ascii="Arial" w:cs="Arial" w:eastAsia="Arial" w:hAnsi="Arial"/>
                <w:sz w:val="14"/>
                <w:szCs w:val="14"/>
                <w:b w:val="1"/>
                <w:bCs w:val="1"/>
                <w:color w:val="auto"/>
              </w:rPr>
              <w:t>Common Stock</w:t>
            </w:r>
          </w:p>
        </w:tc>
        <w:tc>
          <w:tcPr>
            <w:tcW w:w="120" w:type="dxa"/>
            <w:vAlign w:val="bottom"/>
            <w:gridSpan w:val="2"/>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70"/>
        </w:trPr>
        <w:tc>
          <w:tcPr>
            <w:tcW w:w="35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60" w:type="dxa"/>
            <w:vAlign w:val="bottom"/>
            <w:gridSpan w:val="2"/>
            <w:vMerge w:val="restart"/>
          </w:tcPr>
          <w:p>
            <w:pPr>
              <w:jc w:val="right"/>
              <w:ind w:right="260"/>
              <w:spacing w:after="0"/>
              <w:rPr>
                <w:sz w:val="20"/>
                <w:szCs w:val="20"/>
                <w:color w:val="auto"/>
              </w:rPr>
            </w:pPr>
            <w:r>
              <w:rPr>
                <w:rFonts w:ascii="Arial" w:cs="Arial" w:eastAsia="Arial" w:hAnsi="Arial"/>
                <w:sz w:val="14"/>
                <w:szCs w:val="14"/>
                <w:b w:val="1"/>
                <w:bCs w:val="1"/>
                <w:color w:val="auto"/>
              </w:rPr>
              <w:t>Shares</w:t>
            </w:r>
          </w:p>
        </w:tc>
        <w:tc>
          <w:tcPr>
            <w:tcW w:w="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940" w:type="dxa"/>
            <w:vAlign w:val="bottom"/>
            <w:gridSpan w:val="3"/>
            <w:vMerge w:val="restart"/>
          </w:tcPr>
          <w:p>
            <w:pPr>
              <w:ind w:left="80"/>
              <w:spacing w:after="0"/>
              <w:rPr>
                <w:sz w:val="20"/>
                <w:szCs w:val="20"/>
                <w:color w:val="auto"/>
              </w:rPr>
            </w:pPr>
            <w:r>
              <w:rPr>
                <w:rFonts w:ascii="Arial" w:cs="Arial" w:eastAsia="Arial" w:hAnsi="Arial"/>
                <w:sz w:val="14"/>
                <w:szCs w:val="14"/>
                <w:b w:val="1"/>
                <w:bCs w:val="1"/>
                <w:color w:val="auto"/>
              </w:rPr>
              <w:t>Amount</w:t>
            </w:r>
          </w:p>
        </w:tc>
        <w:tc>
          <w:tcPr>
            <w:tcW w:w="40" w:type="dxa"/>
            <w:vAlign w:val="bottom"/>
          </w:tcPr>
          <w:p>
            <w:pPr>
              <w:spacing w:after="0"/>
              <w:rPr>
                <w:sz w:val="23"/>
                <w:szCs w:val="23"/>
                <w:color w:val="auto"/>
              </w:rPr>
            </w:pPr>
          </w:p>
        </w:tc>
        <w:tc>
          <w:tcPr>
            <w:tcW w:w="1380" w:type="dxa"/>
            <w:vAlign w:val="bottom"/>
            <w:gridSpan w:val="4"/>
          </w:tcPr>
          <w:p>
            <w:pPr>
              <w:ind w:left="20"/>
              <w:spacing w:after="0"/>
              <w:rPr>
                <w:sz w:val="20"/>
                <w:szCs w:val="20"/>
                <w:color w:val="auto"/>
              </w:rPr>
            </w:pPr>
            <w:r>
              <w:rPr>
                <w:rFonts w:ascii="Arial" w:cs="Arial" w:eastAsia="Arial" w:hAnsi="Arial"/>
                <w:sz w:val="14"/>
                <w:szCs w:val="14"/>
                <w:b w:val="1"/>
                <w:bCs w:val="1"/>
                <w:color w:val="auto"/>
              </w:rPr>
              <w:t>Additional Paid-in-</w:t>
            </w:r>
          </w:p>
        </w:tc>
        <w:tc>
          <w:tcPr>
            <w:tcW w:w="40" w:type="dxa"/>
            <w:vAlign w:val="bottom"/>
          </w:tcPr>
          <w:p>
            <w:pPr>
              <w:spacing w:after="0"/>
              <w:rPr>
                <w:sz w:val="23"/>
                <w:szCs w:val="23"/>
                <w:color w:val="auto"/>
              </w:rPr>
            </w:pPr>
          </w:p>
        </w:tc>
        <w:tc>
          <w:tcPr>
            <w:tcW w:w="1420" w:type="dxa"/>
            <w:vAlign w:val="bottom"/>
            <w:gridSpan w:val="4"/>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40" w:type="dxa"/>
            <w:vAlign w:val="bottom"/>
          </w:tcPr>
          <w:p>
            <w:pPr>
              <w:spacing w:after="0"/>
              <w:rPr>
                <w:sz w:val="23"/>
                <w:szCs w:val="23"/>
                <w:color w:val="auto"/>
              </w:rPr>
            </w:pPr>
          </w:p>
        </w:tc>
        <w:tc>
          <w:tcPr>
            <w:tcW w:w="1020" w:type="dxa"/>
            <w:vAlign w:val="bottom"/>
            <w:vMerge w:val="restart"/>
          </w:tcPr>
          <w:p>
            <w:pPr>
              <w:jc w:val="right"/>
              <w:ind w:right="3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gridSpan w:val="2"/>
            <w:vMerge w:val="continue"/>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40" w:type="dxa"/>
            <w:vAlign w:val="bottom"/>
            <w:gridSpan w:val="3"/>
            <w:vMerge w:val="continue"/>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40" w:type="dxa"/>
            <w:vAlign w:val="bottom"/>
            <w:gridSpan w:val="3"/>
          </w:tcPr>
          <w:p>
            <w:pPr>
              <w:ind w:left="240"/>
              <w:spacing w:after="0"/>
              <w:rPr>
                <w:sz w:val="20"/>
                <w:szCs w:val="20"/>
                <w:color w:val="auto"/>
              </w:rPr>
            </w:pPr>
            <w:r>
              <w:rPr>
                <w:rFonts w:ascii="Arial" w:cs="Arial" w:eastAsia="Arial" w:hAnsi="Arial"/>
                <w:sz w:val="14"/>
                <w:szCs w:val="14"/>
                <w:b w:val="1"/>
                <w:bCs w:val="1"/>
                <w:color w:val="auto"/>
              </w:rPr>
              <w:t>Capital</w:t>
            </w:r>
          </w:p>
        </w:tc>
        <w:tc>
          <w:tcPr>
            <w:tcW w:w="40" w:type="dxa"/>
            <w:vAlign w:val="bottom"/>
          </w:tcPr>
          <w:p>
            <w:pPr>
              <w:spacing w:after="0"/>
              <w:rPr>
                <w:sz w:val="16"/>
                <w:szCs w:val="16"/>
                <w:color w:val="auto"/>
              </w:rPr>
            </w:pPr>
          </w:p>
        </w:tc>
        <w:tc>
          <w:tcPr>
            <w:tcW w:w="1420" w:type="dxa"/>
            <w:vAlign w:val="bottom"/>
            <w:gridSpan w:val="4"/>
            <w:vMerge w:val="continue"/>
          </w:tcPr>
          <w:p>
            <w:pPr>
              <w:spacing w:after="0"/>
              <w:rPr>
                <w:sz w:val="16"/>
                <w:szCs w:val="16"/>
                <w:color w:val="auto"/>
              </w:rPr>
            </w:pPr>
          </w:p>
        </w:tc>
        <w:tc>
          <w:tcPr>
            <w:tcW w:w="240" w:type="dxa"/>
            <w:vAlign w:val="bottom"/>
          </w:tcPr>
          <w:p>
            <w:pPr>
              <w:spacing w:after="0"/>
              <w:rPr>
                <w:sz w:val="16"/>
                <w:szCs w:val="16"/>
                <w:color w:val="auto"/>
              </w:rPr>
            </w:pPr>
          </w:p>
        </w:tc>
        <w:tc>
          <w:tcPr>
            <w:tcW w:w="10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860" w:type="dxa"/>
            <w:vAlign w:val="bottom"/>
            <w:tcBorders>
              <w:top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7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CCEEFF"/>
            </w:tcBorders>
            <w:shd w:val="clear" w:color="auto" w:fill="CCEEFF"/>
          </w:tcPr>
          <w:p>
            <w:pPr>
              <w:spacing w:after="0"/>
              <w:rPr>
                <w:sz w:val="19"/>
                <w:szCs w:val="19"/>
                <w:color w:val="auto"/>
              </w:rPr>
            </w:pPr>
          </w:p>
        </w:tc>
        <w:tc>
          <w:tcPr>
            <w:tcW w:w="96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675,402</w:t>
            </w:r>
          </w:p>
        </w:tc>
        <w:tc>
          <w:tcPr>
            <w:tcW w:w="40" w:type="dxa"/>
            <w:vAlign w:val="bottom"/>
            <w:tcBorders>
              <w:top w:val="single" w:sz="8" w:color="auto"/>
            </w:tcBorders>
            <w:shd w:val="clear" w:color="auto" w:fill="CCEEFF"/>
          </w:tcPr>
          <w:p>
            <w:pPr>
              <w:spacing w:after="0"/>
              <w:rPr>
                <w:sz w:val="19"/>
                <w:szCs w:val="19"/>
                <w:color w:val="auto"/>
              </w:rPr>
            </w:pPr>
          </w:p>
        </w:tc>
        <w:tc>
          <w:tcPr>
            <w:tcW w:w="14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1,350</w:t>
            </w:r>
          </w:p>
        </w:tc>
        <w:tc>
          <w:tcPr>
            <w:tcW w:w="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6,331,013</w:t>
            </w:r>
          </w:p>
        </w:tc>
        <w:tc>
          <w:tcPr>
            <w:tcW w:w="60" w:type="dxa"/>
            <w:vAlign w:val="bottom"/>
            <w:tcBorders>
              <w:top w:val="single" w:sz="8" w:color="CCEEFF"/>
            </w:tcBorders>
            <w:shd w:val="clear" w:color="auto" w:fill="CCEEFF"/>
          </w:tcPr>
          <w:p>
            <w:pPr>
              <w:spacing w:after="0"/>
              <w:rPr>
                <w:sz w:val="19"/>
                <w:szCs w:val="19"/>
                <w:color w:val="auto"/>
              </w:rPr>
            </w:pPr>
          </w:p>
        </w:tc>
        <w:tc>
          <w:tcPr>
            <w:tcW w:w="80" w:type="dxa"/>
            <w:vAlign w:val="bottom"/>
            <w:tcBorders>
              <w:top w:val="single" w:sz="8" w:color="CCEEFF"/>
            </w:tcBorders>
            <w:shd w:val="clear" w:color="auto" w:fill="CCEEFF"/>
          </w:tcPr>
          <w:p>
            <w:pPr>
              <w:spacing w:after="0"/>
              <w:rPr>
                <w:sz w:val="19"/>
                <w:szCs w:val="19"/>
                <w:color w:val="auto"/>
              </w:rPr>
            </w:pPr>
          </w:p>
        </w:tc>
        <w:tc>
          <w:tcPr>
            <w:tcW w:w="320" w:type="dxa"/>
            <w:vAlign w:val="bottom"/>
            <w:tcBorders>
              <w:top w:val="single" w:sz="8" w:color="auto"/>
            </w:tcBorders>
            <w:gridSpan w:val="2"/>
            <w:shd w:val="clear" w:color="auto" w:fill="CCEEFF"/>
          </w:tcPr>
          <w:p>
            <w:pPr>
              <w:jc w:val="right"/>
              <w:ind w:right="139"/>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c>
          <w:tcPr>
            <w:tcW w:w="6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8,435,804</w:t>
            </w:r>
          </w:p>
        </w:tc>
        <w:tc>
          <w:tcPr>
            <w:tcW w:w="0" w:type="dxa"/>
            <w:vAlign w:val="bottom"/>
          </w:tcPr>
          <w:p>
            <w:pPr>
              <w:spacing w:after="0"/>
              <w:rPr>
                <w:sz w:val="1"/>
                <w:szCs w:val="1"/>
                <w:color w:val="auto"/>
              </w:rPr>
            </w:pPr>
          </w:p>
        </w:tc>
      </w:tr>
      <w:tr>
        <w:trPr>
          <w:trHeight w:val="175"/>
        </w:trPr>
        <w:tc>
          <w:tcPr>
            <w:tcW w:w="4700" w:type="dxa"/>
            <w:vAlign w:val="bottom"/>
            <w:gridSpan w:val="4"/>
          </w:tcPr>
          <w:p>
            <w:pPr>
              <w:ind w:left="20"/>
              <w:spacing w:after="0" w:line="176" w:lineRule="exact"/>
              <w:rPr>
                <w:sz w:val="20"/>
                <w:szCs w:val="20"/>
                <w:color w:val="auto"/>
              </w:rPr>
            </w:pPr>
            <w:r>
              <w:rPr>
                <w:rFonts w:ascii="Arial" w:cs="Arial" w:eastAsia="Arial" w:hAnsi="Arial"/>
                <w:sz w:val="18"/>
                <w:szCs w:val="18"/>
                <w:color w:val="auto"/>
                <w:w w:val="92"/>
              </w:rPr>
              <w:t>Issuance of common shares in connection with equity incentive</w:t>
            </w:r>
          </w:p>
        </w:tc>
        <w:tc>
          <w:tcPr>
            <w:tcW w:w="160" w:type="dxa"/>
            <w:vAlign w:val="bottom"/>
          </w:tcPr>
          <w:p>
            <w:pPr>
              <w:spacing w:after="0"/>
              <w:rPr>
                <w:sz w:val="15"/>
                <w:szCs w:val="15"/>
                <w:color w:val="auto"/>
              </w:rPr>
            </w:pPr>
          </w:p>
        </w:tc>
        <w:tc>
          <w:tcPr>
            <w:tcW w:w="9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2,179</w:t>
            </w: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505</w:t>
            </w: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40" w:type="dxa"/>
            <w:vAlign w:val="bottom"/>
            <w:gridSpan w:val="3"/>
            <w:vMerge w:val="restart"/>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30"/>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plans</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vMerge w:val="continue"/>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vMerge w:val="continue"/>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4860" w:type="dxa"/>
            <w:vAlign w:val="bottom"/>
            <w:gridSpan w:val="5"/>
            <w:shd w:val="clear" w:color="auto" w:fill="CCEEFF"/>
          </w:tcPr>
          <w:p>
            <w:pPr>
              <w:ind w:left="20"/>
              <w:spacing w:after="0" w:line="176" w:lineRule="exact"/>
              <w:rPr>
                <w:sz w:val="20"/>
                <w:szCs w:val="20"/>
                <w:color w:val="auto"/>
              </w:rPr>
            </w:pPr>
            <w:r>
              <w:rPr>
                <w:rFonts w:ascii="Arial" w:cs="Arial" w:eastAsia="Arial" w:hAnsi="Arial"/>
                <w:sz w:val="18"/>
                <w:szCs w:val="18"/>
                <w:color w:val="auto"/>
                <w:w w:val="91"/>
              </w:rPr>
              <w:t>Tax withholdings related to net share settlement of restricted stock</w:t>
            </w:r>
          </w:p>
        </w:tc>
        <w:tc>
          <w:tcPr>
            <w:tcW w:w="96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940" w:type="dxa"/>
            <w:vAlign w:val="bottom"/>
            <w:gridSpan w:val="3"/>
            <w:vMerge w:val="restart"/>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40" w:type="dxa"/>
            <w:vAlign w:val="bottom"/>
            <w:gridSpan w:val="3"/>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0" w:type="dxa"/>
            <w:vAlign w:val="bottom"/>
          </w:tcPr>
          <w:p>
            <w:pPr>
              <w:spacing w:after="0"/>
              <w:rPr>
                <w:sz w:val="1"/>
                <w:szCs w:val="1"/>
                <w:color w:val="auto"/>
              </w:rPr>
            </w:pPr>
          </w:p>
        </w:tc>
      </w:tr>
      <w:tr>
        <w:trPr>
          <w:trHeight w:val="230"/>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units</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vMerge w:val="continue"/>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gridSpan w:val="3"/>
            <w:vMerge w:val="continue"/>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00" w:type="dxa"/>
            <w:vAlign w:val="bottom"/>
            <w:vMerge w:val="continue"/>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vMerge w:val="continue"/>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Share-based compensation</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92,705</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92,705</w:t>
            </w:r>
          </w:p>
        </w:tc>
        <w:tc>
          <w:tcPr>
            <w:tcW w:w="0" w:type="dxa"/>
            <w:vAlign w:val="bottom"/>
          </w:tcPr>
          <w:p>
            <w:pPr>
              <w:spacing w:after="0"/>
              <w:rPr>
                <w:sz w:val="1"/>
                <w:szCs w:val="1"/>
                <w:color w:val="auto"/>
              </w:rPr>
            </w:pPr>
          </w:p>
        </w:tc>
      </w:tr>
      <w:tr>
        <w:trPr>
          <w:trHeight w:val="229"/>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0"/>
              </w:rPr>
              <w:t>Common stock issued to Inphi common stockholders</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128,030</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5,871,869</w:t>
            </w:r>
          </w:p>
        </w:tc>
        <w:tc>
          <w:tcPr>
            <w:tcW w:w="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5,872,125</w:t>
            </w:r>
          </w:p>
        </w:tc>
        <w:tc>
          <w:tcPr>
            <w:tcW w:w="0" w:type="dxa"/>
            <w:vAlign w:val="bottom"/>
          </w:tcPr>
          <w:p>
            <w:pPr>
              <w:spacing w:after="0"/>
              <w:rPr>
                <w:sz w:val="1"/>
                <w:szCs w:val="1"/>
                <w:color w:val="auto"/>
              </w:rPr>
            </w:pPr>
          </w:p>
        </w:tc>
      </w:tr>
      <w:tr>
        <w:trPr>
          <w:trHeight w:val="230"/>
        </w:trPr>
        <w:tc>
          <w:tcPr>
            <w:tcW w:w="3860" w:type="dxa"/>
            <w:vAlign w:val="bottom"/>
            <w:gridSpan w:val="2"/>
          </w:tcPr>
          <w:p>
            <w:pPr>
              <w:ind w:left="20"/>
              <w:spacing w:after="0"/>
              <w:rPr>
                <w:sz w:val="20"/>
                <w:szCs w:val="20"/>
                <w:color w:val="auto"/>
              </w:rPr>
            </w:pPr>
            <w:r>
              <w:rPr>
                <w:rFonts w:ascii="Arial" w:cs="Arial" w:eastAsia="Arial" w:hAnsi="Arial"/>
                <w:sz w:val="18"/>
                <w:szCs w:val="18"/>
                <w:color w:val="auto"/>
                <w:w w:val="98"/>
              </w:rPr>
              <w:t>Stock consideration for Inphi accelerated awards</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1,192</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39,058</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39,061</w:t>
            </w:r>
          </w:p>
        </w:tc>
        <w:tc>
          <w:tcPr>
            <w:tcW w:w="0" w:type="dxa"/>
            <w:vAlign w:val="bottom"/>
          </w:tcPr>
          <w:p>
            <w:pPr>
              <w:spacing w:after="0"/>
              <w:rPr>
                <w:sz w:val="1"/>
                <w:szCs w:val="1"/>
                <w:color w:val="auto"/>
              </w:rPr>
            </w:pPr>
          </w:p>
        </w:tc>
      </w:tr>
      <w:tr>
        <w:trPr>
          <w:trHeight w:val="229"/>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Equity related issuance cost</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(8,177)</w:t>
            </w:r>
          </w:p>
        </w:tc>
        <w:tc>
          <w:tcPr>
            <w:tcW w:w="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(8,177)</w:t>
            </w:r>
          </w:p>
        </w:tc>
        <w:tc>
          <w:tcPr>
            <w:tcW w:w="0" w:type="dxa"/>
            <w:vAlign w:val="bottom"/>
          </w:tcPr>
          <w:p>
            <w:pPr>
              <w:spacing w:after="0"/>
              <w:rPr>
                <w:sz w:val="1"/>
                <w:szCs w:val="1"/>
                <w:color w:val="auto"/>
              </w:rPr>
            </w:pPr>
          </w:p>
        </w:tc>
      </w:tr>
      <w:tr>
        <w:trPr>
          <w:trHeight w:val="230"/>
        </w:trPr>
        <w:tc>
          <w:tcPr>
            <w:tcW w:w="4860" w:type="dxa"/>
            <w:vAlign w:val="bottom"/>
            <w:gridSpan w:val="5"/>
          </w:tcPr>
          <w:p>
            <w:pPr>
              <w:ind w:left="20"/>
              <w:spacing w:after="0"/>
              <w:rPr>
                <w:sz w:val="20"/>
                <w:szCs w:val="20"/>
                <w:color w:val="auto"/>
              </w:rPr>
            </w:pPr>
            <w:r>
              <w:rPr>
                <w:rFonts w:ascii="Arial" w:cs="Arial" w:eastAsia="Arial" w:hAnsi="Arial"/>
                <w:sz w:val="18"/>
                <w:szCs w:val="18"/>
                <w:color w:val="auto"/>
                <w:w w:val="92"/>
              </w:rPr>
              <w:t>Replacement equity awards attributable to pre-acquisition service</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82,346</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82,346</w:t>
            </w:r>
          </w:p>
        </w:tc>
        <w:tc>
          <w:tcPr>
            <w:tcW w:w="0" w:type="dxa"/>
            <w:vAlign w:val="bottom"/>
          </w:tcPr>
          <w:p>
            <w:pPr>
              <w:spacing w:after="0"/>
              <w:rPr>
                <w:sz w:val="1"/>
                <w:szCs w:val="1"/>
                <w:color w:val="auto"/>
              </w:rPr>
            </w:pPr>
          </w:p>
        </w:tc>
      </w:tr>
      <w:tr>
        <w:trPr>
          <w:trHeight w:val="229"/>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244,155</w:t>
            </w:r>
          </w:p>
        </w:tc>
        <w:tc>
          <w:tcPr>
            <w:tcW w:w="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244,155</w:t>
            </w:r>
          </w:p>
        </w:tc>
        <w:tc>
          <w:tcPr>
            <w:tcW w:w="0" w:type="dxa"/>
            <w:vAlign w:val="bottom"/>
          </w:tcPr>
          <w:p>
            <w:pPr>
              <w:spacing w:after="0"/>
              <w:rPr>
                <w:sz w:val="1"/>
                <w:szCs w:val="1"/>
                <w:color w:val="auto"/>
              </w:rPr>
            </w:pPr>
          </w:p>
        </w:tc>
      </w:tr>
      <w:tr>
        <w:trPr>
          <w:trHeight w:val="229"/>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7,115</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234,333</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234,347</w:t>
            </w:r>
          </w:p>
        </w:tc>
        <w:tc>
          <w:tcPr>
            <w:tcW w:w="0" w:type="dxa"/>
            <w:vAlign w:val="bottom"/>
          </w:tcPr>
          <w:p>
            <w:pPr>
              <w:spacing w:after="0"/>
              <w:rPr>
                <w:sz w:val="1"/>
                <w:szCs w:val="1"/>
                <w:color w:val="auto"/>
              </w:rPr>
            </w:pPr>
          </w:p>
        </w:tc>
      </w:tr>
      <w:tr>
        <w:trPr>
          <w:trHeight w:val="230"/>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7"/>
              </w:rPr>
              <w:t>Conversion of convertible notes to common stock</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2,502</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59,704</w:t>
            </w:r>
          </w:p>
        </w:tc>
        <w:tc>
          <w:tcPr>
            <w:tcW w:w="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59,709</w:t>
            </w:r>
          </w:p>
        </w:tc>
        <w:tc>
          <w:tcPr>
            <w:tcW w:w="0" w:type="dxa"/>
            <w:vAlign w:val="bottom"/>
          </w:tcPr>
          <w:p>
            <w:pPr>
              <w:spacing w:after="0"/>
              <w:rPr>
                <w:sz w:val="1"/>
                <w:szCs w:val="1"/>
                <w:color w:val="auto"/>
              </w:rPr>
            </w:pPr>
          </w:p>
        </w:tc>
      </w:tr>
      <w:tr>
        <w:trPr>
          <w:trHeight w:val="229"/>
        </w:trPr>
        <w:tc>
          <w:tcPr>
            <w:tcW w:w="3860" w:type="dxa"/>
            <w:vAlign w:val="bottom"/>
            <w:gridSpan w:val="2"/>
          </w:tcPr>
          <w:p>
            <w:pPr>
              <w:ind w:left="20"/>
              <w:spacing w:after="0"/>
              <w:rPr>
                <w:sz w:val="20"/>
                <w:szCs w:val="20"/>
                <w:color w:val="auto"/>
              </w:rPr>
            </w:pPr>
            <w:r>
              <w:rPr>
                <w:rFonts w:ascii="Arial" w:cs="Arial" w:eastAsia="Arial" w:hAnsi="Arial"/>
                <w:sz w:val="18"/>
                <w:szCs w:val="18"/>
                <w:color w:val="auto"/>
                <w:w w:val="92"/>
              </w:rPr>
              <w:t>Cash dividends declared and paid ($0.06 per share)</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4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(40,557)</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(40,557)</w:t>
            </w:r>
          </w:p>
        </w:tc>
        <w:tc>
          <w:tcPr>
            <w:tcW w:w="0" w:type="dxa"/>
            <w:vAlign w:val="bottom"/>
          </w:tcPr>
          <w:p>
            <w:pPr>
              <w:spacing w:after="0"/>
              <w:rPr>
                <w:sz w:val="1"/>
                <w:szCs w:val="1"/>
                <w:color w:val="auto"/>
              </w:rPr>
            </w:pPr>
          </w:p>
        </w:tc>
      </w:tr>
      <w:tr>
        <w:trPr>
          <w:trHeight w:val="230"/>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7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(88,242)</w:t>
            </w:r>
          </w:p>
        </w:tc>
        <w:tc>
          <w:tcPr>
            <w:tcW w:w="0" w:type="dxa"/>
            <w:vAlign w:val="bottom"/>
          </w:tcPr>
          <w:p>
            <w:pPr>
              <w:spacing w:after="0"/>
              <w:rPr>
                <w:sz w:val="1"/>
                <w:szCs w:val="1"/>
                <w:color w:val="auto"/>
              </w:rPr>
            </w:pPr>
          </w:p>
        </w:tc>
      </w:tr>
      <w:tr>
        <w:trPr>
          <w:trHeight w:val="223"/>
        </w:trPr>
        <w:tc>
          <w:tcPr>
            <w:tcW w:w="3860" w:type="dxa"/>
            <w:vAlign w:val="bottom"/>
            <w:gridSpan w:val="2"/>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816,420</w:t>
            </w:r>
          </w:p>
        </w:tc>
        <w:tc>
          <w:tcPr>
            <w:tcW w:w="40" w:type="dxa"/>
            <w:vAlign w:val="bottom"/>
            <w:tcBorders>
              <w:top w:val="single" w:sz="8" w:color="auto"/>
              <w:bottom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1,633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Borders>
              <w:top w:val="single" w:sz="8" w:color="auto"/>
              <w:bottom w:val="single" w:sz="8" w:color="auto"/>
            </w:tcBorders>
          </w:tcPr>
          <w:p>
            <w:pPr>
              <w:spacing w:after="0"/>
              <w:rPr>
                <w:sz w:val="19"/>
                <w:szCs w:val="19"/>
                <w:color w:val="auto"/>
              </w:rPr>
            </w:pPr>
          </w:p>
        </w:tc>
        <w:tc>
          <w:tcPr>
            <w:tcW w:w="140" w:type="dxa"/>
            <w:vAlign w:val="bottom"/>
            <w:tcBorders>
              <w:top w:val="single" w:sz="8" w:color="auto"/>
              <w:bottom w:val="single" w:sz="8" w:color="auto"/>
            </w:tcBorders>
          </w:tcPr>
          <w:p>
            <w:pPr>
              <w:spacing w:after="0"/>
              <w:rPr>
                <w:sz w:val="19"/>
                <w:szCs w:val="19"/>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12,879,095</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Borders>
              <w:top w:val="single" w:sz="8" w:color="auto"/>
              <w:bottom w:val="single" w:sz="8" w:color="auto"/>
            </w:tcBorders>
          </w:tcPr>
          <w:p>
            <w:pPr>
              <w:spacing w:after="0"/>
              <w:rPr>
                <w:sz w:val="19"/>
                <w:szCs w:val="19"/>
                <w:color w:val="auto"/>
              </w:rPr>
            </w:pPr>
          </w:p>
        </w:tc>
        <w:tc>
          <w:tcPr>
            <w:tcW w:w="280" w:type="dxa"/>
            <w:vAlign w:val="bottom"/>
            <w:tcBorders>
              <w:top w:val="single" w:sz="8" w:color="auto"/>
              <w:bottom w:val="single" w:sz="8" w:color="auto"/>
            </w:tcBorders>
          </w:tcPr>
          <w:p>
            <w:pPr>
              <w:spacing w:after="0"/>
              <w:rPr>
                <w:sz w:val="19"/>
                <w:szCs w:val="19"/>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1,974,642</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14,855,370</w:t>
            </w:r>
          </w:p>
        </w:tc>
        <w:tc>
          <w:tcPr>
            <w:tcW w:w="0" w:type="dxa"/>
            <w:vAlign w:val="bottom"/>
          </w:tcPr>
          <w:p>
            <w:pPr>
              <w:spacing w:after="0"/>
              <w:rPr>
                <w:sz w:val="1"/>
                <w:szCs w:val="1"/>
                <w:color w:val="auto"/>
              </w:rPr>
            </w:pPr>
          </w:p>
        </w:tc>
      </w:tr>
      <w:tr>
        <w:trPr>
          <w:trHeight w:val="21"/>
        </w:trPr>
        <w:tc>
          <w:tcPr>
            <w:tcW w:w="35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10"/>
        </w:trPr>
        <w:tc>
          <w:tcPr>
            <w:tcW w:w="3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960" w:type="dxa"/>
            <w:vAlign w:val="bottom"/>
            <w:gridSpan w:val="5"/>
          </w:tcPr>
          <w:p>
            <w:pPr>
              <w:jc w:val="right"/>
              <w:ind w:right="720"/>
              <w:spacing w:after="0"/>
              <w:rPr>
                <w:sz w:val="20"/>
                <w:szCs w:val="20"/>
                <w:color w:val="auto"/>
              </w:rPr>
            </w:pPr>
            <w:r>
              <w:rPr>
                <w:rFonts w:ascii="Arial" w:cs="Arial" w:eastAsia="Arial" w:hAnsi="Arial"/>
                <w:sz w:val="14"/>
                <w:szCs w:val="14"/>
                <w:b w:val="1"/>
                <w:bCs w:val="1"/>
                <w:color w:val="auto"/>
              </w:rPr>
              <w:t>Common Stock</w:t>
            </w: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gridSpan w:val="5"/>
            <w:vMerge w:val="restart"/>
          </w:tcPr>
          <w:p>
            <w:pPr>
              <w:jc w:val="center"/>
              <w:ind w:right="140"/>
              <w:spacing w:after="0"/>
              <w:rPr>
                <w:sz w:val="20"/>
                <w:szCs w:val="20"/>
                <w:color w:val="auto"/>
              </w:rPr>
            </w:pPr>
            <w:r>
              <w:rPr>
                <w:rFonts w:ascii="Arial" w:cs="Arial" w:eastAsia="Arial" w:hAnsi="Arial"/>
                <w:sz w:val="14"/>
                <w:szCs w:val="14"/>
                <w:b w:val="1"/>
                <w:bCs w:val="1"/>
                <w:color w:val="auto"/>
                <w:w w:val="95"/>
              </w:rPr>
              <w:t>Additional Paid-</w:t>
            </w:r>
          </w:p>
        </w:tc>
        <w:tc>
          <w:tcPr>
            <w:tcW w:w="40" w:type="dxa"/>
            <w:vAlign w:val="bottom"/>
          </w:tcPr>
          <w:p>
            <w:pPr>
              <w:spacing w:after="0"/>
              <w:rPr>
                <w:sz w:val="11"/>
                <w:szCs w:val="11"/>
                <w:color w:val="auto"/>
              </w:rPr>
            </w:pPr>
          </w:p>
        </w:tc>
        <w:tc>
          <w:tcPr>
            <w:tcW w:w="1380" w:type="dxa"/>
            <w:vAlign w:val="bottom"/>
            <w:gridSpan w:val="4"/>
          </w:tcPr>
          <w:p>
            <w:pPr>
              <w:jc w:val="center"/>
              <w:ind w:right="80"/>
              <w:spacing w:after="0" w:line="135" w:lineRule="exact"/>
              <w:rPr>
                <w:sz w:val="20"/>
                <w:szCs w:val="20"/>
                <w:color w:val="auto"/>
              </w:rPr>
            </w:pPr>
            <w:r>
              <w:rPr>
                <w:rFonts w:ascii="Arial" w:cs="Arial" w:eastAsia="Arial" w:hAnsi="Arial"/>
                <w:sz w:val="14"/>
                <w:szCs w:val="14"/>
                <w:b w:val="1"/>
                <w:bCs w:val="1"/>
                <w:color w:val="auto"/>
                <w:w w:val="94"/>
              </w:rPr>
              <w:t>Accumulated Other</w:t>
            </w:r>
          </w:p>
        </w:tc>
        <w:tc>
          <w:tcPr>
            <w:tcW w:w="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1"/>
                <w:szCs w:val="11"/>
                <w:color w:val="auto"/>
              </w:rPr>
            </w:pPr>
          </w:p>
        </w:tc>
        <w:tc>
          <w:tcPr>
            <w:tcW w:w="96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rPr>
              <w:t>Amount</w:t>
            </w:r>
          </w:p>
        </w:tc>
        <w:tc>
          <w:tcPr>
            <w:tcW w:w="40" w:type="dxa"/>
            <w:vAlign w:val="bottom"/>
          </w:tcPr>
          <w:p>
            <w:pPr>
              <w:spacing w:after="0"/>
              <w:rPr>
                <w:sz w:val="11"/>
                <w:szCs w:val="11"/>
                <w:color w:val="auto"/>
              </w:rPr>
            </w:pPr>
          </w:p>
        </w:tc>
        <w:tc>
          <w:tcPr>
            <w:tcW w:w="1240" w:type="dxa"/>
            <w:vAlign w:val="bottom"/>
            <w:gridSpan w:val="5"/>
            <w:vMerge w:val="continue"/>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3"/>
          </w:tcPr>
          <w:p>
            <w:pPr>
              <w:jc w:val="center"/>
              <w:ind w:right="240"/>
              <w:spacing w:after="0" w:line="135" w:lineRule="exact"/>
              <w:rPr>
                <w:sz w:val="20"/>
                <w:szCs w:val="20"/>
                <w:color w:val="auto"/>
              </w:rPr>
            </w:pPr>
            <w:r>
              <w:rPr>
                <w:rFonts w:ascii="Arial" w:cs="Arial" w:eastAsia="Arial" w:hAnsi="Arial"/>
                <w:sz w:val="14"/>
                <w:szCs w:val="14"/>
                <w:b w:val="1"/>
                <w:bCs w:val="1"/>
                <w:color w:val="auto"/>
                <w:w w:val="91"/>
              </w:rPr>
              <w:t>Comprehensive</w:t>
            </w:r>
          </w:p>
        </w:tc>
        <w:tc>
          <w:tcPr>
            <w:tcW w:w="40" w:type="dxa"/>
            <w:vAlign w:val="bottom"/>
          </w:tcPr>
          <w:p>
            <w:pPr>
              <w:spacing w:after="0"/>
              <w:rPr>
                <w:sz w:val="11"/>
                <w:szCs w:val="11"/>
                <w:color w:val="auto"/>
              </w:rPr>
            </w:pPr>
          </w:p>
        </w:tc>
        <w:tc>
          <w:tcPr>
            <w:tcW w:w="1420" w:type="dxa"/>
            <w:vAlign w:val="bottom"/>
            <w:gridSpan w:val="4"/>
            <w:vMerge w:val="restart"/>
          </w:tcPr>
          <w:p>
            <w:pPr>
              <w:ind w:left="60"/>
              <w:spacing w:after="0"/>
              <w:rPr>
                <w:sz w:val="20"/>
                <w:szCs w:val="20"/>
                <w:color w:val="auto"/>
              </w:rPr>
            </w:pPr>
            <w:r>
              <w:rPr>
                <w:rFonts w:ascii="Arial" w:cs="Arial" w:eastAsia="Arial" w:hAnsi="Arial"/>
                <w:sz w:val="14"/>
                <w:szCs w:val="14"/>
                <w:b w:val="1"/>
                <w:bCs w:val="1"/>
                <w:color w:val="auto"/>
              </w:rPr>
              <w:t>Retained Earnings</w:t>
            </w:r>
          </w:p>
        </w:tc>
        <w:tc>
          <w:tcPr>
            <w:tcW w:w="240" w:type="dxa"/>
            <w:vAlign w:val="bottom"/>
          </w:tcPr>
          <w:p>
            <w:pPr>
              <w:spacing w:after="0"/>
              <w:rPr>
                <w:sz w:val="11"/>
                <w:szCs w:val="11"/>
                <w:color w:val="auto"/>
              </w:rPr>
            </w:pPr>
          </w:p>
        </w:tc>
        <w:tc>
          <w:tcPr>
            <w:tcW w:w="1020" w:type="dxa"/>
            <w:vAlign w:val="bottom"/>
            <w:vMerge w:val="restart"/>
          </w:tcPr>
          <w:p>
            <w:pPr>
              <w:jc w:val="right"/>
              <w:ind w:right="3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gridSpan w:val="2"/>
            <w:vMerge w:val="continue"/>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0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97"/>
              </w:rPr>
              <w:t>in-Capital</w:t>
            </w: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4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0"/>
              </w:rPr>
              <w:t>Income (Loss)</w:t>
            </w:r>
          </w:p>
        </w:tc>
        <w:tc>
          <w:tcPr>
            <w:tcW w:w="40" w:type="dxa"/>
            <w:vAlign w:val="bottom"/>
          </w:tcPr>
          <w:p>
            <w:pPr>
              <w:spacing w:after="0"/>
              <w:rPr>
                <w:sz w:val="16"/>
                <w:szCs w:val="16"/>
                <w:color w:val="auto"/>
              </w:rPr>
            </w:pPr>
          </w:p>
        </w:tc>
        <w:tc>
          <w:tcPr>
            <w:tcW w:w="1420" w:type="dxa"/>
            <w:vAlign w:val="bottom"/>
            <w:gridSpan w:val="4"/>
            <w:vMerge w:val="continue"/>
          </w:tcPr>
          <w:p>
            <w:pPr>
              <w:spacing w:after="0"/>
              <w:rPr>
                <w:sz w:val="16"/>
                <w:szCs w:val="16"/>
                <w:color w:val="auto"/>
              </w:rPr>
            </w:pPr>
          </w:p>
        </w:tc>
        <w:tc>
          <w:tcPr>
            <w:tcW w:w="240" w:type="dxa"/>
            <w:vAlign w:val="bottom"/>
          </w:tcPr>
          <w:p>
            <w:pPr>
              <w:spacing w:after="0"/>
              <w:rPr>
                <w:sz w:val="16"/>
                <w:szCs w:val="16"/>
                <w:color w:val="auto"/>
              </w:rPr>
            </w:pPr>
          </w:p>
        </w:tc>
        <w:tc>
          <w:tcPr>
            <w:tcW w:w="10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5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1, 2020</w:t>
            </w:r>
          </w:p>
        </w:tc>
        <w:tc>
          <w:tcPr>
            <w:tcW w:w="280" w:type="dxa"/>
            <w:vAlign w:val="bottom"/>
            <w:tcBorders>
              <w:top w:val="single" w:sz="8" w:color="auto"/>
            </w:tcBorders>
            <w:shd w:val="clear" w:color="auto" w:fill="CCEEFF"/>
          </w:tcPr>
          <w:p>
            <w:pPr>
              <w:spacing w:after="0"/>
              <w:rPr>
                <w:sz w:val="19"/>
                <w:szCs w:val="19"/>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663,481</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14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gridSpan w:val="2"/>
            <w:shd w:val="clear" w:color="auto" w:fill="CCEEFF"/>
          </w:tcPr>
          <w:p>
            <w:pPr>
              <w:jc w:val="right"/>
              <w:ind w:right="8"/>
              <w:spacing w:after="0"/>
              <w:rPr>
                <w:sz w:val="20"/>
                <w:szCs w:val="20"/>
                <w:color w:val="auto"/>
              </w:rPr>
            </w:pPr>
            <w:r>
              <w:rPr>
                <w:rFonts w:ascii="Arial" w:cs="Arial" w:eastAsia="Arial" w:hAnsi="Arial"/>
                <w:sz w:val="18"/>
                <w:szCs w:val="18"/>
                <w:color w:val="auto"/>
                <w:w w:val="79"/>
              </w:rPr>
              <w:t>$</w:t>
            </w:r>
          </w:p>
        </w:tc>
        <w:tc>
          <w:tcPr>
            <w:tcW w:w="160" w:type="dxa"/>
            <w:vAlign w:val="bottom"/>
            <w:tcBorders>
              <w:top w:val="single" w:sz="8" w:color="auto"/>
            </w:tcBorders>
            <w:shd w:val="clear" w:color="auto" w:fill="CCEEFF"/>
          </w:tcPr>
          <w:p>
            <w:pPr>
              <w:spacing w:after="0"/>
              <w:rPr>
                <w:sz w:val="19"/>
                <w:szCs w:val="19"/>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6,135,939</w:t>
            </w:r>
          </w:p>
        </w:tc>
        <w:tc>
          <w:tcPr>
            <w:tcW w:w="2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CCEEFF"/>
            </w:tcBorders>
            <w:shd w:val="clear" w:color="auto" w:fill="CCEEFF"/>
          </w:tcPr>
          <w:p>
            <w:pPr>
              <w:spacing w:after="0"/>
              <w:rPr>
                <w:sz w:val="19"/>
                <w:szCs w:val="19"/>
                <w:color w:val="auto"/>
              </w:rPr>
            </w:pPr>
          </w:p>
        </w:tc>
        <w:tc>
          <w:tcPr>
            <w:tcW w:w="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c>
          <w:tcPr>
            <w:tcW w:w="60" w:type="dxa"/>
            <w:vAlign w:val="bottom"/>
            <w:tcBorders>
              <w:top w:val="single" w:sz="8" w:color="auto"/>
            </w:tcBorders>
            <w:shd w:val="clear" w:color="auto" w:fill="CCEEFF"/>
          </w:tcPr>
          <w:p>
            <w:pPr>
              <w:spacing w:after="0"/>
              <w:rPr>
                <w:sz w:val="19"/>
                <w:szCs w:val="19"/>
                <w:color w:val="auto"/>
              </w:rPr>
            </w:pPr>
          </w:p>
        </w:tc>
        <w:tc>
          <w:tcPr>
            <w:tcW w:w="14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175"/>
        </w:trPr>
        <w:tc>
          <w:tcPr>
            <w:tcW w:w="3860" w:type="dxa"/>
            <w:vAlign w:val="bottom"/>
            <w:gridSpan w:val="2"/>
          </w:tcPr>
          <w:p>
            <w:pPr>
              <w:ind w:left="20"/>
              <w:spacing w:after="0" w:line="176" w:lineRule="exact"/>
              <w:rPr>
                <w:sz w:val="20"/>
                <w:szCs w:val="20"/>
                <w:color w:val="auto"/>
              </w:rPr>
            </w:pPr>
            <w:r>
              <w:rPr>
                <w:rFonts w:ascii="Arial" w:cs="Arial" w:eastAsia="Arial" w:hAnsi="Arial"/>
                <w:sz w:val="18"/>
                <w:szCs w:val="18"/>
                <w:color w:val="auto"/>
              </w:rPr>
              <w:t>Issuance of common shares in connection with</w:t>
            </w: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2,993</w:t>
            </w:r>
          </w:p>
        </w:tc>
        <w:tc>
          <w:tcPr>
            <w:tcW w:w="1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1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5,466</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40" w:type="dxa"/>
            <w:vAlign w:val="bottom"/>
            <w:gridSpan w:val="3"/>
            <w:vMerge w:val="restart"/>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40" w:type="dxa"/>
            <w:vAlign w:val="bottom"/>
            <w:gridSpan w:val="3"/>
            <w:vMerge w:val="restart"/>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5"/>
                <w:szCs w:val="15"/>
                <w:color w:val="auto"/>
              </w:rPr>
            </w:pP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30"/>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equity incentive plans</w:t>
            </w:r>
          </w:p>
        </w:tc>
        <w:tc>
          <w:tcPr>
            <w:tcW w:w="72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4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vMerge w:val="continue"/>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860" w:type="dxa"/>
            <w:vAlign w:val="bottom"/>
            <w:gridSpan w:val="2"/>
            <w:shd w:val="clear" w:color="auto" w:fill="CCEEFF"/>
          </w:tcPr>
          <w:p>
            <w:pPr>
              <w:ind w:left="20"/>
              <w:spacing w:after="0" w:line="176" w:lineRule="exact"/>
              <w:rPr>
                <w:sz w:val="20"/>
                <w:szCs w:val="20"/>
                <w:color w:val="auto"/>
              </w:rPr>
            </w:pPr>
            <w:r>
              <w:rPr>
                <w:rFonts w:ascii="Arial" w:cs="Arial" w:eastAsia="Arial" w:hAnsi="Arial"/>
                <w:sz w:val="18"/>
                <w:szCs w:val="18"/>
                <w:color w:val="auto"/>
                <w:w w:val="99"/>
              </w:rPr>
              <w:t>Tax withholdings related to net share settlement</w:t>
            </w:r>
          </w:p>
        </w:tc>
        <w:tc>
          <w:tcPr>
            <w:tcW w:w="84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5"/>
                <w:szCs w:val="15"/>
                <w:color w:val="auto"/>
              </w:rPr>
            </w:pPr>
          </w:p>
        </w:tc>
        <w:tc>
          <w:tcPr>
            <w:tcW w:w="96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1240" w:type="dxa"/>
            <w:vAlign w:val="bottom"/>
            <w:gridSpan w:val="3"/>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40" w:type="dxa"/>
            <w:vAlign w:val="bottom"/>
            <w:gridSpan w:val="3"/>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5"/>
                <w:szCs w:val="15"/>
                <w:color w:val="auto"/>
              </w:rPr>
            </w:pPr>
          </w:p>
        </w:tc>
        <w:tc>
          <w:tcPr>
            <w:tcW w:w="10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0" w:type="dxa"/>
            <w:vAlign w:val="bottom"/>
          </w:tcPr>
          <w:p>
            <w:pPr>
              <w:spacing w:after="0"/>
              <w:rPr>
                <w:sz w:val="1"/>
                <w:szCs w:val="1"/>
                <w:color w:val="auto"/>
              </w:rPr>
            </w:pPr>
          </w:p>
        </w:tc>
      </w:tr>
      <w:tr>
        <w:trPr>
          <w:trHeight w:val="230"/>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840" w:type="dxa"/>
            <w:vAlign w:val="bottom"/>
            <w:gridSpan w:val="2"/>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gridSpan w:val="2"/>
            <w:vMerge w:val="continue"/>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20" w:type="dxa"/>
            <w:vAlign w:val="bottom"/>
            <w:vMerge w:val="continue"/>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40" w:type="dxa"/>
            <w:vAlign w:val="bottom"/>
            <w:gridSpan w:val="3"/>
            <w:vMerge w:val="continue"/>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vMerge w:val="continue"/>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Share-based compensation</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60,199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4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60,199</w:t>
            </w:r>
          </w:p>
        </w:tc>
        <w:tc>
          <w:tcPr>
            <w:tcW w:w="0" w:type="dxa"/>
            <w:vAlign w:val="bottom"/>
          </w:tcPr>
          <w:p>
            <w:pPr>
              <w:spacing w:after="0"/>
              <w:rPr>
                <w:sz w:val="1"/>
                <w:szCs w:val="1"/>
                <w:color w:val="auto"/>
              </w:rPr>
            </w:pPr>
          </w:p>
        </w:tc>
      </w:tr>
      <w:tr>
        <w:trPr>
          <w:trHeight w:val="229"/>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(1,251)</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20" w:type="dxa"/>
            <w:vAlign w:val="bottom"/>
            <w:shd w:val="clear" w:color="auto" w:fill="CCEEFF"/>
          </w:tcPr>
          <w:p>
            <w:pPr>
              <w:ind w:left="580"/>
              <w:spacing w:after="0"/>
              <w:rPr>
                <w:sz w:val="20"/>
                <w:szCs w:val="20"/>
                <w:color w:val="auto"/>
              </w:rPr>
            </w:pPr>
            <w:r>
              <w:rPr>
                <w:rFonts w:ascii="Arial" w:cs="Arial" w:eastAsia="Arial" w:hAnsi="Arial"/>
                <w:sz w:val="18"/>
                <w:szCs w:val="18"/>
                <w:color w:val="auto"/>
                <w:w w:val="99"/>
              </w:rPr>
              <w:t>(3)</w:t>
            </w:r>
          </w:p>
        </w:tc>
        <w:tc>
          <w:tcPr>
            <w:tcW w:w="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(25,199)</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176"/>
        </w:trPr>
        <w:tc>
          <w:tcPr>
            <w:tcW w:w="3860" w:type="dxa"/>
            <w:vAlign w:val="bottom"/>
            <w:gridSpan w:val="2"/>
          </w:tcPr>
          <w:p>
            <w:pPr>
              <w:ind w:left="20"/>
              <w:spacing w:after="0" w:line="176" w:lineRule="exact"/>
              <w:rPr>
                <w:sz w:val="20"/>
                <w:szCs w:val="20"/>
                <w:color w:val="auto"/>
              </w:rPr>
            </w:pPr>
            <w:r>
              <w:rPr>
                <w:rFonts w:ascii="Arial" w:cs="Arial" w:eastAsia="Arial" w:hAnsi="Arial"/>
                <w:sz w:val="18"/>
                <w:szCs w:val="18"/>
                <w:color w:val="auto"/>
              </w:rPr>
              <w:t>Cash dividends declared and paid ($0.06 per</w:t>
            </w:r>
          </w:p>
        </w:tc>
        <w:tc>
          <w:tcPr>
            <w:tcW w:w="84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5"/>
                <w:szCs w:val="15"/>
                <w:color w:val="auto"/>
              </w:rPr>
            </w:pPr>
          </w:p>
        </w:tc>
        <w:tc>
          <w:tcPr>
            <w:tcW w:w="96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40" w:type="dxa"/>
            <w:vAlign w:val="bottom"/>
            <w:gridSpan w:val="3"/>
            <w:vMerge w:val="restart"/>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40" w:type="dxa"/>
            <w:vAlign w:val="bottom"/>
            <w:gridSpan w:val="3"/>
            <w:vMerge w:val="restart"/>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00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(39,763)</w:t>
            </w:r>
          </w:p>
        </w:tc>
        <w:tc>
          <w:tcPr>
            <w:tcW w:w="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0" w:type="dxa"/>
            <w:vAlign w:val="bottom"/>
          </w:tcPr>
          <w:p>
            <w:pPr>
              <w:spacing w:after="0"/>
              <w:rPr>
                <w:sz w:val="1"/>
                <w:szCs w:val="1"/>
                <w:color w:val="auto"/>
              </w:rPr>
            </w:pPr>
          </w:p>
        </w:tc>
      </w:tr>
      <w:tr>
        <w:trPr>
          <w:trHeight w:val="229"/>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share)</w:t>
            </w:r>
          </w:p>
        </w:tc>
        <w:tc>
          <w:tcPr>
            <w:tcW w:w="84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gridSpan w:val="2"/>
            <w:vMerge w:val="continue"/>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40" w:type="dxa"/>
            <w:vAlign w:val="bottom"/>
            <w:gridSpan w:val="3"/>
            <w:vMerge w:val="continue"/>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8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(113,033)</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30"/>
        </w:trPr>
        <w:tc>
          <w:tcPr>
            <w:tcW w:w="3860" w:type="dxa"/>
            <w:vAlign w:val="bottom"/>
            <w:gridSpan w:val="2"/>
          </w:tcPr>
          <w:p>
            <w:pPr>
              <w:ind w:left="20"/>
              <w:spacing w:after="0"/>
              <w:rPr>
                <w:sz w:val="20"/>
                <w:szCs w:val="20"/>
                <w:color w:val="auto"/>
              </w:rPr>
            </w:pPr>
            <w:r>
              <w:rPr>
                <w:rFonts w:ascii="Arial" w:cs="Arial" w:eastAsia="Arial" w:hAnsi="Arial"/>
                <w:sz w:val="18"/>
                <w:szCs w:val="18"/>
                <w:color w:val="auto"/>
              </w:rPr>
              <w:t>Other comprehensive income</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868</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48"/>
        </w:trPr>
        <w:tc>
          <w:tcPr>
            <w:tcW w:w="3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2, 2020</w:t>
            </w:r>
          </w:p>
        </w:tc>
        <w:tc>
          <w:tcPr>
            <w:tcW w:w="280" w:type="dxa"/>
            <w:vAlign w:val="bottom"/>
            <w:tcBorders>
              <w:top w:val="single" w:sz="8" w:color="auto"/>
              <w:bottom w:val="single" w:sz="8" w:color="auto"/>
            </w:tcBorders>
            <w:shd w:val="clear" w:color="auto" w:fill="CCEEFF"/>
          </w:tcPr>
          <w:p>
            <w:pPr>
              <w:spacing w:after="0"/>
              <w:rPr>
                <w:sz w:val="21"/>
                <w:szCs w:val="21"/>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665,223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1,330</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gridSpan w:val="2"/>
            <w:shd w:val="clear" w:color="auto" w:fill="CCEEFF"/>
          </w:tcPr>
          <w:p>
            <w:pPr>
              <w:jc w:val="right"/>
              <w:ind w:right="8"/>
              <w:spacing w:after="0"/>
              <w:rPr>
                <w:sz w:val="20"/>
                <w:szCs w:val="20"/>
                <w:color w:val="auto"/>
              </w:rPr>
            </w:pPr>
            <w:r>
              <w:rPr>
                <w:rFonts w:ascii="Arial" w:cs="Arial" w:eastAsia="Arial" w:hAnsi="Arial"/>
                <w:sz w:val="18"/>
                <w:szCs w:val="18"/>
                <w:color w:val="auto"/>
                <w:w w:val="79"/>
              </w:rPr>
              <w:t>$</w:t>
            </w:r>
          </w:p>
        </w:tc>
        <w:tc>
          <w:tcPr>
            <w:tcW w:w="160" w:type="dxa"/>
            <w:vAlign w:val="bottom"/>
            <w:tcBorders>
              <w:top w:val="single" w:sz="8" w:color="auto"/>
              <w:bottom w:val="single" w:sz="8" w:color="auto"/>
            </w:tcBorders>
            <w:shd w:val="clear" w:color="auto" w:fill="CCEEFF"/>
          </w:tcPr>
          <w:p>
            <w:pPr>
              <w:spacing w:after="0"/>
              <w:rPr>
                <w:sz w:val="21"/>
                <w:szCs w:val="21"/>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6,144,907</w:t>
            </w:r>
          </w:p>
        </w:tc>
        <w:tc>
          <w:tcPr>
            <w:tcW w:w="20" w:type="dxa"/>
            <w:vAlign w:val="bottom"/>
            <w:tcBorders>
              <w:top w:val="single" w:sz="8" w:color="auto"/>
              <w:bottom w:val="single" w:sz="8" w:color="auto"/>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60" w:type="dxa"/>
            <w:vAlign w:val="bottom"/>
            <w:tcBorders>
              <w:top w:val="single" w:sz="8" w:color="auto"/>
              <w:bottom w:val="single" w:sz="8" w:color="auto"/>
            </w:tcBorders>
            <w:shd w:val="clear" w:color="auto" w:fill="CCEEFF"/>
          </w:tcPr>
          <w:p>
            <w:pPr>
              <w:spacing w:after="0"/>
              <w:rPr>
                <w:sz w:val="21"/>
                <w:szCs w:val="21"/>
                <w:color w:val="auto"/>
              </w:rPr>
            </w:pP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2,388,517</w:t>
            </w:r>
          </w:p>
        </w:tc>
        <w:tc>
          <w:tcPr>
            <w:tcW w:w="60" w:type="dxa"/>
            <w:vAlign w:val="bottom"/>
            <w:tcBorders>
              <w:top w:val="single" w:sz="8" w:color="auto"/>
              <w:bottom w:val="single" w:sz="8" w:color="auto"/>
            </w:tcBorders>
            <w:shd w:val="clear" w:color="auto" w:fill="CCEEFF"/>
          </w:tcPr>
          <w:p>
            <w:pPr>
              <w:spacing w:after="0"/>
              <w:rPr>
                <w:sz w:val="21"/>
                <w:szCs w:val="21"/>
                <w:color w:val="auto"/>
              </w:rPr>
            </w:pP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8,535,622</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6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751"/>
              <w:spacing w:after="0"/>
              <w:rPr>
                <w:sz w:val="20"/>
                <w:szCs w:val="20"/>
                <w:color w:val="auto"/>
              </w:rPr>
            </w:pPr>
            <w:r>
              <w:rPr>
                <w:rFonts w:ascii="Arial" w:cs="Arial" w:eastAsia="Arial" w:hAnsi="Arial"/>
                <w:sz w:val="14"/>
                <w:szCs w:val="14"/>
                <w:b w:val="1"/>
                <w:bCs w:val="1"/>
                <w:color w:val="auto"/>
              </w:rPr>
              <w:t>Three Months Ended</w:t>
            </w:r>
          </w:p>
        </w:tc>
      </w:tr>
      <w:tr>
        <w:trPr>
          <w:trHeight w:val="135"/>
        </w:trPr>
        <w:tc>
          <w:tcPr>
            <w:tcW w:w="82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May 1,</w:t>
            </w:r>
          </w:p>
        </w:tc>
        <w:tc>
          <w:tcPr>
            <w:tcW w:w="300" w:type="dxa"/>
            <w:vAlign w:val="bottom"/>
          </w:tcPr>
          <w:p>
            <w:pPr>
              <w:spacing w:after="0"/>
              <w:rPr>
                <w:sz w:val="11"/>
                <w:szCs w:val="11"/>
                <w:color w:val="auto"/>
              </w:rPr>
            </w:pPr>
          </w:p>
        </w:tc>
        <w:tc>
          <w:tcPr>
            <w:tcW w:w="1140" w:type="dxa"/>
            <w:vAlign w:val="bottom"/>
          </w:tcPr>
          <w:p>
            <w:pPr>
              <w:jc w:val="right"/>
              <w:ind w:right="431"/>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Net loss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(88,242)</w:t>
            </w:r>
          </w:p>
        </w:tc>
        <w:tc>
          <w:tcPr>
            <w:tcW w:w="100" w:type="dxa"/>
            <w:vAlign w:val="bottom"/>
          </w:tcPr>
          <w:p>
            <w:pPr>
              <w:spacing w:after="0"/>
              <w:rPr>
                <w:sz w:val="19"/>
                <w:szCs w:val="19"/>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(113,033)</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Depreciation and amortization</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51,837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50,483</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92,727</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59,687</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128,639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112,922</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Other expense, net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31,309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11,451</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Deferred income taxes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(22,581)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Changes in assets and liabilities, net of acquisition:</w:t>
            </w: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r>
      <w:tr>
        <w:trPr>
          <w:trHeight w:val="230"/>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Accounts receivable</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(57,999)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23,586</w:t>
            </w:r>
          </w:p>
        </w:tc>
      </w:tr>
      <w:tr>
        <w:trPr>
          <w:trHeight w:val="229"/>
        </w:trPr>
        <w:tc>
          <w:tcPr>
            <w:tcW w:w="8240" w:type="dxa"/>
            <w:vAlign w:val="bottom"/>
          </w:tcPr>
          <w:p>
            <w:pPr>
              <w:ind w:left="1120"/>
              <w:spacing w:after="0"/>
              <w:rPr>
                <w:sz w:val="20"/>
                <w:szCs w:val="20"/>
                <w:color w:val="auto"/>
              </w:rPr>
            </w:pPr>
            <w:r>
              <w:rPr>
                <w:rFonts w:ascii="Arial" w:cs="Arial" w:eastAsia="Arial" w:hAnsi="Arial"/>
                <w:sz w:val="18"/>
                <w:szCs w:val="18"/>
                <w:color w:val="auto"/>
              </w:rPr>
              <w:t>Prepaid expenses and other assets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4,413</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(6,694)</w:t>
            </w:r>
          </w:p>
        </w:tc>
      </w:tr>
      <w:tr>
        <w:trPr>
          <w:trHeight w:val="229"/>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Inventories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35,834</w:t>
            </w:r>
          </w:p>
        </w:tc>
      </w:tr>
      <w:tr>
        <w:trPr>
          <w:trHeight w:val="230"/>
        </w:trPr>
        <w:tc>
          <w:tcPr>
            <w:tcW w:w="8240" w:type="dxa"/>
            <w:vAlign w:val="bottom"/>
          </w:tcPr>
          <w:p>
            <w:pPr>
              <w:ind w:left="1120"/>
              <w:spacing w:after="0"/>
              <w:rPr>
                <w:sz w:val="20"/>
                <w:szCs w:val="20"/>
                <w:color w:val="auto"/>
              </w:rPr>
            </w:pPr>
            <w:r>
              <w:rPr>
                <w:rFonts w:ascii="Arial" w:cs="Arial" w:eastAsia="Arial" w:hAnsi="Arial"/>
                <w:sz w:val="18"/>
                <w:szCs w:val="18"/>
                <w:color w:val="auto"/>
              </w:rPr>
              <w:t>Accounts payable</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(51,609)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(3,557)</w:t>
            </w:r>
          </w:p>
        </w:tc>
      </w:tr>
      <w:tr>
        <w:trPr>
          <w:trHeight w:val="229"/>
        </w:trPr>
        <w:tc>
          <w:tcPr>
            <w:tcW w:w="824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Accrued employee compensation</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(55,693)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(25,503)</w:t>
            </w:r>
          </w:p>
        </w:tc>
      </w:tr>
      <w:tr>
        <w:trPr>
          <w:trHeight w:val="230"/>
        </w:trPr>
        <w:tc>
          <w:tcPr>
            <w:tcW w:w="824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Accrued liabilities and other non-current liabilities</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(46,999)</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10,796</w:t>
            </w:r>
          </w:p>
        </w:tc>
      </w:tr>
      <w:tr>
        <w:trPr>
          <w:trHeight w:val="223"/>
        </w:trPr>
        <w:tc>
          <w:tcPr>
            <w:tcW w:w="8240" w:type="dxa"/>
            <w:vAlign w:val="bottom"/>
            <w:shd w:val="clear" w:color="auto" w:fill="CCEEFF"/>
          </w:tcPr>
          <w:p>
            <w:pPr>
              <w:ind w:left="1440"/>
              <w:spacing w:after="0"/>
              <w:rPr>
                <w:sz w:val="20"/>
                <w:szCs w:val="20"/>
                <w:color w:val="auto"/>
              </w:rPr>
            </w:pPr>
            <w:r>
              <w:rPr>
                <w:rFonts w:ascii="Arial" w:cs="Arial" w:eastAsia="Arial" w:hAnsi="Arial"/>
                <w:sz w:val="18"/>
                <w:szCs w:val="18"/>
                <w:color w:val="auto"/>
              </w:rPr>
              <w:t>Net cash provided by (used in) operating activities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(13,727)</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175,628</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Purchases of technology licenses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(3,684)</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Purchases of property and equipment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(21,444)</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(35,343)</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(3,600,165)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net</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w:t>
            </w:r>
          </w:p>
        </w:tc>
      </w:tr>
      <w:tr>
        <w:trPr>
          <w:trHeight w:val="223"/>
        </w:trPr>
        <w:tc>
          <w:tcPr>
            <w:tcW w:w="8240" w:type="dxa"/>
            <w:vAlign w:val="bottom"/>
            <w:shd w:val="clear" w:color="auto" w:fill="CCEEFF"/>
          </w:tcPr>
          <w:p>
            <w:pPr>
              <w:ind w:left="1440"/>
              <w:spacing w:after="0"/>
              <w:rPr>
                <w:sz w:val="20"/>
                <w:szCs w:val="20"/>
                <w:color w:val="auto"/>
              </w:rPr>
            </w:pPr>
            <w:r>
              <w:rPr>
                <w:rFonts w:ascii="Arial" w:cs="Arial" w:eastAsia="Arial" w:hAnsi="Arial"/>
                <w:sz w:val="18"/>
                <w:szCs w:val="18"/>
                <w:color w:val="auto"/>
              </w:rPr>
              <w:t>Net cash used in investing activities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(3,624,605)</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(38,362)</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Repurchases of common stock</w:t>
            </w:r>
          </w:p>
        </w:tc>
        <w:tc>
          <w:tcPr>
            <w:tcW w:w="3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Proceeds from employee stock plans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5,458</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(73,175)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(31,501)</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Dividend payments to stockholders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(40,557)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(39,763)</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Payments on technology license obligations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(44,132)</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(23,807)</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Proceeds from issuance of debt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3,731,096</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Principal payments of debt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Payment for repurchases and settlement of convertible notes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(71,079)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Proceeds from capped calls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111,154</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Payment of equity and debt financing costs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(1,479)</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net</w:t>
            </w:r>
          </w:p>
        </w:tc>
        <w:tc>
          <w:tcPr>
            <w:tcW w:w="30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(2,507)</w:t>
            </w:r>
          </w:p>
        </w:tc>
      </w:tr>
      <w:tr>
        <w:trPr>
          <w:trHeight w:val="223"/>
        </w:trPr>
        <w:tc>
          <w:tcPr>
            <w:tcW w:w="8240" w:type="dxa"/>
            <w:vAlign w:val="bottom"/>
            <w:tcBorders>
              <w:bottom w:val="single" w:sz="8" w:color="CCEEFF"/>
            </w:tcBorders>
          </w:tcPr>
          <w:p>
            <w:pPr>
              <w:ind w:left="1440"/>
              <w:spacing w:after="0"/>
              <w:rPr>
                <w:sz w:val="20"/>
                <w:szCs w:val="20"/>
                <w:color w:val="auto"/>
              </w:rPr>
            </w:pPr>
            <w:r>
              <w:rPr>
                <w:rFonts w:ascii="Arial" w:cs="Arial" w:eastAsia="Arial" w:hAnsi="Arial"/>
                <w:sz w:val="18"/>
                <w:szCs w:val="18"/>
                <w:color w:val="auto"/>
              </w:rPr>
              <w:t>Net cash provided by (used in) financing activities</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3,412,377</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(117,322)</w:t>
            </w:r>
          </w:p>
        </w:tc>
      </w:tr>
      <w:tr>
        <w:trPr>
          <w:trHeight w:val="223"/>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(225,955)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19,944</w:t>
            </w:r>
          </w:p>
        </w:tc>
      </w:tr>
      <w:tr>
        <w:trPr>
          <w:trHeight w:val="229"/>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r>
      <w:tr>
        <w:trPr>
          <w:trHeight w:val="248"/>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522,512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667,548</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The unaudited condensed consolidated financial statements of Marvell Technology, Inc. (“MTI”), a Delaware corporation, and its wholly owned subsidiaries (the “Company”), as of and for the three months ended May 1, 2021,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2021 audited financial statements included in the Company’s Annual Report on Form 10-K for the fiscal year ended January 30, 2021.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These financial statements should also be read in conjunction with the Company’s critical accounting policies included in the Company’s Annual Report on Form 10-K for the year ended January 30, 2021 and those included in this Form 10-Q below.</w:t>
      </w:r>
    </w:p>
    <w:p>
      <w:pPr>
        <w:spacing w:after="0" w:line="21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2021 had a 52-week year. Fiscal 2022 is a 52-week year.</w:t>
      </w:r>
    </w:p>
    <w:p>
      <w:pPr>
        <w:spacing w:after="0" w:line="209"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(“Inphi”). Inphi is a global leader in high-speed data movement enabled by optical interconnects. The unaudited condensed consolidated financial statements include the operating results of Inphi for the period from the date of acquisition to the Company’s first quarter ended May 1, 2021. See “Note 3 - Business Combinations”, “Note 4 - Goodwill and Acquired Intangible Assets, Net” and “Note 5 - Debt” for more information.</w:t>
      </w:r>
    </w:p>
    <w:p>
      <w:pPr>
        <w:spacing w:after="0" w:line="215" w:lineRule="exact"/>
        <w:rPr>
          <w:sz w:val="20"/>
          <w:szCs w:val="20"/>
          <w:color w:val="auto"/>
        </w:rPr>
      </w:pPr>
    </w:p>
    <w:p>
      <w:pPr>
        <w:ind w:right="160" w:firstLine="405"/>
        <w:spacing w:after="0" w:line="291" w:lineRule="auto"/>
        <w:rPr>
          <w:sz w:val="20"/>
          <w:szCs w:val="20"/>
          <w:color w:val="auto"/>
        </w:rPr>
      </w:pPr>
      <w:r>
        <w:rPr>
          <w:rFonts w:ascii="Arial" w:cs="Arial" w:eastAsia="Arial" w:hAnsi="Arial"/>
          <w:sz w:val="17"/>
          <w:szCs w:val="17"/>
          <w:color w:val="auto"/>
        </w:rPr>
        <w:t>In conjunction with the acquisition transaction, Marvell and Inphi became wholly owned subsidiaries of the new parent company, MTI, on April 20, 2021. The parent company is domiciled in and subject to taxation in the United States. See “Note 12 - Income Taxes” for more information.</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7"/>
          <w:szCs w:val="17"/>
          <w:color w:val="auto"/>
        </w:rPr>
        <w:t>In December 2019, the Financial Accounting Standards Board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new standard was adopted by the Company on January 31, 2021 on a prospective basis and did not have a material effect on the Company's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140" w:firstLine="405"/>
        <w:spacing w:after="0" w:line="255" w:lineRule="auto"/>
        <w:rPr>
          <w:sz w:val="20"/>
          <w:szCs w:val="20"/>
          <w:color w:val="auto"/>
        </w:rPr>
      </w:pPr>
      <w:r>
        <w:rPr>
          <w:rFonts w:ascii="Arial" w:cs="Arial" w:eastAsia="Arial" w:hAnsi="Arial"/>
          <w:sz w:val="17"/>
          <w:szCs w:val="17"/>
          <w:color w:val="auto"/>
        </w:rPr>
        <w:t>In August 2020, the FASB issued an accounting standards update that simplifies the accounting for convertible debt instruments by reducing the number of accounting models and the number of embedded conversion features that could be recognized separately from the primary contract. The standard requires a convertible debt instrument to be accounted for as a single liability measured at its amortized cost as long as no other features require bifurcation and recognition as derivatives. It also made changes to the disclosures for convertible instruments and earnings-per-share guidance, among other updates. The guidance is effective for the Company beginning in the first quarter of fiscal year 2023, with early adoption permitted and permits the use of either the modified retrospective or fully retrospective method of transition. The Company is evaluating the impact that this new standard will have on the Company’s consolidated financial statements.</w:t>
      </w: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5 - Debt” for additional information.</w:t>
      </w:r>
    </w:p>
    <w:p>
      <w:pPr>
        <w:spacing w:after="0" w:line="204" w:lineRule="exact"/>
        <w:rPr>
          <w:sz w:val="20"/>
          <w:szCs w:val="20"/>
          <w:color w:val="auto"/>
        </w:rPr>
      </w:pPr>
    </w:p>
    <w:p>
      <w:pPr>
        <w:jc w:val="both"/>
        <w:ind w:firstLine="405"/>
        <w:spacing w:after="0" w:line="307"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thousands):</w:t>
            </w:r>
          </w:p>
        </w:tc>
        <w:tc>
          <w:tcPr>
            <w:tcW w:w="1020" w:type="dxa"/>
            <w:vAlign w:val="bottom"/>
          </w:tcPr>
          <w:p>
            <w:pPr>
              <w:spacing w:after="0"/>
              <w:rPr>
                <w:sz w:val="20"/>
                <w:szCs w:val="20"/>
                <w:color w:val="auto"/>
              </w:rPr>
            </w:pPr>
          </w:p>
        </w:tc>
        <w:tc>
          <w:tcPr>
            <w:tcW w:w="1720" w:type="dxa"/>
            <w:vAlign w:val="bottom"/>
          </w:tcPr>
          <w:p>
            <w:pPr>
              <w:spacing w:after="0"/>
              <w:rPr>
                <w:sz w:val="20"/>
                <w:szCs w:val="20"/>
                <w:color w:val="auto"/>
              </w:rPr>
            </w:pPr>
          </w:p>
        </w:tc>
      </w:tr>
      <w:tr>
        <w:trPr>
          <w:trHeight w:val="257"/>
        </w:trPr>
        <w:tc>
          <w:tcPr>
            <w:tcW w:w="85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720" w:type="dxa"/>
            <w:vAlign w:val="bottom"/>
          </w:tcPr>
          <w:p>
            <w:pPr>
              <w:spacing w:after="0"/>
              <w:rPr>
                <w:sz w:val="22"/>
                <w:szCs w:val="22"/>
                <w:color w:val="auto"/>
              </w:rPr>
            </w:pP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Inphi common stockholders</w:t>
            </w:r>
          </w:p>
        </w:tc>
        <w:tc>
          <w:tcPr>
            <w:tcW w:w="1020" w:type="dxa"/>
            <w:vAlign w:val="bottom"/>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3,639,559</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Common stock (128,100,446 shares of the Company’s common stock at $45.84 per share)</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5,872,125</w:t>
            </w: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for director and employee accelerated equity awards</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33,658</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Stock consideration for director and employee accelerated equity awards</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45,686</w:t>
            </w: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82,346</w:t>
            </w:r>
          </w:p>
        </w:tc>
      </w:tr>
      <w:tr>
        <w:trPr>
          <w:trHeight w:val="230"/>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244,155</w:t>
            </w: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r>
      <w:tr>
        <w:trPr>
          <w:trHeight w:val="20"/>
        </w:trPr>
        <w:tc>
          <w:tcPr>
            <w:tcW w:w="850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72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9"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4 - Goodwill and Acquired Intangible Assets, Net”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36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600" w:type="dxa"/>
            <w:vAlign w:val="bottom"/>
          </w:tcPr>
          <w:p>
            <w:pPr>
              <w:spacing w:after="0"/>
              <w:rPr>
                <w:sz w:val="20"/>
                <w:szCs w:val="20"/>
                <w:color w:val="auto"/>
              </w:rPr>
            </w:pPr>
          </w:p>
        </w:tc>
        <w:tc>
          <w:tcPr>
            <w:tcW w:w="2280" w:type="dxa"/>
            <w:vAlign w:val="bottom"/>
          </w:tcPr>
          <w:p>
            <w:pPr>
              <w:spacing w:after="0"/>
              <w:rPr>
                <w:sz w:val="20"/>
                <w:szCs w:val="20"/>
                <w:color w:val="auto"/>
              </w:rPr>
            </w:pPr>
          </w:p>
        </w:tc>
      </w:tr>
      <w:tr>
        <w:trPr>
          <w:trHeight w:val="257"/>
        </w:trPr>
        <w:tc>
          <w:tcPr>
            <w:tcW w:w="736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2280" w:type="dxa"/>
            <w:vAlign w:val="bottom"/>
          </w:tcPr>
          <w:p>
            <w:pPr>
              <w:spacing w:after="0"/>
              <w:rPr>
                <w:sz w:val="22"/>
                <w:szCs w:val="22"/>
                <w:color w:val="auto"/>
              </w:rPr>
            </w:pP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600" w:type="dxa"/>
            <w:vAlign w:val="bottom"/>
            <w:shd w:val="clear" w:color="auto" w:fill="CCEEFF"/>
          </w:tcPr>
          <w:p>
            <w:pPr>
              <w:jc w:val="right"/>
              <w:ind w:right="1390"/>
              <w:spacing w:after="0"/>
              <w:rPr>
                <w:sz w:val="20"/>
                <w:szCs w:val="20"/>
                <w:color w:val="auto"/>
              </w:rPr>
            </w:pPr>
            <w:r>
              <w:rPr>
                <w:rFonts w:ascii="Arial" w:cs="Arial" w:eastAsia="Arial" w:hAnsi="Arial"/>
                <w:sz w:val="18"/>
                <w:szCs w:val="18"/>
                <w:color w:val="auto"/>
                <w:w w:val="99"/>
              </w:rPr>
              <w:t>$</w:t>
            </w: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72,251</w:t>
            </w:r>
          </w:p>
        </w:tc>
      </w:tr>
      <w:tr>
        <w:trPr>
          <w:trHeight w:val="230"/>
        </w:trPr>
        <w:tc>
          <w:tcPr>
            <w:tcW w:w="736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1600" w:type="dxa"/>
            <w:vAlign w:val="bottom"/>
          </w:tcPr>
          <w:p>
            <w:pPr>
              <w:spacing w:after="0"/>
              <w:rPr>
                <w:sz w:val="19"/>
                <w:szCs w:val="19"/>
                <w:color w:val="auto"/>
              </w:rPr>
            </w:pPr>
          </w:p>
        </w:tc>
        <w:tc>
          <w:tcPr>
            <w:tcW w:w="2280" w:type="dxa"/>
            <w:vAlign w:val="bottom"/>
          </w:tcPr>
          <w:p>
            <w:pPr>
              <w:jc w:val="right"/>
              <w:spacing w:after="0"/>
              <w:rPr>
                <w:sz w:val="20"/>
                <w:szCs w:val="20"/>
                <w:color w:val="auto"/>
              </w:rPr>
            </w:pPr>
            <w:r>
              <w:rPr>
                <w:rFonts w:ascii="Arial" w:cs="Arial" w:eastAsia="Arial" w:hAnsi="Arial"/>
                <w:sz w:val="18"/>
                <w:szCs w:val="18"/>
                <w:color w:val="auto"/>
              </w:rPr>
              <w:t>99,728</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600" w:type="dxa"/>
            <w:vAlign w:val="bottom"/>
            <w:shd w:val="clear" w:color="auto" w:fill="CCEEFF"/>
          </w:tcPr>
          <w:p>
            <w:pPr>
              <w:spacing w:after="0"/>
              <w:rPr>
                <w:sz w:val="19"/>
                <w:szCs w:val="19"/>
                <w:color w:val="auto"/>
              </w:rPr>
            </w:pP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270,382</w:t>
            </w:r>
          </w:p>
        </w:tc>
      </w:tr>
      <w:tr>
        <w:trPr>
          <w:trHeight w:val="230"/>
        </w:trPr>
        <w:tc>
          <w:tcPr>
            <w:tcW w:w="736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1600" w:type="dxa"/>
            <w:vAlign w:val="bottom"/>
          </w:tcPr>
          <w:p>
            <w:pPr>
              <w:spacing w:after="0"/>
              <w:rPr>
                <w:sz w:val="19"/>
                <w:szCs w:val="19"/>
                <w:color w:val="auto"/>
              </w:rPr>
            </w:pPr>
          </w:p>
        </w:tc>
        <w:tc>
          <w:tcPr>
            <w:tcW w:w="2280" w:type="dxa"/>
            <w:vAlign w:val="bottom"/>
          </w:tcPr>
          <w:p>
            <w:pPr>
              <w:jc w:val="right"/>
              <w:spacing w:after="0"/>
              <w:rPr>
                <w:sz w:val="20"/>
                <w:szCs w:val="20"/>
                <w:color w:val="auto"/>
              </w:rPr>
            </w:pPr>
            <w:r>
              <w:rPr>
                <w:rFonts w:ascii="Arial" w:cs="Arial" w:eastAsia="Arial" w:hAnsi="Arial"/>
                <w:sz w:val="18"/>
                <w:szCs w:val="18"/>
                <w:color w:val="auto"/>
              </w:rPr>
              <w:t>213,292</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1600" w:type="dxa"/>
            <w:vAlign w:val="bottom"/>
            <w:shd w:val="clear" w:color="auto" w:fill="CCEEFF"/>
          </w:tcPr>
          <w:p>
            <w:pPr>
              <w:spacing w:after="0"/>
              <w:rPr>
                <w:sz w:val="19"/>
                <w:szCs w:val="19"/>
                <w:color w:val="auto"/>
              </w:rPr>
            </w:pP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98,528</w:t>
            </w:r>
          </w:p>
        </w:tc>
      </w:tr>
      <w:tr>
        <w:trPr>
          <w:trHeight w:val="229"/>
        </w:trPr>
        <w:tc>
          <w:tcPr>
            <w:tcW w:w="736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600" w:type="dxa"/>
            <w:vAlign w:val="bottom"/>
          </w:tcPr>
          <w:p>
            <w:pPr>
              <w:spacing w:after="0"/>
              <w:rPr>
                <w:sz w:val="19"/>
                <w:szCs w:val="19"/>
                <w:color w:val="auto"/>
              </w:rPr>
            </w:pPr>
          </w:p>
        </w:tc>
        <w:tc>
          <w:tcPr>
            <w:tcW w:w="2280" w:type="dxa"/>
            <w:vAlign w:val="bottom"/>
          </w:tcPr>
          <w:p>
            <w:pPr>
              <w:jc w:val="right"/>
              <w:spacing w:after="0"/>
              <w:rPr>
                <w:sz w:val="20"/>
                <w:szCs w:val="20"/>
                <w:color w:val="auto"/>
              </w:rPr>
            </w:pPr>
            <w:r>
              <w:rPr>
                <w:rFonts w:ascii="Arial" w:cs="Arial" w:eastAsia="Arial" w:hAnsi="Arial"/>
                <w:sz w:val="18"/>
                <w:szCs w:val="18"/>
                <w:color w:val="auto"/>
              </w:rPr>
              <w:t>4,420,000</w:t>
            </w:r>
          </w:p>
        </w:tc>
      </w:tr>
      <w:tr>
        <w:trPr>
          <w:trHeight w:val="230"/>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600" w:type="dxa"/>
            <w:vAlign w:val="bottom"/>
            <w:shd w:val="clear" w:color="auto" w:fill="CCEEFF"/>
          </w:tcPr>
          <w:p>
            <w:pPr>
              <w:spacing w:after="0"/>
              <w:rPr>
                <w:sz w:val="19"/>
                <w:szCs w:val="19"/>
                <w:color w:val="auto"/>
              </w:rPr>
            </w:pP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145,856</w:t>
            </w:r>
          </w:p>
        </w:tc>
      </w:tr>
      <w:tr>
        <w:trPr>
          <w:trHeight w:val="229"/>
        </w:trPr>
        <w:tc>
          <w:tcPr>
            <w:tcW w:w="7360" w:type="dxa"/>
            <w:vAlign w:val="bottom"/>
          </w:tcPr>
          <w:p>
            <w:pPr>
              <w:ind w:left="20"/>
              <w:spacing w:after="0"/>
              <w:rPr>
                <w:sz w:val="20"/>
                <w:szCs w:val="20"/>
                <w:color w:val="auto"/>
              </w:rPr>
            </w:pPr>
            <w:r>
              <w:rPr>
                <w:rFonts w:ascii="Arial" w:cs="Arial" w:eastAsia="Arial" w:hAnsi="Arial"/>
                <w:sz w:val="18"/>
                <w:szCs w:val="18"/>
                <w:color w:val="auto"/>
              </w:rPr>
              <w:t>Goodwill</w:t>
            </w:r>
          </w:p>
        </w:tc>
        <w:tc>
          <w:tcPr>
            <w:tcW w:w="1600" w:type="dxa"/>
            <w:vAlign w:val="bottom"/>
          </w:tcPr>
          <w:p>
            <w:pPr>
              <w:spacing w:after="0"/>
              <w:rPr>
                <w:sz w:val="19"/>
                <w:szCs w:val="19"/>
                <w:color w:val="auto"/>
              </w:rPr>
            </w:pPr>
          </w:p>
        </w:tc>
        <w:tc>
          <w:tcPr>
            <w:tcW w:w="2280" w:type="dxa"/>
            <w:vAlign w:val="bottom"/>
          </w:tcPr>
          <w:p>
            <w:pPr>
              <w:jc w:val="right"/>
              <w:spacing w:after="0"/>
              <w:rPr>
                <w:sz w:val="20"/>
                <w:szCs w:val="20"/>
                <w:color w:val="auto"/>
              </w:rPr>
            </w:pPr>
            <w:r>
              <w:rPr>
                <w:rFonts w:ascii="Arial" w:cs="Arial" w:eastAsia="Arial" w:hAnsi="Arial"/>
                <w:sz w:val="18"/>
                <w:szCs w:val="18"/>
                <w:color w:val="auto"/>
              </w:rPr>
              <w:t>5,628,705</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1600" w:type="dxa"/>
            <w:vAlign w:val="bottom"/>
            <w:shd w:val="clear" w:color="auto" w:fill="CCEEFF"/>
          </w:tcPr>
          <w:p>
            <w:pPr>
              <w:spacing w:after="0"/>
              <w:rPr>
                <w:sz w:val="19"/>
                <w:szCs w:val="19"/>
                <w:color w:val="auto"/>
              </w:rPr>
            </w:pP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(189,807)</w:t>
            </w:r>
          </w:p>
        </w:tc>
      </w:tr>
      <w:tr>
        <w:trPr>
          <w:trHeight w:val="230"/>
        </w:trPr>
        <w:tc>
          <w:tcPr>
            <w:tcW w:w="7360" w:type="dxa"/>
            <w:vAlign w:val="bottom"/>
          </w:tcPr>
          <w:p>
            <w:pPr>
              <w:ind w:left="20"/>
              <w:spacing w:after="0"/>
              <w:rPr>
                <w:sz w:val="20"/>
                <w:szCs w:val="20"/>
                <w:color w:val="auto"/>
              </w:rPr>
            </w:pPr>
            <w:r>
              <w:rPr>
                <w:rFonts w:ascii="Arial" w:cs="Arial" w:eastAsia="Arial" w:hAnsi="Arial"/>
                <w:sz w:val="18"/>
                <w:szCs w:val="18"/>
                <w:color w:val="auto"/>
              </w:rPr>
              <w:t>Convertible debt - short term</w:t>
            </w:r>
          </w:p>
        </w:tc>
        <w:tc>
          <w:tcPr>
            <w:tcW w:w="1600" w:type="dxa"/>
            <w:vAlign w:val="bottom"/>
          </w:tcPr>
          <w:p>
            <w:pPr>
              <w:spacing w:after="0"/>
              <w:rPr>
                <w:sz w:val="19"/>
                <w:szCs w:val="19"/>
                <w:color w:val="auto"/>
              </w:rPr>
            </w:pPr>
          </w:p>
        </w:tc>
        <w:tc>
          <w:tcPr>
            <w:tcW w:w="2280" w:type="dxa"/>
            <w:vAlign w:val="bottom"/>
          </w:tcPr>
          <w:p>
            <w:pPr>
              <w:jc w:val="right"/>
              <w:spacing w:after="0"/>
              <w:rPr>
                <w:sz w:val="20"/>
                <w:szCs w:val="20"/>
                <w:color w:val="auto"/>
              </w:rPr>
            </w:pPr>
            <w:r>
              <w:rPr>
                <w:rFonts w:ascii="Arial" w:cs="Arial" w:eastAsia="Arial" w:hAnsi="Arial"/>
                <w:sz w:val="18"/>
                <w:szCs w:val="18"/>
                <w:color w:val="auto"/>
              </w:rPr>
              <w:t>(313,664)</w:t>
            </w:r>
          </w:p>
        </w:tc>
      </w:tr>
      <w:tr>
        <w:trPr>
          <w:trHeight w:val="229"/>
        </w:trPr>
        <w:tc>
          <w:tcPr>
            <w:tcW w:w="7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 term</w:t>
            </w:r>
          </w:p>
        </w:tc>
        <w:tc>
          <w:tcPr>
            <w:tcW w:w="1600" w:type="dxa"/>
            <w:vAlign w:val="bottom"/>
            <w:shd w:val="clear" w:color="auto" w:fill="CCEEFF"/>
          </w:tcPr>
          <w:p>
            <w:pPr>
              <w:spacing w:after="0"/>
              <w:rPr>
                <w:sz w:val="19"/>
                <w:szCs w:val="19"/>
                <w:color w:val="auto"/>
              </w:rPr>
            </w:pPr>
          </w:p>
        </w:tc>
        <w:tc>
          <w:tcPr>
            <w:tcW w:w="2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(240,317)</w:t>
            </w:r>
          </w:p>
        </w:tc>
      </w:tr>
      <w:tr>
        <w:trPr>
          <w:trHeight w:val="230"/>
        </w:trPr>
        <w:tc>
          <w:tcPr>
            <w:tcW w:w="73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liabilities</w:t>
            </w:r>
          </w:p>
        </w:tc>
        <w:tc>
          <w:tcPr>
            <w:tcW w:w="1600" w:type="dxa"/>
            <w:vAlign w:val="bottom"/>
            <w:tcBorders>
              <w:bottom w:val="single" w:sz="8" w:color="auto"/>
            </w:tcBorders>
          </w:tcPr>
          <w:p>
            <w:pPr>
              <w:spacing w:after="0"/>
              <w:rPr>
                <w:sz w:val="19"/>
                <w:szCs w:val="19"/>
                <w:color w:val="auto"/>
              </w:rPr>
            </w:pPr>
          </w:p>
        </w:tc>
        <w:tc>
          <w:tcPr>
            <w:tcW w:w="2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(287,425)</w:t>
            </w:r>
          </w:p>
        </w:tc>
      </w:tr>
      <w:tr>
        <w:trPr>
          <w:trHeight w:val="248"/>
        </w:trPr>
        <w:tc>
          <w:tcPr>
            <w:tcW w:w="7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600" w:type="dxa"/>
            <w:vAlign w:val="bottom"/>
            <w:tcBorders>
              <w:bottom w:val="single" w:sz="8" w:color="auto"/>
            </w:tcBorders>
            <w:shd w:val="clear" w:color="auto" w:fill="CCEEFF"/>
          </w:tcPr>
          <w:p>
            <w:pPr>
              <w:jc w:val="right"/>
              <w:ind w:right="1390"/>
              <w:spacing w:after="0"/>
              <w:rPr>
                <w:sz w:val="20"/>
                <w:szCs w:val="20"/>
                <w:color w:val="auto"/>
              </w:rPr>
            </w:pPr>
            <w:r>
              <w:rPr>
                <w:rFonts w:ascii="Arial" w:cs="Arial" w:eastAsia="Arial" w:hAnsi="Arial"/>
                <w:sz w:val="18"/>
                <w:szCs w:val="18"/>
                <w:color w:val="auto"/>
                <w:w w:val="99"/>
              </w:rPr>
              <w:t>$</w:t>
            </w:r>
          </w:p>
        </w:tc>
        <w:tc>
          <w:tcPr>
            <w:tcW w:w="2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r>
      <w:tr>
        <w:trPr>
          <w:trHeight w:val="20"/>
        </w:trPr>
        <w:tc>
          <w:tcPr>
            <w:tcW w:w="7360" w:type="dxa"/>
            <w:vAlign w:val="bottom"/>
            <w:tcBorders>
              <w:top w:val="single" w:sz="8" w:color="CCEEFF"/>
            </w:tcBorders>
          </w:tcPr>
          <w:p>
            <w:pPr>
              <w:spacing w:after="0" w:line="20" w:lineRule="exact"/>
              <w:rPr>
                <w:sz w:val="1"/>
                <w:szCs w:val="1"/>
                <w:color w:val="auto"/>
              </w:rPr>
            </w:pPr>
          </w:p>
        </w:tc>
        <w:tc>
          <w:tcPr>
            <w:tcW w:w="1600" w:type="dxa"/>
            <w:vAlign w:val="bottom"/>
            <w:tcBorders>
              <w:top w:val="single" w:sz="8" w:color="CCEEFF"/>
              <w:bottom w:val="single" w:sz="8" w:color="auto"/>
            </w:tcBorders>
          </w:tcPr>
          <w:p>
            <w:pPr>
              <w:spacing w:after="0" w:line="20" w:lineRule="exact"/>
              <w:rPr>
                <w:sz w:val="1"/>
                <w:szCs w:val="1"/>
                <w:color w:val="auto"/>
              </w:rPr>
            </w:pPr>
          </w:p>
        </w:tc>
        <w:tc>
          <w:tcPr>
            <w:tcW w:w="228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During the three months ended May 1, 2021, the Company incurred $45.8 million in acquisition related costs which were recorded in selling, general and administrative expense in the unaudited condensed consolidated statements of operations. The Company also incurred $39.8 million of debt financing costs. As of May 1, 2021, $2.5 million is included in short-term debt, and $37.3 million is included in long-term debt on the accompanying unaudited condensed consolidated balance sheets. See “Note 5 - Debt” for additional information. Additionally, the Company incurred $8.2 million of equity issuance costs, which were recorded in additional paid-in capital in the unaudited condensed consolidated balance sheets.</w:t>
      </w:r>
    </w:p>
    <w:p>
      <w:pPr>
        <w:spacing w:after="0" w:line="201"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Since the date of the acquisition, Inphi contributed $21.8 million of the consolidated net revenue for the three months ended May 1, 2021. Inphi net loss incurred in the period ended May 1, 2021 was $13.9 million, which included restructuring costs of $9.8 million.</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199"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Inphi had been acquired as of the beginning of fiscal year 2021.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2021, non-recurring pro forma adjustments directly attributable to the Inphi acquisition included in the pro forma information presented below include (i) share-based compensation expense of $43.8 million, (ii) the purchase accounting effect of inventories acquired of $113.5 million, (iii) interest expense of $11.4 million and (iv) transaction costs of $64.0 million. The unaudited supplemental pro forma information presented below is for informational purposes only and is not necessarily indicative of our unaudited condensed consolidated results of operations of the combined business had the Inphi acquisition actually occurred at the beginning of fiscal year 2021 or of the results of our future operations of the combined business.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400" w:type="dxa"/>
            <w:vAlign w:val="bottom"/>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4220" w:type="dxa"/>
            <w:vAlign w:val="bottom"/>
            <w:tcBorders>
              <w:bottom w:val="single" w:sz="8" w:color="auto"/>
            </w:tcBorders>
            <w:gridSpan w:val="3"/>
          </w:tcPr>
          <w:p>
            <w:pPr>
              <w:jc w:val="right"/>
              <w:ind w:right="470"/>
              <w:spacing w:after="0"/>
              <w:rPr>
                <w:sz w:val="20"/>
                <w:szCs w:val="20"/>
                <w:color w:val="auto"/>
              </w:rPr>
            </w:pPr>
            <w:r>
              <w:rPr>
                <w:rFonts w:ascii="Arial" w:cs="Arial" w:eastAsia="Arial" w:hAnsi="Arial"/>
                <w:sz w:val="14"/>
                <w:szCs w:val="14"/>
                <w:b w:val="1"/>
                <w:bCs w:val="1"/>
                <w:color w:val="auto"/>
              </w:rPr>
              <w:t>Three Months Ended</w:t>
            </w:r>
          </w:p>
        </w:tc>
        <w:tc>
          <w:tcPr>
            <w:tcW w:w="2700" w:type="dxa"/>
            <w:vAlign w:val="bottom"/>
            <w:tcBorders>
              <w:bottom w:val="single" w:sz="8" w:color="auto"/>
            </w:tcBorders>
          </w:tcPr>
          <w:p>
            <w:pPr>
              <w:spacing w:after="0"/>
              <w:rPr>
                <w:sz w:val="16"/>
                <w:szCs w:val="16"/>
                <w:color w:val="auto"/>
              </w:rPr>
            </w:pPr>
          </w:p>
        </w:tc>
      </w:tr>
      <w:tr>
        <w:trPr>
          <w:trHeight w:val="135"/>
        </w:trPr>
        <w:tc>
          <w:tcPr>
            <w:tcW w:w="34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3080" w:type="dxa"/>
            <w:vAlign w:val="bottom"/>
            <w:gridSpan w:val="2"/>
          </w:tcPr>
          <w:p>
            <w:pPr>
              <w:jc w:val="center"/>
              <w:ind w:right="1060"/>
              <w:spacing w:after="0" w:line="135" w:lineRule="exact"/>
              <w:rPr>
                <w:sz w:val="20"/>
                <w:szCs w:val="20"/>
                <w:color w:val="auto"/>
              </w:rPr>
            </w:pPr>
            <w:r>
              <w:rPr>
                <w:rFonts w:ascii="Arial" w:cs="Arial" w:eastAsia="Arial" w:hAnsi="Arial"/>
                <w:sz w:val="14"/>
                <w:szCs w:val="14"/>
                <w:b w:val="1"/>
                <w:bCs w:val="1"/>
                <w:color w:val="auto"/>
                <w:w w:val="98"/>
              </w:rPr>
              <w:t>May 1,</w:t>
            </w:r>
          </w:p>
        </w:tc>
        <w:tc>
          <w:tcPr>
            <w:tcW w:w="1140" w:type="dxa"/>
            <w:vAlign w:val="bottom"/>
          </w:tcPr>
          <w:p>
            <w:pPr>
              <w:spacing w:after="0"/>
              <w:rPr>
                <w:sz w:val="11"/>
                <w:szCs w:val="11"/>
                <w:color w:val="auto"/>
              </w:rPr>
            </w:pPr>
          </w:p>
        </w:tc>
        <w:tc>
          <w:tcPr>
            <w:tcW w:w="2700" w:type="dxa"/>
            <w:vAlign w:val="bottom"/>
          </w:tcPr>
          <w:p>
            <w:pPr>
              <w:jc w:val="center"/>
              <w:ind w:right="1079"/>
              <w:spacing w:after="0" w:line="135" w:lineRule="exact"/>
              <w:rPr>
                <w:sz w:val="20"/>
                <w:szCs w:val="20"/>
                <w:color w:val="auto"/>
              </w:rPr>
            </w:pPr>
            <w:r>
              <w:rPr>
                <w:rFonts w:ascii="Arial" w:cs="Arial" w:eastAsia="Arial" w:hAnsi="Arial"/>
                <w:sz w:val="14"/>
                <w:szCs w:val="14"/>
                <w:b w:val="1"/>
                <w:bCs w:val="1"/>
                <w:color w:val="auto"/>
                <w:w w:val="98"/>
              </w:rPr>
              <w:t>May 2,</w:t>
            </w:r>
          </w:p>
        </w:tc>
      </w:tr>
      <w:tr>
        <w:trPr>
          <w:trHeight w:val="188"/>
        </w:trPr>
        <w:tc>
          <w:tcPr>
            <w:tcW w:w="3400" w:type="dxa"/>
            <w:vAlign w:val="bottom"/>
            <w:tcBorders>
              <w:bottom w:val="single" w:sz="8" w:color="CCEEFF"/>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tcPr>
          <w:p>
            <w:pPr>
              <w:jc w:val="right"/>
              <w:ind w:right="1699"/>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tcPr>
          <w:p>
            <w:pPr>
              <w:jc w:val="right"/>
              <w:ind w:right="1699"/>
              <w:spacing w:after="0"/>
              <w:rPr>
                <w:sz w:val="20"/>
                <w:szCs w:val="20"/>
                <w:color w:val="auto"/>
              </w:rPr>
            </w:pPr>
            <w:r>
              <w:rPr>
                <w:rFonts w:ascii="Arial" w:cs="Arial" w:eastAsia="Arial" w:hAnsi="Arial"/>
                <w:sz w:val="14"/>
                <w:szCs w:val="14"/>
                <w:b w:val="1"/>
                <w:bCs w:val="1"/>
                <w:color w:val="auto"/>
              </w:rPr>
              <w:t>2020</w:t>
            </w:r>
          </w:p>
        </w:tc>
      </w:tr>
      <w:tr>
        <w:trPr>
          <w:trHeight w:val="224"/>
        </w:trPr>
        <w:tc>
          <w:tcPr>
            <w:tcW w:w="3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920" w:type="dxa"/>
            <w:vAlign w:val="bottom"/>
            <w:shd w:val="clear" w:color="auto" w:fill="CCEEFF"/>
          </w:tcPr>
          <w:p>
            <w:pPr>
              <w:jc w:val="right"/>
              <w:ind w:right="710"/>
              <w:spacing w:after="0"/>
              <w:rPr>
                <w:sz w:val="20"/>
                <w:szCs w:val="20"/>
                <w:color w:val="auto"/>
              </w:rPr>
            </w:pPr>
            <w:r>
              <w:rPr>
                <w:rFonts w:ascii="Arial" w:cs="Arial" w:eastAsia="Arial" w:hAnsi="Arial"/>
                <w:sz w:val="18"/>
                <w:szCs w:val="18"/>
                <w:color w:val="auto"/>
                <w:w w:val="99"/>
              </w:rPr>
              <w:t>$</w:t>
            </w:r>
          </w:p>
        </w:tc>
        <w:tc>
          <w:tcPr>
            <w:tcW w:w="2940" w:type="dxa"/>
            <w:vAlign w:val="bottom"/>
            <w:shd w:val="clear" w:color="auto" w:fill="CCEEFF"/>
          </w:tcPr>
          <w:p>
            <w:pPr>
              <w:ind w:left="2280"/>
              <w:spacing w:after="0"/>
              <w:rPr>
                <w:sz w:val="20"/>
                <w:szCs w:val="20"/>
                <w:color w:val="auto"/>
              </w:rPr>
            </w:pPr>
            <w:r>
              <w:rPr>
                <w:rFonts w:ascii="Arial" w:cs="Arial" w:eastAsia="Arial" w:hAnsi="Arial"/>
                <w:sz w:val="18"/>
                <w:szCs w:val="18"/>
                <w:color w:val="auto"/>
                <w:w w:val="98"/>
              </w:rPr>
              <w:t>987,913</w:t>
            </w:r>
          </w:p>
        </w:tc>
        <w:tc>
          <w:tcPr>
            <w:tcW w:w="14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950"/>
              <w:spacing w:after="0"/>
              <w:rPr>
                <w:sz w:val="20"/>
                <w:szCs w:val="20"/>
                <w:color w:val="auto"/>
              </w:rPr>
            </w:pPr>
            <w:r>
              <w:rPr>
                <w:rFonts w:ascii="Arial" w:cs="Arial" w:eastAsia="Arial" w:hAnsi="Arial"/>
                <w:sz w:val="18"/>
                <w:szCs w:val="18"/>
                <w:color w:val="auto"/>
                <w:w w:val="79"/>
              </w:rPr>
              <w:t>$</w:t>
            </w:r>
          </w:p>
        </w:tc>
        <w:tc>
          <w:tcPr>
            <w:tcW w:w="2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833,071</w:t>
            </w:r>
          </w:p>
        </w:tc>
      </w:tr>
      <w:tr>
        <w:trPr>
          <w:trHeight w:val="230"/>
        </w:trPr>
        <w:tc>
          <w:tcPr>
            <w:tcW w:w="340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920" w:type="dxa"/>
            <w:vAlign w:val="bottom"/>
          </w:tcPr>
          <w:p>
            <w:pPr>
              <w:jc w:val="right"/>
              <w:ind w:right="710"/>
              <w:spacing w:after="0"/>
              <w:rPr>
                <w:sz w:val="20"/>
                <w:szCs w:val="20"/>
                <w:color w:val="auto"/>
              </w:rPr>
            </w:pPr>
            <w:r>
              <w:rPr>
                <w:rFonts w:ascii="Arial" w:cs="Arial" w:eastAsia="Arial" w:hAnsi="Arial"/>
                <w:sz w:val="18"/>
                <w:szCs w:val="18"/>
                <w:color w:val="auto"/>
                <w:w w:val="99"/>
              </w:rPr>
              <w:t>$</w:t>
            </w:r>
          </w:p>
        </w:tc>
        <w:tc>
          <w:tcPr>
            <w:tcW w:w="2940" w:type="dxa"/>
            <w:vAlign w:val="bottom"/>
          </w:tcPr>
          <w:p>
            <w:pPr>
              <w:ind w:left="2300"/>
              <w:spacing w:after="0"/>
              <w:rPr>
                <w:sz w:val="20"/>
                <w:szCs w:val="20"/>
                <w:color w:val="auto"/>
              </w:rPr>
            </w:pPr>
            <w:r>
              <w:rPr>
                <w:rFonts w:ascii="Arial" w:cs="Arial" w:eastAsia="Arial" w:hAnsi="Arial"/>
                <w:sz w:val="18"/>
                <w:szCs w:val="18"/>
                <w:color w:val="auto"/>
                <w:w w:val="92"/>
              </w:rPr>
              <w:t>(85,925)</w:t>
            </w:r>
          </w:p>
        </w:tc>
        <w:tc>
          <w:tcPr>
            <w:tcW w:w="140" w:type="dxa"/>
            <w:vAlign w:val="bottom"/>
          </w:tcPr>
          <w:p>
            <w:pPr>
              <w:spacing w:after="0"/>
              <w:rPr>
                <w:sz w:val="20"/>
                <w:szCs w:val="20"/>
                <w:color w:val="auto"/>
              </w:rPr>
            </w:pPr>
          </w:p>
        </w:tc>
        <w:tc>
          <w:tcPr>
            <w:tcW w:w="1140" w:type="dxa"/>
            <w:vAlign w:val="bottom"/>
          </w:tcPr>
          <w:p>
            <w:pPr>
              <w:jc w:val="right"/>
              <w:ind w:right="950"/>
              <w:spacing w:after="0"/>
              <w:rPr>
                <w:sz w:val="20"/>
                <w:szCs w:val="20"/>
                <w:color w:val="auto"/>
              </w:rPr>
            </w:pPr>
            <w:r>
              <w:rPr>
                <w:rFonts w:ascii="Arial" w:cs="Arial" w:eastAsia="Arial" w:hAnsi="Arial"/>
                <w:sz w:val="18"/>
                <w:szCs w:val="18"/>
                <w:color w:val="auto"/>
                <w:w w:val="79"/>
              </w:rPr>
              <w:t>$</w:t>
            </w:r>
          </w:p>
        </w:tc>
        <w:tc>
          <w:tcPr>
            <w:tcW w:w="2700" w:type="dxa"/>
            <w:vAlign w:val="bottom"/>
          </w:tcPr>
          <w:p>
            <w:pPr>
              <w:jc w:val="right"/>
              <w:spacing w:after="0"/>
              <w:rPr>
                <w:sz w:val="20"/>
                <w:szCs w:val="20"/>
                <w:color w:val="auto"/>
              </w:rPr>
            </w:pPr>
            <w:r>
              <w:rPr>
                <w:rFonts w:ascii="Arial" w:cs="Arial" w:eastAsia="Arial" w:hAnsi="Arial"/>
                <w:sz w:val="18"/>
                <w:szCs w:val="18"/>
                <w:color w:val="auto"/>
              </w:rPr>
              <w:t>(526,296)</w:t>
            </w:r>
          </w:p>
        </w:tc>
      </w:tr>
      <w:tr>
        <w:trPr>
          <w:trHeight w:val="917"/>
        </w:trPr>
        <w:tc>
          <w:tcPr>
            <w:tcW w:w="34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940" w:type="dxa"/>
            <w:vAlign w:val="bottom"/>
          </w:tcPr>
          <w:p>
            <w:pPr>
              <w:jc w:val="right"/>
              <w:ind w:right="1519"/>
              <w:spacing w:after="0"/>
              <w:rPr>
                <w:sz w:val="20"/>
                <w:szCs w:val="20"/>
                <w:color w:val="auto"/>
              </w:rPr>
            </w:pPr>
            <w:r>
              <w:rPr>
                <w:rFonts w:ascii="Arial" w:cs="Arial" w:eastAsia="Arial" w:hAnsi="Arial"/>
                <w:sz w:val="18"/>
                <w:szCs w:val="18"/>
                <w:color w:val="auto"/>
              </w:rPr>
              <w:t>9</w:t>
            </w:r>
          </w:p>
        </w:tc>
        <w:tc>
          <w:tcPr>
            <w:tcW w:w="1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700" w:type="dxa"/>
            <w:vAlign w:val="bottom"/>
          </w:tcPr>
          <w:p>
            <w:pPr>
              <w:spacing w:after="0"/>
              <w:rPr>
                <w:sz w:val="24"/>
                <w:szCs w:val="24"/>
                <w:color w:val="auto"/>
              </w:rPr>
            </w:pPr>
          </w:p>
        </w:tc>
      </w:tr>
      <w:tr>
        <w:trPr>
          <w:trHeight w:val="115"/>
        </w:trPr>
        <w:tc>
          <w:tcPr>
            <w:tcW w:w="3400" w:type="dxa"/>
            <w:vAlign w:val="bottom"/>
            <w:tcBorders>
              <w:bottom w:val="single" w:sz="8" w:color="9A9A9A"/>
            </w:tcBorders>
          </w:tcPr>
          <w:p>
            <w:pPr>
              <w:spacing w:after="0"/>
              <w:rPr>
                <w:sz w:val="10"/>
                <w:szCs w:val="10"/>
                <w:color w:val="auto"/>
              </w:rPr>
            </w:pPr>
          </w:p>
        </w:tc>
        <w:tc>
          <w:tcPr>
            <w:tcW w:w="920" w:type="dxa"/>
            <w:vAlign w:val="bottom"/>
            <w:tcBorders>
              <w:bottom w:val="single" w:sz="8" w:color="9A9A9A"/>
            </w:tcBorders>
          </w:tcPr>
          <w:p>
            <w:pPr>
              <w:spacing w:after="0"/>
              <w:rPr>
                <w:sz w:val="10"/>
                <w:szCs w:val="10"/>
                <w:color w:val="auto"/>
              </w:rPr>
            </w:pPr>
          </w:p>
        </w:tc>
        <w:tc>
          <w:tcPr>
            <w:tcW w:w="294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1140" w:type="dxa"/>
            <w:vAlign w:val="bottom"/>
            <w:tcBorders>
              <w:bottom w:val="single" w:sz="8" w:color="9A9A9A"/>
            </w:tcBorders>
          </w:tcPr>
          <w:p>
            <w:pPr>
              <w:spacing w:after="0"/>
              <w:rPr>
                <w:sz w:val="10"/>
                <w:szCs w:val="10"/>
                <w:color w:val="auto"/>
              </w:rPr>
            </w:pPr>
          </w:p>
        </w:tc>
        <w:tc>
          <w:tcPr>
            <w:tcW w:w="2700" w:type="dxa"/>
            <w:vAlign w:val="bottom"/>
            <w:tcBorders>
              <w:bottom w:val="single" w:sz="8" w:color="9A9A9A"/>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May 1, 2021 and January 30, 2021 is $11.0 billion and $5.3 billion respectively. See “Note 3 - Business Combinations” for discussion of acquisitions and changes to the carrying value of goodwill.</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80" w:firstLine="405"/>
        <w:spacing w:after="0" w:line="324" w:lineRule="auto"/>
        <w:rPr>
          <w:sz w:val="20"/>
          <w:szCs w:val="20"/>
          <w:color w:val="auto"/>
        </w:rPr>
      </w:pPr>
      <w:r>
        <w:rPr>
          <w:rFonts w:ascii="Arial" w:cs="Arial" w:eastAsia="Arial" w:hAnsi="Arial"/>
          <w:sz w:val="16"/>
          <w:szCs w:val="16"/>
          <w:color w:val="auto"/>
        </w:rPr>
        <w:t>During the first quarter ended May 1, 2021, the Company acquired $4.4 billion of intangible assets associated with the Inphi acquisition. The valuation of these Inphi identifiable intangible assets and their estimated useful lives are as follows (in thousands, except for weighted-average useful life):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326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Preliminary Estimated Asset Fair Value</w:t>
            </w: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88"/>
        </w:trPr>
        <w:tc>
          <w:tcPr>
            <w:tcW w:w="5440" w:type="dxa"/>
            <w:vAlign w:val="bottom"/>
            <w:tcBorders>
              <w:bottom w:val="single" w:sz="8" w:color="CCEEFF"/>
            </w:tcBorders>
          </w:tcPr>
          <w:p>
            <w:pPr>
              <w:spacing w:after="0"/>
              <w:rPr>
                <w:sz w:val="16"/>
                <w:szCs w:val="16"/>
                <w:color w:val="auto"/>
              </w:rPr>
            </w:pPr>
          </w:p>
        </w:tc>
        <w:tc>
          <w:tcPr>
            <w:tcW w:w="3260" w:type="dxa"/>
            <w:vAlign w:val="bottom"/>
            <w:tcBorders>
              <w:bottom w:val="single" w:sz="8" w:color="auto"/>
            </w:tcBorders>
            <w:vMerge w:val="continue"/>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24"/>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260" w:type="dxa"/>
            <w:vAlign w:val="bottom"/>
            <w:shd w:val="clear" w:color="auto" w:fill="CCEEFF"/>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2,010,000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29"/>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87"/>
              </w:rPr>
              <w:t>1,470,000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326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0.80</w:t>
            </w:r>
          </w:p>
        </w:tc>
        <w:tc>
          <w:tcPr>
            <w:tcW w:w="0" w:type="dxa"/>
            <w:vAlign w:val="bottom"/>
          </w:tcPr>
          <w:p>
            <w:pPr>
              <w:spacing w:after="0"/>
              <w:rPr>
                <w:sz w:val="1"/>
                <w:szCs w:val="1"/>
                <w:color w:val="auto"/>
              </w:rPr>
            </w:pPr>
          </w:p>
        </w:tc>
      </w:tr>
      <w:tr>
        <w:trPr>
          <w:trHeight w:val="229"/>
        </w:trPr>
        <w:tc>
          <w:tcPr>
            <w:tcW w:w="5440" w:type="dxa"/>
            <w:vAlign w:val="bottom"/>
          </w:tcPr>
          <w:p>
            <w:pPr>
              <w:ind w:left="20"/>
              <w:spacing w:after="0"/>
              <w:rPr>
                <w:sz w:val="20"/>
                <w:szCs w:val="20"/>
                <w:color w:val="auto"/>
              </w:rPr>
            </w:pPr>
            <w:r>
              <w:rPr>
                <w:rFonts w:ascii="Arial" w:cs="Arial" w:eastAsia="Arial" w:hAnsi="Arial"/>
                <w:sz w:val="18"/>
                <w:szCs w:val="18"/>
                <w:color w:val="auto"/>
              </w:rPr>
              <w:t>Trade name</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5.00</w:t>
            </w:r>
          </w:p>
        </w:tc>
        <w:tc>
          <w:tcPr>
            <w:tcW w:w="0" w:type="dxa"/>
            <w:vAlign w:val="bottom"/>
          </w:tcPr>
          <w:p>
            <w:pPr>
              <w:spacing w:after="0"/>
              <w:rPr>
                <w:sz w:val="1"/>
                <w:szCs w:val="1"/>
                <w:color w:val="auto"/>
              </w:rPr>
            </w:pPr>
          </w:p>
        </w:tc>
      </w:tr>
      <w:tr>
        <w:trPr>
          <w:trHeight w:val="229"/>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26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260" w:type="dxa"/>
            <w:vAlign w:val="bottom"/>
            <w:tcBorders>
              <w:bottom w:val="single" w:sz="8" w:color="auto"/>
            </w:tcBorders>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4,420,000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440" w:type="dxa"/>
            <w:vAlign w:val="bottom"/>
          </w:tcPr>
          <w:p>
            <w:pPr>
              <w:spacing w:after="0" w:line="20" w:lineRule="exact"/>
              <w:rPr>
                <w:sz w:val="1"/>
                <w:szCs w:val="1"/>
                <w:color w:val="auto"/>
              </w:rPr>
            </w:pPr>
          </w:p>
        </w:tc>
        <w:tc>
          <w:tcPr>
            <w:tcW w:w="32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100" w:firstLine="405"/>
        <w:spacing w:after="0" w:line="261" w:lineRule="auto"/>
        <w:rPr>
          <w:sz w:val="20"/>
          <w:szCs w:val="20"/>
          <w:color w:val="auto"/>
        </w:rPr>
      </w:pPr>
      <w:r>
        <w:rPr>
          <w:rFonts w:ascii="Arial" w:cs="Arial" w:eastAsia="Arial" w:hAnsi="Arial"/>
          <w:sz w:val="18"/>
          <w:szCs w:val="18"/>
          <w:color w:val="auto"/>
        </w:rPr>
        <w:t>In connection with the Cavium acquisition on July 6, 2018, the Aquantia acquisition on September 19, 2019, and the Avera acquisition on November 5, 2019, the Company acquired $3.3 billion of intangible assets.</w:t>
      </w:r>
    </w:p>
    <w:p>
      <w:pPr>
        <w:spacing w:after="0" w:line="198"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As of May 1, 2021 and January 30, 2021, net carrying amounts are as follows (in thousands, except for weighted-average remaining amortization period):</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714"/>
              <w:spacing w:after="0"/>
              <w:rPr>
                <w:sz w:val="20"/>
                <w:szCs w:val="20"/>
                <w:color w:val="auto"/>
              </w:rPr>
            </w:pPr>
            <w:r>
              <w:rPr>
                <w:rFonts w:ascii="Arial" w:cs="Arial" w:eastAsia="Arial" w:hAnsi="Arial"/>
                <w:sz w:val="14"/>
                <w:szCs w:val="14"/>
                <w:b w:val="1"/>
                <w:bCs w:val="1"/>
                <w:color w:val="auto"/>
              </w:rPr>
              <w:t>May 1, 2021</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4"/>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right"/>
              <w:ind w:right="274"/>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4,464,000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(818,027)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3,645,973</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5.67</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2,113,000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(259,391)</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1,853,609</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5.85</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67,399</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0.78</w:t>
            </w:r>
          </w:p>
        </w:tc>
        <w:tc>
          <w:tcPr>
            <w:tcW w:w="0" w:type="dxa"/>
            <w:vAlign w:val="bottom"/>
          </w:tcPr>
          <w:p>
            <w:pPr>
              <w:spacing w:after="0"/>
              <w:rPr>
                <w:sz w:val="1"/>
                <w:szCs w:val="1"/>
                <w:color w:val="auto"/>
              </w:rPr>
            </w:pPr>
          </w:p>
        </w:tc>
      </w:tr>
      <w:tr>
        <w:trPr>
          <w:trHeight w:val="230"/>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73,000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(15,920)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57,080</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4.59</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6,720,000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(1,095,939)</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5,624,061</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5.66</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938,000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938,000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7,658,000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(1,095,939)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6,562,061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555"/>
              <w:spacing w:after="0"/>
              <w:rPr>
                <w:sz w:val="20"/>
                <w:szCs w:val="20"/>
                <w:color w:val="auto"/>
              </w:rPr>
            </w:pPr>
            <w:r>
              <w:rPr>
                <w:rFonts w:ascii="Arial" w:cs="Arial" w:eastAsia="Arial" w:hAnsi="Arial"/>
                <w:sz w:val="14"/>
                <w:szCs w:val="14"/>
                <w:b w:val="1"/>
                <w:bCs w:val="1"/>
                <w:color w:val="auto"/>
              </w:rPr>
              <w:t>January 30, 2021</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right"/>
              <w:ind w:right="155"/>
              <w:spacing w:after="0"/>
              <w:rPr>
                <w:sz w:val="20"/>
                <w:szCs w:val="20"/>
                <w:color w:val="auto"/>
              </w:rPr>
            </w:pPr>
            <w:r>
              <w:rPr>
                <w:rFonts w:ascii="Arial" w:cs="Arial" w:eastAsia="Arial" w:hAnsi="Arial"/>
                <w:sz w:val="14"/>
                <w:szCs w:val="14"/>
                <w:b w:val="1"/>
                <w:bCs w:val="1"/>
                <w:color w:val="auto"/>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right"/>
              <w:ind w:right="275"/>
              <w:spacing w:after="0"/>
              <w:rPr>
                <w:sz w:val="20"/>
                <w:szCs w:val="20"/>
                <w:color w:val="auto"/>
              </w:rPr>
            </w:pPr>
            <w:r>
              <w:rPr>
                <w:rFonts w:ascii="Arial" w:cs="Arial" w:eastAsia="Arial" w:hAnsi="Arial"/>
                <w:sz w:val="14"/>
                <w:szCs w:val="14"/>
                <w:b w:val="1"/>
                <w:bCs w:val="1"/>
                <w:color w:val="auto"/>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2,454,000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(724,215)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1,729,785</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(228,845)</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414,155</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5.62</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(14,240)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8,760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2.20</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3,120,000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2,152,700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2,270,700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Amortization expense for acquired intangible assets for the three months ended May 1, 2021 and May 2, 2020 was $128.6 million and $112.9 million, respectively.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May 1, 2021 (in thousands):</w:t>
      </w:r>
    </w:p>
    <w:p>
      <w:pPr>
        <w:spacing w:after="0" w:line="5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2022</w:t>
            </w:r>
          </w:p>
        </w:tc>
        <w:tc>
          <w:tcPr>
            <w:tcW w:w="200" w:type="dxa"/>
            <w:vAlign w:val="bottom"/>
            <w:tcBorders>
              <w:top w:val="single" w:sz="8" w:color="CCEEFF"/>
            </w:tcBorders>
            <w:shd w:val="clear" w:color="auto" w:fill="CCEEFF"/>
          </w:tcPr>
          <w:p>
            <w:pPr>
              <w:spacing w:after="0"/>
              <w:rPr>
                <w:sz w:val="19"/>
                <w:szCs w:val="19"/>
                <w:color w:val="auto"/>
              </w:rPr>
            </w:pPr>
          </w:p>
        </w:tc>
        <w:tc>
          <w:tcPr>
            <w:tcW w:w="84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827,776</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1,008,210</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995,653</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944,447</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859,591</w:t>
            </w:r>
          </w:p>
        </w:tc>
      </w:tr>
      <w:tr>
        <w:trPr>
          <w:trHeight w:val="230"/>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988,384</w:t>
            </w:r>
          </w:p>
        </w:tc>
      </w:tr>
      <w:tr>
        <w:trPr>
          <w:trHeight w:val="248"/>
        </w:trPr>
        <w:tc>
          <w:tcPr>
            <w:tcW w:w="73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5,624,061</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May 1, 2021 and January 30, 2021 (in thousands):</w:t>
      </w:r>
    </w:p>
    <w:p>
      <w:pPr>
        <w:spacing w:after="0" w:line="11"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1,</w:t>
            </w:r>
          </w:p>
        </w:tc>
        <w:tc>
          <w:tcPr>
            <w:tcW w:w="22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r>
      <w:tr>
        <w:trPr>
          <w:trHeight w:val="211"/>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30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2018 Term Loan</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200,000</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2020 Term Loan - 3 Year Tranche</w:t>
            </w: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2020 Term Loan - 5 Year Tranche</w:t>
            </w:r>
          </w:p>
        </w:tc>
        <w:tc>
          <w:tcPr>
            <w:tcW w:w="3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875,000</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Term Loan Total</w:t>
            </w: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2020 Revolving Credit Facility</w:t>
            </w:r>
          </w:p>
        </w:tc>
        <w:tc>
          <w:tcPr>
            <w:tcW w:w="300" w:type="dxa"/>
            <w:vAlign w:val="bottom"/>
          </w:tcPr>
          <w:p>
            <w:pPr>
              <w:spacing w:after="0"/>
              <w:rPr>
                <w:sz w:val="19"/>
                <w:szCs w:val="19"/>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tcBorders>
              <w:top w:val="single" w:sz="8" w:color="CCEEFF"/>
            </w:tcBorders>
            <w:gridSpan w:val="2"/>
            <w:shd w:val="clear" w:color="auto" w:fill="CCEEFF"/>
          </w:tcPr>
          <w:p>
            <w:pPr>
              <w:ind w:left="240"/>
              <w:spacing w:after="0"/>
              <w:rPr>
                <w:sz w:val="20"/>
                <w:szCs w:val="20"/>
                <w:color w:val="auto"/>
              </w:rPr>
            </w:pPr>
            <w:r>
              <w:rPr>
                <w:rFonts w:ascii="Arial" w:cs="Arial" w:eastAsia="Arial" w:hAnsi="Arial"/>
                <w:sz w:val="18"/>
                <w:szCs w:val="18"/>
                <w:color w:val="auto"/>
              </w:rPr>
              <w:t>Revolving Credit Facility Total</w:t>
            </w:r>
          </w:p>
        </w:tc>
        <w:tc>
          <w:tcPr>
            <w:tcW w:w="300" w:type="dxa"/>
            <w:vAlign w:val="bottom"/>
            <w:tcBorders>
              <w:top w:val="single" w:sz="8" w:color="auto"/>
            </w:tcBorders>
            <w:shd w:val="clear" w:color="auto" w:fill="CCEEFF"/>
          </w:tcPr>
          <w:p>
            <w:pPr>
              <w:spacing w:after="0"/>
              <w:rPr>
                <w:sz w:val="19"/>
                <w:szCs w:val="19"/>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spacing w:after="0"/>
              <w:rPr>
                <w:sz w:val="19"/>
                <w:szCs w:val="19"/>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tcPr>
          <w:p>
            <w:pPr>
              <w:ind w:left="20"/>
              <w:spacing w:after="0"/>
              <w:rPr>
                <w:sz w:val="20"/>
                <w:szCs w:val="20"/>
                <w:color w:val="auto"/>
              </w:rPr>
            </w:pPr>
            <w:r>
              <w:rPr>
                <w:rFonts w:ascii="Arial" w:cs="Arial" w:eastAsia="Arial" w:hAnsi="Arial"/>
                <w:sz w:val="18"/>
                <w:szCs w:val="18"/>
                <w:color w:val="auto"/>
              </w:rPr>
              <w:t>MTG 2023 Senior Notes</w:t>
            </w:r>
          </w:p>
        </w:tc>
        <w:tc>
          <w:tcPr>
            <w:tcW w:w="3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 2028 Senior Notes</w:t>
            </w: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tcPr>
          <w:p>
            <w:pPr>
              <w:ind w:left="20"/>
              <w:spacing w:after="0"/>
              <w:rPr>
                <w:sz w:val="20"/>
                <w:szCs w:val="20"/>
                <w:color w:val="auto"/>
              </w:rPr>
            </w:pPr>
            <w:r>
              <w:rPr>
                <w:rFonts w:ascii="Arial" w:cs="Arial" w:eastAsia="Arial" w:hAnsi="Arial"/>
                <w:sz w:val="18"/>
                <w:szCs w:val="18"/>
                <w:color w:val="auto"/>
              </w:rPr>
              <w:t>2026 Senior Notes</w:t>
            </w:r>
          </w:p>
        </w:tc>
        <w:tc>
          <w:tcPr>
            <w:tcW w:w="3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 Senior Notes</w:t>
            </w: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2031 Senior Notes</w:t>
            </w:r>
          </w:p>
        </w:tc>
        <w:tc>
          <w:tcPr>
            <w:tcW w:w="3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750,000</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Senior Notes Total</w:t>
            </w:r>
          </w:p>
        </w:tc>
        <w:tc>
          <w:tcPr>
            <w:tcW w:w="3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1,000,000</w:t>
            </w:r>
          </w:p>
        </w:tc>
      </w:tr>
      <w:tr>
        <w:trPr>
          <w:trHeight w:val="230"/>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0.75% Inphi 2021 Convertible Notes</w:t>
            </w:r>
          </w:p>
        </w:tc>
        <w:tc>
          <w:tcPr>
            <w:tcW w:w="3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1,867</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0.75% Inphi 2025 Convertible Notes</w:t>
            </w:r>
          </w:p>
        </w:tc>
        <w:tc>
          <w:tcPr>
            <w:tcW w:w="3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192,548</w:t>
            </w:r>
          </w:p>
        </w:tc>
        <w:tc>
          <w:tcPr>
            <w:tcW w:w="2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tcBorders>
              <w:bottom w:val="single" w:sz="8" w:color="CCEEFF"/>
            </w:tcBorders>
            <w:gridSpan w:val="2"/>
          </w:tcPr>
          <w:p>
            <w:pPr>
              <w:ind w:left="240"/>
              <w:spacing w:after="0"/>
              <w:rPr>
                <w:sz w:val="20"/>
                <w:szCs w:val="20"/>
                <w:color w:val="auto"/>
              </w:rPr>
            </w:pPr>
            <w:r>
              <w:rPr>
                <w:rFonts w:ascii="Arial" w:cs="Arial" w:eastAsia="Arial" w:hAnsi="Arial"/>
                <w:sz w:val="18"/>
                <w:szCs w:val="18"/>
                <w:color w:val="auto"/>
              </w:rPr>
              <w:t>Inphi Convertible Notes Total</w:t>
            </w:r>
          </w:p>
        </w:tc>
        <w:tc>
          <w:tcPr>
            <w:tcW w:w="3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194,415</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4,944,415</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3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(45,985)</w:t>
            </w:r>
          </w:p>
        </w:tc>
        <w:tc>
          <w:tcPr>
            <w:tcW w:w="2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(7,189)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4,898,430</w:t>
            </w:r>
          </w:p>
        </w:tc>
        <w:tc>
          <w:tcPr>
            <w:tcW w:w="2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1,192,811</w:t>
            </w:r>
          </w:p>
        </w:tc>
      </w:tr>
      <w:tr>
        <w:trPr>
          <w:trHeight w:val="230"/>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Less: Current portion - Term Loan (1)</w:t>
            </w:r>
          </w:p>
        </w:tc>
        <w:tc>
          <w:tcPr>
            <w:tcW w:w="3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30,308</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199,641</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Less: Current portion - Inphi Convertible Notes (2)</w:t>
            </w:r>
          </w:p>
        </w:tc>
        <w:tc>
          <w:tcPr>
            <w:tcW w:w="3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193,269</w:t>
            </w:r>
          </w:p>
        </w:tc>
        <w:tc>
          <w:tcPr>
            <w:tcW w:w="2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Non-current portion</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4,674,853</w:t>
            </w:r>
          </w:p>
        </w:tc>
        <w:tc>
          <w:tcPr>
            <w:tcW w:w="22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993,170</w:t>
            </w:r>
          </w:p>
        </w:tc>
      </w:tr>
      <w:tr>
        <w:trPr>
          <w:trHeight w:val="20"/>
        </w:trPr>
        <w:tc>
          <w:tcPr>
            <w:tcW w:w="600" w:type="dxa"/>
            <w:vAlign w:val="bottom"/>
          </w:tcPr>
          <w:p>
            <w:pPr>
              <w:spacing w:after="0" w:line="20" w:lineRule="exact"/>
              <w:rPr>
                <w:sz w:val="1"/>
                <w:szCs w:val="1"/>
                <w:color w:val="auto"/>
              </w:rPr>
            </w:pPr>
          </w:p>
        </w:tc>
        <w:tc>
          <w:tcPr>
            <w:tcW w:w="75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660" w:hanging="652"/>
        <w:spacing w:after="0" w:line="244" w:lineRule="auto"/>
        <w:tabs>
          <w:tab w:leader="none" w:pos="65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May 1, 2021, the current portion of outstanding debt includes the 2020 Term Loan - 5 Year Tranche, which is due within twelve months. The Company intends to repay the amount with operating cash flow.</w:t>
      </w:r>
    </w:p>
    <w:p>
      <w:pPr>
        <w:jc w:val="both"/>
        <w:ind w:left="660" w:hanging="652"/>
        <w:spacing w:after="0" w:line="277" w:lineRule="auto"/>
        <w:tabs>
          <w:tab w:leader="none" w:pos="654" w:val="left"/>
        </w:tabs>
        <w:numPr>
          <w:ilvl w:val="0"/>
          <w:numId w:val="3"/>
        </w:numPr>
        <w:rPr>
          <w:rFonts w:ascii="Arial" w:cs="Arial" w:eastAsia="Arial" w:hAnsi="Arial"/>
          <w:sz w:val="16"/>
          <w:szCs w:val="16"/>
          <w:color w:val="auto"/>
        </w:rPr>
      </w:pPr>
      <w:r>
        <w:rPr>
          <w:rFonts w:ascii="Arial" w:cs="Arial" w:eastAsia="Arial" w:hAnsi="Arial"/>
          <w:sz w:val="16"/>
          <w:szCs w:val="16"/>
          <w:color w:val="auto"/>
        </w:rPr>
        <w:t>As of May 1, 2021, as the Inphi 2021 Convertible Notes are currently convertible, the Company has classified $0.7 million, which is the cash portion the Company would be required to pay upon conversion, as current. As of May 1, 2021, as the Inphi 2025 Convertible Notes are currently redeemable, the Company has classified $192.5 million, which is the cash redemption price the Company would be required to pay if noteholders accepted the fundamental change repurchase offer, as current. The Company intends to repay the amount with operating cash flow.</w:t>
      </w:r>
    </w:p>
    <w:p>
      <w:pPr>
        <w:spacing w:after="0" w:line="188" w:lineRule="exact"/>
        <w:rPr>
          <w:sz w:val="20"/>
          <w:szCs w:val="20"/>
          <w:color w:val="auto"/>
        </w:rPr>
      </w:pPr>
    </w:p>
    <w:p>
      <w:pPr>
        <w:ind w:right="40" w:firstLine="405"/>
        <w:spacing w:after="0" w:line="238" w:lineRule="auto"/>
        <w:rPr>
          <w:sz w:val="20"/>
          <w:szCs w:val="20"/>
          <w:color w:val="auto"/>
        </w:rPr>
      </w:pPr>
      <w:r>
        <w:rPr>
          <w:rFonts w:ascii="Arial" w:cs="Arial" w:eastAsia="Arial" w:hAnsi="Arial"/>
          <w:sz w:val="18"/>
          <w:szCs w:val="18"/>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See “Note 3 - Business Combinations” for more information. In connection with the acquisition, the Company executed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 related to the termination of the bridge loan commitment during the quarter ended May 1, 2021.</w:t>
      </w:r>
    </w:p>
    <w:p>
      <w:pPr>
        <w:spacing w:after="0" w:line="200" w:lineRule="exact"/>
        <w:rPr>
          <w:sz w:val="20"/>
          <w:szCs w:val="20"/>
          <w:color w:val="auto"/>
        </w:rPr>
      </w:pPr>
    </w:p>
    <w:p>
      <w:pPr>
        <w:spacing w:after="0" w:line="3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In December 2020, the Company executed a debt agreement to obtain an $875.0 million 3-year term loan and an $875.0 million 5-year term loan. The Company also executed a debt agreement to obtain a 5-year $750.0 million revolving credit facility in December 2020, replacing its previous $500 million revolving credit facility. On April 12, 2021, the Company completed a debt offering and issued (i) $500.0 million of Senior Notes with a 5 year term due in 2026, (ii) $750.0 million of Senior Notes with a 7 year term due in 2028, and (iii) $750.0 million of Senior Notes with a 10 year term due in 2031. In addition, in conjunction with the U.S. domiciliation, the Company exchanged certain of its existing senior notes due in 2023 and 2028 that were previously issued by the Company’s former Bermuda-based parent company with like notes that are now issued by the Company’s new parent company domiciled in Delaware. Below is further discussion of the terms of the various debt agreements.</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Term Loan Agreement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December 7, 2020, the Company entered into a term loan credit agreement with a lending syndicate led by JPMorgan Chase Bank, N.A (the</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“2020 Term Loan Agreement”) in order to finance the expected merger with Inphi. The 2020 Term Loan Agreement provided for borrowings of up to</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$1.75 billion consisting of: (i) $875.0 million loan with a three-year term from the funding date (the “3-Year Tranche Loan”) and (ii) $875.0 million loan</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with a five-year term from the funding date (the “5-Year Tranche Loan” and, together with the 3-Year Tranche Loan, the “2020 Term Loans”).</w:t>
      </w:r>
    </w:p>
    <w:p>
      <w:pPr>
        <w:spacing w:after="0" w:line="223"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The 3-Year Tranche Loan has a stated floating interest rate which equates to reserve-adjusted LIBOR + 125 bps. The 5-Year Tranche Loan has a stated floating interest rate which equates to reserve-adjusted LIBOR + 137.5 bps. The 3-Year Tranche Loan does not require any scheduled principal payments prior to final maturity but do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(iii) 3.75% of the aggregate principal amount on the term funding date for each fiscal quarter following the twelfth full fiscal quarter following the term loan funding date.</w:t>
      </w:r>
    </w:p>
    <w:p>
      <w:pPr>
        <w:spacing w:after="0" w:line="207" w:lineRule="exact"/>
        <w:rPr>
          <w:sz w:val="20"/>
          <w:szCs w:val="20"/>
          <w:color w:val="auto"/>
        </w:rPr>
      </w:pPr>
    </w:p>
    <w:p>
      <w:pPr>
        <w:ind w:right="80" w:firstLine="405"/>
        <w:spacing w:after="0" w:line="279" w:lineRule="auto"/>
        <w:rPr>
          <w:sz w:val="20"/>
          <w:szCs w:val="20"/>
          <w:color w:val="auto"/>
        </w:rPr>
      </w:pPr>
      <w:r>
        <w:rPr>
          <w:rFonts w:ascii="Arial" w:cs="Arial" w:eastAsia="Arial" w:hAnsi="Arial"/>
          <w:sz w:val="16"/>
          <w:szCs w:val="16"/>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The term loan was drawn in full in April 2021 to fund the purchase price of the Inphi acquisition. As of May 1, 2021, the Company has $1.75 billion Term Loan borrowings outstanding, and is in compliance with its debt covenants.</w:t>
      </w:r>
    </w:p>
    <w:p>
      <w:pPr>
        <w:spacing w:after="0" w:line="18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39"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On December 7, 2020, the Company entered into a revolving line of credit agreement (the “2020 Revolving Credit Facility”) with a lending syndicate led by JPMorgan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through December 7, 2025. An unused commitment fee is payable quarterly based on unused balances at a rate that is based on the ratings of the Company’s senior unsecured long-term indebtedness. This annual rate was 0.175% at May 1, 2021. As of May 1, 2021, the 2020 Revolving Credit Facility is undrawn.</w:t>
      </w:r>
    </w:p>
    <w:p>
      <w:pPr>
        <w:spacing w:after="0" w:line="190"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Subsequent to quarter end, on May 4, 2021, the Company drew down $75.0 million on the 2020 Revolving Credit Facility. The Company intends to repay prior to the end of the second quarter of fiscal year 2022.</w:t>
      </w:r>
    </w:p>
    <w:p>
      <w:pPr>
        <w:spacing w:after="0" w:line="198" w:lineRule="exact"/>
        <w:rPr>
          <w:sz w:val="20"/>
          <w:szCs w:val="20"/>
          <w:color w:val="auto"/>
        </w:rPr>
      </w:pPr>
    </w:p>
    <w:p>
      <w:pPr>
        <w:ind w:right="64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2020 Term Loan covenants discussed above.</w:t>
      </w:r>
    </w:p>
    <w:p>
      <w:pPr>
        <w:spacing w:after="0" w:line="198"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The Company currently carries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On April 12, 2021, the Company completed an offering of (i) $500.0 million aggregate principal amount of the Company’s 1.650% Senior Notes due 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The Senior Notes were sold pursuant to Rule 144A under the Securities Act of 1933, as amended (the “Securities Act”), to purchasers in the United States and pursuant to Regulation S under the Securities Act to purchasers outside of the United States.</w:t>
      </w:r>
    </w:p>
    <w:p>
      <w:pPr>
        <w:spacing w:after="0" w:line="216"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The 2026 Senior Notes mature on April 15, 2026, the 2028 Senior Notes matures on April 15, 2028, and the 2031 Senior Notes mature on April 15, 2031. The stated and effective interest rates for the 2026 Senior Notes are 1.650% and 1.863%, respectively. The stated and effective interest rates for the 2028 Senior Notes are 2.450% and 2.589%, respectively. The stated and effective interest rates for the 2031 Senior Notes are 2.950% and 3.085%, respectively. The Company may redeem the Senior Notes, in whole or in part, at any time prior to their maturity at the redemption prices set forth in associated debt agreements.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May 1, 2021, the Company has $2.0 billion Senior Notes borrowings outstanding.</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Inc.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the Company’s 4.200% Senior Notes due 2023 (the “MTG 2023 Notes”) and (ii) $500.0 million aggregate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principal amount of the Company’s 4.875% Senior Notes due 2028 (the “MTG 2028 Notes” and, together with the 2023 Notes, the “MTG Senior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The proceeds of the MTG Senior Notes were used to fund a portion of the cash consideration for the Cavium acquisition, repay Cavium’s debt, and pay</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transaction expenses in connection with the Cavium acquisition.</w:t>
      </w:r>
    </w:p>
    <w:p>
      <w:pPr>
        <w:spacing w:after="0" w:line="223"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In April 2021, in alignment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will have the same interest rate, maturity date, redemption terms and interest payment dates and will be subject to substantially similar covenants as the corresponding series of the MTG Senior Notes for which they are being offered in exchange.</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20"/>
        <w:spacing w:after="0" w:line="251" w:lineRule="auto"/>
        <w:rPr>
          <w:sz w:val="20"/>
          <w:szCs w:val="20"/>
          <w:color w:val="auto"/>
        </w:rPr>
      </w:pPr>
      <w:r>
        <w:rPr>
          <w:rFonts w:ascii="Arial" w:cs="Arial" w:eastAsia="Arial" w:hAnsi="Arial"/>
          <w:sz w:val="17"/>
          <w:szCs w:val="17"/>
          <w:color w:val="auto"/>
        </w:rPr>
        <w:t>2023 Notes are 4.200% and 4.423%, respectively. The stated and effective interest rates for the MTI 2028 Notes are 4.875% and 5.012%,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May 1, 2021, the Company has $1.0 billion MTG Senior Notes borrowings outstanding.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7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settlement of the Exchange Offers occurred subsequent to quarter end on May 4, 2021. $433.9 million aggregate principal amount of the MTG</w:t>
      </w:r>
    </w:p>
    <w:p>
      <w:pPr>
        <w:spacing w:after="0" w:line="35" w:lineRule="exact"/>
        <w:rPr>
          <w:sz w:val="20"/>
          <w:szCs w:val="20"/>
          <w:color w:val="auto"/>
        </w:rPr>
      </w:pPr>
    </w:p>
    <w:p>
      <w:pPr>
        <w:ind w:right="600"/>
        <w:spacing w:after="0" w:line="243" w:lineRule="auto"/>
        <w:rPr>
          <w:sz w:val="20"/>
          <w:szCs w:val="20"/>
          <w:color w:val="auto"/>
        </w:rPr>
      </w:pPr>
      <w:r>
        <w:rPr>
          <w:rFonts w:ascii="Arial" w:cs="Arial" w:eastAsia="Arial" w:hAnsi="Arial"/>
          <w:sz w:val="18"/>
          <w:szCs w:val="18"/>
          <w:color w:val="auto"/>
        </w:rPr>
        <w:t>2023 Notes and $479.5 million aggregate principal amount of the MTG 2028 Notes were exchanged. The exchange will be accounted for as a debt modification in accordance with applicable accounting guidance.</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a result of the Inphi acquisition, the Company assumed all of Inphi’s outstanding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39"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In September 2016, Inphi issued $287.5 million of 0.75% convertible senior notes due 2021. The Inphi 2021 Convertible Notes are governed by the terms of an indenture dated September 12, 2016 (the “Inphi 2021 Convertible Notes Indenture”). The Inphi 2021 Convertible Notes will mature September 1, 2021, unless earlier converted or repurchased. Interest on the Inphi 2021 Convertible Notes is payable on March 1 and September 1 of each year.</w:t>
      </w:r>
    </w:p>
    <w:p>
      <w:pPr>
        <w:spacing w:after="0" w:line="174"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Under the Inphi 2021 Convertible Notes Indenture, on or after March 1, 2021, until the close of business on the second scheduled trading day immediately preceding the maturity date, holders may convert their notes at any time. Upon conversion, the Company will pay or deliver, as the case may be, cash, shares of common stock or a combination of cash and shares of common stock, at the Company’s election. The Inphi 2021 Convertible Notes are not redeemable at the Company’s option prior to maturity.</w:t>
      </w:r>
    </w:p>
    <w:p>
      <w:pPr>
        <w:spacing w:after="0" w:line="215" w:lineRule="exact"/>
        <w:rPr>
          <w:sz w:val="20"/>
          <w:szCs w:val="20"/>
          <w:color w:val="auto"/>
        </w:rPr>
      </w:pPr>
    </w:p>
    <w:p>
      <w:pPr>
        <w:ind w:right="80" w:firstLine="405"/>
        <w:spacing w:after="0" w:line="272" w:lineRule="auto"/>
        <w:rPr>
          <w:sz w:val="20"/>
          <w:szCs w:val="20"/>
          <w:color w:val="auto"/>
        </w:rPr>
      </w:pPr>
      <w:r>
        <w:rPr>
          <w:rFonts w:ascii="Arial" w:cs="Arial" w:eastAsia="Arial" w:hAnsi="Arial"/>
          <w:sz w:val="16"/>
          <w:szCs w:val="16"/>
          <w:color w:val="auto"/>
        </w:rPr>
        <w:t>The initial conversion rate at issuance in September 2016 was 17.7508 shares of Inphi common stock per $1,000 principal amount of Inphi 2021 Convertible Notes, which represented an initial conversion price of approximately $56.34 per Inphi share. The conversion rate for the Inphi 2021 Convertible Notes is subject to adjustment in some events but will not be adjusted for any accrued and unpaid interest. In addition, following certain fundamental changes that occur prior to the maturity date, the Company will increase the conversion rate of the Inphi 2021 Convertible Notes for a holder who elects to convert in connection with such a fundamental change in certain circumstances. Upon the occurrence of certain fundamental changes, the holders of the Inphi 2021 Convertible Notes may require the Company to repurchase all or a portion of their Inphi 2021 Convertible Notes for cash at a price equal to 100% of the principal amount of the Inphi 2021 Convertible notes, plus accrued and unpaid interest to, but excluding, the fundamental change repurchase date. The Inphi 2021 Convertible Notes are not redeemable at the Company’s option prior to maturity.</w:t>
      </w:r>
    </w:p>
    <w:p>
      <w:pPr>
        <w:spacing w:after="0" w:line="195" w:lineRule="exact"/>
        <w:rPr>
          <w:sz w:val="20"/>
          <w:szCs w:val="20"/>
          <w:color w:val="auto"/>
        </w:rPr>
      </w:pPr>
    </w:p>
    <w:p>
      <w:pPr>
        <w:ind w:right="60" w:firstLine="405"/>
        <w:spacing w:after="0" w:line="296" w:lineRule="auto"/>
        <w:rPr>
          <w:sz w:val="20"/>
          <w:szCs w:val="20"/>
          <w:color w:val="auto"/>
        </w:rPr>
      </w:pPr>
      <w:r>
        <w:rPr>
          <w:rFonts w:ascii="Arial" w:cs="Arial" w:eastAsia="Arial" w:hAnsi="Arial"/>
          <w:sz w:val="16"/>
          <w:szCs w:val="16"/>
          <w:color w:val="auto"/>
        </w:rPr>
        <w:t>As part of the Inphi acquisition, the Company assumed $15.7 million principal amount of Inphi’s 2021 Convertible Notes with a fair value of $48.0 million. The Inphi acquisition constitutes a fundamental change under the Inphi 2021 Convertible Notes Indenture. As a result, the Inphi 2021 Convertible Notes are currently convertible into Inphi conversion units of 17.7522 per $1,000 in principal amount of such notes. Based on the terms of the merger agreement, the holders of the Inphi 2021 Convertible Notes would receive 41.2384 shares of the Company’s common stock and $1,171.65 in cash per $1,000 in principal amount of such notes upon conversion. The Company has elected to measure the Inphi 2021 Convertible Notes at fair value.</w:t>
      </w:r>
    </w:p>
    <w:p>
      <w:pPr>
        <w:spacing w:after="0" w:line="188" w:lineRule="exact"/>
        <w:rPr>
          <w:sz w:val="20"/>
          <w:szCs w:val="20"/>
          <w:color w:val="auto"/>
        </w:rPr>
      </w:pPr>
    </w:p>
    <w:p>
      <w:pPr>
        <w:ind w:right="80" w:firstLine="405"/>
        <w:spacing w:after="0" w:line="286" w:lineRule="auto"/>
        <w:rPr>
          <w:sz w:val="20"/>
          <w:szCs w:val="20"/>
          <w:color w:val="auto"/>
        </w:rPr>
      </w:pPr>
      <w:r>
        <w:rPr>
          <w:rFonts w:ascii="Arial" w:cs="Arial" w:eastAsia="Arial" w:hAnsi="Arial"/>
          <w:sz w:val="17"/>
          <w:szCs w:val="17"/>
          <w:color w:val="auto"/>
        </w:rPr>
        <w:t>A total of $9.6 million in aggregate principal of the Inphi 2021 Convertible Notes was settled pursuant to the Exchange Agreements (discussed below). Between April 20 and May 1, 2021, $5.5 million in aggregate principal of the Inphi 2021 Convertible Notes was converted into 0.2 million shares of the Company’s common stock and $6.4 million in cash pursuant to the contractual terms of the Inphi 2021 Convertible Notes Indenture.</w:t>
      </w:r>
    </w:p>
    <w:p>
      <w:pPr>
        <w:spacing w:after="0" w:line="19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April 2020, Inphi issued $506.0 million 0.75% convertible senior notes due 2025. The Inphi 2025 Convertible Notes are governed by an indenture dated April 24, 2020 (the “Inphi 2025 Notes Indenture”). The Inphi 2025 Convertible Notes will mature on April 15, 2025, unless earlier converted or repurchased. Interest on the Inphi 2025 Convertible Notes is payable on April 15 and October 15 of each year.</w:t>
      </w:r>
    </w:p>
    <w:p>
      <w:pPr>
        <w:spacing w:after="0" w:line="200" w:lineRule="exact"/>
        <w:rPr>
          <w:sz w:val="20"/>
          <w:szCs w:val="20"/>
          <w:color w:val="auto"/>
        </w:rPr>
      </w:pPr>
    </w:p>
    <w:p>
      <w:pPr>
        <w:spacing w:after="0" w:line="36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40" w:firstLine="405"/>
        <w:spacing w:after="0" w:line="268" w:lineRule="auto"/>
        <w:rPr>
          <w:sz w:val="20"/>
          <w:szCs w:val="20"/>
          <w:color w:val="auto"/>
        </w:rPr>
      </w:pPr>
      <w:r>
        <w:rPr>
          <w:rFonts w:ascii="Arial" w:cs="Arial" w:eastAsia="Arial" w:hAnsi="Arial"/>
          <w:sz w:val="16"/>
          <w:szCs w:val="16"/>
          <w:color w:val="auto"/>
        </w:rPr>
        <w:t>Under the 2025 Notes Indenture, the Inphi 2025 Convertible Notes are convertible at the option of the holders at any time, prior to the close of business on the business day immediately preceding October 15, 2024, only under the following circumstances: (i) during any calendar quarter commencing after the calendar quarter ending on June 30, 2020 (and only during such calendar quarter), if the last reported sale price of the Company’s common stock, for at least 20 trading days (whether or not consecutive) during a period of 30 consecutive trading days ending on the last trading day of the immediately preceding calendar quarter is greater than or equal to 130% of the conversion price for the Inphi 2025 Notes on each applicable trading day;</w:t>
      </w:r>
    </w:p>
    <w:p>
      <w:pPr>
        <w:spacing w:after="0" w:line="1" w:lineRule="exact"/>
        <w:rPr>
          <w:sz w:val="20"/>
          <w:szCs w:val="20"/>
          <w:color w:val="auto"/>
        </w:rPr>
      </w:pPr>
    </w:p>
    <w:p>
      <w:pPr>
        <w:ind w:right="100" w:firstLine="8"/>
        <w:spacing w:after="0" w:line="272" w:lineRule="auto"/>
        <w:tabs>
          <w:tab w:leader="none" w:pos="265" w:val="left"/>
        </w:tabs>
        <w:numPr>
          <w:ilvl w:val="0"/>
          <w:numId w:val="4"/>
        </w:numPr>
        <w:rPr>
          <w:rFonts w:ascii="Arial" w:cs="Arial" w:eastAsia="Arial" w:hAnsi="Arial"/>
          <w:sz w:val="16"/>
          <w:szCs w:val="16"/>
          <w:color w:val="auto"/>
        </w:rPr>
      </w:pPr>
      <w:r>
        <w:rPr>
          <w:rFonts w:ascii="Arial" w:cs="Arial" w:eastAsia="Arial" w:hAnsi="Arial"/>
          <w:sz w:val="16"/>
          <w:szCs w:val="16"/>
          <w:color w:val="auto"/>
        </w:rPr>
        <w:t>during the five business day period after any five consecutive trading day period (the “measurement period”) in which the trading per $1,000 principal amount of Inphi 2025 Convertible Notes for each trading day of the measurement period was less than 98% of the product of the last reported sale price of the common stock and the conversion rate on each such trading day; (iii) if the Company calls any or all of the Inphi 2025 Convertible Notes for redemption, at any time prior to the close of business on the second scheduled trading day immediately preceding the redemption date; or (iv) upon the occurrence of specified corporate events. On or after October 15, 2024 until the close of business on the second scheduled trading day immediately preceding the maturity date, holders may convert their Inphi 2025 Convertible Notes at any time, regardless of the foregoing circumstances.</w:t>
      </w:r>
    </w:p>
    <w:p>
      <w:pPr>
        <w:spacing w:after="0" w:line="191" w:lineRule="exact"/>
        <w:rPr>
          <w:sz w:val="20"/>
          <w:szCs w:val="20"/>
          <w:color w:val="auto"/>
        </w:rPr>
      </w:pPr>
    </w:p>
    <w:p>
      <w:pPr>
        <w:ind w:right="40" w:firstLine="405"/>
        <w:spacing w:after="0" w:line="238" w:lineRule="auto"/>
        <w:rPr>
          <w:sz w:val="20"/>
          <w:szCs w:val="20"/>
          <w:color w:val="auto"/>
        </w:rPr>
      </w:pPr>
      <w:r>
        <w:rPr>
          <w:rFonts w:ascii="Arial" w:cs="Arial" w:eastAsia="Arial" w:hAnsi="Arial"/>
          <w:sz w:val="18"/>
          <w:szCs w:val="18"/>
          <w:color w:val="auto"/>
        </w:rPr>
        <w:t>The Company may redeem for cash all or any portion of the Inphi 2025 Convertible Notes, at its option, on or after April 20, 2023 if the last reported sale price of the common stock has been at least 130% of the conversion price then in effect for at least 20 trading days (whether or not consecutive) during any 30 consecutive trading day period (including the last trading day of such period) ending on, and including, the trading day immediately preceding the date on which the Company provides notice of redemption at a redemption price equal to 100% of the principal amount of the Inphi 2025 Convertible Notes to be redeemed, plus accrued and unpaid interest to, but excluding, the redemption date. Upon the occurrence of certain fundamental changes, the holders of the Inphi 2025 Convertible Notes may require the Company to repurchase all or a portion of the Inphi 2025 Convertible Notes for cash at a price equal to 100% of the principal amount of the Inphi 2025 Convertible Notes, plus accrued and unpaid interest to, but excluding, the fundamental change repurchase date.</w:t>
      </w:r>
    </w:p>
    <w:p>
      <w:pPr>
        <w:spacing w:after="0" w:line="221"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The initial conversion rate at issuance in April 2020 was 8.0059 shares of Inphi common stock per $1,000 principal amount of Inphi 2025 Convertible Notes, which represented an initial conversion price of approximately $124.91 per Inphi share. The conversion rate for the Inphi 2025 Convertible Notes is subject to adjustment in some events but will not be adjusted for any accrued and unpaid interest. In addition, following certain fundamental changes that occur prior to the maturity date or following the Company’s issuance of a notice of redemption, the Company will, in certain circumstances, increase the conversion rate of the Inphi 2025 Convertible Notes for a holder who elects to convert in connection with such a fundamental change or notice of redemption, as the case may be.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part of the Inphi acquisition, the Company assumed $506.0 million in principal of Inphi 2025 Convertible Notes with a fair value of</w:t>
      </w:r>
    </w:p>
    <w:p>
      <w:pPr>
        <w:spacing w:after="0" w:line="12" w:lineRule="exact"/>
        <w:rPr>
          <w:sz w:val="20"/>
          <w:szCs w:val="20"/>
          <w:color w:val="auto"/>
        </w:rPr>
      </w:pPr>
    </w:p>
    <w:p>
      <w:pPr>
        <w:spacing w:after="0"/>
        <w:rPr>
          <w:sz w:val="20"/>
          <w:szCs w:val="20"/>
          <w:color w:val="auto"/>
        </w:rPr>
      </w:pPr>
      <w:r>
        <w:rPr>
          <w:rFonts w:ascii="Arial" w:cs="Arial" w:eastAsia="Arial" w:hAnsi="Arial"/>
          <w:sz w:val="17"/>
          <w:szCs w:val="17"/>
          <w:color w:val="auto"/>
        </w:rPr>
        <w:t>$750.2 million. The Inphi acquisition constitutes a fundamental change under the Inphi 2025 Convertible Notes Indenture. As a result, the Inphi 2025</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Convertible Notes are convertible into Inphi conversion units of 8.595 per $1,000 in principal amount of such notes. Based on the terms of the merger</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agreement, the holders of the Inphi 2025 Convertible Notes would receive 19.9662 shares of the Company’s common stock and $567.27 in cash per $1,000</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in principal amount of such notes upon conversion.</w:t>
      </w:r>
    </w:p>
    <w:p>
      <w:pPr>
        <w:spacing w:after="0" w:line="223" w:lineRule="exact"/>
        <w:rPr>
          <w:sz w:val="20"/>
          <w:szCs w:val="20"/>
          <w:color w:val="auto"/>
        </w:rPr>
      </w:pPr>
    </w:p>
    <w:p>
      <w:pPr>
        <w:ind w:right="360" w:firstLine="405"/>
        <w:spacing w:after="0" w:line="279" w:lineRule="auto"/>
        <w:rPr>
          <w:sz w:val="20"/>
          <w:szCs w:val="20"/>
          <w:color w:val="auto"/>
        </w:rPr>
      </w:pPr>
      <w:r>
        <w:rPr>
          <w:rFonts w:ascii="Arial" w:cs="Arial" w:eastAsia="Arial" w:hAnsi="Arial"/>
          <w:sz w:val="16"/>
          <w:szCs w:val="16"/>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w:t>
      </w:r>
    </w:p>
    <w:p>
      <w:pPr>
        <w:spacing w:after="0" w:line="186"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In accounting for the Inphi 2025 Convertible Notes as of April 20, 2021, the Company separated the Inphi 2025 Convertible Notes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fair value of the Inphi 2025 Convertible Notes as a whole. The fair value of $750.2 million was accordingly allocated between debt for $506.0 million and stockholders’ equity for $244.2 million.</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39"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Under the Inphi Capped Calls, Inphi purchased capped call options that in aggregate relate to 100% of the total number of shares of the Company’s common stock underlying the Inphi Convertible Notes, with a strike price approximately equal to the conversion price of the Inphi 2021 Convertible Notes and the Inphi 2025 Convertible Notes, respectively, and with a capped price equal to $73.03 per Inphi share and $188.54 per Inphi share, respectively.</w:t>
      </w:r>
    </w:p>
    <w:p>
      <w:pPr>
        <w:spacing w:after="0" w:line="20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purchased Inphi Capped Calls allowed Inphi to receive shares of its common stock and/or cash from counterparties equal to the amounts of common stock and/or cash related to the excess of the market price per share of the common stock, as measured under the terms of the Inphi Capped Calls, over the strike prices of the Inphi Capped Calls during the relevant valuation period. The purchased Inphi Capped Calls were intended to reduce the potential dilution to common stock upon future conversion of the Inphi 2021 Convertible Notes and Inphi 2025 Convertible Notes by effectively increasing the initial conversion price to approximately $73.03 and $188.54, respectively, as well as to offset potential cash payments that Inphi would be required to make in excess of the principal amount of the Inphi Convertible Notes in applicable events.</w:t>
      </w:r>
    </w:p>
    <w:p>
      <w:pPr>
        <w:spacing w:after="0" w:line="20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Inphi Capped Calls were separate transactions entered into by Inphi with the option counterparties, are not part of the terms of the Inphi Convertible Notes, and will not change the holders’ rights under the Inphi Convertible Notes.</w:t>
      </w:r>
    </w:p>
    <w:p>
      <w:pPr>
        <w:spacing w:after="0" w:line="198" w:lineRule="exact"/>
        <w:rPr>
          <w:sz w:val="20"/>
          <w:szCs w:val="20"/>
          <w:color w:val="auto"/>
        </w:rPr>
      </w:pPr>
    </w:p>
    <w:p>
      <w:pPr>
        <w:ind w:right="200" w:firstLine="405"/>
        <w:spacing w:after="0" w:line="269" w:lineRule="auto"/>
        <w:rPr>
          <w:sz w:val="20"/>
          <w:szCs w:val="20"/>
          <w:color w:val="auto"/>
        </w:rPr>
      </w:pPr>
      <w:r>
        <w:rPr>
          <w:rFonts w:ascii="Arial" w:cs="Arial" w:eastAsia="Arial" w:hAnsi="Arial"/>
          <w:sz w:val="16"/>
          <w:szCs w:val="16"/>
          <w:color w:val="auto"/>
        </w:rPr>
        <w:t>In connection with the Inphi acquisition, the Company entered into unwind agreements related to the Inphi Capped Calls. Based on the terms of the unwind agreements, the Inphi Capped Calls do not qualify for equity classification. As such, the Company has classified the Inphi Capped Calls as assets and included in “prepaid expenses and other current assets” in the unaudited condensed consolidated balance sheet. Under the unwind agreements, the Company and the counterparties agreed to settle a portion of Inphi Capped Calls for a fixed payment of $74.1 million, which were settled on April 23,</w:t>
      </w:r>
    </w:p>
    <w:p>
      <w:pPr>
        <w:spacing w:after="0" w:line="1" w:lineRule="exact"/>
        <w:rPr>
          <w:sz w:val="20"/>
          <w:szCs w:val="20"/>
          <w:color w:val="auto"/>
        </w:rPr>
      </w:pPr>
    </w:p>
    <w:p>
      <w:pPr>
        <w:spacing w:after="0" w:line="277" w:lineRule="auto"/>
        <w:rPr>
          <w:sz w:val="20"/>
          <w:szCs w:val="20"/>
          <w:color w:val="auto"/>
        </w:rPr>
      </w:pPr>
      <w:r>
        <w:rPr>
          <w:rFonts w:ascii="Arial" w:cs="Arial" w:eastAsia="Arial" w:hAnsi="Arial"/>
          <w:sz w:val="16"/>
          <w:szCs w:val="16"/>
          <w:color w:val="auto"/>
        </w:rPr>
        <w:t>2021. The remaining Inphi Capped Calls provide for variable cash settlement based on the Company’s stock price. These capped calls qualify as derivatives and, accordingly, the Company measures these capped calls at fair value, with changes in fair value reported in earnings. The Company reports cash flows from capped calls in cash flows from financing activities. In connection with the Exchange Agreements (discussed below), a portion of the remaining Inphi Capped Calls were settled for $35.5 million on April 29, 2021. As of May 1, 2021, the fair value of the remaining capped calls was $50.1 million.</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16"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The Exchange Agreements were accounted for as liabilities and measured at fair value, with changes in fair value recorded in earnings. For the three months ended May 1, 2021, the Company recognized interest expense of $5.0 million on the remeasurement of the Exchange Agreements in its unaudited condensed statements of operations.</w:t>
      </w:r>
    </w:p>
    <w:p>
      <w:pPr>
        <w:spacing w:after="0" w:line="209"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0" w:lineRule="exact"/>
        <w:rPr>
          <w:sz w:val="20"/>
          <w:szCs w:val="20"/>
          <w:color w:val="auto"/>
        </w:rPr>
      </w:pP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2018 Term Loan and 2018 Revolving Credit Facility</w:t>
      </w:r>
    </w:p>
    <w:p>
      <w:pPr>
        <w:spacing w:after="0" w:line="239"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On June 13, 2018, the Company entered into a credit agreement (“Credit Agreement”) with twelve lenders. The Credit Agreement provides for borrowings of: (i) up to $500.0 million in the form of a revolving line of credit (the “2018 Revolving Credit Facility”) and (ii) $900.0 million in the form of a term loan (the “2018 Term Loan”) due July 6, 2021. The proceeds of the 2018 Term Loan were used to fund a portion of the cash consideration for the Cavium acquisition, repay Cavium’s debt, and pay transaction expenses in connection with the Cavium acquisition. On December 7, 2020, the 2018 Revolving Credit Facility under the 2018 Credit Agreement was terminated and replaced by the 2020 Revolving Credit Facility. The 2018 Term Loan borrowings were repaid in full in the first quarter ended May 1, 2021.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Outstanding Debt</w:t>
      </w:r>
    </w:p>
    <w:p>
      <w:pPr>
        <w:spacing w:after="0" w:line="239" w:lineRule="exact"/>
        <w:rPr>
          <w:sz w:val="20"/>
          <w:szCs w:val="20"/>
          <w:color w:val="auto"/>
        </w:rPr>
      </w:pPr>
    </w:p>
    <w:p>
      <w:pPr>
        <w:ind w:right="420" w:firstLine="405"/>
        <w:spacing w:after="0" w:line="324" w:lineRule="auto"/>
        <w:rPr>
          <w:sz w:val="20"/>
          <w:szCs w:val="20"/>
          <w:color w:val="auto"/>
        </w:rPr>
      </w:pPr>
      <w:r>
        <w:rPr>
          <w:rFonts w:ascii="Arial" w:cs="Arial" w:eastAsia="Arial" w:hAnsi="Arial"/>
          <w:sz w:val="16"/>
          <w:szCs w:val="16"/>
          <w:color w:val="auto"/>
        </w:rPr>
        <w:t>During the three months ended May 1, 2021, the Company recognized $22.1 million of interest expense in its unaudited condensed consolidated statements of operations related to interest, amortization of debt issuance costs and accretion of discount associated with the outstanding borrowings.</w:t>
      </w:r>
    </w:p>
    <w:p>
      <w:pPr>
        <w:spacing w:after="0" w:line="151" w:lineRule="exact"/>
        <w:rPr>
          <w:sz w:val="20"/>
          <w:szCs w:val="20"/>
          <w:color w:val="auto"/>
        </w:rPr>
      </w:pPr>
    </w:p>
    <w:p>
      <w:pPr>
        <w:ind w:right="420" w:firstLine="405"/>
        <w:spacing w:after="0" w:line="324" w:lineRule="auto"/>
        <w:rPr>
          <w:sz w:val="20"/>
          <w:szCs w:val="20"/>
          <w:color w:val="auto"/>
        </w:rPr>
      </w:pPr>
      <w:r>
        <w:rPr>
          <w:rFonts w:ascii="Arial" w:cs="Arial" w:eastAsia="Arial" w:hAnsi="Arial"/>
          <w:sz w:val="16"/>
          <w:szCs w:val="16"/>
          <w:color w:val="auto"/>
        </w:rPr>
        <w:t>During the three months ended May 2, 2020, the Company recognized $15.4 million of interest expense in its unaudited condensed consolidated statements of operations related to interest, amortization of debt issuance costs and accretion of discount associated with the outstanding borrowings.</w:t>
      </w:r>
    </w:p>
    <w:p>
      <w:pPr>
        <w:spacing w:after="0" w:line="151"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As of May 1, 2021, the aggregate future contractual maturities of the Company’s outstanding debt, at face value, were as follows (in thousands):</w:t>
      </w:r>
    </w:p>
    <w:p>
      <w:pPr>
        <w:spacing w:after="0" w:line="14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50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4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2022</w:t>
            </w:r>
          </w:p>
        </w:tc>
        <w:tc>
          <w:tcPr>
            <w:tcW w:w="200" w:type="dxa"/>
            <w:vAlign w:val="bottom"/>
            <w:tcBorders>
              <w:top w:val="single" w:sz="8" w:color="CCEEFF"/>
            </w:tcBorders>
            <w:shd w:val="clear" w:color="auto" w:fill="CCEEFF"/>
          </w:tcPr>
          <w:p>
            <w:pPr>
              <w:spacing w:after="0"/>
              <w:rPr>
                <w:sz w:val="19"/>
                <w:szCs w:val="19"/>
                <w:color w:val="auto"/>
              </w:rPr>
            </w:pPr>
          </w:p>
        </w:tc>
        <w:tc>
          <w:tcPr>
            <w:tcW w:w="86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1,867</w:t>
            </w:r>
          </w:p>
        </w:tc>
      </w:tr>
      <w:tr>
        <w:trPr>
          <w:trHeight w:val="229"/>
        </w:trPr>
        <w:tc>
          <w:tcPr>
            <w:tcW w:w="730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1,375,000</w:t>
            </w:r>
          </w:p>
        </w:tc>
      </w:tr>
      <w:tr>
        <w:trPr>
          <w:trHeight w:val="229"/>
        </w:trPr>
        <w:tc>
          <w:tcPr>
            <w:tcW w:w="730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1,067,548</w:t>
            </w:r>
          </w:p>
        </w:tc>
      </w:tr>
      <w:tr>
        <w:trPr>
          <w:trHeight w:val="229"/>
        </w:trPr>
        <w:tc>
          <w:tcPr>
            <w:tcW w:w="750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2,500,000</w:t>
            </w:r>
          </w:p>
        </w:tc>
      </w:tr>
      <w:tr>
        <w:trPr>
          <w:trHeight w:val="248"/>
        </w:trPr>
        <w:tc>
          <w:tcPr>
            <w:tcW w:w="75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9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4,944,415</w:t>
            </w:r>
          </w:p>
        </w:tc>
      </w:tr>
      <w:tr>
        <w:trPr>
          <w:trHeight w:val="20"/>
        </w:trPr>
        <w:tc>
          <w:tcPr>
            <w:tcW w:w="7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20" w:type="dxa"/>
            <w:vAlign w:val="bottom"/>
            <w:tcBorders>
              <w:bottom w:val="single" w:sz="8" w:color="auto"/>
            </w:tcBorders>
            <w:gridSpan w:val="4"/>
          </w:tcPr>
          <w:p>
            <w:pPr>
              <w:jc w:val="right"/>
              <w:ind w:right="49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6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40" w:type="dxa"/>
            <w:vAlign w:val="bottom"/>
          </w:tcPr>
          <w:p>
            <w:pPr>
              <w:jc w:val="right"/>
              <w:ind w:right="296"/>
              <w:spacing w:after="0" w:line="135"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1280" w:type="dxa"/>
            <w:vAlign w:val="bottom"/>
            <w:gridSpan w:val="3"/>
            <w:vMerge w:val="restart"/>
          </w:tcPr>
          <w:p>
            <w:pPr>
              <w:jc w:val="right"/>
              <w:ind w:right="41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96"/>
              <w:spacing w:after="0" w:line="135"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40" w:type="dxa"/>
            <w:vAlign w:val="bottom"/>
          </w:tcPr>
          <w:p>
            <w:pPr>
              <w:jc w:val="right"/>
              <w:ind w:right="37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280" w:type="dxa"/>
            <w:vAlign w:val="bottom"/>
            <w:gridSpan w:val="3"/>
            <w:vMerge w:val="continue"/>
          </w:tcPr>
          <w:p>
            <w:pPr>
              <w:spacing w:after="0"/>
              <w:rPr>
                <w:sz w:val="16"/>
                <w:szCs w:val="16"/>
                <w:color w:val="auto"/>
              </w:rPr>
            </w:pPr>
          </w:p>
        </w:tc>
        <w:tc>
          <w:tcPr>
            <w:tcW w:w="940" w:type="dxa"/>
            <w:vAlign w:val="bottom"/>
          </w:tcPr>
          <w:p>
            <w:pPr>
              <w:jc w:val="right"/>
              <w:ind w:right="37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product group:</w:t>
            </w: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20" w:type="dxa"/>
            <w:vAlign w:val="bottom"/>
          </w:tcPr>
          <w:p>
            <w:pPr>
              <w:ind w:left="360"/>
              <w:spacing w:after="0"/>
              <w:rPr>
                <w:sz w:val="20"/>
                <w:szCs w:val="20"/>
                <w:color w:val="auto"/>
              </w:rPr>
            </w:pPr>
            <w:r>
              <w:rPr>
                <w:rFonts w:ascii="Arial" w:cs="Arial" w:eastAsia="Arial" w:hAnsi="Arial"/>
                <w:sz w:val="18"/>
                <w:szCs w:val="18"/>
                <w:color w:val="auto"/>
              </w:rPr>
              <w:t>Networking (1)</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498,250</w:t>
            </w:r>
          </w:p>
        </w:tc>
        <w:tc>
          <w:tcPr>
            <w:tcW w:w="1380" w:type="dxa"/>
            <w:vAlign w:val="bottom"/>
            <w:gridSpan w:val="4"/>
          </w:tcPr>
          <w:p>
            <w:pPr>
              <w:jc w:val="right"/>
              <w:ind w:right="50"/>
              <w:spacing w:after="0"/>
              <w:rPr>
                <w:sz w:val="20"/>
                <w:szCs w:val="20"/>
                <w:color w:val="auto"/>
              </w:rPr>
            </w:pPr>
            <w:r>
              <w:rPr>
                <w:rFonts w:ascii="Arial" w:cs="Arial" w:eastAsia="Arial" w:hAnsi="Arial"/>
                <w:sz w:val="18"/>
                <w:szCs w:val="18"/>
                <w:color w:val="auto"/>
              </w:rPr>
              <w:t>60 %  $</w:t>
            </w:r>
          </w:p>
        </w:tc>
        <w:tc>
          <w:tcPr>
            <w:tcW w:w="940" w:type="dxa"/>
            <w:vAlign w:val="bottom"/>
          </w:tcPr>
          <w:p>
            <w:pPr>
              <w:jc w:val="right"/>
              <w:spacing w:after="0"/>
              <w:rPr>
                <w:sz w:val="20"/>
                <w:szCs w:val="20"/>
                <w:color w:val="auto"/>
              </w:rPr>
            </w:pPr>
            <w:r>
              <w:rPr>
                <w:rFonts w:ascii="Arial" w:cs="Arial" w:eastAsia="Arial" w:hAnsi="Arial"/>
                <w:sz w:val="18"/>
                <w:szCs w:val="18"/>
                <w:color w:val="auto"/>
              </w:rPr>
              <w:t>393,920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57 %</w:t>
            </w:r>
          </w:p>
        </w:tc>
        <w:tc>
          <w:tcPr>
            <w:tcW w:w="0" w:type="dxa"/>
            <w:vAlign w:val="bottom"/>
          </w:tcPr>
          <w:p>
            <w:pPr>
              <w:spacing w:after="0"/>
              <w:rPr>
                <w:sz w:val="1"/>
                <w:szCs w:val="1"/>
                <w:color w:val="auto"/>
              </w:rPr>
            </w:pPr>
          </w:p>
        </w:tc>
      </w:tr>
      <w:tr>
        <w:trPr>
          <w:trHeight w:val="229"/>
        </w:trPr>
        <w:tc>
          <w:tcPr>
            <w:tcW w:w="6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Storage (2)</w:t>
            </w: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302,918</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258,688</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37 %</w:t>
            </w:r>
          </w:p>
        </w:tc>
        <w:tc>
          <w:tcPr>
            <w:tcW w:w="0" w:type="dxa"/>
            <w:vAlign w:val="bottom"/>
          </w:tcPr>
          <w:p>
            <w:pPr>
              <w:spacing w:after="0"/>
              <w:rPr>
                <w:sz w:val="1"/>
                <w:szCs w:val="1"/>
                <w:color w:val="auto"/>
              </w:rPr>
            </w:pPr>
          </w:p>
        </w:tc>
      </w:tr>
      <w:tr>
        <w:trPr>
          <w:trHeight w:val="230"/>
        </w:trPr>
        <w:tc>
          <w:tcPr>
            <w:tcW w:w="67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(3)</w:t>
            </w:r>
          </w:p>
        </w:tc>
        <w:tc>
          <w:tcPr>
            <w:tcW w:w="2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31,111</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10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41,033</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8"/>
        </w:trPr>
        <w:tc>
          <w:tcPr>
            <w:tcW w:w="67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693,641</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7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9" w:lineRule="exact"/>
        <w:rPr>
          <w:sz w:val="20"/>
          <w:szCs w:val="20"/>
          <w:color w:val="auto"/>
        </w:rPr>
      </w:pPr>
    </w:p>
    <w:p>
      <w:pPr>
        <w:ind w:left="640" w:hanging="632"/>
        <w:spacing w:after="0"/>
        <w:tabs>
          <w:tab w:leader="none" w:pos="640" w:val="left"/>
        </w:tabs>
        <w:numPr>
          <w:ilvl w:val="0"/>
          <w:numId w:val="5"/>
        </w:numPr>
        <w:rPr>
          <w:rFonts w:ascii="Arial" w:cs="Arial" w:eastAsia="Arial" w:hAnsi="Arial"/>
          <w:sz w:val="17"/>
          <w:szCs w:val="17"/>
          <w:color w:val="auto"/>
        </w:rPr>
      </w:pPr>
      <w:r>
        <w:rPr>
          <w:rFonts w:ascii="Arial" w:cs="Arial" w:eastAsia="Arial" w:hAnsi="Arial"/>
          <w:sz w:val="17"/>
          <w:szCs w:val="17"/>
          <w:color w:val="auto"/>
        </w:rPr>
        <w:t>Networking products are comprised primarily of ethernet solutions, embedded processors, custom ASICs and electro-optics solutions.</w:t>
      </w:r>
    </w:p>
    <w:p>
      <w:pPr>
        <w:spacing w:after="0" w:line="23" w:lineRule="exact"/>
        <w:rPr>
          <w:rFonts w:ascii="Arial" w:cs="Arial" w:eastAsia="Arial" w:hAnsi="Arial"/>
          <w:sz w:val="17"/>
          <w:szCs w:val="17"/>
          <w:color w:val="auto"/>
        </w:rPr>
      </w:pPr>
    </w:p>
    <w:p>
      <w:pPr>
        <w:ind w:left="640" w:hanging="632"/>
        <w:spacing w:after="0" w:line="234" w:lineRule="auto"/>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Storage products are comprised primarily of storage controllers and fibre channel adapters.</w:t>
      </w:r>
    </w:p>
    <w:p>
      <w:pPr>
        <w:ind w:left="640" w:hanging="632"/>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30" w:lineRule="exact"/>
        <w:rPr>
          <w:sz w:val="20"/>
          <w:szCs w:val="20"/>
          <w:color w:val="auto"/>
        </w:rPr>
      </w:pPr>
    </w:p>
    <w:p>
      <w:pPr>
        <w:ind w:left="8320"/>
        <w:spacing w:after="0"/>
        <w:rPr>
          <w:sz w:val="20"/>
          <w:szCs w:val="20"/>
          <w:color w:val="auto"/>
        </w:rPr>
      </w:pPr>
      <w:r>
        <w:rPr>
          <w:rFonts w:ascii="Arial" w:cs="Arial" w:eastAsia="Arial" w:hAnsi="Arial"/>
          <w:sz w:val="14"/>
          <w:szCs w:val="14"/>
          <w:b w:val="1"/>
          <w:bCs w:val="1"/>
          <w:color w:val="auto"/>
        </w:rPr>
        <w:t>Three Months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672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jc w:val="right"/>
              <w:ind w:right="294"/>
              <w:spacing w:after="0" w:line="141" w:lineRule="exact"/>
              <w:rPr>
                <w:sz w:val="20"/>
                <w:szCs w:val="20"/>
                <w:color w:val="auto"/>
              </w:rPr>
            </w:pPr>
            <w:r>
              <w:rPr>
                <w:rFonts w:ascii="Arial" w:cs="Arial" w:eastAsia="Arial" w:hAnsi="Arial"/>
                <w:sz w:val="14"/>
                <w:szCs w:val="14"/>
                <w:b w:val="1"/>
                <w:bCs w:val="1"/>
                <w:color w:val="auto"/>
              </w:rPr>
              <w:t>May 1,</w:t>
            </w: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gridSpan w:val="3"/>
            <w:vMerge w:val="restart"/>
          </w:tcPr>
          <w:p>
            <w:pPr>
              <w:jc w:val="right"/>
              <w:ind w:right="410"/>
              <w:spacing w:after="0"/>
              <w:rPr>
                <w:sz w:val="20"/>
                <w:szCs w:val="20"/>
                <w:color w:val="auto"/>
              </w:rPr>
            </w:pPr>
            <w:r>
              <w:rPr>
                <w:rFonts w:ascii="Arial" w:cs="Arial" w:eastAsia="Arial" w:hAnsi="Arial"/>
                <w:sz w:val="14"/>
                <w:szCs w:val="14"/>
                <w:b w:val="1"/>
                <w:bCs w:val="1"/>
                <w:color w:val="auto"/>
              </w:rPr>
              <w:t>% of Total</w:t>
            </w:r>
          </w:p>
        </w:tc>
        <w:tc>
          <w:tcPr>
            <w:tcW w:w="940" w:type="dxa"/>
            <w:vAlign w:val="bottom"/>
            <w:tcBorders>
              <w:top w:val="single" w:sz="8" w:color="auto"/>
            </w:tcBorders>
          </w:tcPr>
          <w:p>
            <w:pPr>
              <w:jc w:val="right"/>
              <w:ind w:right="294"/>
              <w:spacing w:after="0" w:line="141" w:lineRule="exact"/>
              <w:rPr>
                <w:sz w:val="20"/>
                <w:szCs w:val="20"/>
                <w:color w:val="auto"/>
              </w:rPr>
            </w:pPr>
            <w:r>
              <w:rPr>
                <w:rFonts w:ascii="Arial" w:cs="Arial" w:eastAsia="Arial" w:hAnsi="Arial"/>
                <w:sz w:val="14"/>
                <w:szCs w:val="14"/>
                <w:b w:val="1"/>
                <w:bCs w:val="1"/>
                <w:color w:val="auto"/>
              </w:rPr>
              <w:t>May 2,</w:t>
            </w:r>
          </w:p>
        </w:tc>
        <w:tc>
          <w:tcPr>
            <w:tcW w:w="100" w:type="dxa"/>
            <w:vAlign w:val="bottom"/>
            <w:tcBorders>
              <w:top w:val="single" w:sz="8" w:color="auto"/>
            </w:tcBorders>
          </w:tcPr>
          <w:p>
            <w:pPr>
              <w:spacing w:after="0"/>
              <w:rPr>
                <w:sz w:val="12"/>
                <w:szCs w:val="12"/>
                <w:color w:val="auto"/>
              </w:rPr>
            </w:pPr>
          </w:p>
        </w:tc>
        <w:tc>
          <w:tcPr>
            <w:tcW w:w="920" w:type="dxa"/>
            <w:vAlign w:val="bottom"/>
            <w:tcBorders>
              <w:top w:val="single" w:sz="8" w:color="auto"/>
            </w:tcBorders>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40" w:type="dxa"/>
            <w:vAlign w:val="bottom"/>
          </w:tcPr>
          <w:p>
            <w:pPr>
              <w:jc w:val="right"/>
              <w:ind w:right="37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280" w:type="dxa"/>
            <w:vAlign w:val="bottom"/>
            <w:gridSpan w:val="3"/>
            <w:vMerge w:val="continue"/>
          </w:tcPr>
          <w:p>
            <w:pPr>
              <w:spacing w:after="0"/>
              <w:rPr>
                <w:sz w:val="16"/>
                <w:szCs w:val="16"/>
                <w:color w:val="auto"/>
              </w:rPr>
            </w:pPr>
          </w:p>
        </w:tc>
        <w:tc>
          <w:tcPr>
            <w:tcW w:w="940" w:type="dxa"/>
            <w:vAlign w:val="bottom"/>
          </w:tcPr>
          <w:p>
            <w:pPr>
              <w:jc w:val="right"/>
              <w:ind w:right="37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based on destination of shipment:</w:t>
            </w: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20" w:type="dxa"/>
            <w:vAlign w:val="bottom"/>
          </w:tcPr>
          <w:p>
            <w:pPr>
              <w:ind w:left="360"/>
              <w:spacing w:after="0"/>
              <w:rPr>
                <w:sz w:val="20"/>
                <w:szCs w:val="20"/>
                <w:color w:val="auto"/>
              </w:rPr>
            </w:pPr>
            <w:r>
              <w:rPr>
                <w:rFonts w:ascii="Arial" w:cs="Arial" w:eastAsia="Arial" w:hAnsi="Arial"/>
                <w:sz w:val="18"/>
                <w:szCs w:val="18"/>
                <w:color w:val="auto"/>
              </w:rPr>
              <w:t>China</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341,078</w:t>
            </w:r>
          </w:p>
        </w:tc>
        <w:tc>
          <w:tcPr>
            <w:tcW w:w="1380" w:type="dxa"/>
            <w:vAlign w:val="bottom"/>
            <w:gridSpan w:val="4"/>
          </w:tcPr>
          <w:p>
            <w:pPr>
              <w:jc w:val="right"/>
              <w:ind w:right="50"/>
              <w:spacing w:after="0"/>
              <w:rPr>
                <w:sz w:val="20"/>
                <w:szCs w:val="20"/>
                <w:color w:val="auto"/>
              </w:rPr>
            </w:pPr>
            <w:r>
              <w:rPr>
                <w:rFonts w:ascii="Arial" w:cs="Arial" w:eastAsia="Arial" w:hAnsi="Arial"/>
                <w:sz w:val="18"/>
                <w:szCs w:val="18"/>
                <w:color w:val="auto"/>
              </w:rPr>
              <w:t>41 %  $</w:t>
            </w:r>
          </w:p>
        </w:tc>
        <w:tc>
          <w:tcPr>
            <w:tcW w:w="940" w:type="dxa"/>
            <w:vAlign w:val="bottom"/>
          </w:tcPr>
          <w:p>
            <w:pPr>
              <w:jc w:val="right"/>
              <w:spacing w:after="0"/>
              <w:rPr>
                <w:sz w:val="20"/>
                <w:szCs w:val="20"/>
                <w:color w:val="auto"/>
              </w:rPr>
            </w:pPr>
            <w:r>
              <w:rPr>
                <w:rFonts w:ascii="Arial" w:cs="Arial" w:eastAsia="Arial" w:hAnsi="Arial"/>
                <w:sz w:val="18"/>
                <w:szCs w:val="18"/>
                <w:color w:val="auto"/>
              </w:rPr>
              <w:t>280,146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0" w:type="dxa"/>
            <w:vAlign w:val="bottom"/>
          </w:tcPr>
          <w:p>
            <w:pPr>
              <w:spacing w:after="0"/>
              <w:rPr>
                <w:sz w:val="1"/>
                <w:szCs w:val="1"/>
                <w:color w:val="auto"/>
              </w:rPr>
            </w:pPr>
          </w:p>
        </w:tc>
      </w:tr>
      <w:tr>
        <w:trPr>
          <w:trHeight w:val="229"/>
        </w:trPr>
        <w:tc>
          <w:tcPr>
            <w:tcW w:w="6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87,414</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81,232</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29"/>
        </w:trPr>
        <w:tc>
          <w:tcPr>
            <w:tcW w:w="6720" w:type="dxa"/>
            <w:vAlign w:val="bottom"/>
          </w:tcPr>
          <w:p>
            <w:pPr>
              <w:ind w:left="360"/>
              <w:spacing w:after="0"/>
              <w:rPr>
                <w:sz w:val="20"/>
                <w:szCs w:val="20"/>
                <w:color w:val="auto"/>
              </w:rPr>
            </w:pPr>
            <w:r>
              <w:rPr>
                <w:rFonts w:ascii="Arial" w:cs="Arial" w:eastAsia="Arial" w:hAnsi="Arial"/>
                <w:sz w:val="18"/>
                <w:szCs w:val="18"/>
                <w:color w:val="auto"/>
              </w:rPr>
              <w:t>Thailand</w:t>
            </w: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77,792</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67,544</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0" w:type="dxa"/>
            <w:vAlign w:val="bottom"/>
          </w:tcPr>
          <w:p>
            <w:pPr>
              <w:spacing w:after="0"/>
              <w:rPr>
                <w:sz w:val="1"/>
                <w:szCs w:val="1"/>
                <w:color w:val="auto"/>
              </w:rPr>
            </w:pPr>
          </w:p>
        </w:tc>
      </w:tr>
      <w:tr>
        <w:trPr>
          <w:trHeight w:val="230"/>
        </w:trPr>
        <w:tc>
          <w:tcPr>
            <w:tcW w:w="6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58,579</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64,668</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9"/>
        </w:trPr>
        <w:tc>
          <w:tcPr>
            <w:tcW w:w="6720" w:type="dxa"/>
            <w:vAlign w:val="bottom"/>
          </w:tcPr>
          <w:p>
            <w:pPr>
              <w:ind w:left="360"/>
              <w:spacing w:after="0"/>
              <w:rPr>
                <w:sz w:val="20"/>
                <w:szCs w:val="20"/>
                <w:color w:val="auto"/>
              </w:rPr>
            </w:pPr>
            <w:r>
              <w:rPr>
                <w:rFonts w:ascii="Arial" w:cs="Arial" w:eastAsia="Arial" w:hAnsi="Arial"/>
                <w:sz w:val="18"/>
                <w:szCs w:val="18"/>
                <w:color w:val="auto"/>
              </w:rPr>
              <w:t>Singapore</w:t>
            </w: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51,510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38,706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6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47,618</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24,574</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29"/>
        </w:trPr>
        <w:tc>
          <w:tcPr>
            <w:tcW w:w="67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168,288</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136,771</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48"/>
        </w:trPr>
        <w:tc>
          <w:tcPr>
            <w:tcW w:w="67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693,641</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7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20" w:type="dxa"/>
            <w:vAlign w:val="bottom"/>
            <w:tcBorders>
              <w:bottom w:val="single" w:sz="8" w:color="auto"/>
            </w:tcBorders>
            <w:gridSpan w:val="4"/>
          </w:tcPr>
          <w:p>
            <w:pPr>
              <w:jc w:val="right"/>
              <w:ind w:right="49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40" w:type="dxa"/>
            <w:vAlign w:val="bottom"/>
          </w:tcPr>
          <w:p>
            <w:pPr>
              <w:jc w:val="right"/>
              <w:ind w:right="297"/>
              <w:spacing w:after="0" w:line="135"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1280" w:type="dxa"/>
            <w:vAlign w:val="bottom"/>
            <w:gridSpan w:val="3"/>
            <w:vMerge w:val="restart"/>
          </w:tcPr>
          <w:p>
            <w:pPr>
              <w:jc w:val="right"/>
              <w:ind w:right="41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97"/>
              <w:spacing w:after="0" w:line="135"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40" w:type="dxa"/>
            <w:vAlign w:val="bottom"/>
          </w:tcPr>
          <w:p>
            <w:pPr>
              <w:jc w:val="right"/>
              <w:ind w:right="37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280" w:type="dxa"/>
            <w:vAlign w:val="bottom"/>
            <w:gridSpan w:val="3"/>
            <w:vMerge w:val="continue"/>
          </w:tcPr>
          <w:p>
            <w:pPr>
              <w:spacing w:after="0"/>
              <w:rPr>
                <w:sz w:val="16"/>
                <w:szCs w:val="16"/>
                <w:color w:val="auto"/>
              </w:rPr>
            </w:pPr>
          </w:p>
        </w:tc>
        <w:tc>
          <w:tcPr>
            <w:tcW w:w="940" w:type="dxa"/>
            <w:vAlign w:val="bottom"/>
          </w:tcPr>
          <w:p>
            <w:pPr>
              <w:jc w:val="right"/>
              <w:ind w:right="37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customer type:</w:t>
            </w: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2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570,306</w:t>
            </w:r>
          </w:p>
        </w:tc>
        <w:tc>
          <w:tcPr>
            <w:tcW w:w="1380" w:type="dxa"/>
            <w:vAlign w:val="bottom"/>
            <w:gridSpan w:val="4"/>
          </w:tcPr>
          <w:p>
            <w:pPr>
              <w:jc w:val="right"/>
              <w:ind w:right="50"/>
              <w:spacing w:after="0"/>
              <w:rPr>
                <w:sz w:val="20"/>
                <w:szCs w:val="20"/>
                <w:color w:val="auto"/>
              </w:rPr>
            </w:pPr>
            <w:r>
              <w:rPr>
                <w:rFonts w:ascii="Arial" w:cs="Arial" w:eastAsia="Arial" w:hAnsi="Arial"/>
                <w:sz w:val="18"/>
                <w:szCs w:val="18"/>
                <w:color w:val="auto"/>
              </w:rPr>
              <w:t>69 %  $</w:t>
            </w:r>
          </w:p>
        </w:tc>
        <w:tc>
          <w:tcPr>
            <w:tcW w:w="940" w:type="dxa"/>
            <w:vAlign w:val="bottom"/>
          </w:tcPr>
          <w:p>
            <w:pPr>
              <w:jc w:val="right"/>
              <w:spacing w:after="0"/>
              <w:rPr>
                <w:sz w:val="20"/>
                <w:szCs w:val="20"/>
                <w:color w:val="auto"/>
              </w:rPr>
            </w:pPr>
            <w:r>
              <w:rPr>
                <w:rFonts w:ascii="Arial" w:cs="Arial" w:eastAsia="Arial" w:hAnsi="Arial"/>
                <w:sz w:val="18"/>
                <w:szCs w:val="18"/>
                <w:color w:val="auto"/>
              </w:rPr>
              <w:t>531,404</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77 %</w:t>
            </w:r>
          </w:p>
        </w:tc>
        <w:tc>
          <w:tcPr>
            <w:tcW w:w="0" w:type="dxa"/>
            <w:vAlign w:val="bottom"/>
          </w:tcPr>
          <w:p>
            <w:pPr>
              <w:spacing w:after="0"/>
              <w:rPr>
                <w:sz w:val="1"/>
                <w:szCs w:val="1"/>
                <w:color w:val="auto"/>
              </w:rPr>
            </w:pPr>
          </w:p>
        </w:tc>
      </w:tr>
      <w:tr>
        <w:trPr>
          <w:trHeight w:val="230"/>
        </w:trPr>
        <w:tc>
          <w:tcPr>
            <w:tcW w:w="6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2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261,973</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31 %</w:t>
            </w:r>
          </w:p>
        </w:tc>
        <w:tc>
          <w:tcPr>
            <w:tcW w:w="10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162,237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0" w:type="dxa"/>
            <w:vAlign w:val="bottom"/>
          </w:tcPr>
          <w:p>
            <w:pPr>
              <w:spacing w:after="0"/>
              <w:rPr>
                <w:sz w:val="1"/>
                <w:szCs w:val="1"/>
                <w:color w:val="auto"/>
              </w:rPr>
            </w:pPr>
          </w:p>
        </w:tc>
      </w:tr>
      <w:tr>
        <w:trPr>
          <w:trHeight w:val="223"/>
        </w:trPr>
        <w:tc>
          <w:tcPr>
            <w:tcW w:w="6720" w:type="dxa"/>
            <w:vAlign w:val="bottom"/>
          </w:tcPr>
          <w:p>
            <w:pPr>
              <w:spacing w:after="0"/>
              <w:rPr>
                <w:sz w:val="19"/>
                <w:szCs w:val="19"/>
                <w:color w:val="auto"/>
              </w:rPr>
            </w:pP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832,279</w:t>
            </w: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693,641</w:t>
            </w: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May 1, 2021,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unaudited condensed consolidated balance sheets.</w:t>
      </w:r>
    </w:p>
    <w:p>
      <w:pPr>
        <w:spacing w:after="0" w:line="190" w:lineRule="exact"/>
        <w:rPr>
          <w:sz w:val="20"/>
          <w:szCs w:val="20"/>
          <w:color w:val="auto"/>
        </w:rPr>
      </w:pPr>
    </w:p>
    <w:p>
      <w:pPr>
        <w:ind w:right="100" w:firstLine="405"/>
        <w:spacing w:after="0" w:line="241"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2022 was $181.0 million. During the three months ended May 1, 2021, contract liabilities increased by $238.2 million associated with variable consideration estimates, offset by $248.7 million decrease in such reserves primarily due to credit memos issued to customers. The ending balance of contract liabilities as of the first quarter of fiscal year 2022 was $170.5 million. The amount of revenue recognized during the three months ended May 1, 2021 that was included in the contract liabilities balance at January 30, 2021 was not material.</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3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Restructuring</w:t>
      </w:r>
    </w:p>
    <w:p>
      <w:pPr>
        <w:spacing w:after="0" w:line="243" w:lineRule="exact"/>
        <w:rPr>
          <w:sz w:val="20"/>
          <w:szCs w:val="20"/>
          <w:color w:val="auto"/>
        </w:rPr>
      </w:pPr>
    </w:p>
    <w:p>
      <w:pPr>
        <w:ind w:right="120" w:firstLine="405"/>
        <w:spacing w:after="0" w:line="257" w:lineRule="auto"/>
        <w:rPr>
          <w:sz w:val="20"/>
          <w:szCs w:val="20"/>
          <w:color w:val="auto"/>
        </w:rPr>
      </w:pPr>
      <w:r>
        <w:rPr>
          <w:rFonts w:ascii="Arial" w:cs="Arial" w:eastAsia="Arial" w:hAnsi="Arial"/>
          <w:sz w:val="17"/>
          <w:szCs w:val="17"/>
          <w:color w:val="auto"/>
        </w:rPr>
        <w:t>The Company continuously evaluates its existing operations to increase operational efficiency, decrease costs and increase profitability. A restructuring plan was initiated in Q1 fiscal 2022 (the "Fiscal 2022 Plan") in order to realign the organization and enable further investment in key priority areas.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$12.9 million for the three months ended May 1, 2021, which includes $9.8 million of charges related to the Fiscal 2022 Plan. The Company expects to complete these restructuring actions by the end of fiscal 2023.</w:t>
      </w:r>
    </w:p>
    <w:p>
      <w:pPr>
        <w:spacing w:after="0" w:line="202"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$21.3 million for the three months ended May 2, 2020.</w:t>
      </w:r>
    </w:p>
    <w:p>
      <w:pPr>
        <w:spacing w:after="0" w:line="215" w:lineRule="exact"/>
        <w:rPr>
          <w:sz w:val="20"/>
          <w:szCs w:val="20"/>
          <w:color w:val="auto"/>
        </w:rPr>
      </w:pPr>
    </w:p>
    <w:p>
      <w:pPr>
        <w:ind w:right="140" w:firstLine="414"/>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1520" w:type="dxa"/>
            <w:vAlign w:val="bottom"/>
            <w:gridSpan w:val="3"/>
          </w:tcPr>
          <w:p>
            <w:pPr>
              <w:ind w:left="80"/>
              <w:spacing w:after="0"/>
              <w:rPr>
                <w:sz w:val="20"/>
                <w:szCs w:val="20"/>
                <w:color w:val="auto"/>
              </w:rPr>
            </w:pPr>
            <w:r>
              <w:rPr>
                <w:rFonts w:ascii="Arial" w:cs="Arial" w:eastAsia="Arial" w:hAnsi="Arial"/>
                <w:sz w:val="14"/>
                <w:szCs w:val="14"/>
                <w:b w:val="1"/>
                <w:bCs w:val="1"/>
                <w:color w:val="auto"/>
              </w:rPr>
              <w:t>Employee Severance</w:t>
            </w:r>
          </w:p>
        </w:tc>
        <w:tc>
          <w:tcPr>
            <w:tcW w:w="320" w:type="dxa"/>
            <w:vAlign w:val="bottom"/>
          </w:tcPr>
          <w:p>
            <w:pPr>
              <w:spacing w:after="0"/>
              <w:rPr>
                <w:sz w:val="16"/>
                <w:szCs w:val="16"/>
                <w:color w:val="auto"/>
              </w:rPr>
            </w:pPr>
          </w:p>
        </w:tc>
        <w:tc>
          <w:tcPr>
            <w:tcW w:w="1220" w:type="dxa"/>
            <w:vAlign w:val="bottom"/>
            <w:gridSpan w:val="2"/>
          </w:tcPr>
          <w:p>
            <w:pPr>
              <w:ind w:left="220"/>
              <w:spacing w:after="0"/>
              <w:rPr>
                <w:sz w:val="20"/>
                <w:szCs w:val="20"/>
                <w:color w:val="auto"/>
              </w:rPr>
            </w:pPr>
            <w:r>
              <w:rPr>
                <w:rFonts w:ascii="Arial" w:cs="Arial" w:eastAsia="Arial" w:hAnsi="Arial"/>
                <w:sz w:val="14"/>
                <w:szCs w:val="14"/>
                <w:b w:val="1"/>
                <w:bCs w:val="1"/>
                <w:color w:val="auto"/>
              </w:rPr>
              <w:t>Other</w:t>
            </w:r>
          </w:p>
        </w:tc>
        <w:tc>
          <w:tcPr>
            <w:tcW w:w="340" w:type="dxa"/>
            <w:vAlign w:val="bottom"/>
          </w:tcPr>
          <w:p>
            <w:pPr>
              <w:spacing w:after="0"/>
              <w:rPr>
                <w:sz w:val="16"/>
                <w:szCs w:val="16"/>
                <w:color w:val="auto"/>
              </w:rPr>
            </w:pPr>
          </w:p>
        </w:tc>
        <w:tc>
          <w:tcPr>
            <w:tcW w:w="1100" w:type="dxa"/>
            <w:vAlign w:val="bottom"/>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29"/>
        </w:trPr>
        <w:tc>
          <w:tcPr>
            <w:tcW w:w="6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January 30, 2021</w:t>
            </w:r>
          </w:p>
        </w:tc>
        <w:tc>
          <w:tcPr>
            <w:tcW w:w="440" w:type="dxa"/>
            <w:vAlign w:val="bottom"/>
            <w:tcBorders>
              <w:top w:val="single" w:sz="8" w:color="auto"/>
            </w:tcBorders>
            <w:shd w:val="clear" w:color="auto" w:fill="CCEEFF"/>
          </w:tcPr>
          <w:p>
            <w:pPr>
              <w:jc w:val="right"/>
              <w:ind w:right="256"/>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5,596</w:t>
            </w:r>
          </w:p>
        </w:tc>
        <w:tc>
          <w:tcPr>
            <w:tcW w:w="100" w:type="dxa"/>
            <w:vAlign w:val="bottom"/>
            <w:tcBorders>
              <w:top w:val="single" w:sz="8" w:color="CCEEFF"/>
            </w:tcBorders>
            <w:shd w:val="clear" w:color="auto" w:fill="CCEEFF"/>
          </w:tcPr>
          <w:p>
            <w:pPr>
              <w:spacing w:after="0"/>
              <w:rPr>
                <w:sz w:val="19"/>
                <w:szCs w:val="19"/>
                <w:color w:val="auto"/>
              </w:rPr>
            </w:pPr>
          </w:p>
        </w:tc>
        <w:tc>
          <w:tcPr>
            <w:tcW w:w="320" w:type="dxa"/>
            <w:vAlign w:val="bottom"/>
            <w:tcBorders>
              <w:top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center"/>
              <w:ind w:left="473"/>
              <w:spacing w:after="0"/>
              <w:rPr>
                <w:sz w:val="20"/>
                <w:szCs w:val="20"/>
                <w:color w:val="auto"/>
              </w:rPr>
            </w:pPr>
            <w:r>
              <w:rPr>
                <w:rFonts w:ascii="Arial" w:cs="Arial" w:eastAsia="Arial" w:hAnsi="Arial"/>
                <w:sz w:val="18"/>
                <w:szCs w:val="18"/>
                <w:color w:val="auto"/>
                <w:w w:val="88"/>
              </w:rPr>
              <w:t>5,204</w:t>
            </w:r>
          </w:p>
        </w:tc>
        <w:tc>
          <w:tcPr>
            <w:tcW w:w="10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10,800</w:t>
            </w:r>
          </w:p>
        </w:tc>
      </w:tr>
      <w:tr>
        <w:trPr>
          <w:trHeight w:val="230"/>
        </w:trPr>
        <w:tc>
          <w:tcPr>
            <w:tcW w:w="6740" w:type="dxa"/>
            <w:vAlign w:val="bottom"/>
          </w:tcPr>
          <w:p>
            <w:pPr>
              <w:ind w:left="20"/>
              <w:spacing w:after="0"/>
              <w:rPr>
                <w:sz w:val="20"/>
                <w:szCs w:val="20"/>
                <w:color w:val="auto"/>
              </w:rPr>
            </w:pPr>
            <w:r>
              <w:rPr>
                <w:rFonts w:ascii="Arial" w:cs="Arial" w:eastAsia="Arial" w:hAnsi="Arial"/>
                <w:sz w:val="18"/>
                <w:szCs w:val="18"/>
                <w:color w:val="auto"/>
              </w:rPr>
              <w:t>Charges</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9,631</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center"/>
              <w:ind w:left="473"/>
              <w:spacing w:after="0"/>
              <w:rPr>
                <w:sz w:val="20"/>
                <w:szCs w:val="20"/>
                <w:color w:val="auto"/>
              </w:rPr>
            </w:pPr>
            <w:r>
              <w:rPr>
                <w:rFonts w:ascii="Arial" w:cs="Arial" w:eastAsia="Arial" w:hAnsi="Arial"/>
                <w:sz w:val="18"/>
                <w:szCs w:val="18"/>
                <w:color w:val="auto"/>
                <w:w w:val="88"/>
              </w:rPr>
              <w:t>3,255</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12,886</w:t>
            </w:r>
          </w:p>
        </w:tc>
      </w:tr>
      <w:tr>
        <w:trPr>
          <w:trHeight w:val="229"/>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payments</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(11,332)</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center"/>
              <w:ind w:left="453"/>
              <w:spacing w:after="0"/>
              <w:rPr>
                <w:sz w:val="20"/>
                <w:szCs w:val="20"/>
                <w:color w:val="auto"/>
              </w:rPr>
            </w:pPr>
            <w:r>
              <w:rPr>
                <w:rFonts w:ascii="Arial" w:cs="Arial" w:eastAsia="Arial" w:hAnsi="Arial"/>
                <w:sz w:val="18"/>
                <w:szCs w:val="18"/>
                <w:color w:val="auto"/>
                <w:w w:val="94"/>
              </w:rPr>
              <w:t>(2,252)</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(13,584)</w:t>
            </w:r>
          </w:p>
        </w:tc>
      </w:tr>
      <w:tr>
        <w:trPr>
          <w:trHeight w:val="229"/>
        </w:trPr>
        <w:tc>
          <w:tcPr>
            <w:tcW w:w="6740" w:type="dxa"/>
            <w:vAlign w:val="bottom"/>
          </w:tcPr>
          <w:p>
            <w:pPr>
              <w:ind w:left="20"/>
              <w:spacing w:after="0"/>
              <w:rPr>
                <w:sz w:val="20"/>
                <w:szCs w:val="20"/>
                <w:color w:val="auto"/>
              </w:rPr>
            </w:pPr>
            <w:r>
              <w:rPr>
                <w:rFonts w:ascii="Arial" w:cs="Arial" w:eastAsia="Arial" w:hAnsi="Arial"/>
                <w:sz w:val="18"/>
                <w:szCs w:val="18"/>
                <w:color w:val="auto"/>
              </w:rPr>
              <w:t>Non-cash items</w:t>
            </w:r>
          </w:p>
        </w:tc>
        <w:tc>
          <w:tcPr>
            <w:tcW w:w="440" w:type="dxa"/>
            <w:vAlign w:val="bottom"/>
          </w:tcPr>
          <w:p>
            <w:pPr>
              <w:spacing w:after="0"/>
              <w:rPr>
                <w:sz w:val="19"/>
                <w:szCs w:val="19"/>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120" w:type="dxa"/>
            <w:vAlign w:val="bottom"/>
          </w:tcPr>
          <w:p>
            <w:pPr>
              <w:jc w:val="center"/>
              <w:ind w:left="453"/>
              <w:spacing w:after="0"/>
              <w:rPr>
                <w:sz w:val="20"/>
                <w:szCs w:val="20"/>
                <w:color w:val="auto"/>
              </w:rPr>
            </w:pPr>
            <w:r>
              <w:rPr>
                <w:rFonts w:ascii="Arial" w:cs="Arial" w:eastAsia="Arial" w:hAnsi="Arial"/>
                <w:sz w:val="18"/>
                <w:szCs w:val="18"/>
                <w:color w:val="auto"/>
                <w:w w:val="94"/>
              </w:rPr>
              <w:t>(1,582)</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(1,582)</w:t>
            </w:r>
          </w:p>
        </w:tc>
      </w:tr>
      <w:tr>
        <w:trPr>
          <w:trHeight w:val="248"/>
        </w:trPr>
        <w:tc>
          <w:tcPr>
            <w:tcW w:w="67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May 1, 2021</w:t>
            </w:r>
          </w:p>
        </w:tc>
        <w:tc>
          <w:tcPr>
            <w:tcW w:w="440" w:type="dxa"/>
            <w:vAlign w:val="bottom"/>
            <w:tcBorders>
              <w:top w:val="single" w:sz="8" w:color="auto"/>
              <w:bottom w:val="single" w:sz="8" w:color="auto"/>
            </w:tcBorders>
            <w:shd w:val="clear" w:color="auto" w:fill="CCEEFF"/>
          </w:tcPr>
          <w:p>
            <w:pPr>
              <w:jc w:val="right"/>
              <w:ind w:right="256"/>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3,895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center"/>
              <w:ind w:left="473"/>
              <w:spacing w:after="0"/>
              <w:rPr>
                <w:sz w:val="20"/>
                <w:szCs w:val="20"/>
                <w:color w:val="auto"/>
              </w:rPr>
            </w:pPr>
            <w:r>
              <w:rPr>
                <w:rFonts w:ascii="Arial" w:cs="Arial" w:eastAsia="Arial" w:hAnsi="Arial"/>
                <w:sz w:val="18"/>
                <w:szCs w:val="18"/>
                <w:color w:val="auto"/>
                <w:w w:val="88"/>
              </w:rPr>
              <w:t>4,625</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8,520</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360" w:firstLine="405"/>
        <w:spacing w:after="0" w:line="324" w:lineRule="auto"/>
        <w:rPr>
          <w:sz w:val="20"/>
          <w:szCs w:val="20"/>
          <w:color w:val="auto"/>
        </w:rPr>
      </w:pPr>
      <w:r>
        <w:rPr>
          <w:rFonts w:ascii="Arial" w:cs="Arial" w:eastAsia="Arial" w:hAnsi="Arial"/>
          <w:sz w:val="16"/>
          <w:szCs w:val="16"/>
          <w:color w:val="auto"/>
        </w:rPr>
        <w:t>The current and non-current portions of the restructuring liability at May 1, 2021 of $6.8 million and $1.7 million are included as a component of accrued liabilities and other non-current liabilities respectively in the accompanying unaudited condensed consolidated balance sheet.</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383,305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187,351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154,812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80,877</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538,117</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268,228</w:t>
            </w: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inventory balance at May 1, 2021 includes $173.5 million related to the inventory step-up adjustment from the Inphi acquisition.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4"/>
                <w:szCs w:val="1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786,468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693,689</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299,853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284,532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104,256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103,789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28,746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26,990</w:t>
            </w:r>
          </w:p>
        </w:tc>
      </w:tr>
      <w:tr>
        <w:trPr>
          <w:trHeight w:val="223"/>
        </w:trPr>
        <w:tc>
          <w:tcPr>
            <w:tcW w:w="8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1,219,323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1,109,000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 and amortization</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(794,590)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(782,875)</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424,733</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326,125</w:t>
            </w:r>
          </w:p>
        </w:tc>
      </w:tr>
      <w:tr>
        <w:trPr>
          <w:trHeight w:val="20"/>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750"/>
        </w:trPr>
        <w:tc>
          <w:tcPr>
            <w:tcW w:w="8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24"/>
                <w:szCs w:val="24"/>
                <w:color w:val="auto"/>
              </w:rPr>
            </w:pPr>
          </w:p>
        </w:tc>
        <w:tc>
          <w:tcPr>
            <w:tcW w:w="1200" w:type="dxa"/>
            <w:vAlign w:val="bottom"/>
          </w:tcPr>
          <w:p>
            <w:pPr>
              <w:jc w:val="center"/>
              <w:ind w:right="154"/>
              <w:spacing w:after="0"/>
              <w:rPr>
                <w:sz w:val="20"/>
                <w:szCs w:val="20"/>
                <w:color w:val="auto"/>
              </w:rPr>
            </w:pPr>
            <w:r>
              <w:rPr>
                <w:rFonts w:ascii="Arial" w:cs="Arial" w:eastAsia="Arial" w:hAnsi="Arial"/>
                <w:sz w:val="14"/>
                <w:szCs w:val="14"/>
                <w:b w:val="1"/>
                <w:bCs w:val="1"/>
                <w:color w:val="auto"/>
                <w:w w:val="93"/>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1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278,413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242,244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Operating right-of-use assets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155,903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101,411</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Prepaid ship and debits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149,110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131,657</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Non-marketable equity investments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35,271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7,646</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45,333</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58,611</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assets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664,030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541,569</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200" w:lineRule="exact"/>
        <w:rPr>
          <w:sz w:val="20"/>
          <w:szCs w:val="20"/>
          <w:color w:val="auto"/>
        </w:rPr>
      </w:pPr>
    </w:p>
    <w:p>
      <w:pPr>
        <w:spacing w:after="0" w:line="347"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May 1,</w:t>
      </w:r>
    </w:p>
    <w:p>
      <w:pPr>
        <w:spacing w:after="0" w:line="2"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27" w:lineRule="exact"/>
        <w:rPr>
          <w:sz w:val="20"/>
          <w:szCs w:val="20"/>
          <w:color w:val="auto"/>
        </w:rPr>
      </w:pPr>
    </w:p>
    <w:p>
      <w:pPr>
        <w:jc w:val="center"/>
        <w:ind w:right="34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right="340"/>
        <w:spacing w:after="0"/>
        <w:rPr>
          <w:sz w:val="20"/>
          <w:szCs w:val="20"/>
          <w:color w:val="auto"/>
        </w:rPr>
      </w:pPr>
      <w:r>
        <w:rPr>
          <w:rFonts w:ascii="Arial" w:cs="Arial" w:eastAsia="Arial" w:hAnsi="Arial"/>
          <w:sz w:val="14"/>
          <w:szCs w:val="14"/>
          <w:b w:val="1"/>
          <w:bCs w:val="1"/>
          <w:color w:val="auto"/>
        </w:rPr>
        <w:t>2021</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20" w:type="dxa"/>
        <w:tblCellMar>
          <w:top w:w="0" w:type="dxa"/>
          <w:left w:w="0" w:type="dxa"/>
          <w:bottom w:w="0" w:type="dxa"/>
          <w:right w:w="0" w:type="dxa"/>
        </w:tblCellMar>
      </w:tblPr>
      <w:tr>
        <w:trPr>
          <w:trHeight w:val="221"/>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44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44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Contract liabilities *</w:t>
            </w: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170,527</w:t>
            </w:r>
          </w:p>
        </w:tc>
        <w:tc>
          <w:tcPr>
            <w:tcW w:w="120" w:type="dxa"/>
            <w:vAlign w:val="bottom"/>
          </w:tcPr>
          <w:p>
            <w:pPr>
              <w:spacing w:after="0"/>
              <w:rPr>
                <w:sz w:val="19"/>
                <w:szCs w:val="19"/>
                <w:color w:val="auto"/>
              </w:rPr>
            </w:pPr>
          </w:p>
        </w:tc>
        <w:tc>
          <w:tcPr>
            <w:tcW w:w="440" w:type="dxa"/>
            <w:vAlign w:val="bottom"/>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180,995</w:t>
            </w:r>
          </w:p>
        </w:tc>
      </w:tr>
      <w:tr>
        <w:trPr>
          <w:trHeight w:val="229"/>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Technology license obligations</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106,264</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71,130</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Deferred non-recurring engineering credits</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39,471</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37,300</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Lease liabilities - current portion</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38,797</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32,461</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Accrued legal reserve</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34,477</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50,101</w:t>
            </w:r>
          </w:p>
        </w:tc>
      </w:tr>
      <w:tr>
        <w:trPr>
          <w:trHeight w:val="229"/>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Accrued interest</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22,762</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8,709</w:t>
            </w:r>
          </w:p>
        </w:tc>
      </w:tr>
      <w:tr>
        <w:trPr>
          <w:trHeight w:val="230"/>
        </w:trPr>
        <w:tc>
          <w:tcPr>
            <w:tcW w:w="8240" w:type="dxa"/>
            <w:vAlign w:val="bottom"/>
          </w:tcPr>
          <w:p>
            <w:pPr>
              <w:ind w:left="120"/>
              <w:spacing w:after="0"/>
              <w:rPr>
                <w:sz w:val="20"/>
                <w:szCs w:val="20"/>
                <w:color w:val="auto"/>
              </w:rPr>
            </w:pPr>
            <w:r>
              <w:rPr>
                <w:rFonts w:ascii="Arial" w:cs="Arial" w:eastAsia="Arial" w:hAnsi="Arial"/>
                <w:sz w:val="18"/>
                <w:szCs w:val="18"/>
                <w:color w:val="auto"/>
              </w:rPr>
              <w:t>Accrued royalty</w:t>
            </w: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16,339</w:t>
            </w:r>
          </w:p>
        </w:tc>
        <w:tc>
          <w:tcPr>
            <w:tcW w:w="1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12,740</w:t>
            </w:r>
          </w:p>
        </w:tc>
      </w:tr>
      <w:tr>
        <w:trPr>
          <w:trHeight w:val="230"/>
        </w:trPr>
        <w:tc>
          <w:tcPr>
            <w:tcW w:w="82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Deferred revenue</w:t>
            </w: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8,146</w:t>
            </w:r>
          </w:p>
        </w:tc>
        <w:tc>
          <w:tcPr>
            <w:tcW w:w="12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16,146</w:t>
            </w:r>
          </w:p>
        </w:tc>
      </w:tr>
      <w:tr>
        <w:trPr>
          <w:trHeight w:val="230"/>
        </w:trPr>
        <w:tc>
          <w:tcPr>
            <w:tcW w:w="8240" w:type="dxa"/>
            <w:vAlign w:val="bottom"/>
            <w:tcBorders>
              <w:bottom w:val="single" w:sz="8" w:color="CCEEFF"/>
            </w:tcBorders>
          </w:tcPr>
          <w:p>
            <w:pPr>
              <w:ind w:left="120"/>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41,375</w:t>
            </w:r>
          </w:p>
        </w:tc>
        <w:tc>
          <w:tcPr>
            <w:tcW w:w="120" w:type="dxa"/>
            <w:vAlign w:val="bottom"/>
            <w:tcBorders>
              <w:bottom w:val="single" w:sz="8" w:color="CCEEFF"/>
            </w:tcBorders>
          </w:tcPr>
          <w:p>
            <w:pPr>
              <w:spacing w:after="0"/>
              <w:rPr>
                <w:sz w:val="19"/>
                <w:szCs w:val="19"/>
                <w:color w:val="auto"/>
              </w:rPr>
            </w:pPr>
          </w:p>
        </w:tc>
        <w:tc>
          <w:tcPr>
            <w:tcW w:w="4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26,034</w:t>
            </w:r>
          </w:p>
        </w:tc>
      </w:tr>
      <w:tr>
        <w:trPr>
          <w:trHeight w:val="248"/>
        </w:trPr>
        <w:tc>
          <w:tcPr>
            <w:tcW w:w="82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Accrued liabilities</w:t>
            </w: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478,158</w:t>
            </w:r>
          </w:p>
        </w:tc>
        <w:tc>
          <w:tcPr>
            <w:tcW w:w="12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435,616</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r>
    </w:tbl>
    <w:p>
      <w:pPr>
        <w:spacing w:after="0" w:line="337" w:lineRule="exact"/>
        <w:rPr>
          <w:sz w:val="20"/>
          <w:szCs w:val="20"/>
          <w:color w:val="auto"/>
        </w:rPr>
      </w:pPr>
    </w:p>
    <w:p>
      <w:pPr>
        <w:ind w:right="120" w:firstLine="8"/>
        <w:spacing w:after="0" w:line="261" w:lineRule="auto"/>
        <w:tabs>
          <w:tab w:leader="none" w:pos="135" w:val="left"/>
        </w:tabs>
        <w:numPr>
          <w:ilvl w:val="0"/>
          <w:numId w:val="6"/>
        </w:numPr>
        <w:rPr>
          <w:rFonts w:ascii="Arial" w:cs="Arial" w:eastAsia="Arial" w:hAnsi="Arial"/>
          <w:sz w:val="18"/>
          <w:szCs w:val="18"/>
          <w:color w:val="auto"/>
        </w:rPr>
      </w:pPr>
      <w:r>
        <w:rPr>
          <w:rFonts w:ascii="Arial" w:cs="Arial" w:eastAsia="Arial" w:hAnsi="Arial"/>
          <w:sz w:val="18"/>
          <w:szCs w:val="18"/>
          <w:color w:val="auto"/>
        </w:rPr>
        <w:t>Contract liabilities consist of the Company’s obligation to transfer goods or services to a customer for which the Company has received consideration or the amount is due from the customer. See “Note 6 - Revenue” for further details.</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Deferred tax liabilities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253,830</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22,359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liabilities-non current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151,382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104,417</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79,907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86,241</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Non-current income tax payable</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23,668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22,526</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30,824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23,310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539,611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243" w:lineRule="exact"/>
        <w:rPr>
          <w:sz w:val="20"/>
          <w:szCs w:val="20"/>
          <w:color w:val="auto"/>
        </w:rPr>
      </w:pPr>
    </w:p>
    <w:p>
      <w:pPr>
        <w:ind w:right="500" w:firstLine="405"/>
        <w:spacing w:after="0" w:line="261" w:lineRule="auto"/>
        <w:rPr>
          <w:sz w:val="20"/>
          <w:szCs w:val="20"/>
          <w:color w:val="auto"/>
        </w:rPr>
      </w:pPr>
      <w:r>
        <w:rPr>
          <w:rFonts w:ascii="Arial" w:cs="Arial" w:eastAsia="Arial" w:hAnsi="Arial"/>
          <w:sz w:val="18"/>
          <w:szCs w:val="18"/>
          <w:color w:val="auto"/>
        </w:rPr>
        <w:t>As of May 1, 2021, there are no changes in accumulated other comprehensive income (loss) by components. The changes in accumulated other comprehensive income (loss) by components for the comparative period are presented in the following table: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40" w:type="dxa"/>
            <w:vAlign w:val="bottom"/>
          </w:tcPr>
          <w:p>
            <w:pPr>
              <w:jc w:val="center"/>
              <w:ind w:right="77"/>
              <w:spacing w:after="0"/>
              <w:rPr>
                <w:sz w:val="20"/>
                <w:szCs w:val="20"/>
                <w:color w:val="auto"/>
              </w:rPr>
            </w:pPr>
            <w:r>
              <w:rPr>
                <w:rFonts w:ascii="Arial" w:cs="Arial" w:eastAsia="Arial" w:hAnsi="Arial"/>
                <w:sz w:val="14"/>
                <w:szCs w:val="14"/>
                <w:b w:val="1"/>
                <w:bCs w:val="1"/>
                <w:color w:val="auto"/>
                <w:w w:val="94"/>
              </w:rPr>
              <w:t>Unrealized Gain</w:t>
            </w:r>
          </w:p>
        </w:tc>
        <w:tc>
          <w:tcPr>
            <w:tcW w:w="0" w:type="dxa"/>
            <w:vAlign w:val="bottom"/>
          </w:tcPr>
          <w:p>
            <w:pPr>
              <w:spacing w:after="0"/>
              <w:rPr>
                <w:sz w:val="1"/>
                <w:szCs w:val="1"/>
                <w:color w:val="auto"/>
              </w:rPr>
            </w:pPr>
          </w:p>
        </w:tc>
      </w:tr>
      <w:tr>
        <w:trPr>
          <w:trHeight w:val="135"/>
        </w:trPr>
        <w:tc>
          <w:tcPr>
            <w:tcW w:w="9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tcPr>
          <w:p>
            <w:pPr>
              <w:jc w:val="center"/>
              <w:ind w:right="77"/>
              <w:spacing w:after="0" w:line="135" w:lineRule="exact"/>
              <w:rPr>
                <w:sz w:val="20"/>
                <w:szCs w:val="20"/>
                <w:color w:val="auto"/>
              </w:rPr>
            </w:pPr>
            <w:r>
              <w:rPr>
                <w:rFonts w:ascii="Arial" w:cs="Arial" w:eastAsia="Arial" w:hAnsi="Arial"/>
                <w:sz w:val="14"/>
                <w:szCs w:val="14"/>
                <w:b w:val="1"/>
                <w:bCs w:val="1"/>
                <w:color w:val="auto"/>
                <w:w w:val="90"/>
              </w:rPr>
              <w:t>(Loss) on Cash</w:t>
            </w:r>
          </w:p>
        </w:tc>
        <w:tc>
          <w:tcPr>
            <w:tcW w:w="0" w:type="dxa"/>
            <w:vAlign w:val="bottom"/>
          </w:tcPr>
          <w:p>
            <w:pPr>
              <w:spacing w:after="0"/>
              <w:rPr>
                <w:sz w:val="1"/>
                <w:szCs w:val="1"/>
                <w:color w:val="auto"/>
              </w:rPr>
            </w:pPr>
          </w:p>
        </w:tc>
      </w:tr>
      <w:tr>
        <w:trPr>
          <w:trHeight w:val="188"/>
        </w:trPr>
        <w:tc>
          <w:tcPr>
            <w:tcW w:w="97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2"/>
              </w:rPr>
              <w:t>Flow Hedges</w:t>
            </w:r>
          </w:p>
        </w:tc>
        <w:tc>
          <w:tcPr>
            <w:tcW w:w="0" w:type="dxa"/>
            <w:vAlign w:val="bottom"/>
          </w:tcPr>
          <w:p>
            <w:pPr>
              <w:spacing w:after="0"/>
              <w:rPr>
                <w:sz w:val="1"/>
                <w:szCs w:val="1"/>
                <w:color w:val="auto"/>
              </w:rPr>
            </w:pPr>
          </w:p>
        </w:tc>
      </w:tr>
      <w:tr>
        <w:trPr>
          <w:trHeight w:val="224"/>
        </w:trPr>
        <w:tc>
          <w:tcPr>
            <w:tcW w:w="97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9780" w:type="dxa"/>
            <w:vAlign w:val="bottom"/>
          </w:tcPr>
          <w:p>
            <w:pPr>
              <w:ind w:left="360"/>
              <w:spacing w:after="0"/>
              <w:rPr>
                <w:sz w:val="20"/>
                <w:szCs w:val="20"/>
                <w:color w:val="auto"/>
              </w:rPr>
            </w:pPr>
            <w:r>
              <w:rPr>
                <w:rFonts w:ascii="Arial" w:cs="Arial" w:eastAsia="Arial" w:hAnsi="Arial"/>
                <w:sz w:val="18"/>
                <w:szCs w:val="18"/>
                <w:color w:val="auto"/>
              </w:rPr>
              <w:t>Other comprehensive income before reclassifications</w:t>
            </w:r>
          </w:p>
        </w:tc>
        <w:tc>
          <w:tcPr>
            <w:tcW w:w="16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995</w:t>
            </w:r>
          </w:p>
        </w:tc>
        <w:tc>
          <w:tcPr>
            <w:tcW w:w="0" w:type="dxa"/>
            <w:vAlign w:val="bottom"/>
          </w:tcPr>
          <w:p>
            <w:pPr>
              <w:spacing w:after="0"/>
              <w:rPr>
                <w:sz w:val="1"/>
                <w:szCs w:val="1"/>
                <w:color w:val="auto"/>
              </w:rPr>
            </w:pPr>
          </w:p>
        </w:tc>
      </w:tr>
      <w:tr>
        <w:trPr>
          <w:trHeight w:val="229"/>
        </w:trPr>
        <w:tc>
          <w:tcPr>
            <w:tcW w:w="9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6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w:t>
            </w:r>
          </w:p>
        </w:tc>
        <w:tc>
          <w:tcPr>
            <w:tcW w:w="0" w:type="dxa"/>
            <w:vAlign w:val="bottom"/>
          </w:tcPr>
          <w:p>
            <w:pPr>
              <w:spacing w:after="0"/>
              <w:rPr>
                <w:sz w:val="1"/>
                <w:szCs w:val="1"/>
                <w:color w:val="auto"/>
              </w:rPr>
            </w:pPr>
          </w:p>
        </w:tc>
      </w:tr>
      <w:tr>
        <w:trPr>
          <w:trHeight w:val="223"/>
        </w:trPr>
        <w:tc>
          <w:tcPr>
            <w:tcW w:w="97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net of tax</w:t>
            </w:r>
          </w:p>
        </w:tc>
        <w:tc>
          <w:tcPr>
            <w:tcW w:w="16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48"/>
        </w:trPr>
        <w:tc>
          <w:tcPr>
            <w:tcW w:w="9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May 2, 2020</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0"/>
        </w:trPr>
        <w:tc>
          <w:tcPr>
            <w:tcW w:w="978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Consolidated Statements of Cash Flows</w:t>
            </w: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2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978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5"/>
        </w:trPr>
        <w:tc>
          <w:tcPr>
            <w:tcW w:w="9780" w:type="dxa"/>
            <w:vAlign w:val="bottom"/>
          </w:tcPr>
          <w:p>
            <w:pPr>
              <w:ind w:left="420"/>
              <w:spacing w:after="0"/>
              <w:rPr>
                <w:sz w:val="20"/>
                <w:szCs w:val="20"/>
                <w:color w:val="auto"/>
              </w:rPr>
            </w:pPr>
            <w:r>
              <w:rPr>
                <w:rFonts w:ascii="Arial" w:cs="Arial" w:eastAsia="Arial" w:hAnsi="Arial"/>
                <w:sz w:val="18"/>
                <w:szCs w:val="18"/>
                <w:color w:val="auto"/>
              </w:rPr>
              <w:t>The noncash consideration paid for the acquisition of Inphi was $6.2 billion for the three months ended May 1, 2021.</w:t>
            </w: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5"/>
        </w:trPr>
        <w:tc>
          <w:tcPr>
            <w:tcW w:w="9780" w:type="dxa"/>
            <w:vAlign w:val="bottom"/>
          </w:tcPr>
          <w:p>
            <w:pPr>
              <w:spacing w:after="0"/>
              <w:rPr>
                <w:sz w:val="20"/>
                <w:szCs w:val="20"/>
                <w:color w:val="auto"/>
              </w:rPr>
            </w:pPr>
            <w:r>
              <w:rPr>
                <w:rFonts w:ascii="Arial" w:cs="Arial" w:eastAsia="Arial" w:hAnsi="Arial"/>
                <w:sz w:val="18"/>
                <w:szCs w:val="18"/>
                <w:b w:val="1"/>
                <w:bCs w:val="1"/>
                <w:color w:val="auto"/>
              </w:rPr>
              <w:t>Share Repurchase Program</w:t>
            </w: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15"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May 1, 2021,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right="220" w:firstLine="405"/>
        <w:spacing w:after="0" w:line="259" w:lineRule="auto"/>
        <w:rPr>
          <w:sz w:val="20"/>
          <w:szCs w:val="20"/>
          <w:color w:val="auto"/>
        </w:rPr>
      </w:pPr>
      <w:r>
        <w:rPr>
          <w:rFonts w:ascii="Arial" w:cs="Arial" w:eastAsia="Arial" w:hAnsi="Arial"/>
          <w:sz w:val="17"/>
          <w:szCs w:val="17"/>
          <w:color w:val="auto"/>
        </w:rPr>
        <w:t>The Company temporarily suspended the share repurchase program in late March 2020 to preserve cash during the COVID-19 pandemic and the program remains suspended as the Company focuses on reducing its debt and de-levering its balance sheet. As a result, the Company did not repurchase any shares during the three months ended May 1, 2021. The Company repurchased 1.3 million of its common shares for $25.2 million during the three months ended May 2, 2020.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Fair Value Measurements</w:t>
      </w:r>
    </w:p>
    <w:p>
      <w:pPr>
        <w:spacing w:after="0" w:line="243"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6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80" w:firstLine="405"/>
        <w:spacing w:after="0" w:line="284"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equity investments that are classified as other non-current assets and which are valued primarily using quoted market prices. The Company’s Level 2 assets include time deposits, as the market inputs used to value these instruments consist of market yields. In addition, the convertible debt capped calls and the severance pay fund are classified as a Level 2 asset as the valuation inputs are based on quoted prices and market observable data of similar instruments.</w:t>
      </w:r>
    </w:p>
    <w:p>
      <w:pPr>
        <w:spacing w:after="0" w:line="101"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30" w:lineRule="exact"/>
        <w:rPr>
          <w:sz w:val="20"/>
          <w:szCs w:val="20"/>
          <w:color w:val="auto"/>
        </w:rPr>
      </w:pPr>
    </w:p>
    <w:p>
      <w:pPr>
        <w:ind w:left="6940"/>
        <w:spacing w:after="0"/>
        <w:rPr>
          <w:sz w:val="20"/>
          <w:szCs w:val="20"/>
          <w:color w:val="auto"/>
        </w:rPr>
      </w:pPr>
      <w:r>
        <w:rPr>
          <w:rFonts w:ascii="Arial" w:cs="Arial" w:eastAsia="Arial" w:hAnsi="Arial"/>
          <w:sz w:val="14"/>
          <w:szCs w:val="14"/>
          <w:b w:val="1"/>
          <w:bCs w:val="1"/>
          <w:color w:val="auto"/>
        </w:rPr>
        <w:t>Fair Value Measurements at May 1,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200" w:type="dxa"/>
            <w:vAlign w:val="bottom"/>
          </w:tcPr>
          <w:p>
            <w:pPr>
              <w:spacing w:after="0"/>
              <w:rPr>
                <w:sz w:val="16"/>
                <w:szCs w:val="16"/>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4"/>
                <w:szCs w:val="14"/>
                <w:b w:val="1"/>
                <w:bCs w:val="1"/>
                <w:color w:val="auto"/>
              </w:rPr>
              <w:t>Level 1</w:t>
            </w:r>
          </w:p>
        </w:tc>
        <w:tc>
          <w:tcPr>
            <w:tcW w:w="480" w:type="dxa"/>
            <w:vAlign w:val="bottom"/>
            <w:tcBorders>
              <w:top w:val="single" w:sz="8" w:color="auto"/>
            </w:tcBorders>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40" w:type="dxa"/>
            <w:vAlign w:val="bottom"/>
            <w:tcBorders>
              <w:top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92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Money market funds</w:t>
            </w:r>
          </w:p>
        </w:tc>
        <w:tc>
          <w:tcPr>
            <w:tcW w:w="920" w:type="dxa"/>
            <w:vAlign w:val="bottom"/>
          </w:tcPr>
          <w:p>
            <w:pPr>
              <w:jc w:val="right"/>
              <w:ind w:right="734"/>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65</w:t>
            </w:r>
          </w:p>
        </w:tc>
        <w:tc>
          <w:tcPr>
            <w:tcW w:w="120" w:type="dxa"/>
            <w:vAlign w:val="bottom"/>
          </w:tcPr>
          <w:p>
            <w:pPr>
              <w:spacing w:after="0"/>
              <w:rPr>
                <w:sz w:val="19"/>
                <w:szCs w:val="19"/>
                <w:color w:val="auto"/>
              </w:rPr>
            </w:pP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854"/>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Time deposits</w:t>
            </w:r>
          </w:p>
        </w:tc>
        <w:tc>
          <w:tcPr>
            <w:tcW w:w="920" w:type="dxa"/>
            <w:vAlign w:val="bottom"/>
            <w:shd w:val="clear" w:color="auto" w:fill="CCEEFF"/>
          </w:tcPr>
          <w:p>
            <w:pPr>
              <w:spacing w:after="0"/>
              <w:rPr>
                <w:sz w:val="19"/>
                <w:szCs w:val="19"/>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115,663</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115,663</w:t>
            </w:r>
          </w:p>
        </w:tc>
        <w:tc>
          <w:tcPr>
            <w:tcW w:w="0" w:type="dxa"/>
            <w:vAlign w:val="bottom"/>
          </w:tcPr>
          <w:p>
            <w:pPr>
              <w:spacing w:after="0"/>
              <w:rPr>
                <w:sz w:val="1"/>
                <w:szCs w:val="1"/>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debt capped calls</w:t>
            </w:r>
          </w:p>
        </w:tc>
        <w:tc>
          <w:tcPr>
            <w:tcW w:w="920" w:type="dxa"/>
            <w:vAlign w:val="bottom"/>
            <w:shd w:val="clear" w:color="auto" w:fill="CCEEFF"/>
          </w:tcPr>
          <w:p>
            <w:pPr>
              <w:spacing w:after="0"/>
              <w:rPr>
                <w:sz w:val="19"/>
                <w:szCs w:val="19"/>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50,127</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50,127</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Marketable equity investments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1,607</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1,607</w:t>
            </w:r>
          </w:p>
        </w:tc>
        <w:tc>
          <w:tcPr>
            <w:tcW w:w="0" w:type="dxa"/>
            <w:vAlign w:val="bottom"/>
          </w:tcPr>
          <w:p>
            <w:pPr>
              <w:spacing w:after="0"/>
              <w:rPr>
                <w:sz w:val="1"/>
                <w:szCs w:val="1"/>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92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650</w:t>
            </w: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650</w:t>
            </w:r>
          </w:p>
        </w:tc>
        <w:tc>
          <w:tcPr>
            <w:tcW w:w="0" w:type="dxa"/>
            <w:vAlign w:val="bottom"/>
          </w:tcPr>
          <w:p>
            <w:pPr>
              <w:spacing w:after="0"/>
              <w:rPr>
                <w:sz w:val="1"/>
                <w:szCs w:val="1"/>
                <w:color w:val="auto"/>
              </w:rPr>
            </w:pPr>
          </w:p>
        </w:tc>
      </w:tr>
      <w:tr>
        <w:trPr>
          <w:trHeight w:val="248"/>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920" w:type="dxa"/>
            <w:vAlign w:val="bottom"/>
            <w:tcBorders>
              <w:top w:val="single" w:sz="8" w:color="auto"/>
              <w:bottom w:val="single" w:sz="8" w:color="auto"/>
            </w:tcBorders>
            <w:shd w:val="clear" w:color="auto" w:fill="CCEEFF"/>
          </w:tcPr>
          <w:p>
            <w:pPr>
              <w:jc w:val="right"/>
              <w:ind w:right="734"/>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1,672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166,440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auto"/>
            </w:tcBorders>
            <w:shd w:val="clear" w:color="auto" w:fill="CCEEFF"/>
          </w:tcPr>
          <w:p>
            <w:pPr>
              <w:jc w:val="right"/>
              <w:ind w:right="854"/>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168,112</w:t>
            </w:r>
          </w:p>
        </w:tc>
        <w:tc>
          <w:tcPr>
            <w:tcW w:w="0" w:type="dxa"/>
            <w:vAlign w:val="bottom"/>
          </w:tcPr>
          <w:p>
            <w:pPr>
              <w:spacing w:after="0"/>
              <w:rPr>
                <w:sz w:val="1"/>
                <w:szCs w:val="1"/>
                <w:color w:val="auto"/>
              </w:rPr>
            </w:pPr>
          </w:p>
        </w:tc>
      </w:tr>
      <w:tr>
        <w:trPr>
          <w:trHeight w:val="20"/>
        </w:trPr>
        <w:tc>
          <w:tcPr>
            <w:tcW w:w="52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Liabilities</w:t>
            </w: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5200" w:type="dxa"/>
            <w:vAlign w:val="bottom"/>
            <w:vMerge w:val="continue"/>
          </w:tcPr>
          <w:p>
            <w:pPr>
              <w:spacing w:after="0"/>
              <w:rPr>
                <w:sz w:val="15"/>
                <w:szCs w:val="15"/>
                <w:color w:val="auto"/>
              </w:rPr>
            </w:pPr>
          </w:p>
        </w:tc>
        <w:tc>
          <w:tcPr>
            <w:tcW w:w="9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Short term convertible debt:</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Convertible notes</w:t>
            </w:r>
          </w:p>
        </w:tc>
        <w:tc>
          <w:tcPr>
            <w:tcW w:w="920" w:type="dxa"/>
            <w:vAlign w:val="bottom"/>
          </w:tcPr>
          <w:p>
            <w:pPr>
              <w:jc w:val="right"/>
              <w:ind w:right="734"/>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721</w:t>
            </w:r>
          </w:p>
        </w:tc>
        <w:tc>
          <w:tcPr>
            <w:tcW w:w="120" w:type="dxa"/>
            <w:vAlign w:val="bottom"/>
          </w:tcPr>
          <w:p>
            <w:pPr>
              <w:spacing w:after="0"/>
              <w:rPr>
                <w:sz w:val="19"/>
                <w:szCs w:val="19"/>
                <w:color w:val="auto"/>
              </w:rPr>
            </w:pPr>
          </w:p>
        </w:tc>
        <w:tc>
          <w:tcPr>
            <w:tcW w:w="1040" w:type="dxa"/>
            <w:vAlign w:val="bottom"/>
          </w:tcPr>
          <w:p>
            <w:pPr>
              <w:jc w:val="right"/>
              <w:ind w:right="854"/>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721</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Long term convertible debt:</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Convertible notes</w:t>
            </w:r>
          </w:p>
        </w:tc>
        <w:tc>
          <w:tcPr>
            <w:tcW w:w="92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1,146</w:t>
            </w: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1,146</w:t>
            </w:r>
          </w:p>
        </w:tc>
        <w:tc>
          <w:tcPr>
            <w:tcW w:w="0" w:type="dxa"/>
            <w:vAlign w:val="bottom"/>
          </w:tcPr>
          <w:p>
            <w:pPr>
              <w:spacing w:after="0"/>
              <w:rPr>
                <w:sz w:val="1"/>
                <w:szCs w:val="1"/>
                <w:color w:val="auto"/>
              </w:rPr>
            </w:pPr>
          </w:p>
        </w:tc>
      </w:tr>
      <w:tr>
        <w:trPr>
          <w:trHeight w:val="248"/>
        </w:trPr>
        <w:tc>
          <w:tcPr>
            <w:tcW w:w="52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liabilities</w:t>
            </w:r>
          </w:p>
        </w:tc>
        <w:tc>
          <w:tcPr>
            <w:tcW w:w="920" w:type="dxa"/>
            <w:vAlign w:val="bottom"/>
            <w:tcBorders>
              <w:top w:val="single" w:sz="8" w:color="auto"/>
              <w:bottom w:val="single" w:sz="8" w:color="auto"/>
            </w:tcBorders>
            <w:shd w:val="clear" w:color="auto" w:fill="CCEEFF"/>
          </w:tcPr>
          <w:p>
            <w:pPr>
              <w:jc w:val="right"/>
              <w:ind w:right="734"/>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auto"/>
            </w:tcBorders>
            <w:shd w:val="clear" w:color="auto" w:fill="CCEEFF"/>
          </w:tcPr>
          <w:p>
            <w:pPr>
              <w:jc w:val="right"/>
              <w:ind w:right="854"/>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0" w:type="dxa"/>
            <w:vAlign w:val="bottom"/>
          </w:tcPr>
          <w:p>
            <w:pPr>
              <w:spacing w:after="0"/>
              <w:rPr>
                <w:sz w:val="1"/>
                <w:szCs w:val="1"/>
                <w:color w:val="auto"/>
              </w:rPr>
            </w:pP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260" w:firstLine="405"/>
        <w:spacing w:after="0"/>
        <w:rPr>
          <w:sz w:val="20"/>
          <w:szCs w:val="20"/>
          <w:color w:val="auto"/>
        </w:rPr>
      </w:pPr>
      <w:r>
        <w:rPr>
          <w:rFonts w:ascii="Arial" w:cs="Arial" w:eastAsia="Arial" w:hAnsi="Arial"/>
          <w:sz w:val="18"/>
          <w:szCs w:val="18"/>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They are classified as Level 3 in the fair value hierarchy because the value is estimated based on valuation methods using the observable transaction price at the transaction date and other unobservable inputs such as volatility, rights and obligations of the securities held. As of May 1, 2021, non-marketable equity investments had a carrying value of $35.3 million and are included in other non-current assets in the Company’s unaudited condensed consolidated balance sheets.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30,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Pr>
          <w:p>
            <w:pPr>
              <w:spacing w:after="0"/>
              <w:rPr>
                <w:sz w:val="16"/>
                <w:szCs w:val="16"/>
                <w:color w:val="auto"/>
              </w:rPr>
            </w:pPr>
          </w:p>
        </w:tc>
        <w:tc>
          <w:tcPr>
            <w:tcW w:w="104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1</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6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40" w:type="dxa"/>
            <w:vAlign w:val="bottom"/>
          </w:tcPr>
          <w:p>
            <w:pPr>
              <w:jc w:val="right"/>
              <w:ind w:right="856"/>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114,645</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114,645</w:t>
            </w: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623</w:t>
            </w: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623</w:t>
            </w:r>
          </w:p>
        </w:tc>
      </w:tr>
      <w:tr>
        <w:trPr>
          <w:trHeight w:val="248"/>
        </w:trPr>
        <w:tc>
          <w:tcPr>
            <w:tcW w:w="51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104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 and Inphi Capped Calls</w:t>
      </w:r>
    </w:p>
    <w:p>
      <w:pPr>
        <w:spacing w:after="0" w:line="239"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The Inphi 2021 Convertible Notes are carried in the unaudited condensed consolidated balance sheets at fair value. As of May 1, 2021, the fair value of convertible notes was determined on the basis of market prices observable for similar instruments and is considered Level 2 in the fair value hierarchy. See “Note 5 - Debt” for information on the fair value of the Inphi 2021 Convertible Notes. The 2025 Inphi Convertible Notes are carried in the unaudited condensed consolidated balance sheets at fair value at Inphi acquisition when assumed. The Inphi 2025 Convertible Notes are not marked to fair value at the end of each reporting period.</w:t>
      </w:r>
    </w:p>
    <w:p>
      <w:pPr>
        <w:spacing w:after="0" w:line="216" w:lineRule="exact"/>
        <w:rPr>
          <w:sz w:val="20"/>
          <w:szCs w:val="20"/>
          <w:color w:val="auto"/>
        </w:rPr>
      </w:pPr>
    </w:p>
    <w:p>
      <w:pPr>
        <w:jc w:val="both"/>
        <w:ind w:right="160" w:firstLine="405"/>
        <w:spacing w:after="0" w:line="262" w:lineRule="auto"/>
        <w:rPr>
          <w:sz w:val="20"/>
          <w:szCs w:val="20"/>
          <w:color w:val="auto"/>
        </w:rPr>
      </w:pPr>
      <w:r>
        <w:rPr>
          <w:rFonts w:ascii="Arial" w:cs="Arial" w:eastAsia="Arial" w:hAnsi="Arial"/>
          <w:sz w:val="17"/>
          <w:szCs w:val="17"/>
          <w:color w:val="auto"/>
        </w:rPr>
        <w:t>The Company classified the 2020 Term Loan, the 2023 Notes, the 2026 Notes, 2028 Notes and 2031 Notes as Level 2 in the fair value measurement hierarchy. The carrying value of the 2020 Term Loan approximates its fair value as the 2020 Term Loan is carried at a market observable interest rate that resets periodically. The estimated aggregate fair value of the unsecured senior notes was $3.1 billion at May 1, 2021 and $1.1 billion at January 30, 2021, and were classified as Level 2 as there are quoted prices from less active markets for the notes.</w:t>
      </w:r>
    </w:p>
    <w:p>
      <w:pPr>
        <w:spacing w:after="0" w:line="199"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Inphi convertible debt capped calls provide for variable cash settlement based on the Company’s stock price. These capped calls qualify as derivatives and, accordingly, the Company measures these capped calls at fair value, with changes in fair value reported in earnings. As of May 1, 2021, the fair value of the remaining capped calls was $50.1 million.</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39" w:lineRule="exact"/>
        <w:rPr>
          <w:sz w:val="20"/>
          <w:szCs w:val="20"/>
          <w:color w:val="auto"/>
        </w:rPr>
      </w:pPr>
    </w:p>
    <w:p>
      <w:pPr>
        <w:ind w:right="48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At May 1, 2021, the Company had approximately $819.5 million in outstanding purchase orders with foundries.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9"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Stockholders</w:t>
      </w:r>
      <w:r>
        <w:rPr>
          <w:rFonts w:ascii="Arial" w:cs="Arial" w:eastAsia="Arial" w:hAnsi="Arial"/>
          <w:sz w:val="18"/>
          <w:szCs w:val="18"/>
          <w:color w:val="auto"/>
        </w:rPr>
        <w:t>’</w:t>
      </w:r>
      <w:r>
        <w:rPr>
          <w:rFonts w:ascii="Arial" w:cs="Arial" w:eastAsia="Arial" w:hAnsi="Arial"/>
          <w:sz w:val="18"/>
          <w:szCs w:val="18"/>
          <w:b w:val="1"/>
          <w:bCs w:val="1"/>
          <w:color w:val="auto"/>
        </w:rPr>
        <w:t xml:space="preserve"> Equity</w:t>
      </w:r>
    </w:p>
    <w:p>
      <w:pPr>
        <w:spacing w:after="0" w:line="243"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Following the Inphi acquisition and in accordance with the Inphi merger agreement, certain outstanding options to purchase shares of Inphi common stock and certain restricted stock units with respect to Inphi common stock, each granted under the Inphi Amended and Restated 2010 Stock Incentive Plan (“Inphi 2010 EIP”), were assumed by the Company and converted into options to purchase common shares of the Company and restricted stock units with respect to common shares of the Company, respectively. The Company filed a registration statement on April 20, 2021 to register 10,301,589 common shares of the Company, issuable under the Inphi 2010 EIP, comprised of 127,249 common shares issuable pursuant to outstanding but unexercised options under the Inphi 2010 EIP, 10,040,693 common shares issuable pursuant to outstanding unvested restricted stock units under the Inphi 2010 EIP, and 133,647 common shares issuable pursuant to outstanding unvested performance stock units under the Inphi 2010 EIP.</w:t>
      </w:r>
    </w:p>
    <w:p>
      <w:pPr>
        <w:spacing w:after="0" w:line="19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2010 EIP</w:t>
      </w:r>
    </w:p>
    <w:p>
      <w:pPr>
        <w:spacing w:after="0" w:line="239"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Inphi 2010 EIP was adopted by Inphi on June 7, 2010. The 2010 Plan provided for the grants of restricted stock, stock appreciation rights and stock unit awards to employees, non-employee directors, advisors and consultants. Awards under the Inphi 2010 EIP generally vest over 3 to 4 years.</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Acquisition-related Equity Awards</w:t>
      </w:r>
    </w:p>
    <w:p>
      <w:pPr>
        <w:spacing w:after="0" w:line="239"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The awards under the Inphi Plans assumed by the Company in the Inphi acquisition were measured at the acquisition date based on the estimated fair value of $589.7 million. A portion of that fair value, $161.7 million, which represented the pre-acquisition service provided by employees to Inphi, was included in the total consideration transferred as part of the acquisition. As of the acquisition date, the remaining portion of the fair value of those awards was $428.0 million, representing post-acquisition share-based compensation expense that will be recognized as these employees provide service over the remaining vesting periods. During the three months ended May 1, 2021, the Company recognized $49.6 million of share-based compensation expense in connection with the acquisition of Inphi, of which $43.8 million was due to the accelerated vesting of outstanding equity awards of certain Inphi employees. During the three months ended May 1, 2021, Inphi merger equity consideration related tax withholdings of $14.6 million were included as a component of tax withholdings for net share settlement of restricted stock units in the accompanying unaudited condensed consolidated statement of stockholders’ equity.</w:t>
      </w:r>
    </w:p>
    <w:p>
      <w:pPr>
        <w:sectPr>
          <w:pgSz w:w="11900" w:h="16838" w:orient="portrait"/>
          <w:cols w:equalWidth="0" w:num="1">
            <w:col w:w="11240"/>
          </w:cols>
          <w:pgMar w:left="320" w:top="130" w:right="339" w:bottom="1440" w:gutter="0" w:footer="0" w:header="0"/>
        </w:sect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summarizes share-based compensation expense (in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Cost of goods sold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132320" cy="15430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Research and development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132320" cy="14541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Selling, general and administrative</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share-based compensation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840"/>
        <w:spacing w:after="0"/>
        <w:rPr>
          <w:sz w:val="20"/>
          <w:szCs w:val="20"/>
          <w:color w:val="auto"/>
        </w:rPr>
      </w:pPr>
      <w:r>
        <w:rPr>
          <w:rFonts w:ascii="Arial" w:cs="Arial" w:eastAsia="Arial" w:hAnsi="Arial"/>
          <w:sz w:val="14"/>
          <w:szCs w:val="14"/>
          <w:b w:val="1"/>
          <w:bCs w:val="1"/>
          <w:color w:val="auto"/>
        </w:rPr>
        <w:t>Three Months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320" w:type="dxa"/>
            <w:vAlign w:val="bottom"/>
            <w:tcBorders>
              <w:top w:val="single" w:sz="8" w:color="auto"/>
            </w:tcBorders>
          </w:tcPr>
          <w:p>
            <w:pPr>
              <w:spacing w:after="0"/>
              <w:rPr>
                <w:sz w:val="12"/>
                <w:szCs w:val="12"/>
                <w:color w:val="auto"/>
              </w:rPr>
            </w:pPr>
          </w:p>
        </w:tc>
        <w:tc>
          <w:tcPr>
            <w:tcW w:w="1220" w:type="dxa"/>
            <w:vAlign w:val="bottom"/>
            <w:tcBorders>
              <w:top w:val="single" w:sz="8" w:color="auto"/>
            </w:tcBorders>
            <w:gridSpan w:val="2"/>
          </w:tcPr>
          <w:p>
            <w:pPr>
              <w:ind w:left="200"/>
              <w:spacing w:after="0" w:line="141" w:lineRule="exact"/>
              <w:rPr>
                <w:sz w:val="20"/>
                <w:szCs w:val="20"/>
                <w:color w:val="auto"/>
              </w:rPr>
            </w:pPr>
            <w:r>
              <w:rPr>
                <w:rFonts w:ascii="Arial" w:cs="Arial" w:eastAsia="Arial" w:hAnsi="Arial"/>
                <w:sz w:val="14"/>
                <w:szCs w:val="14"/>
                <w:b w:val="1"/>
                <w:bCs w:val="1"/>
                <w:color w:val="auto"/>
              </w:rPr>
              <w:t>May 1,</w:t>
            </w:r>
          </w:p>
        </w:tc>
        <w:tc>
          <w:tcPr>
            <w:tcW w:w="32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tcPr>
          <w:p>
            <w:pPr>
              <w:jc w:val="right"/>
              <w:ind w:right="416"/>
              <w:spacing w:after="0" w:line="141" w:lineRule="exact"/>
              <w:rPr>
                <w:sz w:val="20"/>
                <w:szCs w:val="20"/>
                <w:color w:val="auto"/>
              </w:rPr>
            </w:pPr>
            <w:r>
              <w:rPr>
                <w:rFonts w:ascii="Arial" w:cs="Arial" w:eastAsia="Arial" w:hAnsi="Arial"/>
                <w:sz w:val="14"/>
                <w:szCs w:val="14"/>
                <w:b w:val="1"/>
                <w:bCs w:val="1"/>
                <w:color w:val="auto"/>
              </w:rPr>
              <w:t>May 2,</w:t>
            </w:r>
          </w:p>
        </w:tc>
      </w:tr>
      <w:tr>
        <w:trPr>
          <w:trHeight w:val="188"/>
        </w:trPr>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24"/>
        </w:trPr>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9,803</w:t>
            </w:r>
          </w:p>
        </w:tc>
        <w:tc>
          <w:tcPr>
            <w:tcW w:w="100" w:type="dxa"/>
            <w:vAlign w:val="bottom"/>
          </w:tcPr>
          <w:p>
            <w:pPr>
              <w:spacing w:after="0"/>
              <w:rPr>
                <w:sz w:val="19"/>
                <w:szCs w:val="19"/>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3,538</w:t>
            </w:r>
          </w:p>
        </w:tc>
      </w:tr>
      <w:tr>
        <w:trPr>
          <w:trHeight w:val="230"/>
        </w:trPr>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38,377</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37,815</w:t>
            </w:r>
          </w:p>
        </w:tc>
      </w:tr>
      <w:tr>
        <w:trPr>
          <w:trHeight w:val="230"/>
        </w:trPr>
        <w:tc>
          <w:tcPr>
            <w:tcW w:w="320" w:type="dxa"/>
            <w:vAlign w:val="bottom"/>
            <w:tcBorders>
              <w:bottom w:val="single" w:sz="8" w:color="auto"/>
            </w:tcBorders>
          </w:tcPr>
          <w:p>
            <w:pPr>
              <w:spacing w:after="0"/>
              <w:rPr>
                <w:sz w:val="20"/>
                <w:szCs w:val="20"/>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61,413</w:t>
            </w:r>
          </w:p>
        </w:tc>
        <w:tc>
          <w:tcPr>
            <w:tcW w:w="100" w:type="dxa"/>
            <w:vAlign w:val="bottom"/>
          </w:tcPr>
          <w:p>
            <w:pPr>
              <w:spacing w:after="0"/>
              <w:rPr>
                <w:sz w:val="20"/>
                <w:szCs w:val="20"/>
                <w:color w:val="auto"/>
              </w:rPr>
            </w:pPr>
          </w:p>
        </w:tc>
        <w:tc>
          <w:tcPr>
            <w:tcW w:w="320" w:type="dxa"/>
            <w:vAlign w:val="bottom"/>
            <w:tcBorders>
              <w:bottom w:val="single" w:sz="8" w:color="auto"/>
            </w:tcBorders>
          </w:tcPr>
          <w:p>
            <w:pPr>
              <w:spacing w:after="0"/>
              <w:rPr>
                <w:sz w:val="20"/>
                <w:szCs w:val="20"/>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18,334</w:t>
            </w:r>
          </w:p>
        </w:tc>
      </w:tr>
      <w:tr>
        <w:trPr>
          <w:trHeight w:val="223"/>
        </w:trPr>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109,593</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59,687</w:t>
            </w:r>
          </w:p>
        </w:tc>
      </w:tr>
      <w:tr>
        <w:trPr>
          <w:trHeight w:val="20"/>
        </w:trPr>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2">
            <w:col w:w="7540" w:space="720"/>
            <w:col w:w="2980"/>
          </w:cols>
          <w:pgMar w:left="320" w:top="130" w:right="339" w:bottom="1440" w:gutter="0" w:footer="0" w:header="0"/>
          <w:type w:val="continuous"/>
        </w:sectPr>
      </w:pPr>
    </w:p>
    <w:p>
      <w:pPr>
        <w:spacing w:after="0" w:line="1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Share-based compensation capitalized in inventory was $4.3 million at May 1, 2021, $3.8 million at January 30, 2021.</w:t>
      </w: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w:t>
      </w:r>
    </w:p>
    <w:p>
      <w:pPr>
        <w:spacing w:after="0" w:line="243"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discrete items, and acquisitions, as well as the integration of such acquisitions.</w:t>
      </w:r>
    </w:p>
    <w:p>
      <w:pPr>
        <w:spacing w:after="0" w:line="202"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As a result of this transaction, the parent company was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215" w:lineRule="exact"/>
        <w:rPr>
          <w:sz w:val="20"/>
          <w:szCs w:val="20"/>
          <w:color w:val="auto"/>
        </w:rPr>
      </w:pPr>
    </w:p>
    <w:p>
      <w:pPr>
        <w:ind w:right="280" w:firstLine="405"/>
        <w:spacing w:after="0" w:line="270"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a substantial portion of its earnings, or in some cases, losses being taxed or benefited at rates lower than the U.S. statutory rate. The Company’s effective tax rate is the result of an anticipated annual net income tax benefit and includes the effects of certain non-U.S. tax jurisdictions with tax rates lower than 21%.</w:t>
      </w:r>
    </w:p>
    <w:p>
      <w:pPr>
        <w:spacing w:after="0" w:line="191"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The income tax benefit of $27.8 million for the three months ended May 1, 2021 includes a discrete tax benefit related to stock-based compensation in addition to the release of unrecognized benefits that were recorded in prior periods.</w:t>
      </w:r>
    </w:p>
    <w:p>
      <w:pPr>
        <w:spacing w:after="0" w:line="198" w:lineRule="exact"/>
        <w:rPr>
          <w:sz w:val="20"/>
          <w:szCs w:val="20"/>
          <w:color w:val="auto"/>
        </w:rPr>
      </w:pPr>
    </w:p>
    <w:p>
      <w:pPr>
        <w:jc w:val="both"/>
        <w:ind w:right="420" w:firstLine="405"/>
        <w:spacing w:after="0" w:line="248" w:lineRule="auto"/>
        <w:rPr>
          <w:sz w:val="20"/>
          <w:szCs w:val="20"/>
          <w:color w:val="auto"/>
        </w:rPr>
      </w:pPr>
      <w:r>
        <w:rPr>
          <w:rFonts w:ascii="Arial" w:cs="Arial" w:eastAsia="Arial" w:hAnsi="Arial"/>
          <w:sz w:val="18"/>
          <w:szCs w:val="18"/>
          <w:color w:val="auto"/>
        </w:rPr>
        <w:t>The income tax expense of $5.0 million for the three months ended May 2, 2020 included a tax benefit related to the release of unrecognized tax benefits that were recorded in prior periods, offset by tax expense due on certain foreign undistributed earnings that were previously considered to be indefinitely reinvested.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00" w:firstLine="405"/>
        <w:spacing w:after="0" w:line="259" w:lineRule="auto"/>
        <w:rPr>
          <w:sz w:val="20"/>
          <w:szCs w:val="20"/>
          <w:color w:val="auto"/>
        </w:rPr>
      </w:pPr>
      <w:r>
        <w:rPr>
          <w:rFonts w:ascii="Arial" w:cs="Arial" w:eastAsia="Arial" w:hAnsi="Arial"/>
          <w:sz w:val="17"/>
          <w:szCs w:val="17"/>
          <w:color w:val="auto"/>
        </w:rPr>
        <w:t>The Company’s gross unrecognized tax benefits were $319.2 million and $242.2 million on May 1, 2021 and January 30, 2021, respectively. The net increase to the Company’s gross unrecognized tax benefits of $77.0 million is primarily the result of certain unrecognized tax benefits recorded in the Company’s accounting for the acquisition of Inphi. If the gross unrecognized tax benefits as of May 1, 2021 were realized in a subsequent period, the Company would record a tax benefit of $198.7 million within its provision for income taxes at such time. The amount of interest and penalties accrued as of May 1, 2021, and January 30, 2021 was $3.8 million and $4.0 million, respectively.</w:t>
      </w:r>
    </w:p>
    <w:p>
      <w:pPr>
        <w:spacing w:after="0" w:line="201"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it is reasonably possible that uncertain tax positions may decrease by as much as $2.5 million from the lapse of statutes of limitation in various jurisdictions during the next 12 months. Government tax authorities from certain non-U.S. jurisdictions are examining the Company’s income tax returns. The Company believes that it has adequately provided for any reasonably foreseeable outcomes related to its tax audits and that any settlement will not have a material effect on its results or financial position at this time.</w:t>
      </w:r>
    </w:p>
    <w:p>
      <w:pPr>
        <w:spacing w:after="0" w:line="203" w:lineRule="exact"/>
        <w:rPr>
          <w:sz w:val="20"/>
          <w:szCs w:val="20"/>
          <w:color w:val="auto"/>
        </w:rPr>
      </w:pPr>
    </w:p>
    <w:p>
      <w:pPr>
        <w:ind w:right="120" w:firstLine="405"/>
        <w:spacing w:after="0" w:line="246" w:lineRule="auto"/>
        <w:rPr>
          <w:sz w:val="20"/>
          <w:szCs w:val="20"/>
          <w:color w:val="auto"/>
        </w:rPr>
      </w:pPr>
      <w:r>
        <w:rPr>
          <w:rFonts w:ascii="Arial" w:cs="Arial" w:eastAsia="Arial" w:hAnsi="Arial"/>
          <w:sz w:val="17"/>
          <w:szCs w:val="17"/>
          <w:color w:val="auto"/>
        </w:rPr>
        <w:t>The Company operates under tax incentives in certain countries that may be extended and/or renewed if certain additional requirements are satisfied. The tax incentives are conditional upon meeting certain employment and investment thresholds. In the three months ended May 1, 2021, tax savings associated with these tax holidays were approximately $7.8 million, which if paid would impact the Company’s earnings per share by less than $0.02 per share in the three months ended May 1, 2021. There were no such tax savings recognized in three months ended May 2, 2020.</w:t>
      </w:r>
    </w:p>
    <w:p>
      <w:pPr>
        <w:spacing w:after="0" w:line="211" w:lineRule="exact"/>
        <w:rPr>
          <w:sz w:val="20"/>
          <w:szCs w:val="20"/>
          <w:color w:val="auto"/>
        </w:rPr>
      </w:pPr>
    </w:p>
    <w:p>
      <w:pPr>
        <w:ind w:right="60" w:firstLine="405"/>
        <w:spacing w:after="0" w:line="284" w:lineRule="auto"/>
        <w:rPr>
          <w:sz w:val="20"/>
          <w:szCs w:val="20"/>
          <w:color w:val="auto"/>
        </w:rPr>
      </w:pPr>
      <w:r>
        <w:rPr>
          <w:rFonts w:ascii="Arial" w:cs="Arial" w:eastAsia="Arial" w:hAnsi="Arial"/>
          <w:sz w:val="16"/>
          <w:szCs w:val="16"/>
          <w:color w:val="auto"/>
        </w:rPr>
        <w:t>The Company’s principal source of liquidity as of May 1, 2021 consisted of approximately $522.5 million of cash and cash equivalents, of which approximately $350.3 million was held by subsidiaries outside of the United States. The Company has not recognized a deferred tax liability on $280.3 million of these assets as those amounts are deemed to be indefinitely reinvested. The Company manages its worldwide cash requirements by, among other things, reviewing available funds held by its foreign subsidiaries and the cost effectiveness by which those funds can be accessed in the United States.</w:t>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Net Loss Per Share</w:t>
      </w:r>
    </w:p>
    <w:p>
      <w:pPr>
        <w:spacing w:after="0" w:line="243"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03" w:lineRule="exact"/>
        <w:rPr>
          <w:sz w:val="20"/>
          <w:szCs w:val="20"/>
          <w:color w:val="auto"/>
        </w:rPr>
      </w:pPr>
    </w:p>
    <w:p>
      <w:pPr>
        <w:ind w:left="9100"/>
        <w:spacing w:after="0"/>
        <w:rPr>
          <w:sz w:val="20"/>
          <w:szCs w:val="20"/>
          <w:color w:val="auto"/>
        </w:rPr>
      </w:pPr>
      <w:r>
        <w:rPr>
          <w:rFonts w:ascii="Arial" w:cs="Arial" w:eastAsia="Arial" w:hAnsi="Arial"/>
          <w:sz w:val="14"/>
          <w:szCs w:val="14"/>
          <w:b w:val="1"/>
          <w:bCs w:val="1"/>
          <w:color w:val="auto"/>
        </w:rPr>
        <w:t>Three Months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0"/>
        </w:trPr>
        <w:tc>
          <w:tcPr>
            <w:tcW w:w="8260" w:type="dxa"/>
            <w:vAlign w:val="bottom"/>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1220" w:type="dxa"/>
            <w:vAlign w:val="bottom"/>
            <w:tcBorders>
              <w:top w:val="single" w:sz="8" w:color="auto"/>
            </w:tcBorders>
            <w:gridSpan w:val="2"/>
          </w:tcPr>
          <w:p>
            <w:pPr>
              <w:ind w:left="200"/>
              <w:spacing w:after="0" w:line="141" w:lineRule="exact"/>
              <w:rPr>
                <w:sz w:val="20"/>
                <w:szCs w:val="20"/>
                <w:color w:val="auto"/>
              </w:rPr>
            </w:pPr>
            <w:r>
              <w:rPr>
                <w:rFonts w:ascii="Arial" w:cs="Arial" w:eastAsia="Arial" w:hAnsi="Arial"/>
                <w:sz w:val="14"/>
                <w:szCs w:val="14"/>
                <w:b w:val="1"/>
                <w:bCs w:val="1"/>
                <w:color w:val="auto"/>
              </w:rPr>
              <w:t>May 1,</w:t>
            </w:r>
          </w:p>
        </w:tc>
        <w:tc>
          <w:tcPr>
            <w:tcW w:w="32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tcPr>
          <w:p>
            <w:pPr>
              <w:jc w:val="right"/>
              <w:ind w:right="414"/>
              <w:spacing w:after="0" w:line="141" w:lineRule="exact"/>
              <w:rPr>
                <w:sz w:val="20"/>
                <w:szCs w:val="20"/>
                <w:color w:val="auto"/>
              </w:rPr>
            </w:pPr>
            <w:r>
              <w:rPr>
                <w:rFonts w:ascii="Arial" w:cs="Arial" w:eastAsia="Arial" w:hAnsi="Arial"/>
                <w:sz w:val="14"/>
                <w:szCs w:val="14"/>
                <w:b w:val="1"/>
                <w:bCs w:val="1"/>
                <w:color w:val="auto"/>
              </w:rPr>
              <w:t>May 2,</w:t>
            </w:r>
          </w:p>
        </w:tc>
      </w:tr>
      <w:tr>
        <w:trPr>
          <w:trHeight w:val="188"/>
        </w:trPr>
        <w:tc>
          <w:tcPr>
            <w:tcW w:w="82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Net loss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(88,242)</w:t>
            </w:r>
          </w:p>
        </w:tc>
        <w:tc>
          <w:tcPr>
            <w:tcW w:w="100" w:type="dxa"/>
            <w:vAlign w:val="bottom"/>
          </w:tcPr>
          <w:p>
            <w:pPr>
              <w:spacing w:after="0"/>
              <w:rPr>
                <w:sz w:val="19"/>
                <w:szCs w:val="19"/>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(113,033)</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Weighted-average shares — basic</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693,378</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663,547</w:t>
            </w: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Share-based awards</w:t>
            </w:r>
          </w:p>
        </w:tc>
        <w:tc>
          <w:tcPr>
            <w:tcW w:w="320" w:type="dxa"/>
            <w:vAlign w:val="bottom"/>
          </w:tcPr>
          <w:p>
            <w:pPr>
              <w:spacing w:after="0"/>
              <w:rPr>
                <w:sz w:val="19"/>
                <w:szCs w:val="19"/>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debt</w:t>
            </w:r>
          </w:p>
        </w:tc>
        <w:tc>
          <w:tcPr>
            <w:tcW w:w="32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196"/>
        </w:trPr>
        <w:tc>
          <w:tcPr>
            <w:tcW w:w="8260" w:type="dxa"/>
            <w:vAlign w:val="bottom"/>
          </w:tcPr>
          <w:p>
            <w:pPr>
              <w:ind w:left="360"/>
              <w:spacing w:after="0" w:line="196" w:lineRule="exact"/>
              <w:rPr>
                <w:sz w:val="20"/>
                <w:szCs w:val="20"/>
                <w:color w:val="auto"/>
              </w:rPr>
            </w:pPr>
            <w:r>
              <w:rPr>
                <w:rFonts w:ascii="Arial" w:cs="Arial" w:eastAsia="Arial" w:hAnsi="Arial"/>
                <w:sz w:val="18"/>
                <w:szCs w:val="18"/>
                <w:color w:val="auto"/>
              </w:rPr>
              <w:t>Weighted-average shares — diluted</w:t>
            </w:r>
          </w:p>
        </w:tc>
        <w:tc>
          <w:tcPr>
            <w:tcW w:w="320" w:type="dxa"/>
            <w:vAlign w:val="bottom"/>
            <w:tcBorders>
              <w:top w:val="single" w:sz="8" w:color="auto"/>
              <w:bottom w:val="single" w:sz="8" w:color="auto"/>
            </w:tcBorders>
          </w:tcPr>
          <w:p>
            <w:pPr>
              <w:spacing w:after="0"/>
              <w:rPr>
                <w:sz w:val="17"/>
                <w:szCs w:val="17"/>
                <w:color w:val="auto"/>
              </w:rPr>
            </w:pPr>
          </w:p>
        </w:tc>
        <w:tc>
          <w:tcPr>
            <w:tcW w:w="11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693,378</w:t>
            </w:r>
          </w:p>
        </w:tc>
        <w:tc>
          <w:tcPr>
            <w:tcW w:w="100" w:type="dxa"/>
            <w:vAlign w:val="bottom"/>
          </w:tcPr>
          <w:p>
            <w:pPr>
              <w:spacing w:after="0"/>
              <w:rPr>
                <w:sz w:val="17"/>
                <w:szCs w:val="17"/>
                <w:color w:val="auto"/>
              </w:rPr>
            </w:pPr>
          </w:p>
        </w:tc>
        <w:tc>
          <w:tcPr>
            <w:tcW w:w="320" w:type="dxa"/>
            <w:vAlign w:val="bottom"/>
            <w:tcBorders>
              <w:top w:val="single" w:sz="8" w:color="auto"/>
              <w:bottom w:val="single" w:sz="8" w:color="auto"/>
            </w:tcBorders>
          </w:tcPr>
          <w:p>
            <w:pPr>
              <w:spacing w:after="0"/>
              <w:rPr>
                <w:sz w:val="17"/>
                <w:szCs w:val="17"/>
                <w:color w:val="auto"/>
              </w:rPr>
            </w:pPr>
          </w:p>
        </w:tc>
        <w:tc>
          <w:tcPr>
            <w:tcW w:w="11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663,547</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196"/>
        </w:trPr>
        <w:tc>
          <w:tcPr>
            <w:tcW w:w="826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color w:val="auto"/>
              </w:rPr>
              <w:t>Net loss per share:</w:t>
            </w: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r>
      <w:tr>
        <w:trPr>
          <w:trHeight w:val="230"/>
        </w:trPr>
        <w:tc>
          <w:tcPr>
            <w:tcW w:w="8260" w:type="dxa"/>
            <w:vAlign w:val="bottom"/>
          </w:tcPr>
          <w:p>
            <w:pPr>
              <w:ind w:left="340"/>
              <w:spacing w:after="0"/>
              <w:rPr>
                <w:sz w:val="20"/>
                <w:szCs w:val="20"/>
                <w:color w:val="auto"/>
              </w:rPr>
            </w:pPr>
            <w:r>
              <w:rPr>
                <w:rFonts w:ascii="Arial" w:cs="Arial" w:eastAsia="Arial" w:hAnsi="Arial"/>
                <w:sz w:val="18"/>
                <w:szCs w:val="18"/>
                <w:color w:val="auto"/>
              </w:rPr>
              <w:t>Basic</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(0.13)</w:t>
            </w:r>
          </w:p>
        </w:tc>
        <w:tc>
          <w:tcPr>
            <w:tcW w:w="100" w:type="dxa"/>
            <w:vAlign w:val="bottom"/>
          </w:tcPr>
          <w:p>
            <w:pPr>
              <w:spacing w:after="0"/>
              <w:rPr>
                <w:sz w:val="19"/>
                <w:szCs w:val="19"/>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(0.17)</w:t>
            </w:r>
          </w:p>
        </w:tc>
      </w:tr>
      <w:tr>
        <w:trPr>
          <w:trHeight w:val="230"/>
        </w:trPr>
        <w:tc>
          <w:tcPr>
            <w:tcW w:w="82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41"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Potential dilutive securities include dilutive common shares from share-based awards attributable to the shares that could be issued upon conversion of the Company’s convertible debt using the if-converted method. Under the treasury stock method and if-converted method, potential common shares outstanding are not included in the computation of diluted net income per share if their effect is anti-dilutive.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980" w:type="dxa"/>
            <w:vAlign w:val="bottom"/>
            <w:tcBorders>
              <w:bottom w:val="single" w:sz="8" w:color="auto"/>
            </w:tcBorders>
            <w:gridSpan w:val="3"/>
          </w:tcPr>
          <w:p>
            <w:pPr>
              <w:jc w:val="right"/>
              <w:ind w:right="759"/>
              <w:spacing w:after="0"/>
              <w:rPr>
                <w:sz w:val="20"/>
                <w:szCs w:val="20"/>
                <w:color w:val="auto"/>
              </w:rPr>
            </w:pPr>
            <w:r>
              <w:rPr>
                <w:rFonts w:ascii="Arial" w:cs="Arial" w:eastAsia="Arial" w:hAnsi="Arial"/>
                <w:sz w:val="14"/>
                <w:szCs w:val="14"/>
                <w:b w:val="1"/>
                <w:bCs w:val="1"/>
                <w:color w:val="auto"/>
              </w:rPr>
              <w:t>Three Months Ended</w:t>
            </w:r>
          </w:p>
        </w:tc>
      </w:tr>
      <w:tr>
        <w:trPr>
          <w:trHeight w:val="134"/>
        </w:trPr>
        <w:tc>
          <w:tcPr>
            <w:tcW w:w="8260" w:type="dxa"/>
            <w:vAlign w:val="bottom"/>
          </w:tcPr>
          <w:p>
            <w:pPr>
              <w:spacing w:after="0"/>
              <w:rPr>
                <w:sz w:val="11"/>
                <w:szCs w:val="11"/>
                <w:color w:val="auto"/>
              </w:rPr>
            </w:pPr>
          </w:p>
        </w:tc>
        <w:tc>
          <w:tcPr>
            <w:tcW w:w="1540" w:type="dxa"/>
            <w:vAlign w:val="bottom"/>
            <w:gridSpan w:val="2"/>
          </w:tcPr>
          <w:p>
            <w:pPr>
              <w:ind w:left="520"/>
              <w:spacing w:after="0" w:line="135" w:lineRule="exact"/>
              <w:rPr>
                <w:sz w:val="20"/>
                <w:szCs w:val="20"/>
                <w:color w:val="auto"/>
              </w:rPr>
            </w:pPr>
            <w:r>
              <w:rPr>
                <w:rFonts w:ascii="Arial" w:cs="Arial" w:eastAsia="Arial" w:hAnsi="Arial"/>
                <w:sz w:val="14"/>
                <w:szCs w:val="14"/>
                <w:b w:val="1"/>
                <w:bCs w:val="1"/>
                <w:color w:val="auto"/>
              </w:rPr>
              <w:t>May 1,</w:t>
            </w:r>
          </w:p>
        </w:tc>
        <w:tc>
          <w:tcPr>
            <w:tcW w:w="1440" w:type="dxa"/>
            <w:vAlign w:val="bottom"/>
          </w:tcPr>
          <w:p>
            <w:pPr>
              <w:jc w:val="right"/>
              <w:ind w:right="419"/>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826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r>
      <w:tr>
        <w:trPr>
          <w:trHeight w:val="211"/>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Share-based awards</w:t>
            </w:r>
          </w:p>
        </w:tc>
        <w:tc>
          <w:tcPr>
            <w:tcW w:w="1440" w:type="dxa"/>
            <w:vAlign w:val="bottom"/>
          </w:tcPr>
          <w:p>
            <w:pPr>
              <w:jc w:val="right"/>
              <w:ind w:right="1"/>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12,416</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w:t>
            </w:r>
          </w:p>
        </w:tc>
        <w:tc>
          <w:tcPr>
            <w:tcW w:w="144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1,581</w:t>
            </w:r>
          </w:p>
        </w:tc>
        <w:tc>
          <w:tcPr>
            <w:tcW w:w="10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bl>
    <w:p>
      <w:pPr>
        <w:spacing w:after="0" w:line="337"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share-based awards are excluded from the calculation of diluted earnings per share for the three months ended May 1, 2021 and May 2, 2020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8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7"/>
        </w:numPr>
        <w:rPr>
          <w:rFonts w:ascii="Arial" w:cs="Arial" w:eastAsia="Arial" w:hAnsi="Arial"/>
          <w:sz w:val="16"/>
          <w:szCs w:val="16"/>
          <w:i w:val="1"/>
          <w:iCs w:val="1"/>
          <w:color w:val="auto"/>
        </w:rPr>
      </w:pPr>
      <w:r>
        <w:rPr>
          <w:rFonts w:ascii="Arial" w:cs="Arial" w:eastAsia="Arial" w:hAnsi="Arial"/>
          <w:sz w:val="16"/>
          <w:szCs w:val="16"/>
          <w:i w:val="1"/>
          <w:iCs w:val="1"/>
          <w:color w:val="auto"/>
        </w:rPr>
        <w:t>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480" w:hanging="148"/>
        <w:spacing w:after="0" w:line="234" w:lineRule="auto"/>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successfully integrate and to realize anticipated synergies, on a timely basis or at all, in connection with the Inphi merger;</w:t>
      </w:r>
    </w:p>
    <w:p>
      <w:pPr>
        <w:ind w:left="440" w:hanging="108"/>
        <w:spacing w:after="0"/>
        <w:tabs>
          <w:tab w:leader="none" w:pos="440"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define, design and develop products for the Cloud, infrastructure and 5G markets and to market and sell these products to our</w:t>
      </w:r>
    </w:p>
    <w:p>
      <w:pPr>
        <w:spacing w:after="0" w:line="19"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customers;</w:t>
      </w:r>
    </w:p>
    <w:p>
      <w:pPr>
        <w:spacing w:after="0" w:line="9" w:lineRule="exact"/>
        <w:rPr>
          <w:sz w:val="20"/>
          <w:szCs w:val="20"/>
          <w:color w:val="auto"/>
        </w:rPr>
      </w:pPr>
    </w:p>
    <w:p>
      <w:pPr>
        <w:ind w:left="340" w:right="180" w:hanging="8"/>
        <w:spacing w:after="0" w:line="235"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extension of lead time due to supply chain disruption, component shortages that impact the production of our products and constrained availability from other electronic suppliers impacting our customers</w:t>
      </w:r>
      <w:r>
        <w:rPr>
          <w:rFonts w:ascii="Arial" w:cs="Arial" w:eastAsia="Arial" w:hAnsi="Arial"/>
          <w:sz w:val="18"/>
          <w:szCs w:val="18"/>
          <w:color w:val="auto"/>
        </w:rPr>
        <w:t>’</w:t>
      </w:r>
      <w:r>
        <w:rPr>
          <w:rFonts w:ascii="Arial" w:cs="Arial" w:eastAsia="Arial" w:hAnsi="Arial"/>
          <w:sz w:val="18"/>
          <w:szCs w:val="18"/>
          <w:i w:val="1"/>
          <w:iCs w:val="1"/>
          <w:color w:val="auto"/>
        </w:rPr>
        <w:t xml:space="preserve"> ability to ship their products, which in turn may adversely impact our sales to those customers;</w:t>
      </w:r>
    </w:p>
    <w:p>
      <w:pPr>
        <w:spacing w:after="0" w:line="1" w:lineRule="exact"/>
        <w:rPr>
          <w:rFonts w:ascii="Arial" w:cs="Arial" w:eastAsia="Arial" w:hAnsi="Arial"/>
          <w:sz w:val="18"/>
          <w:szCs w:val="18"/>
          <w:i w:val="1"/>
          <w:iCs w:val="1"/>
          <w:color w:val="auto"/>
        </w:rPr>
      </w:pPr>
    </w:p>
    <w:p>
      <w:pPr>
        <w:ind w:left="340" w:right="340" w:hanging="8"/>
        <w:spacing w:after="0" w:line="249"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ind w:left="340" w:right="420" w:hanging="8"/>
        <w:spacing w:after="0" w:line="250"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ind w:left="440" w:hanging="108"/>
        <w:spacing w:after="0" w:line="236" w:lineRule="auto"/>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7" w:lineRule="exact"/>
        <w:rPr>
          <w:rFonts w:ascii="Arial" w:cs="Arial" w:eastAsia="Arial" w:hAnsi="Arial"/>
          <w:sz w:val="18"/>
          <w:szCs w:val="18"/>
          <w:i w:val="1"/>
          <w:iCs w:val="1"/>
          <w:color w:val="auto"/>
        </w:rPr>
      </w:pPr>
    </w:p>
    <w:p>
      <w:pPr>
        <w:ind w:left="440" w:hanging="108"/>
        <w:spacing w:after="0" w:line="236" w:lineRule="auto"/>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risks related to our debt obligations;</w:t>
      </w: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7"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our manufacturing partners for the manufacture, assembly and testing of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w:t>
      </w:r>
      <w:r>
        <w:rPr>
          <w:rFonts w:ascii="Arial" w:cs="Arial" w:eastAsia="Arial" w:hAnsi="Arial"/>
          <w:sz w:val="18"/>
          <w:szCs w:val="18"/>
          <w:color w:val="auto"/>
        </w:rPr>
        <w:t>’</w:t>
      </w:r>
      <w:r>
        <w:rPr>
          <w:rFonts w:ascii="Arial" w:cs="Arial" w:eastAsia="Arial" w:hAnsi="Arial"/>
          <w:sz w:val="18"/>
          <w:szCs w:val="18"/>
          <w:i w:val="1"/>
          <w:iCs w:val="1"/>
          <w:color w:val="auto"/>
        </w:rPr>
        <w:t xml:space="preserve"> products outside of the United States;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i w:val="1"/>
          <w:iCs w:val="1"/>
          <w:color w:val="auto"/>
        </w:rPr>
      </w:pPr>
    </w:p>
    <w:p>
      <w:pPr>
        <w:ind w:left="340" w:hanging="8"/>
        <w:spacing w:after="0" w:line="250"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ind w:left="440" w:hanging="108"/>
        <w:spacing w:after="0" w:line="236" w:lineRule="auto"/>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on changes in strategy and realize the expected benefits from restructuring activities;</w:t>
      </w:r>
    </w:p>
    <w:p>
      <w:pPr>
        <w:ind w:left="340" w:right="40" w:hanging="8"/>
        <w:spacing w:after="0" w:line="249" w:lineRule="auto"/>
        <w:tabs>
          <w:tab w:leader="none" w:pos="448"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acquisitions and to fully realize the anticipated synergies and cost savings in the time frame anticipated;</w:t>
      </w: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w:t>
      </w:r>
      <w:r>
        <w:rPr>
          <w:rFonts w:ascii="Arial" w:cs="Arial" w:eastAsia="Arial" w:hAnsi="Arial"/>
          <w:sz w:val="18"/>
          <w:szCs w:val="18"/>
          <w:color w:val="auto"/>
        </w:rPr>
        <w:t>’</w:t>
      </w:r>
      <w:r>
        <w:rPr>
          <w:rFonts w:ascii="Arial" w:cs="Arial" w:eastAsia="Arial" w:hAnsi="Arial"/>
          <w:sz w:val="18"/>
          <w:szCs w:val="18"/>
          <w:i w:val="1"/>
          <w:iCs w:val="1"/>
          <w:color w:val="auto"/>
        </w:rPr>
        <w:t xml:space="preserve"> representatives to sell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the highly cyclical and intensely competitive nature of the markets for our products;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spacing w:after="0" w:line="9" w:lineRule="exact"/>
        <w:rPr>
          <w:rFonts w:ascii="Arial" w:cs="Arial" w:eastAsia="Arial" w:hAnsi="Arial"/>
          <w:sz w:val="18"/>
          <w:szCs w:val="18"/>
          <w:i w:val="1"/>
          <w:iCs w:val="1"/>
          <w:color w:val="auto"/>
        </w:rPr>
      </w:pPr>
    </w:p>
    <w:p>
      <w:pPr>
        <w:ind w:left="440" w:hanging="108"/>
        <w:spacing w:after="0"/>
        <w:tabs>
          <w:tab w:leader="none" w:pos="44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3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200" w:lineRule="exact"/>
        <w:rPr>
          <w:sz w:val="20"/>
          <w:szCs w:val="20"/>
          <w:color w:val="auto"/>
        </w:rPr>
      </w:pP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220" w:firstLine="405"/>
        <w:spacing w:after="0" w:line="228"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218" w:lineRule="exact"/>
        <w:rPr>
          <w:sz w:val="20"/>
          <w:szCs w:val="20"/>
          <w:color w:val="auto"/>
        </w:rPr>
      </w:pPr>
    </w:p>
    <w:p>
      <w:pPr>
        <w:jc w:val="both"/>
        <w:ind w:right="100" w:firstLine="405"/>
        <w:spacing w:after="0" w:line="270" w:lineRule="auto"/>
        <w:rPr>
          <w:sz w:val="20"/>
          <w:szCs w:val="20"/>
          <w:color w:val="auto"/>
        </w:rPr>
      </w:pPr>
      <w:r>
        <w:rPr>
          <w:rFonts w:ascii="Arial" w:cs="Arial" w:eastAsia="Arial" w:hAnsi="Arial"/>
          <w:sz w:val="17"/>
          <w:szCs w:val="17"/>
          <w:color w:val="auto"/>
        </w:rPr>
        <w:t>In the first quarter of fiscal 2022, our net revenue increased year over year by 20% from $693.6 million net revenue in the first quarter of fiscal 2021 compared with $832.3 million in the first quarter of fiscal 2022. The increase was primarily due to increased sales of our networking products by 26% and increased sales of our storage products by 17%, partially offset by decreased sales of our other products by 24%.</w:t>
      </w:r>
    </w:p>
    <w:p>
      <w:pPr>
        <w:spacing w:after="0" w:line="191"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On April 20, 2021, we completed the acquisition of Inphi Corporation (“Inphi”). Inphi is a global leader in high-speed data movement enabled by optical interconnects. Their product portfolio includes laser drivers, trans-impedance amplifiers, PAM (Pulse Amplitude Modulation) and Coherent DSPs (Digital Signal Processors), differentiated silicon photonics, as well as an optical PHY portfolio for interconnect inside and between the data center, as well as interconnect for the carrier market. We and Inphi both have growing positions in carrier and datacenter, and Inphi’s high-speed electro-optics platform is highly complementary to our storage, networking, compute, and security portfolio. Inphi’s electro-optics portfolio combined with our copper Ethernet PHY franchise is expected to create an industry-leading high-speed data interconnect platform. The operating results for the first quarter of fiscal 2022 include the operating results of Inphi for the period from the date of acquisition to the Company’s first quarter ended May 1, 2021. In conjunction with the acquisition transaction, Marvell and Inphi became wholly owned subsidiaries of the new parent company, Marvell Technology, Inc. (“MTI”) on April 20, 2021. The parent company is domiciled in and subject to taxation in the United States.</w:t>
      </w:r>
    </w:p>
    <w:p>
      <w:pPr>
        <w:spacing w:after="0" w:line="211" w:lineRule="exact"/>
        <w:rPr>
          <w:sz w:val="20"/>
          <w:szCs w:val="20"/>
          <w:color w:val="auto"/>
        </w:rPr>
      </w:pPr>
    </w:p>
    <w:p>
      <w:pPr>
        <w:ind w:right="40" w:firstLine="405"/>
        <w:spacing w:after="0" w:line="294" w:lineRule="auto"/>
        <w:rPr>
          <w:sz w:val="20"/>
          <w:szCs w:val="20"/>
          <w:color w:val="auto"/>
        </w:rPr>
      </w:pPr>
      <w:r>
        <w:rPr>
          <w:rFonts w:ascii="Arial" w:cs="Arial" w:eastAsia="Arial" w:hAnsi="Arial"/>
          <w:sz w:val="16"/>
          <w:szCs w:val="16"/>
          <w:color w:val="auto"/>
        </w:rPr>
        <w:t>In response to growth in demand from customers for our products, our operations team is continuing to ramp production with our global supply chain partners. However, we are experiencing a number of industry-wide supply constraints affecting the type of high complexity products we provide for data infrastructure. These supply challenges are currently limiting our ability to fully satisfy the increase in demand for some of our networking products.</w:t>
      </w:r>
    </w:p>
    <w:p>
      <w:pPr>
        <w:spacing w:after="0" w:line="174" w:lineRule="exact"/>
        <w:rPr>
          <w:sz w:val="20"/>
          <w:szCs w:val="20"/>
          <w:color w:val="auto"/>
        </w:rPr>
      </w:pPr>
    </w:p>
    <w:p>
      <w:pPr>
        <w:ind w:right="120" w:firstLine="405"/>
        <w:spacing w:after="0" w:line="259" w:lineRule="auto"/>
        <w:rPr>
          <w:sz w:val="20"/>
          <w:szCs w:val="20"/>
          <w:color w:val="auto"/>
        </w:rPr>
      </w:pPr>
      <w:r>
        <w:rPr>
          <w:rFonts w:ascii="Arial" w:cs="Arial" w:eastAsia="Arial" w:hAnsi="Arial"/>
          <w:sz w:val="17"/>
          <w:szCs w:val="17"/>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7"/>
          <w:szCs w:val="17"/>
          <w:i w:val="1"/>
          <w:iCs w:val="1"/>
          <w:color w:val="auto"/>
        </w:rPr>
        <w:t>We face risks related to COVID-19 pandemic which could</w:t>
      </w:r>
      <w:r>
        <w:rPr>
          <w:rFonts w:ascii="Arial" w:cs="Arial" w:eastAsia="Arial" w:hAnsi="Arial"/>
          <w:sz w:val="17"/>
          <w:szCs w:val="17"/>
          <w:color w:val="auto"/>
        </w:rPr>
        <w:t xml:space="preserve"> </w:t>
      </w:r>
      <w:r>
        <w:rPr>
          <w:rFonts w:ascii="Arial" w:cs="Arial" w:eastAsia="Arial" w:hAnsi="Arial"/>
          <w:sz w:val="17"/>
          <w:szCs w:val="17"/>
          <w:i w:val="1"/>
          <w:iCs w:val="1"/>
          <w:color w:val="auto"/>
        </w:rPr>
        <w:t>significantly disrupt our manufacturing, research and development, operations, sales and financial results</w:t>
      </w:r>
      <w:r>
        <w:rPr>
          <w:rFonts w:ascii="Arial" w:cs="Arial" w:eastAsia="Arial" w:hAnsi="Arial"/>
          <w:sz w:val="17"/>
          <w:szCs w:val="17"/>
          <w:color w:val="auto"/>
        </w:rPr>
        <w:t>.”</w:t>
      </w:r>
    </w:p>
    <w:p>
      <w:pPr>
        <w:spacing w:after="0" w:line="201" w:lineRule="exact"/>
        <w:rPr>
          <w:sz w:val="20"/>
          <w:szCs w:val="20"/>
          <w:color w:val="auto"/>
        </w:rPr>
      </w:pPr>
    </w:p>
    <w:p>
      <w:pPr>
        <w:ind w:right="100" w:firstLine="405"/>
        <w:spacing w:after="0" w:line="257"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2022.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w:t>
      </w:r>
    </w:p>
    <w:p>
      <w:pPr>
        <w:spacing w:after="0" w:line="202" w:lineRule="exact"/>
        <w:rPr>
          <w:sz w:val="20"/>
          <w:szCs w:val="20"/>
          <w:color w:val="auto"/>
        </w:rPr>
      </w:pPr>
    </w:p>
    <w:p>
      <w:pPr>
        <w:ind w:right="40" w:firstLine="405"/>
        <w:spacing w:after="0" w:line="273"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stockholder value through our share repurchase and dividend programs. On October 16,</w:t>
      </w:r>
      <w:r>
        <w:rPr>
          <w:rFonts w:ascii="Arial" w:cs="Arial" w:eastAsia="Arial" w:hAnsi="Arial"/>
          <w:sz w:val="16"/>
          <w:szCs w:val="16"/>
          <w:i w:val="1"/>
          <w:iCs w:val="1"/>
          <w:color w:val="auto"/>
        </w:rPr>
        <w:t xml:space="preserve"> </w:t>
      </w:r>
      <w:r>
        <w:rPr>
          <w:rFonts w:ascii="Arial" w:cs="Arial" w:eastAsia="Arial" w:hAnsi="Arial"/>
          <w:sz w:val="16"/>
          <w:szCs w:val="16"/>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and the program remains suspended as we focus on reducing our debt and de-levering our balance sheet. As a result, we did not repurchase any shares during the three months ended May 1, 2021. We will continue to evaluate business conditions to decide when we can restart the share repurchase program</w:t>
      </w:r>
      <w:r>
        <w:rPr>
          <w:rFonts w:ascii="Arial" w:cs="Arial" w:eastAsia="Arial" w:hAnsi="Arial"/>
          <w:sz w:val="17"/>
          <w:szCs w:val="17"/>
          <w:color w:val="auto"/>
        </w:rPr>
        <w:t>.</w:t>
      </w:r>
      <w:r>
        <w:rPr>
          <w:rFonts w:ascii="Arial" w:cs="Arial" w:eastAsia="Arial" w:hAnsi="Arial"/>
          <w:sz w:val="16"/>
          <w:szCs w:val="16"/>
          <w:color w:val="auto"/>
        </w:rPr>
        <w:t xml:space="preserve"> As of May 1, 2021, there was $564.5 million remaining available for future share repurchases of the authorization.</w:t>
      </w:r>
    </w:p>
    <w:p>
      <w:pPr>
        <w:spacing w:after="0" w:line="18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May 1, 2021, a total of 308.1 million shares have been repurchased to date under our share repurchase programs for a total $4.3 billion in cash.</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We returned $40.6 million to stockholders in the three months ended May 1, 2021 in cash dividends.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$522.5 million at May 1, 2021, which was $226.0 million lower than our balance at</w:t>
      </w:r>
      <w:r>
        <w:rPr>
          <w:rFonts w:ascii="Arial" w:cs="Arial" w:eastAsia="Arial" w:hAnsi="Arial"/>
          <w:sz w:val="18"/>
          <w:szCs w:val="18"/>
          <w:i w:val="1"/>
          <w:iCs w:val="1"/>
          <w:color w:val="auto"/>
        </w:rPr>
        <w:t xml:space="preserve"> </w:t>
      </w:r>
      <w:r>
        <w:rPr>
          <w:rFonts w:ascii="Arial" w:cs="Arial" w:eastAsia="Arial" w:hAnsi="Arial"/>
          <w:sz w:val="18"/>
          <w:szCs w:val="18"/>
          <w:color w:val="auto"/>
        </w:rPr>
        <w:t>our fiscal year ended January 30, 2021 of $748.5 million.</w:t>
      </w:r>
    </w:p>
    <w:p>
      <w:pPr>
        <w:spacing w:after="0" w:line="19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w:t>
      </w:r>
      <w:r>
        <w:rPr>
          <w:rFonts w:ascii="Arial" w:cs="Arial" w:eastAsia="Arial" w:hAnsi="Arial"/>
          <w:sz w:val="18"/>
          <w:szCs w:val="18"/>
          <w:i w:val="1"/>
          <w:iCs w:val="1"/>
          <w:color w:val="auto"/>
        </w:rPr>
        <w:t xml:space="preserve"> </w:t>
      </w:r>
      <w:r>
        <w:rPr>
          <w:rFonts w:ascii="Arial" w:cs="Arial" w:eastAsia="Arial" w:hAnsi="Arial"/>
          <w:sz w:val="18"/>
          <w:szCs w:val="18"/>
          <w:color w:val="auto"/>
        </w:rPr>
        <w:t>During the first quarter of fiscal 2022, there was no net revenue attributable to a customer, other than one distributor, whose revenues as a percentage of net revenue was 10% or greater of total net revenues. Net revenue attributable to significant distributors whose revenue as a percentage of net revenue was 10% or greater of total net revenue is presented in the following table:</w:t>
      </w:r>
    </w:p>
    <w:p>
      <w:pPr>
        <w:spacing w:after="0" w:line="193" w:lineRule="exact"/>
        <w:rPr>
          <w:sz w:val="20"/>
          <w:szCs w:val="20"/>
          <w:color w:val="auto"/>
        </w:rPr>
      </w:pPr>
    </w:p>
    <w:p>
      <w:pPr>
        <w:ind w:left="8620"/>
        <w:spacing w:after="0"/>
        <w:rPr>
          <w:sz w:val="20"/>
          <w:szCs w:val="20"/>
          <w:color w:val="auto"/>
        </w:rPr>
      </w:pPr>
      <w:r>
        <w:rPr>
          <w:rFonts w:ascii="Arial" w:cs="Arial" w:eastAsia="Arial" w:hAnsi="Arial"/>
          <w:sz w:val="14"/>
          <w:szCs w:val="14"/>
          <w:b w:val="1"/>
          <w:bCs w:val="1"/>
          <w:color w:val="auto"/>
        </w:rPr>
        <w:t>Three Months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7680" w:type="dxa"/>
            <w:vAlign w:val="bottom"/>
          </w:tcPr>
          <w:p>
            <w:pPr>
              <w:spacing w:after="0"/>
              <w:rPr>
                <w:sz w:val="12"/>
                <w:szCs w:val="12"/>
                <w:color w:val="auto"/>
              </w:rPr>
            </w:pPr>
          </w:p>
        </w:tc>
        <w:tc>
          <w:tcPr>
            <w:tcW w:w="1060" w:type="dxa"/>
            <w:vAlign w:val="bottom"/>
            <w:tcBorders>
              <w:top w:val="single" w:sz="8" w:color="auto"/>
            </w:tcBorders>
          </w:tcPr>
          <w:p>
            <w:pPr>
              <w:jc w:val="center"/>
              <w:ind w:left="408"/>
              <w:spacing w:after="0" w:line="141" w:lineRule="exact"/>
              <w:rPr>
                <w:sz w:val="20"/>
                <w:szCs w:val="20"/>
                <w:color w:val="auto"/>
              </w:rPr>
            </w:pPr>
            <w:r>
              <w:rPr>
                <w:rFonts w:ascii="Arial" w:cs="Arial" w:eastAsia="Arial" w:hAnsi="Arial"/>
                <w:sz w:val="14"/>
                <w:szCs w:val="14"/>
                <w:b w:val="1"/>
                <w:bCs w:val="1"/>
                <w:color w:val="auto"/>
                <w:w w:val="98"/>
              </w:rPr>
              <w:t>May 1,</w:t>
            </w:r>
          </w:p>
        </w:tc>
        <w:tc>
          <w:tcPr>
            <w:tcW w:w="48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560" w:type="dxa"/>
            <w:vAlign w:val="bottom"/>
            <w:tcBorders>
              <w:top w:val="single" w:sz="8" w:color="auto"/>
            </w:tcBorders>
          </w:tcPr>
          <w:p>
            <w:pPr>
              <w:jc w:val="center"/>
              <w:spacing w:after="0" w:line="141" w:lineRule="exact"/>
              <w:rPr>
                <w:sz w:val="20"/>
                <w:szCs w:val="20"/>
                <w:color w:val="auto"/>
              </w:rPr>
            </w:pPr>
            <w:r>
              <w:rPr>
                <w:rFonts w:ascii="Arial" w:cs="Arial" w:eastAsia="Arial" w:hAnsi="Arial"/>
                <w:sz w:val="14"/>
                <w:szCs w:val="14"/>
                <w:b w:val="1"/>
                <w:bCs w:val="1"/>
                <w:color w:val="auto"/>
              </w:rPr>
              <w:t>May 2,</w:t>
            </w:r>
          </w:p>
        </w:tc>
      </w:tr>
      <w:tr>
        <w:trPr>
          <w:trHeight w:val="188"/>
        </w:trPr>
        <w:tc>
          <w:tcPr>
            <w:tcW w:w="8740" w:type="dxa"/>
            <w:vAlign w:val="bottom"/>
            <w:gridSpan w:val="2"/>
          </w:tcPr>
          <w:p>
            <w:pPr>
              <w:jc w:val="right"/>
              <w:ind w:right="88"/>
              <w:spacing w:after="0"/>
              <w:rPr>
                <w:sz w:val="20"/>
                <w:szCs w:val="20"/>
                <w:color w:val="auto"/>
              </w:rPr>
            </w:pPr>
            <w:r>
              <w:rPr>
                <w:rFonts w:ascii="Arial" w:cs="Arial" w:eastAsia="Arial" w:hAnsi="Arial"/>
                <w:sz w:val="14"/>
                <w:szCs w:val="14"/>
                <w:b w:val="1"/>
                <w:bCs w:val="1"/>
                <w:color w:val="auto"/>
              </w:rPr>
              <w:t>2021</w:t>
            </w:r>
          </w:p>
        </w:tc>
        <w:tc>
          <w:tcPr>
            <w:tcW w:w="4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560" w:type="dxa"/>
            <w:vAlign w:val="bottom"/>
          </w:tcPr>
          <w:p>
            <w:pPr>
              <w:jc w:val="right"/>
              <w:ind w:right="562"/>
              <w:spacing w:after="0"/>
              <w:rPr>
                <w:sz w:val="20"/>
                <w:szCs w:val="20"/>
                <w:color w:val="auto"/>
              </w:rPr>
            </w:pPr>
            <w:r>
              <w:rPr>
                <w:rFonts w:ascii="Arial" w:cs="Arial" w:eastAsia="Arial" w:hAnsi="Arial"/>
                <w:sz w:val="14"/>
                <w:szCs w:val="14"/>
                <w:b w:val="1"/>
                <w:bCs w:val="1"/>
                <w:color w:val="auto"/>
              </w:rPr>
              <w:t>2020</w:t>
            </w:r>
          </w:p>
        </w:tc>
      </w:tr>
      <w:tr>
        <w:trPr>
          <w:trHeight w:val="211"/>
        </w:trPr>
        <w:tc>
          <w:tcPr>
            <w:tcW w:w="7680" w:type="dxa"/>
            <w:vAlign w:val="bottom"/>
            <w:tcBorders>
              <w:top w:val="single" w:sz="8" w:color="CCEEFF"/>
            </w:tcBorders>
            <w:shd w:val="clear" w:color="auto" w:fill="CCEEFF"/>
          </w:tcPr>
          <w:p>
            <w:pPr>
              <w:jc w:val="right"/>
              <w:ind w:right="6636"/>
              <w:spacing w:after="0"/>
              <w:rPr>
                <w:sz w:val="20"/>
                <w:szCs w:val="20"/>
                <w:color w:val="auto"/>
              </w:rPr>
            </w:pPr>
            <w:r>
              <w:rPr>
                <w:rFonts w:ascii="Arial" w:cs="Arial" w:eastAsia="Arial" w:hAnsi="Arial"/>
                <w:sz w:val="18"/>
                <w:szCs w:val="18"/>
                <w:b w:val="1"/>
                <w:bCs w:val="1"/>
                <w:color w:val="auto"/>
                <w:w w:val="95"/>
              </w:rPr>
              <w:t>Distributor:</w:t>
            </w:r>
          </w:p>
        </w:tc>
        <w:tc>
          <w:tcPr>
            <w:tcW w:w="106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560" w:type="dxa"/>
            <w:vAlign w:val="bottom"/>
            <w:tcBorders>
              <w:top w:val="single" w:sz="8" w:color="auto"/>
            </w:tcBorders>
            <w:shd w:val="clear" w:color="auto" w:fill="CCEEFF"/>
          </w:tcPr>
          <w:p>
            <w:pPr>
              <w:spacing w:after="0"/>
              <w:rPr>
                <w:sz w:val="18"/>
                <w:szCs w:val="18"/>
                <w:color w:val="auto"/>
              </w:rPr>
            </w:pPr>
          </w:p>
        </w:tc>
      </w:tr>
      <w:tr>
        <w:trPr>
          <w:trHeight w:val="230"/>
        </w:trPr>
        <w:tc>
          <w:tcPr>
            <w:tcW w:w="8740" w:type="dxa"/>
            <w:vAlign w:val="bottom"/>
            <w:gridSpan w:val="2"/>
          </w:tcPr>
          <w:p>
            <w:pPr>
              <w:jc w:val="right"/>
              <w:ind w:right="7708"/>
              <w:spacing w:after="0"/>
              <w:rPr>
                <w:sz w:val="20"/>
                <w:szCs w:val="20"/>
                <w:color w:val="auto"/>
              </w:rPr>
            </w:pPr>
            <w:r>
              <w:rPr>
                <w:rFonts w:ascii="Arial" w:cs="Arial" w:eastAsia="Arial" w:hAnsi="Arial"/>
                <w:sz w:val="18"/>
                <w:szCs w:val="18"/>
                <w:color w:val="auto"/>
              </w:rPr>
              <w:t>Wintech</w:t>
            </w:r>
          </w:p>
        </w:tc>
        <w:tc>
          <w:tcPr>
            <w:tcW w:w="480" w:type="dxa"/>
            <w:vAlign w:val="bottom"/>
          </w:tcPr>
          <w:p>
            <w:pPr>
              <w:jc w:val="right"/>
              <w:spacing w:after="0"/>
              <w:rPr>
                <w:sz w:val="20"/>
                <w:szCs w:val="20"/>
                <w:color w:val="auto"/>
              </w:rPr>
            </w:pPr>
            <w:r>
              <w:rPr>
                <w:rFonts w:ascii="Arial" w:cs="Arial" w:eastAsia="Arial" w:hAnsi="Arial"/>
                <w:sz w:val="18"/>
                <w:szCs w:val="18"/>
                <w:color w:val="auto"/>
              </w:rPr>
              <w:t>19 %</w:t>
            </w:r>
          </w:p>
        </w:tc>
        <w:tc>
          <w:tcPr>
            <w:tcW w:w="100" w:type="dxa"/>
            <w:vAlign w:val="bottom"/>
          </w:tcPr>
          <w:p>
            <w:pPr>
              <w:spacing w:after="0"/>
              <w:rPr>
                <w:sz w:val="20"/>
                <w:szCs w:val="20"/>
                <w:color w:val="auto"/>
              </w:rPr>
            </w:pPr>
          </w:p>
        </w:tc>
        <w:tc>
          <w:tcPr>
            <w:tcW w:w="1560" w:type="dxa"/>
            <w:vAlign w:val="bottom"/>
          </w:tcPr>
          <w:p>
            <w:pPr>
              <w:jc w:val="right"/>
              <w:spacing w:after="0"/>
              <w:rPr>
                <w:sz w:val="20"/>
                <w:szCs w:val="20"/>
                <w:color w:val="auto"/>
              </w:rPr>
            </w:pPr>
            <w:r>
              <w:rPr>
                <w:rFonts w:ascii="Arial" w:cs="Arial" w:eastAsia="Arial" w:hAnsi="Arial"/>
                <w:sz w:val="18"/>
                <w:szCs w:val="18"/>
                <w:color w:val="auto"/>
              </w:rPr>
              <w:t>11 %</w:t>
            </w:r>
          </w:p>
        </w:tc>
      </w:tr>
    </w:tbl>
    <w:p>
      <w:pPr>
        <w:spacing w:after="0" w:line="336" w:lineRule="exact"/>
        <w:rPr>
          <w:sz w:val="20"/>
          <w:szCs w:val="20"/>
          <w:color w:val="auto"/>
        </w:rPr>
      </w:pPr>
    </w:p>
    <w:p>
      <w:pPr>
        <w:ind w:right="320" w:firstLine="405"/>
        <w:spacing w:after="0" w:line="277" w:lineRule="auto"/>
        <w:rPr>
          <w:sz w:val="20"/>
          <w:szCs w:val="20"/>
          <w:color w:val="auto"/>
        </w:rPr>
      </w:pPr>
      <w:r>
        <w:rPr>
          <w:rFonts w:ascii="Arial" w:cs="Arial" w:eastAsia="Arial" w:hAnsi="Arial"/>
          <w:sz w:val="18"/>
          <w:szCs w:val="18"/>
          <w:color w:val="auto"/>
        </w:rPr>
        <w:t>We continuously monitor the creditworthiness of our distributors and believe their sales to diverse end customers and geographies further serve to mitigate our exposure to credit risk.</w:t>
      </w:r>
    </w:p>
    <w:p>
      <w:pPr>
        <w:spacing w:after="0" w:line="197" w:lineRule="exact"/>
        <w:rPr>
          <w:sz w:val="20"/>
          <w:szCs w:val="20"/>
          <w:color w:val="auto"/>
        </w:rPr>
      </w:pPr>
    </w:p>
    <w:p>
      <w:pPr>
        <w:ind w:right="20" w:firstLine="405"/>
        <w:spacing w:after="0" w:line="254"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majority of our products are manufactured outside the United States. Sales shipped to customers with operations in Asia represented approximately 80% of our net revenue in the three months ended May 1, 2021, and approximately 79% of net revenue in the three months ended May 2, 2020,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w:t>
      </w:r>
      <w:r>
        <w:rPr>
          <w:rFonts w:ascii="Arial" w:cs="Arial" w:eastAsia="Arial" w:hAnsi="Arial"/>
          <w:sz w:val="17"/>
          <w:szCs w:val="17"/>
          <w:color w:val="auto"/>
        </w:rPr>
        <w:t xml:space="preserve"> </w:t>
      </w:r>
      <w:r>
        <w:rPr>
          <w:rFonts w:ascii="Arial" w:cs="Arial" w:eastAsia="Arial" w:hAnsi="Arial"/>
          <w:sz w:val="17"/>
          <w:szCs w:val="17"/>
          <w:i w:val="1"/>
          <w:iCs w:val="1"/>
          <w:color w:val="auto"/>
        </w:rPr>
        <w:t>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There have been no material changes during the three months ended May 1, 2021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30, 2021.</w:t>
      </w:r>
    </w:p>
    <w:p>
      <w:pPr>
        <w:spacing w:after="0" w:line="209"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6"/>
          </w:tcPr>
          <w:p>
            <w:pPr>
              <w:jc w:val="right"/>
              <w:ind w:right="854"/>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35"/>
        </w:trPr>
        <w:tc>
          <w:tcPr>
            <w:tcW w:w="65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60" w:type="dxa"/>
            <w:vAlign w:val="bottom"/>
            <w:gridSpan w:val="5"/>
          </w:tcPr>
          <w:p>
            <w:pPr>
              <w:ind w:left="120"/>
              <w:spacing w:after="0" w:line="135" w:lineRule="exact"/>
              <w:rPr>
                <w:sz w:val="20"/>
                <w:szCs w:val="20"/>
                <w:color w:val="auto"/>
              </w:rPr>
            </w:pPr>
            <w:r>
              <w:rPr>
                <w:rFonts w:ascii="Arial" w:cs="Arial" w:eastAsia="Arial" w:hAnsi="Arial"/>
                <w:sz w:val="14"/>
                <w:szCs w:val="14"/>
                <w:b w:val="1"/>
                <w:bCs w:val="1"/>
                <w:color w:val="auto"/>
              </w:rPr>
              <w:t>May 1,</w:t>
            </w:r>
          </w:p>
        </w:tc>
        <w:tc>
          <w:tcPr>
            <w:tcW w:w="1100" w:type="dxa"/>
            <w:vAlign w:val="bottom"/>
          </w:tcPr>
          <w:p>
            <w:pPr>
              <w:jc w:val="right"/>
              <w:ind w:right="474"/>
              <w:spacing w:after="0" w:line="135" w:lineRule="exact"/>
              <w:rPr>
                <w:sz w:val="20"/>
                <w:szCs w:val="20"/>
                <w:color w:val="auto"/>
              </w:rPr>
            </w:pPr>
            <w:r>
              <w:rPr>
                <w:rFonts w:ascii="Arial" w:cs="Arial" w:eastAsia="Arial" w:hAnsi="Arial"/>
                <w:sz w:val="14"/>
                <w:szCs w:val="14"/>
                <w:b w:val="1"/>
                <w:bCs w:val="1"/>
                <w:color w:val="auto"/>
              </w:rPr>
              <w:t>May 2,</w:t>
            </w:r>
          </w:p>
        </w:tc>
        <w:tc>
          <w:tcPr>
            <w:tcW w:w="0" w:type="dxa"/>
            <w:vAlign w:val="bottom"/>
          </w:tcPr>
          <w:p>
            <w:pPr>
              <w:spacing w:after="0"/>
              <w:rPr>
                <w:sz w:val="1"/>
                <w:szCs w:val="1"/>
                <w:color w:val="auto"/>
              </w:rPr>
            </w:pPr>
          </w:p>
        </w:tc>
      </w:tr>
      <w:tr>
        <w:trPr>
          <w:trHeight w:val="188"/>
        </w:trPr>
        <w:tc>
          <w:tcPr>
            <w:tcW w:w="6560" w:type="dxa"/>
            <w:vAlign w:val="bottom"/>
            <w:tcBorders>
              <w:bottom w:val="single" w:sz="8" w:color="CCEEFF"/>
            </w:tcBorders>
          </w:tcPr>
          <w:p>
            <w:pPr>
              <w:spacing w:after="0"/>
              <w:rPr>
                <w:sz w:val="16"/>
                <w:szCs w:val="16"/>
                <w:color w:val="auto"/>
              </w:rPr>
            </w:pPr>
          </w:p>
        </w:tc>
        <w:tc>
          <w:tcPr>
            <w:tcW w:w="320" w:type="dxa"/>
            <w:vAlign w:val="bottom"/>
            <w:tcBorders>
              <w:bottom w:val="single" w:sz="8" w:color="CCEEFF"/>
            </w:tcBorders>
          </w:tcPr>
          <w:p>
            <w:pPr>
              <w:spacing w:after="0"/>
              <w:rPr>
                <w:sz w:val="16"/>
                <w:szCs w:val="16"/>
                <w:color w:val="auto"/>
              </w:rPr>
            </w:pPr>
          </w:p>
        </w:tc>
        <w:tc>
          <w:tcPr>
            <w:tcW w:w="9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24"/>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30"/>
        </w:trPr>
        <w:tc>
          <w:tcPr>
            <w:tcW w:w="65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20" w:type="dxa"/>
            <w:vAlign w:val="bottom"/>
            <w:tcBorders>
              <w:bottom w:val="single" w:sz="8" w:color="CCEEFF"/>
            </w:tcBorders>
          </w:tcPr>
          <w:p>
            <w:pPr>
              <w:spacing w:after="0"/>
              <w:rPr>
                <w:sz w:val="19"/>
                <w:szCs w:val="19"/>
                <w:color w:val="auto"/>
              </w:rPr>
            </w:pPr>
          </w:p>
        </w:tc>
        <w:tc>
          <w:tcPr>
            <w:tcW w:w="98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49.8</w:t>
            </w:r>
          </w:p>
        </w:tc>
        <w:tc>
          <w:tcPr>
            <w:tcW w:w="12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52.9</w:t>
            </w:r>
          </w:p>
        </w:tc>
        <w:tc>
          <w:tcPr>
            <w:tcW w:w="0" w:type="dxa"/>
            <w:vAlign w:val="bottom"/>
          </w:tcPr>
          <w:p>
            <w:pPr>
              <w:spacing w:after="0"/>
              <w:rPr>
                <w:sz w:val="1"/>
                <w:szCs w:val="1"/>
                <w:color w:val="auto"/>
              </w:rPr>
            </w:pPr>
          </w:p>
        </w:tc>
      </w:tr>
      <w:tr>
        <w:trPr>
          <w:trHeight w:val="223"/>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50.2</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47.1</w:t>
            </w:r>
          </w:p>
        </w:tc>
        <w:tc>
          <w:tcPr>
            <w:tcW w:w="0" w:type="dxa"/>
            <w:vAlign w:val="bottom"/>
          </w:tcPr>
          <w:p>
            <w:pPr>
              <w:spacing w:after="0"/>
              <w:rPr>
                <w:sz w:val="1"/>
                <w:szCs w:val="1"/>
                <w:color w:val="auto"/>
              </w:rPr>
            </w:pPr>
          </w:p>
        </w:tc>
      </w:tr>
      <w:tr>
        <w:trPr>
          <w:trHeight w:val="230"/>
        </w:trPr>
        <w:tc>
          <w:tcPr>
            <w:tcW w:w="65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34.4</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40.3</w:t>
            </w:r>
          </w:p>
        </w:tc>
        <w:tc>
          <w:tcPr>
            <w:tcW w:w="0" w:type="dxa"/>
            <w:vAlign w:val="bottom"/>
          </w:tcPr>
          <w:p>
            <w:pPr>
              <w:spacing w:after="0"/>
              <w:rPr>
                <w:sz w:val="1"/>
                <w:szCs w:val="1"/>
                <w:color w:val="auto"/>
              </w:rPr>
            </w:pPr>
          </w:p>
        </w:tc>
      </w:tr>
      <w:tr>
        <w:trPr>
          <w:trHeight w:val="229"/>
        </w:trPr>
        <w:tc>
          <w:tcPr>
            <w:tcW w:w="656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135"/>
              <w:spacing w:after="0"/>
              <w:rPr>
                <w:sz w:val="20"/>
                <w:szCs w:val="20"/>
                <w:color w:val="auto"/>
              </w:rPr>
            </w:pPr>
            <w:r>
              <w:rPr>
                <w:rFonts w:ascii="Arial" w:cs="Arial" w:eastAsia="Arial" w:hAnsi="Arial"/>
                <w:sz w:val="18"/>
                <w:szCs w:val="18"/>
                <w:color w:val="auto"/>
              </w:rPr>
              <w:t>24.2</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17.6</w:t>
            </w:r>
          </w:p>
        </w:tc>
        <w:tc>
          <w:tcPr>
            <w:tcW w:w="0" w:type="dxa"/>
            <w:vAlign w:val="bottom"/>
          </w:tcPr>
          <w:p>
            <w:pPr>
              <w:spacing w:after="0"/>
              <w:rPr>
                <w:sz w:val="1"/>
                <w:szCs w:val="1"/>
                <w:color w:val="auto"/>
              </w:rPr>
            </w:pPr>
          </w:p>
        </w:tc>
      </w:tr>
      <w:tr>
        <w:trPr>
          <w:trHeight w:val="230"/>
        </w:trPr>
        <w:tc>
          <w:tcPr>
            <w:tcW w:w="65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1.5</w:t>
            </w:r>
          </w:p>
        </w:tc>
        <w:tc>
          <w:tcPr>
            <w:tcW w:w="12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80" w:type="dxa"/>
            <w:vAlign w:val="bottom"/>
            <w:tcBorders>
              <w:bottom w:val="single" w:sz="8" w:color="auto"/>
            </w:tcBorders>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23"/>
        </w:trPr>
        <w:tc>
          <w:tcPr>
            <w:tcW w:w="65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320" w:type="dxa"/>
            <w:vAlign w:val="bottom"/>
            <w:tcBorders>
              <w:bottom w:val="single" w:sz="8" w:color="CCEEFF"/>
            </w:tcBorders>
          </w:tcPr>
          <w:p>
            <w:pPr>
              <w:spacing w:after="0"/>
              <w:rPr>
                <w:sz w:val="19"/>
                <w:szCs w:val="19"/>
                <w:color w:val="auto"/>
              </w:rPr>
            </w:pPr>
          </w:p>
        </w:tc>
        <w:tc>
          <w:tcPr>
            <w:tcW w:w="98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60.1</w:t>
            </w:r>
          </w:p>
        </w:tc>
        <w:tc>
          <w:tcPr>
            <w:tcW w:w="12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61.0</w:t>
            </w:r>
          </w:p>
        </w:tc>
        <w:tc>
          <w:tcPr>
            <w:tcW w:w="0" w:type="dxa"/>
            <w:vAlign w:val="bottom"/>
          </w:tcPr>
          <w:p>
            <w:pPr>
              <w:spacing w:after="0"/>
              <w:rPr>
                <w:sz w:val="1"/>
                <w:szCs w:val="1"/>
                <w:color w:val="auto"/>
              </w:rPr>
            </w:pPr>
          </w:p>
        </w:tc>
      </w:tr>
      <w:tr>
        <w:trPr>
          <w:trHeight w:val="223"/>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(9.9)</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(13.9)</w:t>
            </w:r>
          </w:p>
        </w:tc>
        <w:tc>
          <w:tcPr>
            <w:tcW w:w="0" w:type="dxa"/>
            <w:vAlign w:val="bottom"/>
          </w:tcPr>
          <w:p>
            <w:pPr>
              <w:spacing w:after="0"/>
              <w:rPr>
                <w:sz w:val="1"/>
                <w:szCs w:val="1"/>
                <w:color w:val="auto"/>
              </w:rPr>
            </w:pPr>
          </w:p>
        </w:tc>
      </w:tr>
      <w:tr>
        <w:trPr>
          <w:trHeight w:val="229"/>
        </w:trPr>
        <w:tc>
          <w:tcPr>
            <w:tcW w:w="656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3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60" w:type="dxa"/>
            <w:vAlign w:val="bottom"/>
            <w:gridSpan w:val="5"/>
          </w:tcPr>
          <w:p>
            <w:pPr>
              <w:jc w:val="right"/>
              <w:ind w:right="78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30"/>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(4.2)</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29"/>
        </w:trPr>
        <w:tc>
          <w:tcPr>
            <w:tcW w:w="65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income (loss), net</w:t>
            </w:r>
          </w:p>
        </w:tc>
        <w:tc>
          <w:tcPr>
            <w:tcW w:w="320" w:type="dxa"/>
            <w:vAlign w:val="bottom"/>
            <w:tcBorders>
              <w:bottom w:val="single" w:sz="8" w:color="CCEEFF"/>
            </w:tcBorders>
          </w:tcPr>
          <w:p>
            <w:pPr>
              <w:spacing w:after="0"/>
              <w:rPr>
                <w:sz w:val="19"/>
                <w:szCs w:val="19"/>
                <w:color w:val="auto"/>
              </w:rPr>
            </w:pPr>
          </w:p>
        </w:tc>
        <w:tc>
          <w:tcPr>
            <w:tcW w:w="98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0.1</w:t>
            </w:r>
          </w:p>
        </w:tc>
        <w:tc>
          <w:tcPr>
            <w:tcW w:w="12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3"/>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Loss before income taxes</w:t>
            </w:r>
          </w:p>
        </w:tc>
        <w:tc>
          <w:tcPr>
            <w:tcW w:w="3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(14.0)</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(15.6)</w:t>
            </w:r>
          </w:p>
        </w:tc>
        <w:tc>
          <w:tcPr>
            <w:tcW w:w="0" w:type="dxa"/>
            <w:vAlign w:val="bottom"/>
          </w:tcPr>
          <w:p>
            <w:pPr>
              <w:spacing w:after="0"/>
              <w:rPr>
                <w:sz w:val="1"/>
                <w:szCs w:val="1"/>
                <w:color w:val="auto"/>
              </w:rPr>
            </w:pPr>
          </w:p>
        </w:tc>
      </w:tr>
      <w:tr>
        <w:trPr>
          <w:trHeight w:val="229"/>
        </w:trPr>
        <w:tc>
          <w:tcPr>
            <w:tcW w:w="65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for income taxes</w:t>
            </w:r>
          </w:p>
        </w:tc>
        <w:tc>
          <w:tcPr>
            <w:tcW w:w="320" w:type="dxa"/>
            <w:vAlign w:val="bottom"/>
            <w:tcBorders>
              <w:bottom w:val="single" w:sz="8" w:color="CCEEFF"/>
            </w:tcBorders>
          </w:tcPr>
          <w:p>
            <w:pPr>
              <w:spacing w:after="0"/>
              <w:rPr>
                <w:sz w:val="19"/>
                <w:szCs w:val="19"/>
                <w:color w:val="auto"/>
              </w:rPr>
            </w:pPr>
          </w:p>
        </w:tc>
        <w:tc>
          <w:tcPr>
            <w:tcW w:w="98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95"/>
              <w:spacing w:after="0"/>
              <w:rPr>
                <w:sz w:val="20"/>
                <w:szCs w:val="20"/>
                <w:color w:val="auto"/>
              </w:rPr>
            </w:pPr>
            <w:r>
              <w:rPr>
                <w:rFonts w:ascii="Arial" w:cs="Arial" w:eastAsia="Arial" w:hAnsi="Arial"/>
                <w:sz w:val="18"/>
                <w:szCs w:val="18"/>
                <w:color w:val="auto"/>
              </w:rPr>
              <w:t>(3.3)</w:t>
            </w:r>
          </w:p>
        </w:tc>
        <w:tc>
          <w:tcPr>
            <w:tcW w:w="12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48"/>
        </w:trPr>
        <w:tc>
          <w:tcPr>
            <w:tcW w:w="6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3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w:t>
            </w:r>
          </w:p>
        </w:tc>
        <w:tc>
          <w:tcPr>
            <w:tcW w:w="12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auto"/>
            </w:tcBorders>
            <w:shd w:val="clear" w:color="auto" w:fill="CCEEFF"/>
          </w:tcPr>
          <w:p>
            <w:pPr>
              <w:spacing w:after="0"/>
              <w:rPr>
                <w:sz w:val="21"/>
                <w:szCs w:val="21"/>
                <w:color w:val="auto"/>
              </w:rPr>
            </w:pPr>
          </w:p>
        </w:tc>
        <w:tc>
          <w:tcPr>
            <w:tcW w:w="80" w:type="dxa"/>
            <w:vAlign w:val="bottom"/>
            <w:tcBorders>
              <w:bottom w:val="single" w:sz="8" w:color="auto"/>
            </w:tcBorders>
            <w:shd w:val="clear" w:color="auto" w:fill="CCEEFF"/>
          </w:tcPr>
          <w:p>
            <w:pPr>
              <w:spacing w:after="0"/>
              <w:rPr>
                <w:sz w:val="21"/>
                <w:szCs w:val="21"/>
                <w:color w:val="auto"/>
              </w:rPr>
            </w:pPr>
          </w:p>
        </w:tc>
        <w:tc>
          <w:tcPr>
            <w:tcW w:w="34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w:t>
            </w:r>
          </w:p>
        </w:tc>
        <w:tc>
          <w:tcPr>
            <w:tcW w:w="0" w:type="dxa"/>
            <w:vAlign w:val="bottom"/>
          </w:tcPr>
          <w:p>
            <w:pPr>
              <w:spacing w:after="0"/>
              <w:rPr>
                <w:sz w:val="1"/>
                <w:szCs w:val="1"/>
                <w:color w:val="auto"/>
              </w:rPr>
            </w:pPr>
          </w:p>
        </w:tc>
      </w:tr>
      <w:tr>
        <w:trPr>
          <w:trHeight w:val="20"/>
        </w:trPr>
        <w:tc>
          <w:tcPr>
            <w:tcW w:w="65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Three months ended May 1, 2021 and May 2, 2020</w:t>
            </w:r>
          </w:p>
        </w:tc>
        <w:tc>
          <w:tcPr>
            <w:tcW w:w="32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bottom w:val="single" w:sz="8" w:color="auto"/>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1"/>
        </w:trPr>
        <w:tc>
          <w:tcPr>
            <w:tcW w:w="6560" w:type="dxa"/>
            <w:vAlign w:val="bottom"/>
            <w:vMerge w:val="continue"/>
          </w:tcPr>
          <w:p>
            <w:pPr>
              <w:spacing w:after="0"/>
              <w:rPr>
                <w:sz w:val="24"/>
                <w:szCs w:val="24"/>
                <w:color w:val="auto"/>
              </w:rPr>
            </w:pPr>
          </w:p>
        </w:tc>
        <w:tc>
          <w:tcPr>
            <w:tcW w:w="3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5"/>
        </w:trPr>
        <w:tc>
          <w:tcPr>
            <w:tcW w:w="6560" w:type="dxa"/>
            <w:vAlign w:val="bottom"/>
          </w:tcPr>
          <w:p>
            <w:pPr>
              <w:ind w:left="420"/>
              <w:spacing w:after="0"/>
              <w:rPr>
                <w:sz w:val="20"/>
                <w:szCs w:val="20"/>
                <w:color w:val="auto"/>
              </w:rPr>
            </w:pPr>
            <w:r>
              <w:rPr>
                <w:rFonts w:ascii="Arial" w:cs="Arial" w:eastAsia="Arial" w:hAnsi="Arial"/>
                <w:sz w:val="18"/>
                <w:szCs w:val="18"/>
                <w:i w:val="1"/>
                <w:iCs w:val="1"/>
                <w:color w:val="auto"/>
              </w:rPr>
              <w:t>Net Revenue</w:t>
            </w:r>
          </w:p>
        </w:tc>
        <w:tc>
          <w:tcPr>
            <w:tcW w:w="3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5"/>
        </w:trPr>
        <w:tc>
          <w:tcPr>
            <w:tcW w:w="656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3080" w:type="dxa"/>
            <w:vAlign w:val="bottom"/>
            <w:tcBorders>
              <w:bottom w:val="single" w:sz="8" w:color="auto"/>
            </w:tcBorders>
            <w:gridSpan w:val="9"/>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4"/>
        </w:trPr>
        <w:tc>
          <w:tcPr>
            <w:tcW w:w="65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3"/>
          </w:tcPr>
          <w:p>
            <w:pPr>
              <w:jc w:val="center"/>
              <w:ind w:right="400"/>
              <w:spacing w:after="0" w:line="135" w:lineRule="exact"/>
              <w:rPr>
                <w:sz w:val="20"/>
                <w:szCs w:val="20"/>
                <w:color w:val="auto"/>
              </w:rPr>
            </w:pPr>
            <w:r>
              <w:rPr>
                <w:rFonts w:ascii="Arial" w:cs="Arial" w:eastAsia="Arial" w:hAnsi="Arial"/>
                <w:sz w:val="14"/>
                <w:szCs w:val="14"/>
                <w:b w:val="1"/>
                <w:bCs w:val="1"/>
                <w:color w:val="auto"/>
                <w:w w:val="98"/>
              </w:rPr>
              <w:t>May 1,</w:t>
            </w:r>
          </w:p>
        </w:tc>
        <w:tc>
          <w:tcPr>
            <w:tcW w:w="200" w:type="dxa"/>
            <w:vAlign w:val="bottom"/>
          </w:tcPr>
          <w:p>
            <w:pPr>
              <w:spacing w:after="0"/>
              <w:rPr>
                <w:sz w:val="11"/>
                <w:szCs w:val="11"/>
                <w:color w:val="auto"/>
              </w:rPr>
            </w:pPr>
          </w:p>
        </w:tc>
        <w:tc>
          <w:tcPr>
            <w:tcW w:w="1660" w:type="dxa"/>
            <w:vAlign w:val="bottom"/>
            <w:gridSpan w:val="5"/>
          </w:tcPr>
          <w:p>
            <w:pPr>
              <w:jc w:val="center"/>
              <w:ind w:right="640"/>
              <w:spacing w:after="0" w:line="135" w:lineRule="exact"/>
              <w:rPr>
                <w:sz w:val="20"/>
                <w:szCs w:val="20"/>
                <w:color w:val="auto"/>
              </w:rPr>
            </w:pPr>
            <w:r>
              <w:rPr>
                <w:rFonts w:ascii="Arial" w:cs="Arial" w:eastAsia="Arial" w:hAnsi="Arial"/>
                <w:sz w:val="14"/>
                <w:szCs w:val="14"/>
                <w:b w:val="1"/>
                <w:bCs w:val="1"/>
                <w:color w:val="auto"/>
                <w:w w:val="98"/>
              </w:rPr>
              <w:t>May 2,</w:t>
            </w:r>
          </w:p>
        </w:tc>
        <w:tc>
          <w:tcPr>
            <w:tcW w:w="1100" w:type="dxa"/>
            <w:vAlign w:val="bottom"/>
          </w:tcPr>
          <w:p>
            <w:pPr>
              <w:jc w:val="right"/>
              <w:ind w:right="574"/>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65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6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2020</w:t>
            </w:r>
          </w:p>
        </w:tc>
        <w:tc>
          <w:tcPr>
            <w:tcW w:w="12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8"/>
        </w:trPr>
        <w:tc>
          <w:tcPr>
            <w:tcW w:w="65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80" w:type="dxa"/>
            <w:vAlign w:val="bottom"/>
            <w:gridSpan w:val="9"/>
          </w:tcPr>
          <w:p>
            <w:pPr>
              <w:jc w:val="center"/>
              <w:ind w:left="704"/>
              <w:spacing w:after="0"/>
              <w:rPr>
                <w:sz w:val="20"/>
                <w:szCs w:val="20"/>
                <w:color w:val="auto"/>
              </w:rPr>
            </w:pPr>
            <w:r>
              <w:rPr>
                <w:rFonts w:ascii="Arial" w:cs="Arial" w:eastAsia="Arial" w:hAnsi="Arial"/>
                <w:sz w:val="14"/>
                <w:szCs w:val="14"/>
                <w:b w:val="1"/>
                <w:bCs w:val="1"/>
                <w:color w:val="auto"/>
                <w:w w:val="90"/>
              </w:rPr>
              <w:t>(in thousands, except percentage)</w:t>
            </w: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5"/>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832,279</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693,641</w:t>
            </w:r>
          </w:p>
        </w:tc>
        <w:tc>
          <w:tcPr>
            <w:tcW w:w="2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100" w:type="dxa"/>
            <w:vAlign w:val="bottom"/>
            <w:shd w:val="clear" w:color="auto" w:fill="CCEEFF"/>
          </w:tcPr>
          <w:p>
            <w:pPr>
              <w:jc w:val="right"/>
              <w:ind w:right="414"/>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bl>
    <w:p>
      <w:pPr>
        <w:spacing w:after="0" w:line="33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net revenue for the three months ended May 1, 2021 increased by $138.6 million compared to net revenue for the three months ended May 2,</w:t>
      </w:r>
    </w:p>
    <w:p>
      <w:pPr>
        <w:spacing w:after="0" w:line="35" w:lineRule="exact"/>
        <w:rPr>
          <w:sz w:val="20"/>
          <w:szCs w:val="20"/>
          <w:color w:val="auto"/>
        </w:rPr>
      </w:pPr>
    </w:p>
    <w:p>
      <w:pPr>
        <w:ind w:right="20"/>
        <w:spacing w:after="0" w:line="253" w:lineRule="auto"/>
        <w:rPr>
          <w:sz w:val="20"/>
          <w:szCs w:val="20"/>
          <w:color w:val="auto"/>
        </w:rPr>
      </w:pPr>
      <w:r>
        <w:rPr>
          <w:rFonts w:ascii="Arial" w:cs="Arial" w:eastAsia="Arial" w:hAnsi="Arial"/>
          <w:sz w:val="17"/>
          <w:szCs w:val="17"/>
          <w:color w:val="auto"/>
        </w:rPr>
        <w:t>2020. This was primarily due to increased sales of our networking products by 26%, and increased sales of our storage products by 17%, partially offset by decreased sales of other products by 24% compared to the three months ended May 2, 2020. The increased sales of our networking products were primarily due to an increase in demand for our ethernet, embedded processor and automotive networking products across all end markets. In addition, Inphi contributed $21.8 million of net revenue during the three months ended May 1, 2021. The increased sales of our storage products were primarily due to an increase in demand for our SSD controllers. The decrease in sales of our other products is because we have stopped investing in these products and we expect that sales for these products will continue to decline over time.</w:t>
      </w:r>
    </w:p>
    <w:p>
      <w:pPr>
        <w:spacing w:after="0" w:line="206"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In the three months ended May 1, 2021, unit shipments were 8% higher and average selling prices increased 12% compared to the three months ended May 2, 2020, for an overall increase in net revenue of 20%. This was primarily driven by our recent portfolio changes, including the acquisition of Avera ASIC business, which increased our average selling prices.</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34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3240" w:type="dxa"/>
            <w:vAlign w:val="bottom"/>
            <w:tcBorders>
              <w:bottom w:val="single" w:sz="8" w:color="auto"/>
            </w:tcBorders>
            <w:gridSpan w:val="6"/>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tcBorders>
              <w:bottom w:val="single" w:sz="8" w:color="auto"/>
            </w:tcBorders>
          </w:tcPr>
          <w:p>
            <w:pPr>
              <w:spacing w:after="0"/>
              <w:rPr>
                <w:sz w:val="16"/>
                <w:szCs w:val="16"/>
                <w:color w:val="auto"/>
              </w:rPr>
            </w:pPr>
          </w:p>
        </w:tc>
      </w:tr>
      <w:tr>
        <w:trPr>
          <w:trHeight w:val="135"/>
        </w:trPr>
        <w:tc>
          <w:tcPr>
            <w:tcW w:w="6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320" w:type="dxa"/>
            <w:vAlign w:val="bottom"/>
            <w:gridSpan w:val="2"/>
          </w:tcPr>
          <w:p>
            <w:pPr>
              <w:ind w:left="220"/>
              <w:spacing w:after="0" w:line="135" w:lineRule="exact"/>
              <w:rPr>
                <w:sz w:val="20"/>
                <w:szCs w:val="20"/>
                <w:color w:val="auto"/>
              </w:rPr>
            </w:pPr>
            <w:r>
              <w:rPr>
                <w:rFonts w:ascii="Arial" w:cs="Arial" w:eastAsia="Arial" w:hAnsi="Arial"/>
                <w:sz w:val="14"/>
                <w:szCs w:val="14"/>
                <w:b w:val="1"/>
                <w:bCs w:val="1"/>
                <w:color w:val="auto"/>
              </w:rPr>
              <w:t>May 1,</w:t>
            </w:r>
          </w:p>
        </w:tc>
        <w:tc>
          <w:tcPr>
            <w:tcW w:w="340" w:type="dxa"/>
            <w:vAlign w:val="bottom"/>
          </w:tcPr>
          <w:p>
            <w:pPr>
              <w:spacing w:after="0"/>
              <w:rPr>
                <w:sz w:val="11"/>
                <w:szCs w:val="11"/>
                <w:color w:val="auto"/>
              </w:rPr>
            </w:pPr>
          </w:p>
        </w:tc>
        <w:tc>
          <w:tcPr>
            <w:tcW w:w="158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40" w:type="dxa"/>
            <w:vAlign w:val="bottom"/>
          </w:tcPr>
          <w:p>
            <w:pPr>
              <w:jc w:val="center"/>
              <w:ind w:right="159"/>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34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5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240" w:type="dxa"/>
            <w:vAlign w:val="bottom"/>
            <w:gridSpan w:val="6"/>
          </w:tcPr>
          <w:p>
            <w:pPr>
              <w:ind w:left="1000"/>
              <w:spacing w:after="0"/>
              <w:rPr>
                <w:sz w:val="20"/>
                <w:szCs w:val="20"/>
                <w:color w:val="auto"/>
              </w:rPr>
            </w:pPr>
            <w:r>
              <w:rPr>
                <w:rFonts w:ascii="Arial" w:cs="Arial" w:eastAsia="Arial" w:hAnsi="Arial"/>
                <w:sz w:val="14"/>
                <w:szCs w:val="14"/>
                <w:b w:val="1"/>
                <w:bCs w:val="1"/>
                <w:color w:val="auto"/>
                <w:w w:val="97"/>
              </w:rPr>
              <w:t>(in thousands, except percentage)</w:t>
            </w:r>
          </w:p>
        </w:tc>
        <w:tc>
          <w:tcPr>
            <w:tcW w:w="1140" w:type="dxa"/>
            <w:vAlign w:val="bottom"/>
          </w:tcPr>
          <w:p>
            <w:pPr>
              <w:spacing w:after="0"/>
              <w:rPr>
                <w:sz w:val="18"/>
                <w:szCs w:val="18"/>
                <w:color w:val="auto"/>
              </w:rPr>
            </w:pPr>
          </w:p>
        </w:tc>
      </w:tr>
      <w:tr>
        <w:trPr>
          <w:trHeight w:val="236"/>
        </w:trPr>
        <w:tc>
          <w:tcPr>
            <w:tcW w:w="6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414,138</w:t>
            </w:r>
          </w:p>
        </w:tc>
        <w:tc>
          <w:tcPr>
            <w:tcW w:w="100" w:type="dxa"/>
            <w:vAlign w:val="bottom"/>
            <w:shd w:val="clear" w:color="auto" w:fill="CCEEFF"/>
          </w:tcPr>
          <w:p>
            <w:pPr>
              <w:spacing w:after="0"/>
              <w:rPr>
                <w:sz w:val="20"/>
                <w:szCs w:val="20"/>
                <w:color w:val="auto"/>
              </w:rPr>
            </w:pP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366,739</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40" w:type="dxa"/>
            <w:vAlign w:val="bottom"/>
            <w:shd w:val="clear" w:color="auto" w:fill="CCEEFF"/>
          </w:tcPr>
          <w:p>
            <w:pPr>
              <w:jc w:val="center"/>
              <w:ind w:right="159"/>
              <w:spacing w:after="0"/>
              <w:rPr>
                <w:sz w:val="20"/>
                <w:szCs w:val="20"/>
                <w:color w:val="auto"/>
              </w:rPr>
            </w:pPr>
            <w:r>
              <w:rPr>
                <w:rFonts w:ascii="Arial" w:cs="Arial" w:eastAsia="Arial" w:hAnsi="Arial"/>
                <w:sz w:val="18"/>
                <w:szCs w:val="18"/>
                <w:color w:val="auto"/>
                <w:w w:val="90"/>
              </w:rPr>
              <w:t>12.9%</w:t>
            </w:r>
          </w:p>
        </w:tc>
      </w:tr>
      <w:tr>
        <w:trPr>
          <w:trHeight w:val="230"/>
        </w:trPr>
        <w:tc>
          <w:tcPr>
            <w:tcW w:w="63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49.8 %</w:t>
            </w:r>
          </w:p>
        </w:tc>
        <w:tc>
          <w:tcPr>
            <w:tcW w:w="100" w:type="dxa"/>
            <w:vAlign w:val="bottom"/>
            <w:tcBorders>
              <w:bottom w:val="single" w:sz="8" w:color="CCEEFF"/>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52.9 %</w:t>
            </w:r>
          </w:p>
        </w:tc>
        <w:tc>
          <w:tcPr>
            <w:tcW w:w="100" w:type="dxa"/>
            <w:vAlign w:val="bottom"/>
            <w:tcBorders>
              <w:bottom w:val="single" w:sz="8" w:color="CCEEFF"/>
            </w:tcBorders>
          </w:tcPr>
          <w:p>
            <w:pPr>
              <w:spacing w:after="0"/>
              <w:rPr>
                <w:sz w:val="19"/>
                <w:szCs w:val="19"/>
                <w:color w:val="auto"/>
              </w:rPr>
            </w:pPr>
          </w:p>
        </w:tc>
        <w:tc>
          <w:tcPr>
            <w:tcW w:w="260" w:type="dxa"/>
            <w:vAlign w:val="bottom"/>
            <w:tcBorders>
              <w:bottom w:val="single" w:sz="8" w:color="CCEEFF"/>
            </w:tcBorders>
          </w:tcPr>
          <w:p>
            <w:pPr>
              <w:spacing w:after="0"/>
              <w:rPr>
                <w:sz w:val="19"/>
                <w:szCs w:val="19"/>
                <w:color w:val="auto"/>
              </w:rPr>
            </w:pPr>
          </w:p>
        </w:tc>
        <w:tc>
          <w:tcPr>
            <w:tcW w:w="1140" w:type="dxa"/>
            <w:vAlign w:val="bottom"/>
            <w:tcBorders>
              <w:bottom w:val="single" w:sz="8" w:color="CCEEFF"/>
            </w:tcBorders>
          </w:tcPr>
          <w:p>
            <w:pPr>
              <w:spacing w:after="0"/>
              <w:rPr>
                <w:sz w:val="19"/>
                <w:szCs w:val="19"/>
                <w:color w:val="auto"/>
              </w:rPr>
            </w:pPr>
          </w:p>
        </w:tc>
      </w:tr>
      <w:tr>
        <w:trPr>
          <w:trHeight w:val="223"/>
        </w:trPr>
        <w:tc>
          <w:tcPr>
            <w:tcW w:w="6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shd w:val="clear" w:color="auto" w:fill="CCEEFF"/>
          </w:tcPr>
          <w:p>
            <w:pPr>
              <w:jc w:val="right"/>
              <w:ind w:right="139"/>
              <w:spacing w:after="0"/>
              <w:rPr>
                <w:sz w:val="20"/>
                <w:szCs w:val="20"/>
                <w:color w:val="auto"/>
              </w:rPr>
            </w:pPr>
            <w:r>
              <w:rPr>
                <w:rFonts w:ascii="Arial" w:cs="Arial" w:eastAsia="Arial" w:hAnsi="Arial"/>
                <w:sz w:val="18"/>
                <w:szCs w:val="18"/>
                <w:color w:val="auto"/>
              </w:rPr>
              <w:t>418,141</w:t>
            </w:r>
          </w:p>
        </w:tc>
        <w:tc>
          <w:tcPr>
            <w:tcW w:w="100" w:type="dxa"/>
            <w:vAlign w:val="bottom"/>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shd w:val="clear" w:color="auto" w:fill="CCEEFF"/>
          </w:tcPr>
          <w:p>
            <w:pPr>
              <w:jc w:val="right"/>
              <w:ind w:right="136"/>
              <w:spacing w:after="0"/>
              <w:rPr>
                <w:sz w:val="20"/>
                <w:szCs w:val="20"/>
                <w:color w:val="auto"/>
              </w:rPr>
            </w:pPr>
            <w:r>
              <w:rPr>
                <w:rFonts w:ascii="Arial" w:cs="Arial" w:eastAsia="Arial" w:hAnsi="Arial"/>
                <w:sz w:val="18"/>
                <w:szCs w:val="18"/>
                <w:color w:val="auto"/>
              </w:rPr>
              <w:t>326,902</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40" w:type="dxa"/>
            <w:vAlign w:val="bottom"/>
            <w:shd w:val="clear" w:color="auto" w:fill="CCEEFF"/>
          </w:tcPr>
          <w:p>
            <w:pPr>
              <w:jc w:val="center"/>
              <w:ind w:right="159"/>
              <w:spacing w:after="0"/>
              <w:rPr>
                <w:sz w:val="20"/>
                <w:szCs w:val="20"/>
                <w:color w:val="auto"/>
              </w:rPr>
            </w:pPr>
            <w:r>
              <w:rPr>
                <w:rFonts w:ascii="Arial" w:cs="Arial" w:eastAsia="Arial" w:hAnsi="Arial"/>
                <w:sz w:val="18"/>
                <w:szCs w:val="18"/>
                <w:color w:val="auto"/>
                <w:w w:val="90"/>
              </w:rPr>
              <w:t>27.9%</w:t>
            </w:r>
          </w:p>
        </w:tc>
      </w:tr>
      <w:tr>
        <w:trPr>
          <w:trHeight w:val="224"/>
        </w:trPr>
        <w:tc>
          <w:tcPr>
            <w:tcW w:w="63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50.2 %</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47.1 %</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40" w:type="dxa"/>
            <w:vAlign w:val="bottom"/>
          </w:tcPr>
          <w:p>
            <w:pPr>
              <w:spacing w:after="0"/>
              <w:rPr>
                <w:sz w:val="19"/>
                <w:szCs w:val="19"/>
                <w:color w:val="auto"/>
              </w:rPr>
            </w:pPr>
          </w:p>
        </w:tc>
      </w:tr>
    </w:tbl>
    <w:p>
      <w:pPr>
        <w:spacing w:after="0" w:line="336" w:lineRule="exact"/>
        <w:rPr>
          <w:sz w:val="20"/>
          <w:szCs w:val="20"/>
          <w:color w:val="auto"/>
        </w:rPr>
      </w:pPr>
    </w:p>
    <w:p>
      <w:pPr>
        <w:ind w:right="200" w:firstLine="405"/>
        <w:spacing w:after="0" w:line="248" w:lineRule="auto"/>
        <w:rPr>
          <w:sz w:val="20"/>
          <w:szCs w:val="20"/>
          <w:color w:val="auto"/>
        </w:rPr>
      </w:pPr>
      <w:r>
        <w:rPr>
          <w:rFonts w:ascii="Arial" w:cs="Arial" w:eastAsia="Arial" w:hAnsi="Arial"/>
          <w:sz w:val="18"/>
          <w:szCs w:val="18"/>
          <w:color w:val="auto"/>
        </w:rPr>
        <w:t>Cost of goods sold as a percentage of net revenue decreased for the three months ended May 1, 2021 compared to the three months ended May 2, 2020, which is primarily due to improved product mix. As a result, gross margin for the three months ended May 1, 2021 increased 3.1 percentage points compared to the three months ended May 2, 2020.</w:t>
      </w:r>
    </w:p>
    <w:p>
      <w:pPr>
        <w:spacing w:after="0" w:line="200" w:lineRule="exact"/>
        <w:rPr>
          <w:sz w:val="20"/>
          <w:szCs w:val="20"/>
          <w:color w:val="auto"/>
        </w:rPr>
      </w:pP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3240" w:type="dxa"/>
            <w:vAlign w:val="bottom"/>
            <w:tcBorders>
              <w:bottom w:val="single" w:sz="8" w:color="auto"/>
            </w:tcBorders>
            <w:gridSpan w:val="7"/>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tcBorders>
              <w:bottom w:val="single" w:sz="8" w:color="auto"/>
            </w:tcBorders>
          </w:tcPr>
          <w:p>
            <w:pPr>
              <w:spacing w:after="0"/>
              <w:rPr>
                <w:sz w:val="16"/>
                <w:szCs w:val="16"/>
                <w:color w:val="auto"/>
              </w:rPr>
            </w:pPr>
          </w:p>
        </w:tc>
      </w:tr>
      <w:tr>
        <w:trPr>
          <w:trHeight w:val="135"/>
        </w:trPr>
        <w:tc>
          <w:tcPr>
            <w:tcW w:w="6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0" w:type="dxa"/>
            <w:vAlign w:val="bottom"/>
          </w:tcPr>
          <w:p>
            <w:pPr>
              <w:jc w:val="right"/>
              <w:ind w:right="281"/>
              <w:spacing w:after="0" w:line="135" w:lineRule="exact"/>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58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4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41"/>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240" w:type="dxa"/>
            <w:vAlign w:val="bottom"/>
            <w:gridSpan w:val="6"/>
          </w:tcPr>
          <w:p>
            <w:pPr>
              <w:spacing w:after="0"/>
              <w:rPr>
                <w:sz w:val="20"/>
                <w:szCs w:val="20"/>
                <w:color w:val="auto"/>
              </w:rPr>
            </w:pPr>
            <w:r>
              <w:rPr>
                <w:rFonts w:ascii="Arial" w:cs="Arial" w:eastAsia="Arial" w:hAnsi="Arial"/>
                <w:sz w:val="14"/>
                <w:szCs w:val="14"/>
                <w:b w:val="1"/>
                <w:bCs w:val="1"/>
                <w:color w:val="auto"/>
                <w:w w:val="97"/>
              </w:rPr>
              <w:t>(in thousands, except percentage)</w:t>
            </w:r>
          </w:p>
        </w:tc>
        <w:tc>
          <w:tcPr>
            <w:tcW w:w="1140" w:type="dxa"/>
            <w:vAlign w:val="bottom"/>
          </w:tcPr>
          <w:p>
            <w:pPr>
              <w:spacing w:after="0"/>
              <w:rPr>
                <w:sz w:val="18"/>
                <w:szCs w:val="18"/>
                <w:color w:val="auto"/>
              </w:rPr>
            </w:pPr>
          </w:p>
        </w:tc>
      </w:tr>
      <w:tr>
        <w:trPr>
          <w:trHeight w:val="236"/>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286,100</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279,584</w:t>
            </w:r>
          </w:p>
        </w:tc>
        <w:tc>
          <w:tcPr>
            <w:tcW w:w="12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140" w:type="dxa"/>
            <w:vAlign w:val="bottom"/>
            <w:shd w:val="clear" w:color="auto" w:fill="CCEEFF"/>
          </w:tcPr>
          <w:p>
            <w:pPr>
              <w:jc w:val="right"/>
              <w:ind w:right="442"/>
              <w:spacing w:after="0"/>
              <w:rPr>
                <w:sz w:val="20"/>
                <w:szCs w:val="20"/>
                <w:color w:val="auto"/>
              </w:rPr>
            </w:pPr>
            <w:r>
              <w:rPr>
                <w:rFonts w:ascii="Arial" w:cs="Arial" w:eastAsia="Arial" w:hAnsi="Arial"/>
                <w:sz w:val="18"/>
                <w:szCs w:val="18"/>
                <w:color w:val="auto"/>
              </w:rPr>
              <w:t>2.3%</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20"/>
                <w:szCs w:val="20"/>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34.4 %</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40.3 %</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40" w:type="dxa"/>
            <w:vAlign w:val="bottom"/>
          </w:tcPr>
          <w:p>
            <w:pPr>
              <w:spacing w:after="0"/>
              <w:rPr>
                <w:sz w:val="20"/>
                <w:szCs w:val="20"/>
                <w:color w:val="auto"/>
              </w:rPr>
            </w:pPr>
          </w:p>
        </w:tc>
      </w:tr>
    </w:tbl>
    <w:p>
      <w:pPr>
        <w:spacing w:after="0" w:line="336" w:lineRule="exact"/>
        <w:rPr>
          <w:sz w:val="20"/>
          <w:szCs w:val="20"/>
          <w:color w:val="auto"/>
        </w:rPr>
      </w:pPr>
    </w:p>
    <w:p>
      <w:pPr>
        <w:jc w:val="both"/>
        <w:ind w:right="320" w:firstLine="405"/>
        <w:spacing w:after="0" w:line="248" w:lineRule="auto"/>
        <w:rPr>
          <w:sz w:val="20"/>
          <w:szCs w:val="20"/>
          <w:color w:val="auto"/>
        </w:rPr>
      </w:pPr>
      <w:r>
        <w:rPr>
          <w:rFonts w:ascii="Arial" w:cs="Arial" w:eastAsia="Arial" w:hAnsi="Arial"/>
          <w:sz w:val="18"/>
          <w:szCs w:val="18"/>
          <w:color w:val="auto"/>
        </w:rPr>
        <w:t>Research and development expense increased by $6.5 million in the three months ended May 1, 2021 compared to the three months ended May 2, 2020. The increase was primarily due to lower non-recurring engineering credits of $6.4 million recognized in the current period compared to the three months ended May 2, 2020.</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4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3180" w:type="dxa"/>
            <w:vAlign w:val="bottom"/>
            <w:tcBorders>
              <w:bottom w:val="single" w:sz="8" w:color="auto"/>
            </w:tcBorders>
            <w:gridSpan w:val="7"/>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tcBorders>
              <w:bottom w:val="single" w:sz="8" w:color="auto"/>
            </w:tcBorders>
          </w:tcPr>
          <w:p>
            <w:pPr>
              <w:spacing w:after="0"/>
              <w:rPr>
                <w:sz w:val="16"/>
                <w:szCs w:val="16"/>
                <w:color w:val="auto"/>
              </w:rPr>
            </w:pPr>
          </w:p>
        </w:tc>
      </w:tr>
      <w:tr>
        <w:trPr>
          <w:trHeight w:val="134"/>
        </w:trPr>
        <w:tc>
          <w:tcPr>
            <w:tcW w:w="6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40" w:type="dxa"/>
            <w:vAlign w:val="bottom"/>
          </w:tcPr>
          <w:p>
            <w:pPr>
              <w:jc w:val="right"/>
              <w:ind w:right="241"/>
              <w:spacing w:after="0" w:line="135" w:lineRule="exact"/>
              <w:rPr>
                <w:sz w:val="20"/>
                <w:szCs w:val="20"/>
                <w:color w:val="auto"/>
              </w:rPr>
            </w:pPr>
            <w:r>
              <w:rPr>
                <w:rFonts w:ascii="Arial" w:cs="Arial" w:eastAsia="Arial" w:hAnsi="Arial"/>
                <w:sz w:val="14"/>
                <w:szCs w:val="14"/>
                <w:b w:val="1"/>
                <w:bCs w:val="1"/>
                <w:color w:val="auto"/>
              </w:rPr>
              <w:t>May 1,</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620" w:type="dxa"/>
            <w:vAlign w:val="bottom"/>
            <w:gridSpan w:val="3"/>
          </w:tcPr>
          <w:p>
            <w:pPr>
              <w:jc w:val="center"/>
              <w:ind w:right="760"/>
              <w:spacing w:after="0" w:line="135" w:lineRule="exact"/>
              <w:rPr>
                <w:sz w:val="20"/>
                <w:szCs w:val="20"/>
                <w:color w:val="auto"/>
              </w:rPr>
            </w:pPr>
            <w:r>
              <w:rPr>
                <w:rFonts w:ascii="Arial" w:cs="Arial" w:eastAsia="Arial" w:hAnsi="Arial"/>
                <w:sz w:val="14"/>
                <w:szCs w:val="14"/>
                <w:b w:val="1"/>
                <w:bCs w:val="1"/>
                <w:color w:val="auto"/>
                <w:w w:val="98"/>
              </w:rPr>
              <w:t>May 2,</w:t>
            </w:r>
          </w:p>
        </w:tc>
        <w:tc>
          <w:tcPr>
            <w:tcW w:w="110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4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01"/>
              <w:spacing w:after="0"/>
              <w:rPr>
                <w:sz w:val="20"/>
                <w:szCs w:val="20"/>
                <w:color w:val="auto"/>
              </w:rPr>
            </w:pPr>
            <w:r>
              <w:rPr>
                <w:rFonts w:ascii="Arial" w:cs="Arial" w:eastAsia="Arial" w:hAnsi="Arial"/>
                <w:sz w:val="14"/>
                <w:szCs w:val="14"/>
                <w:b w:val="1"/>
                <w:bCs w:val="1"/>
                <w:color w:val="auto"/>
              </w:rPr>
              <w:t>2021</w:t>
            </w:r>
          </w:p>
        </w:tc>
        <w:tc>
          <w:tcPr>
            <w:tcW w:w="1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259"/>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4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240" w:type="dxa"/>
            <w:vAlign w:val="bottom"/>
            <w:gridSpan w:val="6"/>
          </w:tcPr>
          <w:p>
            <w:pPr>
              <w:jc w:val="center"/>
              <w:ind w:right="120"/>
              <w:spacing w:after="0"/>
              <w:rPr>
                <w:sz w:val="20"/>
                <w:szCs w:val="20"/>
                <w:color w:val="auto"/>
              </w:rPr>
            </w:pPr>
            <w:r>
              <w:rPr>
                <w:rFonts w:ascii="Arial" w:cs="Arial" w:eastAsia="Arial" w:hAnsi="Arial"/>
                <w:sz w:val="14"/>
                <w:szCs w:val="14"/>
                <w:b w:val="1"/>
                <w:bCs w:val="1"/>
                <w:color w:val="auto"/>
                <w:w w:val="89"/>
              </w:rPr>
              <w:t>(in thousands, except percentage)</w:t>
            </w:r>
          </w:p>
        </w:tc>
        <w:tc>
          <w:tcPr>
            <w:tcW w:w="1100" w:type="dxa"/>
            <w:vAlign w:val="bottom"/>
          </w:tcPr>
          <w:p>
            <w:pPr>
              <w:spacing w:after="0"/>
              <w:rPr>
                <w:sz w:val="18"/>
                <w:szCs w:val="18"/>
                <w:color w:val="auto"/>
              </w:rPr>
            </w:pPr>
          </w:p>
        </w:tc>
      </w:tr>
      <w:tr>
        <w:trPr>
          <w:trHeight w:val="235"/>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201,466</w:t>
            </w:r>
          </w:p>
        </w:tc>
        <w:tc>
          <w:tcPr>
            <w:tcW w:w="6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122,027</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00" w:type="dxa"/>
            <w:vAlign w:val="bottom"/>
            <w:shd w:val="clear" w:color="auto" w:fill="CCEEFF"/>
          </w:tcPr>
          <w:p>
            <w:pPr>
              <w:jc w:val="right"/>
              <w:ind w:right="382"/>
              <w:spacing w:after="0"/>
              <w:rPr>
                <w:sz w:val="20"/>
                <w:szCs w:val="20"/>
                <w:color w:val="auto"/>
              </w:rPr>
            </w:pPr>
            <w:r>
              <w:rPr>
                <w:rFonts w:ascii="Arial" w:cs="Arial" w:eastAsia="Arial" w:hAnsi="Arial"/>
                <w:sz w:val="18"/>
                <w:szCs w:val="18"/>
                <w:color w:val="auto"/>
              </w:rPr>
              <w:t>65.1%</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24.2 %</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17.6 %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00" w:type="dxa"/>
            <w:vAlign w:val="bottom"/>
          </w:tcPr>
          <w:p>
            <w:pPr>
              <w:spacing w:after="0"/>
              <w:rPr>
                <w:sz w:val="20"/>
                <w:szCs w:val="20"/>
                <w:color w:val="auto"/>
              </w:rPr>
            </w:pPr>
          </w:p>
        </w:tc>
      </w:tr>
    </w:tbl>
    <w:p>
      <w:pPr>
        <w:spacing w:after="0" w:line="322" w:lineRule="exact"/>
        <w:rPr>
          <w:sz w:val="20"/>
          <w:szCs w:val="20"/>
          <w:color w:val="auto"/>
        </w:rPr>
      </w:pPr>
    </w:p>
    <w:p>
      <w:pPr>
        <w:ind w:firstLine="405"/>
        <w:spacing w:after="0" w:line="235" w:lineRule="auto"/>
        <w:rPr>
          <w:sz w:val="20"/>
          <w:szCs w:val="20"/>
          <w:color w:val="auto"/>
        </w:rPr>
      </w:pPr>
      <w:r>
        <w:rPr>
          <w:rFonts w:ascii="Arial" w:cs="Arial" w:eastAsia="Arial" w:hAnsi="Arial"/>
          <w:sz w:val="18"/>
          <w:szCs w:val="18"/>
          <w:color w:val="auto"/>
        </w:rPr>
        <w:t>Selling, general and administrative expense increased by $79.4 million in the three months ended May 1, 2021 compared to the three months ended May 2, 2020. The increase was primarily due to Inphi transaction expenses of $45.8 million incurred in Q1 fiscal 2022, as well as $43.8 million stock based compensation expense related to accelerated vesting of Inphi equity awards at merger close.</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gridSpan w:val="7"/>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tcBorders>
              <w:bottom w:val="single" w:sz="8" w:color="auto"/>
            </w:tcBorders>
          </w:tcPr>
          <w:p>
            <w:pPr>
              <w:spacing w:after="0"/>
              <w:rPr>
                <w:sz w:val="16"/>
                <w:szCs w:val="16"/>
                <w:color w:val="auto"/>
              </w:rPr>
            </w:pPr>
          </w:p>
        </w:tc>
      </w:tr>
      <w:tr>
        <w:trPr>
          <w:trHeight w:val="135"/>
        </w:trPr>
        <w:tc>
          <w:tcPr>
            <w:tcW w:w="6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0" w:type="dxa"/>
            <w:vAlign w:val="bottom"/>
          </w:tcPr>
          <w:p>
            <w:pPr>
              <w:jc w:val="right"/>
              <w:ind w:right="281"/>
              <w:spacing w:after="0" w:line="135" w:lineRule="exact"/>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56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60" w:type="dxa"/>
            <w:vAlign w:val="bottom"/>
          </w:tcPr>
          <w:p>
            <w:pPr>
              <w:jc w:val="center"/>
              <w:ind w:right="2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41"/>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162"/>
              <w:spacing w:after="0"/>
              <w:rPr>
                <w:sz w:val="20"/>
                <w:szCs w:val="20"/>
                <w:color w:val="auto"/>
              </w:rPr>
            </w:pPr>
            <w:r>
              <w:rPr>
                <w:rFonts w:ascii="Arial" w:cs="Arial" w:eastAsia="Arial" w:hAnsi="Arial"/>
                <w:sz w:val="14"/>
                <w:szCs w:val="14"/>
                <w:b w:val="1"/>
                <w:bCs w:val="1"/>
                <w:color w:val="auto"/>
                <w:w w:val="93"/>
              </w:rPr>
              <w:t>Change</w:t>
            </w:r>
          </w:p>
        </w:tc>
      </w:tr>
      <w:tr>
        <w:trPr>
          <w:trHeight w:val="218"/>
        </w:trPr>
        <w:tc>
          <w:tcPr>
            <w:tcW w:w="6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220" w:type="dxa"/>
            <w:vAlign w:val="bottom"/>
            <w:gridSpan w:val="6"/>
          </w:tcPr>
          <w:p>
            <w:pPr>
              <w:spacing w:after="0"/>
              <w:rPr>
                <w:sz w:val="20"/>
                <w:szCs w:val="20"/>
                <w:color w:val="auto"/>
              </w:rPr>
            </w:pPr>
            <w:r>
              <w:rPr>
                <w:rFonts w:ascii="Arial" w:cs="Arial" w:eastAsia="Arial" w:hAnsi="Arial"/>
                <w:sz w:val="14"/>
                <w:szCs w:val="14"/>
                <w:b w:val="1"/>
                <w:bCs w:val="1"/>
                <w:color w:val="auto"/>
                <w:w w:val="96"/>
              </w:rPr>
              <w:t>(in thousands, except percentage)</w:t>
            </w:r>
          </w:p>
        </w:tc>
        <w:tc>
          <w:tcPr>
            <w:tcW w:w="1160" w:type="dxa"/>
            <w:vAlign w:val="bottom"/>
          </w:tcPr>
          <w:p>
            <w:pPr>
              <w:spacing w:after="0"/>
              <w:rPr>
                <w:sz w:val="18"/>
                <w:szCs w:val="18"/>
                <w:color w:val="auto"/>
              </w:rPr>
            </w:pPr>
          </w:p>
        </w:tc>
      </w:tr>
      <w:tr>
        <w:trPr>
          <w:trHeight w:val="235"/>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12,886</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21,287</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60" w:type="dxa"/>
            <w:vAlign w:val="bottom"/>
            <w:shd w:val="clear" w:color="auto" w:fill="CCEEFF"/>
          </w:tcPr>
          <w:p>
            <w:pPr>
              <w:jc w:val="center"/>
              <w:ind w:right="162"/>
              <w:spacing w:after="0"/>
              <w:rPr>
                <w:sz w:val="20"/>
                <w:szCs w:val="20"/>
                <w:color w:val="auto"/>
              </w:rPr>
            </w:pPr>
            <w:r>
              <w:rPr>
                <w:rFonts w:ascii="Arial" w:cs="Arial" w:eastAsia="Arial" w:hAnsi="Arial"/>
                <w:sz w:val="18"/>
                <w:szCs w:val="18"/>
                <w:color w:val="auto"/>
                <w:w w:val="95"/>
              </w:rPr>
              <w:t>(39.5)%</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20"/>
                <w:szCs w:val="20"/>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1.5 %</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3.1 %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r>
    </w:tbl>
    <w:p>
      <w:pPr>
        <w:spacing w:after="0" w:line="336"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We recognized $12.9 million of total restructuring related charges in the three months ended May 1, 2021 as we continue to evaluate our existing operations to increase operational efficiency, decrease costs and increase profitability. See “Note 7 - Restructuring” in the Notes to the Unaudited Condensed Consolidated Financial Statements for further information.</w:t>
      </w: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3560" w:type="dxa"/>
            <w:vAlign w:val="bottom"/>
            <w:tcBorders>
              <w:bottom w:val="single" w:sz="8" w:color="auto"/>
            </w:tcBorders>
            <w:gridSpan w:val="8"/>
          </w:tcPr>
          <w:p>
            <w:pPr>
              <w:ind w:left="96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tcBorders>
              <w:bottom w:val="single" w:sz="8" w:color="auto"/>
            </w:tcBorders>
          </w:tcPr>
          <w:p>
            <w:pPr>
              <w:spacing w:after="0"/>
              <w:rPr>
                <w:sz w:val="16"/>
                <w:szCs w:val="16"/>
                <w:color w:val="auto"/>
              </w:rPr>
            </w:pPr>
          </w:p>
        </w:tc>
      </w:tr>
      <w:tr>
        <w:trPr>
          <w:trHeight w:val="134"/>
        </w:trPr>
        <w:tc>
          <w:tcPr>
            <w:tcW w:w="6520" w:type="dxa"/>
            <w:vAlign w:val="bottom"/>
          </w:tcPr>
          <w:p>
            <w:pPr>
              <w:spacing w:after="0"/>
              <w:rPr>
                <w:sz w:val="11"/>
                <w:szCs w:val="11"/>
                <w:color w:val="auto"/>
              </w:rPr>
            </w:pPr>
          </w:p>
        </w:tc>
        <w:tc>
          <w:tcPr>
            <w:tcW w:w="1020" w:type="dxa"/>
            <w:vAlign w:val="bottom"/>
          </w:tcPr>
          <w:p>
            <w:pPr>
              <w:jc w:val="center"/>
              <w:ind w:left="444"/>
              <w:spacing w:after="0" w:line="135" w:lineRule="exact"/>
              <w:rPr>
                <w:sz w:val="20"/>
                <w:szCs w:val="20"/>
                <w:color w:val="auto"/>
              </w:rPr>
            </w:pPr>
            <w:r>
              <w:rPr>
                <w:rFonts w:ascii="Arial" w:cs="Arial" w:eastAsia="Arial" w:hAnsi="Arial"/>
                <w:sz w:val="14"/>
                <w:szCs w:val="14"/>
                <w:b w:val="1"/>
                <w:bCs w:val="1"/>
                <w:color w:val="auto"/>
                <w:w w:val="98"/>
              </w:rPr>
              <w:t>May 1,</w:t>
            </w:r>
          </w:p>
        </w:tc>
        <w:tc>
          <w:tcPr>
            <w:tcW w:w="3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56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6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520" w:type="dxa"/>
            <w:vAlign w:val="bottom"/>
          </w:tcPr>
          <w:p>
            <w:pPr>
              <w:spacing w:after="0"/>
              <w:rPr>
                <w:sz w:val="16"/>
                <w:szCs w:val="16"/>
                <w:color w:val="auto"/>
              </w:rPr>
            </w:pPr>
          </w:p>
        </w:tc>
        <w:tc>
          <w:tcPr>
            <w:tcW w:w="1020" w:type="dxa"/>
            <w:vAlign w:val="bottom"/>
            <w:tcBorders>
              <w:bottom w:val="single" w:sz="8" w:color="auto"/>
            </w:tcBorders>
          </w:tcPr>
          <w:p>
            <w:pPr>
              <w:jc w:val="right"/>
              <w:ind w:right="24"/>
              <w:spacing w:after="0"/>
              <w:rPr>
                <w:sz w:val="20"/>
                <w:szCs w:val="20"/>
                <w:color w:val="auto"/>
              </w:rPr>
            </w:pPr>
            <w:r>
              <w:rPr>
                <w:rFonts w:ascii="Arial" w:cs="Arial" w:eastAsia="Arial" w:hAnsi="Arial"/>
                <w:sz w:val="14"/>
                <w:szCs w:val="14"/>
                <w:b w:val="1"/>
                <w:bCs w:val="1"/>
                <w:color w:val="auto"/>
              </w:rPr>
              <w:t>2021</w:t>
            </w:r>
          </w:p>
        </w:tc>
        <w:tc>
          <w:tcPr>
            <w:tcW w:w="3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5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20" w:type="dxa"/>
            <w:vAlign w:val="bottom"/>
            <w:gridSpan w:val="6"/>
          </w:tcPr>
          <w:p>
            <w:pPr>
              <w:spacing w:after="0"/>
              <w:rPr>
                <w:sz w:val="20"/>
                <w:szCs w:val="20"/>
                <w:color w:val="auto"/>
              </w:rPr>
            </w:pPr>
            <w:r>
              <w:rPr>
                <w:rFonts w:ascii="Arial" w:cs="Arial" w:eastAsia="Arial" w:hAnsi="Arial"/>
                <w:sz w:val="14"/>
                <w:szCs w:val="14"/>
                <w:b w:val="1"/>
                <w:bCs w:val="1"/>
                <w:color w:val="auto"/>
                <w:w w:val="96"/>
              </w:rPr>
              <w:t>(in thousands, except percentage)</w:t>
            </w:r>
          </w:p>
        </w:tc>
        <w:tc>
          <w:tcPr>
            <w:tcW w:w="1160" w:type="dxa"/>
            <w:vAlign w:val="bottom"/>
          </w:tcPr>
          <w:p>
            <w:pPr>
              <w:spacing w:after="0"/>
              <w:rPr>
                <w:sz w:val="18"/>
                <w:szCs w:val="18"/>
                <w:color w:val="auto"/>
              </w:rPr>
            </w:pPr>
          </w:p>
        </w:tc>
      </w:tr>
      <w:tr>
        <w:trPr>
          <w:trHeight w:val="236"/>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102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99"/>
              </w:rPr>
              <w:t>$</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222</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1,058</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6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(79.0)%</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20" w:type="dxa"/>
            <w:vAlign w:val="bottom"/>
          </w:tcPr>
          <w:p>
            <w:pPr>
              <w:spacing w:after="0"/>
              <w:rPr>
                <w:sz w:val="20"/>
                <w:szCs w:val="20"/>
                <w:color w:val="auto"/>
              </w:rPr>
            </w:pPr>
          </w:p>
        </w:tc>
        <w:tc>
          <w:tcPr>
            <w:tcW w:w="980" w:type="dxa"/>
            <w:vAlign w:val="bottom"/>
            <w:gridSpan w:val="4"/>
          </w:tcPr>
          <w:p>
            <w:pPr>
              <w:jc w:val="right"/>
              <w:ind w:right="480"/>
              <w:spacing w:after="0"/>
              <w:rPr>
                <w:sz w:val="20"/>
                <w:szCs w:val="20"/>
                <w:color w:val="auto"/>
              </w:rPr>
            </w:pPr>
            <w:r>
              <w:rPr>
                <w:rFonts w:ascii="Arial" w:cs="Arial" w:eastAsia="Arial" w:hAnsi="Arial"/>
                <w:sz w:val="18"/>
                <w:szCs w:val="18"/>
                <w:color w:val="auto"/>
              </w:rPr>
              <w:t>— %</w:t>
            </w:r>
          </w:p>
        </w:tc>
        <w:tc>
          <w:tcPr>
            <w:tcW w:w="1200" w:type="dxa"/>
            <w:vAlign w:val="bottom"/>
          </w:tcPr>
          <w:p>
            <w:pPr>
              <w:jc w:val="right"/>
              <w:spacing w:after="0"/>
              <w:rPr>
                <w:sz w:val="20"/>
                <w:szCs w:val="20"/>
                <w:color w:val="auto"/>
              </w:rPr>
            </w:pPr>
            <w:r>
              <w:rPr>
                <w:rFonts w:ascii="Arial" w:cs="Arial" w:eastAsia="Arial" w:hAnsi="Arial"/>
                <w:sz w:val="18"/>
                <w:szCs w:val="18"/>
                <w:color w:val="auto"/>
              </w:rPr>
              <w:t>0.2 %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r>
    </w:tbl>
    <w:p>
      <w:pPr>
        <w:spacing w:after="0" w:line="336"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color w:val="auto"/>
        </w:rPr>
        <w:t>Interest income decreased by $0.8 million in the three months ended May 1, 2021 compared to the three months ended May 2, 2020 due to lower interest rates on our invested cash.</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gridSpan w:val="6"/>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tcBorders>
              <w:bottom w:val="single" w:sz="8" w:color="auto"/>
            </w:tcBorders>
          </w:tcPr>
          <w:p>
            <w:pPr>
              <w:spacing w:after="0"/>
              <w:rPr>
                <w:sz w:val="16"/>
                <w:szCs w:val="16"/>
                <w:color w:val="auto"/>
              </w:rPr>
            </w:pPr>
          </w:p>
        </w:tc>
      </w:tr>
      <w:tr>
        <w:trPr>
          <w:trHeight w:val="134"/>
        </w:trPr>
        <w:tc>
          <w:tcPr>
            <w:tcW w:w="6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320" w:type="dxa"/>
            <w:vAlign w:val="bottom"/>
            <w:gridSpan w:val="2"/>
          </w:tcPr>
          <w:p>
            <w:pPr>
              <w:ind w:left="220"/>
              <w:spacing w:after="0" w:line="135" w:lineRule="exact"/>
              <w:rPr>
                <w:sz w:val="20"/>
                <w:szCs w:val="20"/>
                <w:color w:val="auto"/>
              </w:rPr>
            </w:pPr>
            <w:r>
              <w:rPr>
                <w:rFonts w:ascii="Arial" w:cs="Arial" w:eastAsia="Arial" w:hAnsi="Arial"/>
                <w:sz w:val="14"/>
                <w:szCs w:val="14"/>
                <w:b w:val="1"/>
                <w:bCs w:val="1"/>
                <w:color w:val="auto"/>
              </w:rPr>
              <w:t>May 1,</w:t>
            </w:r>
          </w:p>
        </w:tc>
        <w:tc>
          <w:tcPr>
            <w:tcW w:w="340" w:type="dxa"/>
            <w:vAlign w:val="bottom"/>
          </w:tcPr>
          <w:p>
            <w:pPr>
              <w:spacing w:after="0"/>
              <w:rPr>
                <w:sz w:val="11"/>
                <w:szCs w:val="11"/>
                <w:color w:val="auto"/>
              </w:rPr>
            </w:pPr>
          </w:p>
        </w:tc>
        <w:tc>
          <w:tcPr>
            <w:tcW w:w="156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6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42"/>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220" w:type="dxa"/>
            <w:vAlign w:val="bottom"/>
            <w:gridSpan w:val="6"/>
          </w:tcPr>
          <w:p>
            <w:pPr>
              <w:ind w:left="1000"/>
              <w:spacing w:after="0"/>
              <w:rPr>
                <w:sz w:val="20"/>
                <w:szCs w:val="20"/>
                <w:color w:val="auto"/>
              </w:rPr>
            </w:pPr>
            <w:r>
              <w:rPr>
                <w:rFonts w:ascii="Arial" w:cs="Arial" w:eastAsia="Arial" w:hAnsi="Arial"/>
                <w:sz w:val="14"/>
                <w:szCs w:val="14"/>
                <w:b w:val="1"/>
                <w:bCs w:val="1"/>
                <w:color w:val="auto"/>
                <w:w w:val="96"/>
              </w:rPr>
              <w:t>(in thousands, except percentage)</w:t>
            </w:r>
          </w:p>
        </w:tc>
        <w:tc>
          <w:tcPr>
            <w:tcW w:w="1160" w:type="dxa"/>
            <w:vAlign w:val="bottom"/>
          </w:tcPr>
          <w:p>
            <w:pPr>
              <w:spacing w:after="0"/>
              <w:rPr>
                <w:sz w:val="18"/>
                <w:szCs w:val="18"/>
                <w:color w:val="auto"/>
              </w:rPr>
            </w:pPr>
          </w:p>
        </w:tc>
      </w:tr>
      <w:tr>
        <w:trPr>
          <w:trHeight w:val="235"/>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82"/>
              <w:spacing w:after="0"/>
              <w:rPr>
                <w:sz w:val="20"/>
                <w:szCs w:val="20"/>
                <w:color w:val="auto"/>
              </w:rPr>
            </w:pPr>
            <w:r>
              <w:rPr>
                <w:rFonts w:ascii="Arial" w:cs="Arial" w:eastAsia="Arial" w:hAnsi="Arial"/>
                <w:sz w:val="18"/>
                <w:szCs w:val="18"/>
                <w:color w:val="auto"/>
              </w:rPr>
              <w:t>(35,141)</w:t>
            </w:r>
          </w:p>
        </w:tc>
        <w:tc>
          <w:tcPr>
            <w:tcW w:w="120" w:type="dxa"/>
            <w:vAlign w:val="bottom"/>
            <w:shd w:val="clear" w:color="auto" w:fill="CCEEFF"/>
          </w:tcPr>
          <w:p>
            <w:pPr>
              <w:spacing w:after="0"/>
              <w:rPr>
                <w:sz w:val="20"/>
                <w:szCs w:val="20"/>
                <w:color w:val="auto"/>
              </w:rPr>
            </w:pP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(16,830)</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6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108.8%</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r>
    </w:tbl>
    <w:p>
      <w:pPr>
        <w:spacing w:after="0" w:line="33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Interest expense increased by $18.3 million in the three months ended May 1, 2021 compared to the three months ended May 2, 2020. The increase was primarily due to the write-off of issuance costs related to the bridge loan when the loan was terminated in Q1 fiscal 2022, as well as interest expense on the 2020 term loans in addition to the new 2026, 2028 and 2031 senior unsecured notes issued in Q1 fiscal 2022.</w:t>
      </w:r>
    </w:p>
    <w:p>
      <w:pPr>
        <w:spacing w:after="0" w:line="200" w:lineRule="exact"/>
        <w:rPr>
          <w:sz w:val="20"/>
          <w:szCs w:val="20"/>
          <w:color w:val="auto"/>
        </w:rPr>
      </w:pPr>
    </w:p>
    <w:p>
      <w:pPr>
        <w:spacing w:after="0" w:line="23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gridSpan w:val="7"/>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160" w:type="dxa"/>
            <w:vAlign w:val="bottom"/>
            <w:tcBorders>
              <w:bottom w:val="single" w:sz="8" w:color="auto"/>
            </w:tcBorders>
          </w:tcPr>
          <w:p>
            <w:pPr>
              <w:spacing w:after="0"/>
              <w:rPr>
                <w:sz w:val="16"/>
                <w:szCs w:val="16"/>
                <w:color w:val="auto"/>
              </w:rPr>
            </w:pPr>
          </w:p>
        </w:tc>
      </w:tr>
      <w:tr>
        <w:trPr>
          <w:trHeight w:val="135"/>
        </w:trPr>
        <w:tc>
          <w:tcPr>
            <w:tcW w:w="6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0" w:type="dxa"/>
            <w:vAlign w:val="bottom"/>
          </w:tcPr>
          <w:p>
            <w:pPr>
              <w:jc w:val="right"/>
              <w:ind w:right="281"/>
              <w:spacing w:after="0" w:line="135" w:lineRule="exact"/>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560" w:type="dxa"/>
            <w:vAlign w:val="bottom"/>
            <w:gridSpan w:val="3"/>
          </w:tcPr>
          <w:p>
            <w:pPr>
              <w:ind w:left="220"/>
              <w:spacing w:after="0" w:line="135" w:lineRule="exact"/>
              <w:rPr>
                <w:sz w:val="20"/>
                <w:szCs w:val="20"/>
                <w:color w:val="auto"/>
              </w:rPr>
            </w:pPr>
            <w:r>
              <w:rPr>
                <w:rFonts w:ascii="Arial" w:cs="Arial" w:eastAsia="Arial" w:hAnsi="Arial"/>
                <w:sz w:val="14"/>
                <w:szCs w:val="14"/>
                <w:b w:val="1"/>
                <w:bCs w:val="1"/>
                <w:color w:val="auto"/>
              </w:rPr>
              <w:t>May 2,</w:t>
            </w:r>
          </w:p>
        </w:tc>
        <w:tc>
          <w:tcPr>
            <w:tcW w:w="116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5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41"/>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5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220" w:type="dxa"/>
            <w:vAlign w:val="bottom"/>
            <w:gridSpan w:val="6"/>
          </w:tcPr>
          <w:p>
            <w:pPr>
              <w:spacing w:after="0"/>
              <w:rPr>
                <w:sz w:val="20"/>
                <w:szCs w:val="20"/>
                <w:color w:val="auto"/>
              </w:rPr>
            </w:pPr>
            <w:r>
              <w:rPr>
                <w:rFonts w:ascii="Arial" w:cs="Arial" w:eastAsia="Arial" w:hAnsi="Arial"/>
                <w:sz w:val="14"/>
                <w:szCs w:val="14"/>
                <w:b w:val="1"/>
                <w:bCs w:val="1"/>
                <w:color w:val="auto"/>
                <w:w w:val="96"/>
              </w:rPr>
              <w:t>(in thousands, except percentage)</w:t>
            </w:r>
          </w:p>
        </w:tc>
        <w:tc>
          <w:tcPr>
            <w:tcW w:w="1160" w:type="dxa"/>
            <w:vAlign w:val="bottom"/>
          </w:tcPr>
          <w:p>
            <w:pPr>
              <w:spacing w:after="0"/>
              <w:rPr>
                <w:sz w:val="18"/>
                <w:szCs w:val="18"/>
                <w:color w:val="auto"/>
              </w:rPr>
            </w:pPr>
          </w:p>
        </w:tc>
      </w:tr>
      <w:tr>
        <w:trPr>
          <w:trHeight w:val="235"/>
        </w:trPr>
        <w:tc>
          <w:tcPr>
            <w:tcW w:w="65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3,754</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6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(67.4)%</w:t>
            </w:r>
          </w:p>
        </w:tc>
      </w:tr>
      <w:tr>
        <w:trPr>
          <w:trHeight w:val="230"/>
        </w:trPr>
        <w:tc>
          <w:tcPr>
            <w:tcW w:w="65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20"/>
                <w:szCs w:val="20"/>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0.1 %</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0.5 %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60" w:type="dxa"/>
            <w:vAlign w:val="bottom"/>
          </w:tcPr>
          <w:p>
            <w:pPr>
              <w:spacing w:after="0"/>
              <w:rPr>
                <w:sz w:val="20"/>
                <w:szCs w:val="20"/>
                <w:color w:val="auto"/>
              </w:rPr>
            </w:pPr>
          </w:p>
        </w:tc>
      </w:tr>
    </w:tbl>
    <w:p>
      <w:pPr>
        <w:spacing w:after="0" w:line="336"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Other income (loss), net, changed by $2.5 million in the three months ended May 1, 2021 compared to the three months ended May 2, 2020. The higher income in the three months ended May 2, 2020 was primarily due to income related to the divestiture of the Wi-Fi connectivity business in fiscal 2020.</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3060" w:type="dxa"/>
            <w:vAlign w:val="bottom"/>
            <w:tcBorders>
              <w:bottom w:val="single" w:sz="8" w:color="auto"/>
            </w:tcBorders>
            <w:gridSpan w:val="6"/>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tcBorders>
              <w:bottom w:val="single" w:sz="8" w:color="auto"/>
            </w:tcBorders>
          </w:tcPr>
          <w:p>
            <w:pPr>
              <w:spacing w:after="0"/>
              <w:rPr>
                <w:sz w:val="16"/>
                <w:szCs w:val="16"/>
                <w:color w:val="auto"/>
              </w:rPr>
            </w:pPr>
          </w:p>
        </w:tc>
      </w:tr>
      <w:tr>
        <w:trPr>
          <w:trHeight w:val="135"/>
        </w:trPr>
        <w:tc>
          <w:tcPr>
            <w:tcW w:w="6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2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8"/>
              </w:rPr>
              <w:t>May 1,</w:t>
            </w:r>
          </w:p>
        </w:tc>
        <w:tc>
          <w:tcPr>
            <w:tcW w:w="320" w:type="dxa"/>
            <w:vAlign w:val="bottom"/>
          </w:tcPr>
          <w:p>
            <w:pPr>
              <w:spacing w:after="0"/>
              <w:rPr>
                <w:sz w:val="11"/>
                <w:szCs w:val="11"/>
                <w:color w:val="auto"/>
              </w:rPr>
            </w:pPr>
          </w:p>
        </w:tc>
        <w:tc>
          <w:tcPr>
            <w:tcW w:w="1520" w:type="dxa"/>
            <w:vAlign w:val="bottom"/>
            <w:gridSpan w:val="3"/>
          </w:tcPr>
          <w:p>
            <w:pPr>
              <w:jc w:val="center"/>
              <w:ind w:right="700"/>
              <w:spacing w:after="0" w:line="135" w:lineRule="exact"/>
              <w:rPr>
                <w:sz w:val="20"/>
                <w:szCs w:val="20"/>
                <w:color w:val="auto"/>
              </w:rPr>
            </w:pPr>
            <w:r>
              <w:rPr>
                <w:rFonts w:ascii="Arial" w:cs="Arial" w:eastAsia="Arial" w:hAnsi="Arial"/>
                <w:sz w:val="14"/>
                <w:szCs w:val="14"/>
                <w:b w:val="1"/>
                <w:bCs w:val="1"/>
                <w:color w:val="auto"/>
                <w:w w:val="98"/>
              </w:rPr>
              <w:t>May 2,</w:t>
            </w:r>
          </w:p>
        </w:tc>
        <w:tc>
          <w:tcPr>
            <w:tcW w:w="1140" w:type="dxa"/>
            <w:vAlign w:val="bottom"/>
          </w:tcPr>
          <w:p>
            <w:pPr>
              <w:jc w:val="right"/>
              <w:ind w:right="56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7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center"/>
              <w:ind w:right="242"/>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7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60" w:type="dxa"/>
            <w:vAlign w:val="bottom"/>
            <w:gridSpan w:val="6"/>
          </w:tcPr>
          <w:p>
            <w:pPr>
              <w:jc w:val="center"/>
              <w:ind w:left="744"/>
              <w:spacing w:after="0"/>
              <w:rPr>
                <w:sz w:val="20"/>
                <w:szCs w:val="20"/>
                <w:color w:val="auto"/>
              </w:rPr>
            </w:pPr>
            <w:r>
              <w:rPr>
                <w:rFonts w:ascii="Arial" w:cs="Arial" w:eastAsia="Arial" w:hAnsi="Arial"/>
                <w:sz w:val="14"/>
                <w:szCs w:val="14"/>
                <w:b w:val="1"/>
                <w:bCs w:val="1"/>
                <w:color w:val="auto"/>
                <w:w w:val="89"/>
              </w:rPr>
              <w:t>(in thousands, except percentage)</w:t>
            </w:r>
          </w:p>
        </w:tc>
        <w:tc>
          <w:tcPr>
            <w:tcW w:w="1140" w:type="dxa"/>
            <w:vAlign w:val="bottom"/>
          </w:tcPr>
          <w:p>
            <w:pPr>
              <w:spacing w:after="0"/>
              <w:rPr>
                <w:sz w:val="18"/>
                <w:szCs w:val="18"/>
                <w:color w:val="auto"/>
              </w:rPr>
            </w:pPr>
          </w:p>
        </w:tc>
      </w:tr>
      <w:tr>
        <w:trPr>
          <w:trHeight w:val="236"/>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(27,765)</w:t>
            </w: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5,019</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14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(653.2)%</w:t>
            </w:r>
          </w:p>
        </w:tc>
      </w:tr>
    </w:tbl>
    <w:p>
      <w:pPr>
        <w:spacing w:after="0" w:line="337" w:lineRule="exact"/>
        <w:rPr>
          <w:sz w:val="20"/>
          <w:szCs w:val="20"/>
          <w:color w:val="auto"/>
        </w:rPr>
      </w:pPr>
    </w:p>
    <w:p>
      <w:pPr>
        <w:ind w:right="180" w:firstLine="405"/>
        <w:spacing w:after="0" w:line="259" w:lineRule="auto"/>
        <w:rPr>
          <w:sz w:val="20"/>
          <w:szCs w:val="20"/>
          <w:color w:val="auto"/>
        </w:rPr>
      </w:pPr>
      <w:r>
        <w:rPr>
          <w:rFonts w:ascii="Arial" w:cs="Arial" w:eastAsia="Arial" w:hAnsi="Arial"/>
          <w:sz w:val="17"/>
          <w:szCs w:val="17"/>
          <w:color w:val="auto"/>
        </w:rPr>
        <w:t>Our income tax benefit for the three months ended May 1, 2021 was $27.8 million compared to a tax expense of $5.0 million for the three months ended May 2, 2020. Our income tax benefit for the three months ended May 1, 2021 differs from the tax expense recorded in the same period in the prior year primarily due to the tax impact of amortization of fair value adjustments related to the merger with Inphi combined with the tax effect of stock based compensation deductions versus the prior period. The effective tax rate for the three months ended May 1, 2021 and May 2, 2020 differs from the U.S. statutory Federal rate of 21% primarily due to the rate differential on foreign earnings.</w:t>
      </w:r>
    </w:p>
    <w:p>
      <w:pPr>
        <w:spacing w:after="0" w:line="187" w:lineRule="exact"/>
        <w:rPr>
          <w:sz w:val="20"/>
          <w:szCs w:val="20"/>
          <w:color w:val="auto"/>
        </w:rPr>
      </w:pPr>
    </w:p>
    <w:p>
      <w:pPr>
        <w:ind w:right="120" w:firstLine="405"/>
        <w:spacing w:after="0" w:line="255" w:lineRule="auto"/>
        <w:rPr>
          <w:sz w:val="20"/>
          <w:szCs w:val="20"/>
          <w:color w:val="auto"/>
        </w:rPr>
      </w:pPr>
      <w:r>
        <w:rPr>
          <w:rFonts w:ascii="Arial" w:cs="Arial" w:eastAsia="Arial" w:hAnsi="Arial"/>
          <w:sz w:val="16"/>
          <w:szCs w:val="16"/>
          <w:color w:val="auto"/>
        </w:rPr>
        <w:t>Our provision for income taxes may be affected by changes in the geographic mix of earnings with different applicable tax rates, changes in the realizability of deferred tax assets and liabilities, discrete items,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 We also continuously evaluate realignment of our legal structure in response to guidelines and requirements in various international tax jurisdictions where we conduct business. Additionally, please see the information in “Item 1A: Risk Factors” under the caption “Ch</w:t>
      </w:r>
      <w:r>
        <w:rPr>
          <w:rFonts w:ascii="Arial" w:cs="Arial" w:eastAsia="Arial" w:hAnsi="Arial"/>
          <w:sz w:val="16"/>
          <w:szCs w:val="16"/>
          <w:i w:val="1"/>
          <w:iCs w:val="1"/>
          <w:color w:val="auto"/>
        </w:rPr>
        <w:t>anges in existing taxation benefits, rules or practices may adversely affect our financial results</w:t>
      </w:r>
      <w:r>
        <w:rPr>
          <w:rFonts w:ascii="Arial" w:cs="Arial" w:eastAsia="Arial" w:hAnsi="Arial"/>
          <w:sz w:val="16"/>
          <w:szCs w:val="16"/>
          <w:color w:val="auto"/>
        </w:rPr>
        <w:t>.”</w:t>
      </w:r>
    </w:p>
    <w:p>
      <w:pPr>
        <w:spacing w:after="0" w:line="200" w:lineRule="exact"/>
        <w:rPr>
          <w:sz w:val="20"/>
          <w:szCs w:val="20"/>
          <w:color w:val="auto"/>
        </w:rPr>
      </w:pPr>
    </w:p>
    <w:p>
      <w:pPr>
        <w:spacing w:after="0" w:line="2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140" w:firstLine="405"/>
        <w:spacing w:after="0" w:line="262" w:lineRule="auto"/>
        <w:rPr>
          <w:sz w:val="20"/>
          <w:szCs w:val="20"/>
          <w:color w:val="auto"/>
        </w:rPr>
      </w:pPr>
      <w:r>
        <w:rPr>
          <w:rFonts w:ascii="Arial" w:cs="Arial" w:eastAsia="Arial" w:hAnsi="Arial"/>
          <w:sz w:val="17"/>
          <w:szCs w:val="17"/>
          <w:color w:val="auto"/>
        </w:rPr>
        <w:t>Our principal source of liquidity as of May 1, 2021 consisted of approximately $522.5 million of cash and cash equivalents, of which approximately $350.3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12 - Income Taxes” in the Notes to the Unaudited Condensed Consolidated Financial Statements for further information.</w:t>
      </w:r>
    </w:p>
    <w:p>
      <w:pPr>
        <w:spacing w:after="0" w:line="199" w:lineRule="exact"/>
        <w:rPr>
          <w:sz w:val="20"/>
          <w:szCs w:val="20"/>
          <w:color w:val="auto"/>
        </w:rPr>
      </w:pPr>
    </w:p>
    <w:p>
      <w:pPr>
        <w:jc w:val="both"/>
        <w:ind w:right="400" w:firstLine="405"/>
        <w:spacing w:after="0" w:line="270" w:lineRule="auto"/>
        <w:rPr>
          <w:sz w:val="20"/>
          <w:szCs w:val="20"/>
          <w:color w:val="auto"/>
        </w:rPr>
      </w:pPr>
      <w:r>
        <w:rPr>
          <w:rFonts w:ascii="Arial" w:cs="Arial" w:eastAsia="Arial" w:hAnsi="Arial"/>
          <w:sz w:val="17"/>
          <w:szCs w:val="17"/>
          <w:color w:val="auto"/>
        </w:rPr>
        <w:t>In April 2021, we assumed $15.7 million in principal of Inphi’s 0.75% convertible senior notes due 2021 and $506 million in principal of Inphi’s 0.75% convertible senior notes due 2025 from Inphi. We also acquired capped call assets in relation to the convertible debt. See “Note 5 - Debt” in the Notes to the Unaudited Condensed Consolidated Financial Statements for additional information.</w:t>
      </w:r>
    </w:p>
    <w:p>
      <w:pPr>
        <w:spacing w:after="0" w:line="177" w:lineRule="exact"/>
        <w:rPr>
          <w:sz w:val="20"/>
          <w:szCs w:val="20"/>
          <w:color w:val="auto"/>
        </w:rPr>
      </w:pPr>
    </w:p>
    <w:p>
      <w:pPr>
        <w:ind w:right="80" w:firstLine="405"/>
        <w:spacing w:after="0" w:line="239" w:lineRule="auto"/>
        <w:rPr>
          <w:sz w:val="20"/>
          <w:szCs w:val="20"/>
          <w:color w:val="auto"/>
        </w:rPr>
      </w:pPr>
      <w:r>
        <w:rPr>
          <w:rFonts w:ascii="Arial" w:cs="Arial" w:eastAsia="Arial" w:hAnsi="Arial"/>
          <w:sz w:val="17"/>
          <w:szCs w:val="17"/>
          <w:color w:val="auto"/>
        </w:rPr>
        <w:t>In December 2020, to fund the Inphi acquisition, we executed a debt agreement to obtain a $875 million 3-year term loan and a $875 million 5-year term loan. We also executed a debt agreement to obtain a $750 million revolving credit facility (“2020 Revolving Credit Facility”). In April 2021, we completed an offering and issued (i) $500 million of senior notes with a 5 year term due in 2026, (ii) $750 million of senior notes with a 7 year term due in 2028, and (iii) $750 million of senior notes with a 10 year term due in 2031. In addition, in May 2021, in conjunction with the U.S. domiciliation, we exchanged certain of our existing senior notes due in 2023 (“MTG 2023 Notes”) and 2028 (“MTG 2028 Notes”) that were previously issued by the former Bermuda-based parent with like notes that are now issued by the new parent domiciled in Delaware. See “Note 5 - Debt” in the Notes to the Unaudited Condensed Consolidated Financial Statements for additional information.</w:t>
      </w:r>
    </w:p>
    <w:p>
      <w:pPr>
        <w:spacing w:after="0" w:line="203" w:lineRule="exact"/>
        <w:rPr>
          <w:sz w:val="20"/>
          <w:szCs w:val="20"/>
          <w:color w:val="auto"/>
        </w:rPr>
      </w:pPr>
    </w:p>
    <w:p>
      <w:pPr>
        <w:jc w:val="both"/>
        <w:ind w:right="20" w:firstLine="405"/>
        <w:spacing w:after="0" w:line="253" w:lineRule="auto"/>
        <w:rPr>
          <w:sz w:val="20"/>
          <w:szCs w:val="20"/>
          <w:color w:val="auto"/>
        </w:rPr>
      </w:pPr>
      <w:r>
        <w:rPr>
          <w:rFonts w:ascii="Arial" w:cs="Arial" w:eastAsia="Arial" w:hAnsi="Arial"/>
          <w:sz w:val="16"/>
          <w:szCs w:val="16"/>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(“2018 Revolving Credit Facility”). In December 2020, the 2018 Revolving Credit Facility under the 2018 Credit Agreement was terminated and replaced by the 2020 Revolving Credit Facility.</w:t>
      </w:r>
    </w:p>
    <w:p>
      <w:pPr>
        <w:spacing w:after="0" w:line="1" w:lineRule="exact"/>
        <w:rPr>
          <w:sz w:val="20"/>
          <w:szCs w:val="20"/>
          <w:color w:val="auto"/>
        </w:rPr>
      </w:pPr>
    </w:p>
    <w:p>
      <w:pPr>
        <w:ind w:right="320"/>
        <w:spacing w:after="0" w:line="286" w:lineRule="auto"/>
        <w:rPr>
          <w:sz w:val="20"/>
          <w:szCs w:val="20"/>
          <w:color w:val="auto"/>
        </w:rPr>
      </w:pPr>
      <w:r>
        <w:rPr>
          <w:rFonts w:ascii="Arial" w:cs="Arial" w:eastAsia="Arial" w:hAnsi="Arial"/>
          <w:sz w:val="16"/>
          <w:szCs w:val="16"/>
          <w:color w:val="auto"/>
        </w:rPr>
        <w:t>The senior unsecured notes were exchanged as described in the above paragraph. The 2018 Term Loan borrowings was repaid in full in the first quarter ended May 1, 2021. See “Note 5 - Debt” in the Notes to the Unaudited Condensed Consolidated Financial Statements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2" w:lineRule="exact"/>
        <w:rPr>
          <w:sz w:val="20"/>
          <w:szCs w:val="20"/>
          <w:color w:val="auto"/>
        </w:rPr>
      </w:pPr>
    </w:p>
    <w:p>
      <w:pPr>
        <w:ind w:right="120" w:firstLine="405"/>
        <w:spacing w:after="0" w:line="275" w:lineRule="auto"/>
        <w:rPr>
          <w:sz w:val="20"/>
          <w:szCs w:val="20"/>
          <w:color w:val="auto"/>
        </w:rPr>
      </w:pPr>
      <w:r>
        <w:rPr>
          <w:rFonts w:ascii="Arial" w:cs="Arial" w:eastAsia="Arial" w:hAnsi="Arial"/>
          <w:sz w:val="16"/>
          <w:szCs w:val="16"/>
          <w:color w:val="auto"/>
        </w:rPr>
        <w:t>Future payment of a regular quarterly cash dividend on our common shares and our planned repurchases of common stock will be subject to, among other things, the best interests of us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and the program remains suspended as we focus on reducing our debt and de-levering our balance sheet. We will continue to evaluate business conditions to decide when we can restart the share repurchase program</w:t>
      </w:r>
      <w:r>
        <w:rPr>
          <w:rFonts w:ascii="Arial" w:cs="Arial" w:eastAsia="Arial" w:hAnsi="Arial"/>
          <w:sz w:val="17"/>
          <w:szCs w:val="17"/>
          <w:color w:val="auto"/>
        </w:rPr>
        <w:t>.</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Net cash flow used in operating activities for the three months ended May 1, 2021 was $13.7 million. We had a net loss of $88.2 million adjusted for the following non-cash items: amortization of acquired intangible assets of $128.6 million, share-based compensation expense of $92.7 million, depreciation and amortization of $51.8 million, deferred income tax benefit of $22.6 million, amortization of inventory fair value adjustment associated with the Inphi acquisition of $13.7 million and $31.3 million net loss from other non-cash items. Cash outflow from working capital of $221.1 million for the three months ended May 1, 2021 was primarily driven by a decrease in accrued employee compensation, decrease in accounts payable, a decrease in accrued liabilities and other non-current liabilities as well as an increase in accounts receivable. The decrease in accrued employee compensation is due to our annual bonus payment in the current period. The decrease in accounts payable and accrued liabilities and other non-current liabilities is primarily due to payment of banker success fees. The increase in accounts receivable is due to revenue linearity and lower sales reserves.</w:t>
      </w:r>
    </w:p>
    <w:p>
      <w:pPr>
        <w:spacing w:after="0" w:line="195"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Net cash flow provided by operating activities for the three months ended May 2, 2020 was $175.6 million. We had a net loss of $113.0 million adjusted for the following non-cash items: amortization of acquired intangible assets of $112.9 million, share-based compensation expense of $59.7 million, depreciation and amortization of $50.5 million, amortization of inventory fair value adjustment associated with the Aquantia and Avera acquisition of $17.3 million, deferred income tax expense of $2.4 million, and $11.5 million net loss from other non-cash items. Cash outflow from working capital of $34.5 million for the three months ended May 2, 2020 was primarily driven by a decrease in inventory and accounts receivable, partially offset by a decrease in accrued employee compensation. The decrease in inventory is due to improved supply chain management. The decrease in accounts receivable is due to stable collections. The decrease in accrued employee compensation is due to our annual bonus payment in the current period.</w:t>
      </w:r>
    </w:p>
    <w:p>
      <w:pPr>
        <w:spacing w:after="0" w:line="19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For the three months ended May 1, 2021, net cash used in investing activities of $3.6 billion was primarily driven by net cash paid to acquire Inphi of $3.6 billion, purchases of property and equipment of $21.4 million, and purchases of technology licenses of $3.4 million.</w:t>
      </w:r>
    </w:p>
    <w:p>
      <w:pPr>
        <w:spacing w:after="0" w:line="198"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color w:val="auto"/>
        </w:rPr>
        <w:t>For the three months ended May 2, 2020, net cash used in investing activities of $38.4 million was primarily driven by purchases of property and equipment of $35.3 million and purchases of technology licenses of $3.7 million.</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firstLine="405"/>
        <w:spacing w:after="0" w:line="262" w:lineRule="auto"/>
        <w:rPr>
          <w:sz w:val="20"/>
          <w:szCs w:val="20"/>
          <w:color w:val="auto"/>
        </w:rPr>
      </w:pPr>
      <w:r>
        <w:rPr>
          <w:rFonts w:ascii="Arial" w:cs="Arial" w:eastAsia="Arial" w:hAnsi="Arial"/>
          <w:sz w:val="17"/>
          <w:szCs w:val="17"/>
          <w:color w:val="auto"/>
        </w:rPr>
        <w:t>For the three months ended May 1, 2021, net cash provided by financing activities of $3.4 billion was primarily attributable to proceeds from issuance of debt of $3.7 billion, proceeds from capped calls of $111.2 million partially offset by $200.0 million repayment of debt principal, $73.2 million tax withholding payments on behalf of employees for net share settlements, $71.1 million of repurchase and settlement of convertible notes, $44.1 million payments on technology license obligations and $40.6 million for payment of our quarterly dividends.</w:t>
      </w:r>
    </w:p>
    <w:p>
      <w:pPr>
        <w:spacing w:after="0" w:line="199"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For the three months ended May 2, 2020, net cash used in financing activities of $117.3 million was primarily attributable to $39.8 million for payment of our quarterly dividends, $31.5 million tax withholding payments on behalf of employees for net share settlements, $25.2 million for repurchases of our common stock, and $23.8 million payments for technology license obligations. These outflows were partially offset by proceeds of $5.5 million from employee stock plans.</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At May 1, 2021, the Company had approximately $819.5 million in outstanding purchase orders with foundries.</w:t>
      </w:r>
    </w:p>
    <w:p>
      <w:pPr>
        <w:spacing w:after="0" w:line="209" w:lineRule="exact"/>
        <w:rPr>
          <w:sz w:val="20"/>
          <w:szCs w:val="20"/>
          <w:color w:val="auto"/>
        </w:rPr>
      </w:pPr>
    </w:p>
    <w:p>
      <w:pPr>
        <w:ind w:right="600" w:firstLine="405"/>
        <w:spacing w:after="0" w:line="261" w:lineRule="auto"/>
        <w:rPr>
          <w:sz w:val="20"/>
          <w:szCs w:val="20"/>
          <w:color w:val="auto"/>
        </w:rPr>
      </w:pPr>
      <w:r>
        <w:rPr>
          <w:rFonts w:ascii="Arial" w:cs="Arial" w:eastAsia="Arial" w:hAnsi="Arial"/>
          <w:sz w:val="18"/>
          <w:szCs w:val="18"/>
          <w:color w:val="auto"/>
        </w:rPr>
        <w:t>The following table summarizes our contractual obligations as of May 1, 2021 and the effect that such obligations are expected to have on our liquidity and cash flow in future periods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gridSpan w:val="8"/>
          </w:tcPr>
          <w:p>
            <w:pPr>
              <w:ind w:left="480"/>
              <w:spacing w:after="0"/>
              <w:rPr>
                <w:sz w:val="20"/>
                <w:szCs w:val="20"/>
                <w:color w:val="auto"/>
              </w:rPr>
            </w:pPr>
            <w:r>
              <w:rPr>
                <w:rFonts w:ascii="Arial" w:cs="Arial" w:eastAsia="Arial" w:hAnsi="Arial"/>
                <w:sz w:val="14"/>
                <w:szCs w:val="14"/>
                <w:b w:val="1"/>
                <w:bCs w:val="1"/>
                <w:color w:val="auto"/>
              </w:rPr>
              <w:t>Payment Obligations by Fiscal Year</w:t>
            </w: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3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gridSpan w:val="2"/>
          </w:tcPr>
          <w:p>
            <w:pPr>
              <w:ind w:left="20"/>
              <w:spacing w:after="0" w:line="135" w:lineRule="exact"/>
              <w:rPr>
                <w:sz w:val="20"/>
                <w:szCs w:val="20"/>
                <w:color w:val="auto"/>
              </w:rPr>
            </w:pPr>
            <w:r>
              <w:rPr>
                <w:rFonts w:ascii="Arial" w:cs="Arial" w:eastAsia="Arial" w:hAnsi="Arial"/>
                <w:sz w:val="14"/>
                <w:szCs w:val="14"/>
                <w:b w:val="1"/>
                <w:bCs w:val="1"/>
                <w:color w:val="auto"/>
              </w:rPr>
              <w:t>Reminder of</w:t>
            </w:r>
          </w:p>
        </w:tc>
        <w:tc>
          <w:tcPr>
            <w:tcW w:w="200" w:type="dxa"/>
            <w:vAlign w:val="bottom"/>
          </w:tcPr>
          <w:p>
            <w:pPr>
              <w:spacing w:after="0"/>
              <w:rPr>
                <w:sz w:val="11"/>
                <w:szCs w:val="11"/>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00" w:type="dxa"/>
            <w:vAlign w:val="bottom"/>
            <w:vMerge w:val="restart"/>
          </w:tcPr>
          <w:p>
            <w:pPr>
              <w:jc w:val="right"/>
              <w:ind w:right="314"/>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4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2025</w:t>
            </w: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vMerge w:val="restart"/>
          </w:tcPr>
          <w:p>
            <w:pPr>
              <w:jc w:val="right"/>
              <w:ind w:right="292"/>
              <w:spacing w:after="0"/>
              <w:rPr>
                <w:sz w:val="20"/>
                <w:szCs w:val="20"/>
                <w:color w:val="auto"/>
              </w:rPr>
            </w:pPr>
            <w:r>
              <w:rPr>
                <w:rFonts w:ascii="Arial" w:cs="Arial" w:eastAsia="Arial" w:hAnsi="Arial"/>
                <w:sz w:val="14"/>
                <w:szCs w:val="14"/>
                <w:b w:val="1"/>
                <w:bCs w:val="1"/>
                <w:color w:val="auto"/>
              </w:rPr>
              <w:t>2026</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Thereafter</w:t>
            </w:r>
          </w:p>
        </w:tc>
        <w:tc>
          <w:tcPr>
            <w:tcW w:w="240" w:type="dxa"/>
            <w:vAlign w:val="bottom"/>
          </w:tcPr>
          <w:p>
            <w:pPr>
              <w:spacing w:after="0"/>
              <w:rPr>
                <w:sz w:val="11"/>
                <w:szCs w:val="11"/>
                <w:color w:val="auto"/>
              </w:rPr>
            </w:pPr>
          </w:p>
        </w:tc>
        <w:tc>
          <w:tcPr>
            <w:tcW w:w="920" w:type="dxa"/>
            <w:vAlign w:val="bottom"/>
            <w:vMerge w:val="restart"/>
          </w:tcPr>
          <w:p>
            <w:pPr>
              <w:jc w:val="right"/>
              <w:ind w:right="33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60" w:type="dxa"/>
            <w:vAlign w:val="bottom"/>
          </w:tcPr>
          <w:p>
            <w:pPr>
              <w:jc w:val="right"/>
              <w:ind w:right="31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Contractual obligations:</w:t>
            </w:r>
          </w:p>
        </w:tc>
        <w:tc>
          <w:tcPr>
            <w:tcW w:w="14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rPr>
                <w:sz w:val="20"/>
                <w:szCs w:val="20"/>
                <w:color w:val="auto"/>
              </w:rPr>
            </w:pPr>
            <w:r>
              <w:rPr>
                <w:rFonts w:ascii="Arial" w:cs="Arial" w:eastAsia="Arial" w:hAnsi="Arial"/>
                <w:sz w:val="18"/>
                <w:szCs w:val="18"/>
                <w:color w:val="auto"/>
              </w:rPr>
              <w:t>Principal payments on debt</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1,867</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1,375,000</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w w:val="97"/>
              </w:rPr>
              <w:t>1,067,548</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2,500,000</w:t>
            </w:r>
          </w:p>
        </w:tc>
        <w:tc>
          <w:tcPr>
            <w:tcW w:w="10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4,944,415</w:t>
            </w:r>
          </w:p>
        </w:tc>
        <w:tc>
          <w:tcPr>
            <w:tcW w:w="0" w:type="dxa"/>
            <w:vAlign w:val="bottom"/>
          </w:tcPr>
          <w:p>
            <w:pPr>
              <w:spacing w:after="0"/>
              <w:rPr>
                <w:sz w:val="1"/>
                <w:szCs w:val="1"/>
                <w:color w:val="auto"/>
              </w:rPr>
            </w:pPr>
          </w:p>
        </w:tc>
      </w:tr>
      <w:tr>
        <w:trPr>
          <w:trHeight w:val="229"/>
        </w:trPr>
        <w:tc>
          <w:tcPr>
            <w:tcW w:w="3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obligations on debt</w:t>
            </w:r>
          </w:p>
        </w:tc>
        <w:tc>
          <w:tcPr>
            <w:tcW w:w="1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90,301</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119,698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107,500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86,147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81,635</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219,929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705,210</w:t>
            </w: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line="230" w:lineRule="exact"/>
              <w:rPr>
                <w:sz w:val="20"/>
                <w:szCs w:val="20"/>
                <w:color w:val="auto"/>
              </w:rPr>
            </w:pPr>
            <w:r>
              <w:rPr>
                <w:rFonts w:ascii="Arial" w:cs="Arial" w:eastAsia="Arial" w:hAnsi="Arial"/>
                <w:sz w:val="18"/>
                <w:szCs w:val="18"/>
                <w:color w:val="auto"/>
              </w:rPr>
              <w:t xml:space="preserve">Facilities operating leases </w:t>
            </w:r>
            <w:r>
              <w:rPr>
                <w:rFonts w:ascii="Arial" w:cs="Arial" w:eastAsia="Arial" w:hAnsi="Arial"/>
                <w:sz w:val="23"/>
                <w:szCs w:val="23"/>
                <w:color w:val="auto"/>
                <w:vertAlign w:val="superscript"/>
              </w:rPr>
              <w:t>(1)</w:t>
            </w:r>
          </w:p>
        </w:tc>
        <w:tc>
          <w:tcPr>
            <w:tcW w:w="1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32,967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37,546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32,090</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23,624</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20,204</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55,463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201,894</w:t>
            </w: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Purchase commitments to foundries</w:t>
            </w:r>
          </w:p>
        </w:tc>
        <w:tc>
          <w:tcPr>
            <w:tcW w:w="1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819,549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819,549</w:t>
            </w:r>
          </w:p>
        </w:tc>
        <w:tc>
          <w:tcPr>
            <w:tcW w:w="0" w:type="dxa"/>
            <w:vAlign w:val="bottom"/>
          </w:tcPr>
          <w:p>
            <w:pPr>
              <w:spacing w:after="0"/>
              <w:rPr>
                <w:sz w:val="1"/>
                <w:szCs w:val="1"/>
                <w:color w:val="auto"/>
              </w:rPr>
            </w:pPr>
          </w:p>
        </w:tc>
      </w:tr>
      <w:tr>
        <w:trPr>
          <w:trHeight w:val="230"/>
        </w:trPr>
        <w:tc>
          <w:tcPr>
            <w:tcW w:w="3180" w:type="dxa"/>
            <w:vAlign w:val="bottom"/>
          </w:tcPr>
          <w:p>
            <w:pPr>
              <w:ind w:left="20"/>
              <w:spacing w:after="0"/>
              <w:rPr>
                <w:sz w:val="20"/>
                <w:szCs w:val="20"/>
                <w:color w:val="auto"/>
              </w:rPr>
            </w:pPr>
            <w:r>
              <w:rPr>
                <w:rFonts w:ascii="Arial" w:cs="Arial" w:eastAsia="Arial" w:hAnsi="Arial"/>
                <w:sz w:val="18"/>
                <w:szCs w:val="18"/>
                <w:color w:val="auto"/>
              </w:rPr>
              <w:t>Capital purchase obligations</w:t>
            </w:r>
          </w:p>
        </w:tc>
        <w:tc>
          <w:tcPr>
            <w:tcW w:w="1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37,447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37,447</w:t>
            </w:r>
          </w:p>
        </w:tc>
        <w:tc>
          <w:tcPr>
            <w:tcW w:w="0" w:type="dxa"/>
            <w:vAlign w:val="bottom"/>
          </w:tcPr>
          <w:p>
            <w:pPr>
              <w:spacing w:after="0"/>
              <w:rPr>
                <w:sz w:val="1"/>
                <w:szCs w:val="1"/>
                <w:color w:val="auto"/>
              </w:rPr>
            </w:pPr>
          </w:p>
        </w:tc>
      </w:tr>
      <w:tr>
        <w:trPr>
          <w:trHeight w:val="229"/>
        </w:trPr>
        <w:tc>
          <w:tcPr>
            <w:tcW w:w="318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Technology license obligations </w:t>
            </w:r>
            <w:r>
              <w:rPr>
                <w:rFonts w:ascii="Arial" w:cs="Arial" w:eastAsia="Arial" w:hAnsi="Arial"/>
                <w:sz w:val="23"/>
                <w:szCs w:val="23"/>
                <w:color w:val="auto"/>
                <w:vertAlign w:val="superscript"/>
              </w:rPr>
              <w:t>(2)</w:t>
            </w:r>
          </w:p>
        </w:tc>
        <w:tc>
          <w:tcPr>
            <w:tcW w:w="1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85,977</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78,253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49,729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214,577</w:t>
            </w:r>
          </w:p>
        </w:tc>
        <w:tc>
          <w:tcPr>
            <w:tcW w:w="0" w:type="dxa"/>
            <w:vAlign w:val="bottom"/>
          </w:tcPr>
          <w:p>
            <w:pPr>
              <w:spacing w:after="0"/>
              <w:rPr>
                <w:sz w:val="1"/>
                <w:szCs w:val="1"/>
                <w:color w:val="auto"/>
              </w:rPr>
            </w:pPr>
          </w:p>
        </w:tc>
      </w:tr>
      <w:tr>
        <w:trPr>
          <w:trHeight w:val="230"/>
        </w:trPr>
        <w:tc>
          <w:tcPr>
            <w:tcW w:w="3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contractual commitments</w:t>
            </w:r>
          </w:p>
        </w:tc>
        <w:tc>
          <w:tcPr>
            <w:tcW w:w="14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6,625</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8,691</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858</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208</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350</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5,518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22,250</w:t>
            </w:r>
          </w:p>
        </w:tc>
        <w:tc>
          <w:tcPr>
            <w:tcW w:w="0" w:type="dxa"/>
            <w:vAlign w:val="bottom"/>
          </w:tcPr>
          <w:p>
            <w:pPr>
              <w:spacing w:after="0"/>
              <w:rPr>
                <w:sz w:val="1"/>
                <w:szCs w:val="1"/>
                <w:color w:val="auto"/>
              </w:rPr>
            </w:pPr>
          </w:p>
        </w:tc>
      </w:tr>
      <w:tr>
        <w:trPr>
          <w:trHeight w:val="248"/>
        </w:trPr>
        <w:tc>
          <w:tcPr>
            <w:tcW w:w="3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contractual cash obligations</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1,074,733</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244,188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1,565,177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110,288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1,170,046</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2,780,910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6,945,342</w:t>
            </w:r>
          </w:p>
        </w:tc>
        <w:tc>
          <w:tcPr>
            <w:tcW w:w="0" w:type="dxa"/>
            <w:vAlign w:val="bottom"/>
          </w:tcPr>
          <w:p>
            <w:pPr>
              <w:spacing w:after="0"/>
              <w:rPr>
                <w:sz w:val="1"/>
                <w:szCs w:val="1"/>
                <w:color w:val="auto"/>
              </w:rPr>
            </w:pPr>
          </w:p>
        </w:tc>
      </w:tr>
      <w:tr>
        <w:trPr>
          <w:trHeight w:val="20"/>
        </w:trPr>
        <w:tc>
          <w:tcPr>
            <w:tcW w:w="31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left="640" w:hanging="632"/>
        <w:spacing w:after="0"/>
        <w:tabs>
          <w:tab w:leader="none" w:pos="640" w:val="left"/>
        </w:tabs>
        <w:numPr>
          <w:ilvl w:val="0"/>
          <w:numId w:val="9"/>
        </w:numPr>
        <w:rPr>
          <w:rFonts w:ascii="Arial" w:cs="Arial" w:eastAsia="Arial" w:hAnsi="Arial"/>
          <w:sz w:val="18"/>
          <w:szCs w:val="18"/>
          <w:color w:val="auto"/>
        </w:rPr>
      </w:pPr>
      <w:r>
        <w:rPr>
          <w:rFonts w:ascii="Arial" w:cs="Arial" w:eastAsia="Arial" w:hAnsi="Arial"/>
          <w:sz w:val="18"/>
          <w:szCs w:val="18"/>
          <w:color w:val="auto"/>
        </w:rPr>
        <w:t>Amounts exclude contractual sublease proceeds of $22.2 million to be received through fiscal 2028.</w:t>
      </w:r>
    </w:p>
    <w:p>
      <w:pPr>
        <w:spacing w:after="0" w:line="23" w:lineRule="exact"/>
        <w:rPr>
          <w:rFonts w:ascii="Arial" w:cs="Arial" w:eastAsia="Arial" w:hAnsi="Arial"/>
          <w:sz w:val="18"/>
          <w:szCs w:val="18"/>
          <w:color w:val="auto"/>
        </w:rPr>
      </w:pPr>
    </w:p>
    <w:p>
      <w:pPr>
        <w:ind w:left="640" w:hanging="632"/>
        <w:spacing w:after="0"/>
        <w:tabs>
          <w:tab w:leader="none" w:pos="640" w:val="left"/>
        </w:tabs>
        <w:numPr>
          <w:ilvl w:val="0"/>
          <w:numId w:val="9"/>
        </w:numPr>
        <w:rPr>
          <w:rFonts w:ascii="Arial" w:cs="Arial" w:eastAsia="Arial" w:hAnsi="Arial"/>
          <w:sz w:val="16"/>
          <w:szCs w:val="16"/>
          <w:color w:val="auto"/>
        </w:rPr>
      </w:pPr>
      <w:r>
        <w:rPr>
          <w:rFonts w:ascii="Arial" w:cs="Arial" w:eastAsia="Arial" w:hAnsi="Arial"/>
          <w:sz w:val="16"/>
          <w:szCs w:val="16"/>
          <w:color w:val="auto"/>
        </w:rPr>
        <w:t>Amounts represent anticipated future cash payments, including anticipated interest payments not recorded in the consolidated balance sheet.</w:t>
      </w:r>
    </w:p>
    <w:p>
      <w:pPr>
        <w:spacing w:after="0" w:line="126"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In addition to the above commitments and contingencies, as of May 1, 2021, we have $25.1 million of unrecognized tax benefits as liabilities. We also have a liability for potential interest and penalties of $3.8 million as of May 1, 2021.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$2.5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2020 Term Loans. See “Note 5 - Debt” in the Notes to the Unaudited Condensed Consolidated Financial Statements for further information. A hypothetical increase or decrease in the interest rate by 1 percentage point would result in an increase or decrease in annual interest expense by approximately $0.9 million to $17.1 million.</w:t>
      </w:r>
    </w:p>
    <w:p>
      <w:pPr>
        <w:spacing w:after="0" w:line="215"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fair value of our outstanding convertible notes is subject to interest rate risk, market risk and other factors due to convertible feature. The fair value of the convertible notes will generally increase as interest rates fall and decrease as interest rates rise. In addition, the fair value of the convertible notes will generally increase as our common stock price increases and will generally decrease as our common stock price declines in value. The interest and market value changes affect the fair value of the convertible notes but, with respect to the Inphi 2025 Convertible Notes, do not impact our financial position, cash flows or results of operations due to the fixed nature of the debt obligation. For the Inphi 2021 Convertible Notes, we elected the fair value option and carry the Inphi 2021 Convertible Notes at fair value. We hold capped calls in connection with the convertible notes. The capped calls provide for variable cash settlement based on our stock price. The capped calls qualify as derivatives and, accordingly, we measure the capped calls at fair value, with changes in fair value reported in earnings. See “Note 5 - Debt” in the Notes to the Unaudited Condensed Consolidated Financial Statements for further information.</w:t>
      </w:r>
    </w:p>
    <w:p>
      <w:pPr>
        <w:spacing w:after="0" w:line="218"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currently carry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May 1, 2021,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May 1, 2021,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May 1, 2021 that have materially affected, or are reasonably likely to materially affect, our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43" w:lineRule="exact"/>
        <w:rPr>
          <w:sz w:val="20"/>
          <w:szCs w:val="20"/>
          <w:color w:val="auto"/>
        </w:rPr>
      </w:pPr>
    </w:p>
    <w:p>
      <w:pPr>
        <w:ind w:right="12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40"/>
          </w:cols>
          <w:pgMar w:left="320" w:top="130" w:right="43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380" w:firstLine="405"/>
        <w:spacing w:after="0" w:line="248"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40" w:firstLine="405"/>
        <w:spacing w:after="0" w:line="259"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228" w:lineRule="exact"/>
        <w:rPr>
          <w:sz w:val="20"/>
          <w:szCs w:val="20"/>
          <w:color w:val="auto"/>
        </w:rPr>
      </w:pPr>
    </w:p>
    <w:p>
      <w:pPr>
        <w:ind w:left="660" w:right="66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right="36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synergies, on a timely basis or at all, in connection with the Inphi merger and other strategic transactions;</w:t>
      </w:r>
    </w:p>
    <w:p>
      <w:pPr>
        <w:ind w:left="660" w:right="40" w:hanging="328"/>
        <w:spacing w:after="0" w:line="233"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ind w:left="660" w:right="140" w:hanging="328"/>
        <w:spacing w:after="0" w:line="199"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the impact of Brexit on the economy in the E.U., political conditions, such as the recent tariffs and trade restrictions with China and other foreign nations, and specific conditions in the end markets we address, including the continuing volatility in the technology sector and semiconductor industry;</w:t>
      </w:r>
    </w:p>
    <w:p>
      <w:pPr>
        <w:spacing w:after="0" w:line="2" w:lineRule="exact"/>
        <w:rPr>
          <w:rFonts w:ascii="Arial" w:cs="Arial" w:eastAsia="Arial" w:hAnsi="Arial"/>
          <w:sz w:val="22"/>
          <w:szCs w:val="22"/>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7" w:lineRule="exact"/>
        <w:rPr>
          <w:rFonts w:ascii="Arial" w:cs="Arial" w:eastAsia="Arial" w:hAnsi="Arial"/>
          <w:sz w:val="18"/>
          <w:szCs w:val="18"/>
          <w:color w:val="auto"/>
        </w:rPr>
      </w:pPr>
    </w:p>
    <w:p>
      <w:pPr>
        <w:ind w:left="660" w:right="12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500" w:hanging="328"/>
        <w:spacing w:after="0" w:line="232"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hanging="328"/>
        <w:spacing w:after="0" w:line="217" w:lineRule="auto"/>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0" w:lineRule="exact"/>
        <w:rPr>
          <w:rFonts w:ascii="Arial" w:cs="Arial" w:eastAsia="Arial" w:hAnsi="Arial"/>
          <w:sz w:val="22"/>
          <w:szCs w:val="22"/>
          <w:color w:val="auto"/>
        </w:rPr>
      </w:pPr>
    </w:p>
    <w:p>
      <w:pPr>
        <w:ind w:left="660" w:hanging="328"/>
        <w:spacing w:after="0" w:line="231" w:lineRule="auto"/>
        <w:tabs>
          <w:tab w:leader="none" w:pos="660" w:val="left"/>
        </w:tabs>
        <w:numPr>
          <w:ilvl w:val="0"/>
          <w:numId w:val="10"/>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160" w:hanging="328"/>
        <w:spacing w:after="0" w:line="206"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our manufacturing partners to produce our products;</w:t>
      </w:r>
    </w:p>
    <w:p>
      <w:pPr>
        <w:spacing w:after="0" w:line="1" w:lineRule="exact"/>
        <w:rPr>
          <w:rFonts w:ascii="Arial" w:cs="Arial" w:eastAsia="Arial" w:hAnsi="Arial"/>
          <w:sz w:val="22"/>
          <w:szCs w:val="22"/>
          <w:color w:val="auto"/>
        </w:rPr>
      </w:pPr>
    </w:p>
    <w:p>
      <w:pPr>
        <w:ind w:left="660" w:right="400" w:hanging="328"/>
        <w:spacing w:after="0" w:line="210" w:lineRule="auto"/>
        <w:tabs>
          <w:tab w:leader="none" w:pos="655" w:val="left"/>
        </w:tabs>
        <w:numPr>
          <w:ilvl w:val="0"/>
          <w:numId w:val="10"/>
        </w:numPr>
        <w:rPr>
          <w:rFonts w:ascii="Arial" w:cs="Arial" w:eastAsia="Arial" w:hAnsi="Arial"/>
          <w:sz w:val="22"/>
          <w:szCs w:val="22"/>
          <w:color w:val="auto"/>
        </w:rPr>
      </w:pPr>
      <w:r>
        <w:rPr>
          <w:rFonts w:ascii="Arial" w:cs="Arial" w:eastAsia="Arial" w:hAnsi="Arial"/>
          <w:sz w:val="18"/>
          <w:szCs w:val="18"/>
          <w:color w:val="auto"/>
        </w:rPr>
        <w:t>risks related to our ability to realize anticipated synergies in connection with our acquisitions and our loss of synergies in connection with our divestitures;</w:t>
      </w:r>
    </w:p>
    <w:p>
      <w:pPr>
        <w:spacing w:after="0" w:line="200" w:lineRule="exact"/>
        <w:rPr>
          <w:sz w:val="20"/>
          <w:szCs w:val="20"/>
          <w:color w:val="auto"/>
        </w:r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60" w:hanging="328"/>
        <w:spacing w:after="0" w:line="218"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1" w:lineRule="exact"/>
        <w:rPr>
          <w:rFonts w:ascii="Arial" w:cs="Arial" w:eastAsia="Arial" w:hAnsi="Arial"/>
          <w:sz w:val="22"/>
          <w:szCs w:val="22"/>
          <w:color w:val="auto"/>
        </w:rPr>
      </w:pPr>
    </w:p>
    <w:p>
      <w:pPr>
        <w:ind w:left="660" w:hanging="328"/>
        <w:spacing w:after="0" w:line="204" w:lineRule="auto"/>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Cloud and infrastructure markets;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0" w:lineRule="exact"/>
        <w:rPr>
          <w:rFonts w:ascii="Arial" w:cs="Arial" w:eastAsia="Arial" w:hAnsi="Arial"/>
          <w:sz w:val="22"/>
          <w:szCs w:val="22"/>
          <w:color w:val="auto"/>
        </w:rPr>
      </w:pPr>
    </w:p>
    <w:p>
      <w:pPr>
        <w:ind w:left="660" w:right="700" w:hanging="328"/>
        <w:spacing w:after="0" w:line="213"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a timely and effective manner, as well as our ability to anticipate and adapt to changes in technology;</w:t>
      </w:r>
    </w:p>
    <w:p>
      <w:pPr>
        <w:ind w:left="660" w:hanging="328"/>
        <w:spacing w:after="0" w:line="204" w:lineRule="auto"/>
        <w:tabs>
          <w:tab w:leader="none" w:pos="660"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U.S.;</w:t>
      </w:r>
    </w:p>
    <w:p>
      <w:pPr>
        <w:spacing w:after="0" w:line="13" w:lineRule="exact"/>
        <w:rPr>
          <w:rFonts w:ascii="Arial" w:cs="Arial" w:eastAsia="Arial" w:hAnsi="Arial"/>
          <w:sz w:val="22"/>
          <w:szCs w:val="22"/>
          <w:color w:val="auto"/>
        </w:rPr>
      </w:pPr>
    </w:p>
    <w:p>
      <w:pPr>
        <w:ind w:left="660" w:right="260" w:hanging="328"/>
        <w:spacing w:after="0" w:line="233"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 including earthquakes, fires, floods and tsunamis,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22"/>
          <w:szCs w:val="22"/>
          <w:color w:val="auto"/>
        </w:rPr>
      </w:pPr>
    </w:p>
    <w:p>
      <w:pPr>
        <w:ind w:left="660" w:right="500" w:hanging="328"/>
        <w:spacing w:after="0" w:line="226"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managerial, engineering, sales and marketing personnel;</w:t>
      </w: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severe financial hardship or bankruptcy of one or more of our major customers; and</w:t>
      </w:r>
    </w:p>
    <w:p>
      <w:pPr>
        <w:spacing w:after="0" w:line="7" w:lineRule="exact"/>
        <w:rPr>
          <w:rFonts w:ascii="Arial" w:cs="Arial" w:eastAsia="Arial" w:hAnsi="Arial"/>
          <w:sz w:val="18"/>
          <w:szCs w:val="18"/>
          <w:color w:val="auto"/>
        </w:rPr>
      </w:pPr>
    </w:p>
    <w:p>
      <w:pPr>
        <w:ind w:left="660" w:right="100" w:hanging="328"/>
        <w:spacing w:after="0" w:line="218" w:lineRule="auto"/>
        <w:tabs>
          <w:tab w:leader="none" w:pos="655" w:val="left"/>
        </w:tabs>
        <w:numPr>
          <w:ilvl w:val="0"/>
          <w:numId w:val="11"/>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6"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46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180" w:lineRule="exact"/>
        <w:rPr>
          <w:sz w:val="20"/>
          <w:szCs w:val="20"/>
          <w:color w:val="auto"/>
        </w:rPr>
      </w:pPr>
    </w:p>
    <w:p>
      <w:pPr>
        <w:ind w:right="220" w:firstLine="405"/>
        <w:spacing w:after="0" w:line="246" w:lineRule="auto"/>
        <w:rPr>
          <w:sz w:val="20"/>
          <w:szCs w:val="20"/>
          <w:color w:val="auto"/>
        </w:rPr>
      </w:pPr>
      <w:r>
        <w:rPr>
          <w:rFonts w:ascii="Arial" w:cs="Arial" w:eastAsia="Arial" w:hAnsi="Arial"/>
          <w:sz w:val="18"/>
          <w:szCs w:val="18"/>
          <w:color w:val="auto"/>
        </w:rPr>
        <w:t>Although many countries have vaccinated large segments of their population, COVID-19 continues to disrupt business activities, trade, and supply chains in many countries, particularly in Asia and India. We expect these impacts to continue for the foreseeable future.</w:t>
      </w:r>
    </w:p>
    <w:p>
      <w:pPr>
        <w:spacing w:after="0" w:line="210" w:lineRule="exact"/>
        <w:rPr>
          <w:sz w:val="20"/>
          <w:szCs w:val="20"/>
          <w:color w:val="auto"/>
        </w:rPr>
      </w:pPr>
    </w:p>
    <w:p>
      <w:pPr>
        <w:ind w:right="14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7"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51"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10"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the program remains suspended as we focus on reducing our debt and de-levering our balance sheet. See the Risk Factor entitled “</w:t>
      </w:r>
      <w:r>
        <w:rPr>
          <w:rFonts w:ascii="Arial" w:cs="Arial" w:eastAsia="Arial" w:hAnsi="Arial"/>
          <w:sz w:val="18"/>
          <w:szCs w:val="18"/>
          <w:i w:val="1"/>
          <w:iCs w:val="1"/>
          <w:color w:val="auto"/>
        </w:rPr>
        <w:t>There can be no assurance that we</w:t>
      </w:r>
      <w:r>
        <w:rPr>
          <w:rFonts w:ascii="Arial" w:cs="Arial" w:eastAsia="Arial" w:hAnsi="Arial"/>
          <w:sz w:val="18"/>
          <w:szCs w:val="18"/>
          <w:color w:val="auto"/>
        </w:rPr>
        <w:t xml:space="preserve"> </w:t>
      </w:r>
      <w:r>
        <w:rPr>
          <w:rFonts w:ascii="Arial" w:cs="Arial" w:eastAsia="Arial" w:hAnsi="Arial"/>
          <w:sz w:val="18"/>
          <w:szCs w:val="18"/>
          <w:i w:val="1"/>
          <w:iCs w:val="1"/>
          <w:color w:val="auto"/>
        </w:rPr>
        <w:t>will continue to declare cash dividends or effect share repurchases in any particular amount or at all, and statutory requirements under Delaware Law may require us to defer payment of declared dividends or suspend share repurchases.</w:t>
      </w:r>
      <w:r>
        <w:rPr>
          <w:rFonts w:ascii="Arial" w:cs="Arial" w:eastAsia="Arial" w:hAnsi="Arial"/>
          <w:sz w:val="18"/>
          <w:szCs w:val="18"/>
          <w:color w:val="auto"/>
        </w:rPr>
        <w:t>”</w:t>
      </w:r>
    </w:p>
    <w:p>
      <w:pPr>
        <w:spacing w:after="0" w:line="215"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w:t>
      </w:r>
    </w:p>
    <w:p>
      <w:pPr>
        <w:spacing w:after="0" w:line="198"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16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MERGER WITH INPHI</w:t>
      </w:r>
    </w:p>
    <w:p>
      <w:pPr>
        <w:spacing w:after="0" w:line="239" w:lineRule="exact"/>
        <w:rPr>
          <w:sz w:val="20"/>
          <w:szCs w:val="20"/>
          <w:color w:val="auto"/>
        </w:rPr>
      </w:pPr>
    </w:p>
    <w:p>
      <w:pPr>
        <w:ind w:right="40"/>
        <w:spacing w:after="0" w:line="248" w:lineRule="auto"/>
        <w:rPr>
          <w:sz w:val="20"/>
          <w:szCs w:val="20"/>
          <w:color w:val="auto"/>
        </w:rPr>
      </w:pPr>
      <w:r>
        <w:rPr>
          <w:rFonts w:ascii="Arial" w:cs="Arial" w:eastAsia="Arial" w:hAnsi="Arial"/>
          <w:sz w:val="18"/>
          <w:szCs w:val="18"/>
          <w:b w:val="1"/>
          <w:bCs w:val="1"/>
          <w:i w:val="1"/>
          <w:iCs w:val="1"/>
          <w:color w:val="auto"/>
        </w:rPr>
        <w:t>Our acquisition of Inphi involves a number of risks, including, among others, risks associated with our use of a significant portion of our cash and our taking on significant indebtedness, other financial risks, integration risks, and risks associated with the reactions of customers, suppliers and employees.</w:t>
      </w:r>
    </w:p>
    <w:p>
      <w:pPr>
        <w:spacing w:after="0" w:line="209"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On April 20, 2021, we completed our acquisition of Inphi. In connection with the transaction, Marvell Technology Group Ltd. became as a wholly owned subsidiary of the Company and Inphi became a wholly owned subsidiary of the Company (collectively, these two transactions are referred to as the "Mergers"). In addition, as a result of the transaction, the Company is domiciled in the United States.</w:t>
      </w:r>
    </w:p>
    <w:p>
      <w:pPr>
        <w:spacing w:after="0" w:line="209"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incurrence of substantial indebtedness in connection with the financing of the Mergers has reduced our liquidity, and may limit our flexibility in responding to other business opportunities and increase our vulnerability to adverse economic and industry conditions.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benefits we expect to realize from the Mergers will depend, in part, on our ability to integrate the businesses successfully and efficiently.</w:t>
      </w:r>
    </w:p>
    <w:p>
      <w:pPr>
        <w:spacing w:after="0" w:line="250"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Furthermore, uncertainties with respect to integration related to the Mergers may cause our current and prospective employees to experience uncertainty about their futures. These uncertainties may impair our ability to retain, recruit or motivate key management, engineering, technical and other personnel. Similarly, our existing or prospective customers, licensees, suppliers and/or partners may delay, defer or cease purchasing products or services from or providing products or services to us; delay or defer other decisions concerning us; or otherwise seek to change the terms on which they do business with us. Any of the above could harm us, and thus decrease the benefits we expect to receive from the Mergers.</w:t>
      </w:r>
    </w:p>
    <w:p>
      <w:pPr>
        <w:spacing w:after="0" w:line="200" w:lineRule="exact"/>
        <w:rPr>
          <w:sz w:val="20"/>
          <w:szCs w:val="20"/>
          <w:color w:val="auto"/>
        </w:rPr>
      </w:pPr>
    </w:p>
    <w:p>
      <w:pPr>
        <w:spacing w:after="0" w:line="3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The Mergers may also result in significant charges or other liabilities, including taxes, that could adversely affect our results of operations, such as cash expenses and non-cash accounting charges incurred in connection with the acquisition and/or integration of the business and operations of Marvell and Inphi. The amount and timing of these possible charges are not yet known. Further, our failure to identify or accurately assess the magnitude of certain liabilities we are assuming in the transaction could result in unexpected litigation or regulatory exposure, unfavorable accounting charges, unexpected increases in taxes due, a loss of anticipated tax benefits or other adverse effects on our business, results of operations, financial condition or cash flows.</w:t>
      </w:r>
    </w:p>
    <w:p>
      <w:pPr>
        <w:spacing w:after="0" w:line="186"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Failure to successfully integrate the businesses of </w:t>
      </w:r>
      <w:r>
        <w:rPr>
          <w:rFonts w:ascii="Arial" w:cs="Arial" w:eastAsia="Arial" w:hAnsi="Arial"/>
          <w:sz w:val="17"/>
          <w:szCs w:val="17"/>
          <w:b w:val="1"/>
          <w:bCs w:val="1"/>
          <w:i w:val="1"/>
          <w:iCs w:val="1"/>
          <w:color w:val="231F20"/>
        </w:rPr>
        <w:t>Marvell</w:t>
      </w:r>
      <w:r>
        <w:rPr>
          <w:rFonts w:ascii="Arial" w:cs="Arial" w:eastAsia="Arial" w:hAnsi="Arial"/>
          <w:sz w:val="17"/>
          <w:szCs w:val="17"/>
          <w:b w:val="1"/>
          <w:bCs w:val="1"/>
          <w:i w:val="1"/>
          <w:iCs w:val="1"/>
          <w:color w:val="auto"/>
        </w:rPr>
        <w:t xml:space="preserve"> and Inphi in the expected time frame may adversely affect our future results.</w:t>
      </w:r>
    </w:p>
    <w:p>
      <w:pPr>
        <w:spacing w:after="0" w:line="250" w:lineRule="exact"/>
        <w:rPr>
          <w:sz w:val="20"/>
          <w:szCs w:val="20"/>
          <w:color w:val="auto"/>
        </w:rPr>
      </w:pPr>
    </w:p>
    <w:p>
      <w:pPr>
        <w:ind w:firstLine="441"/>
        <w:spacing w:after="0" w:line="255" w:lineRule="auto"/>
        <w:rPr>
          <w:sz w:val="20"/>
          <w:szCs w:val="20"/>
          <w:color w:val="auto"/>
        </w:rPr>
      </w:pPr>
      <w:r>
        <w:rPr>
          <w:rFonts w:ascii="Arial" w:cs="Arial" w:eastAsia="Arial" w:hAnsi="Arial"/>
          <w:sz w:val="17"/>
          <w:szCs w:val="17"/>
          <w:color w:val="auto"/>
        </w:rPr>
        <w:t>We entered into the Merger Agreement with Inphi with the expectation that the Mergers will result in various benefits to us, including certain cost savings and operational efficiencies or synergies. To realize these anticipated benefits, the businesses of Marvell and Inphi must be successfully integrated. Historically, Marvell and Inphi have been independent companies, and they were operated as such until the completion of the Mergers. The integration may be complex and time consuming and may require substantial resources and effort. Our management may face significant challenges in consolidating the operations of Marvell and Inphi, integrating the technologies, procedures, and policies, as well as addressing the different corporate cultures of the two companies and retaining key personnel. If the companies are not successfully integrated, the anticipated benefits of the Mergers may not be realized fully or at all or may take longer to realize than expected.</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STRATEGIC TRANSACTIONS</w:t>
      </w:r>
    </w:p>
    <w:p>
      <w:pPr>
        <w:spacing w:after="0" w:line="239"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98" w:lineRule="exact"/>
        <w:rPr>
          <w:sz w:val="20"/>
          <w:szCs w:val="20"/>
          <w:color w:val="auto"/>
        </w:rPr>
      </w:pPr>
    </w:p>
    <w:p>
      <w:pPr>
        <w:jc w:val="both"/>
        <w:ind w:right="140" w:firstLine="405"/>
        <w:spacing w:after="0" w:line="270"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12" w:lineRule="exact"/>
        <w:rPr>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On September 19, 2019, we completed the acquisition of Aquantia Corp. (“Aquantia”);</w:t>
      </w:r>
    </w:p>
    <w:p>
      <w:pPr>
        <w:spacing w:after="0" w:line="175" w:lineRule="exact"/>
        <w:rPr>
          <w:rFonts w:ascii="Arial" w:cs="Arial" w:eastAsia="Arial" w:hAnsi="Arial"/>
          <w:sz w:val="20"/>
          <w:szCs w:val="20"/>
          <w:color w:val="auto"/>
        </w:rPr>
      </w:pPr>
    </w:p>
    <w:p>
      <w:pPr>
        <w:ind w:left="660" w:right="420" w:hanging="328"/>
        <w:spacing w:after="0" w:line="208" w:lineRule="auto"/>
        <w:tabs>
          <w:tab w:leader="none" w:pos="648" w:val="left"/>
        </w:tabs>
        <w:numPr>
          <w:ilvl w:val="0"/>
          <w:numId w:val="12"/>
        </w:numPr>
        <w:rPr>
          <w:rFonts w:ascii="Arial" w:cs="Arial" w:eastAsia="Arial" w:hAnsi="Arial"/>
          <w:sz w:val="20"/>
          <w:szCs w:val="20"/>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w:t>
      </w:r>
    </w:p>
    <w:p>
      <w:pPr>
        <w:spacing w:after="0" w:line="174"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On December 6, 2019, we sold NXP USA, Inc. certain assets related to our Wi-Fi Connectivity business; and</w:t>
      </w:r>
    </w:p>
    <w:p>
      <w:pPr>
        <w:spacing w:after="0" w:line="161" w:lineRule="exact"/>
        <w:rPr>
          <w:rFonts w:ascii="Arial" w:cs="Arial" w:eastAsia="Arial" w:hAnsi="Arial"/>
          <w:sz w:val="20"/>
          <w:szCs w:val="20"/>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On April 20, 2021, we completed the acquisition of Inphi.</w:t>
      </w:r>
    </w:p>
    <w:p>
      <w:pPr>
        <w:spacing w:after="0" w:line="212" w:lineRule="exact"/>
        <w:rPr>
          <w:sz w:val="20"/>
          <w:szCs w:val="20"/>
          <w:color w:val="auto"/>
        </w:rPr>
      </w:pPr>
    </w:p>
    <w:p>
      <w:pPr>
        <w:jc w:val="both"/>
        <w:ind w:firstLine="405"/>
        <w:spacing w:after="0" w:line="262" w:lineRule="auto"/>
        <w:rPr>
          <w:sz w:val="20"/>
          <w:szCs w:val="20"/>
          <w:color w:val="auto"/>
        </w:rPr>
      </w:pPr>
      <w:r>
        <w:rPr>
          <w:rFonts w:ascii="Arial" w:cs="Arial" w:eastAsia="Arial" w:hAnsi="Arial"/>
          <w:sz w:val="17"/>
          <w:szCs w:val="17"/>
          <w:color w:val="auto"/>
        </w:rPr>
        <w:t>Mergers, acquisitions and divestitures include a number of risks and present financial, managerial and operational challenges. Any acquired business, technology, service or product could significantly underperform relative to our expectations and may not achieve the benefits we expect on a timely basis or at all.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99"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9"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09"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 and integration risks.</w:t>
      </w:r>
    </w:p>
    <w:p>
      <w:pPr>
        <w:spacing w:after="0" w:line="198"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We used a significant portion of our cash and incurred substantial indebtedness in connection with the financing of our acquisition of Cavium, which was completed in fiscal year 2019. In fiscal year 2020, we used cash and indebtedness to finance our acquisition of Aquantia and indebtedness to finance our acquisition of Avera. As of December 11, 2019, we repaid the entire amount of the indebtedness related to the Aquantia and Avera acquisitions. In addition, we used a significant portion of our cash and incurred substantial indebtedness in connection with the financing of our acquisition of Inphi, which was completed in fiscal year 2022. Our use of cash to fund our current and future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360"/>
        <w:spacing w:after="0" w:line="250" w:lineRule="auto"/>
        <w:rPr>
          <w:sz w:val="20"/>
          <w:szCs w:val="20"/>
          <w:color w:val="auto"/>
        </w:rPr>
      </w:pPr>
      <w:r>
        <w:rPr>
          <w:rFonts w:ascii="Arial" w:cs="Arial" w:eastAsia="Arial" w:hAnsi="Arial"/>
          <w:sz w:val="18"/>
          <w:szCs w:val="18"/>
          <w:b w:val="1"/>
          <w:bCs w:val="1"/>
          <w:color w:val="auto"/>
        </w:rPr>
        <w:t>We rely on our manufacturing 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8"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manufacturing partners to produce our products. We also currently rely on several third-party assembly and test subcontractors to assemble, package and test our products. This exposes us to a variety of risks, including the following:</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39"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Taiwan and Canada. Because of the geographic concentration of most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right="40" w:firstLine="405"/>
        <w:spacing w:after="0" w:line="270" w:lineRule="auto"/>
        <w:rPr>
          <w:sz w:val="20"/>
          <w:szCs w:val="20"/>
          <w:color w:val="auto"/>
        </w:rPr>
      </w:pPr>
      <w:r>
        <w:rPr>
          <w:rFonts w:ascii="Arial" w:cs="Arial" w:eastAsia="Arial" w:hAnsi="Arial"/>
          <w:sz w:val="16"/>
          <w:szCs w:val="16"/>
          <w:color w:val="auto"/>
        </w:rPr>
        <w:t>The ability of each of our manufacturing partners to provide us with semiconductor devices is limited by its available capacity and existing obligations. When demand is strong, availability of our partners'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our manufacturing partners can allocate capacity to the production of other companies’ products and reduce deliveries to us on short notice. It is possible that their customers that are larger and better financed than we are or that have long-term agreements with our main manufacturing partners may induce our</w:t>
      </w:r>
    </w:p>
    <w:p>
      <w:pPr>
        <w:spacing w:after="0" w:line="1" w:lineRule="exact"/>
        <w:rPr>
          <w:sz w:val="20"/>
          <w:szCs w:val="20"/>
          <w:color w:val="auto"/>
        </w:rPr>
      </w:pPr>
    </w:p>
    <w:p>
      <w:pPr>
        <w:ind w:right="60"/>
        <w:spacing w:after="0" w:line="255" w:lineRule="auto"/>
        <w:rPr>
          <w:sz w:val="20"/>
          <w:szCs w:val="20"/>
          <w:color w:val="auto"/>
        </w:rPr>
      </w:pPr>
      <w:r>
        <w:rPr>
          <w:rFonts w:ascii="Arial" w:cs="Arial" w:eastAsia="Arial" w:hAnsi="Arial"/>
          <w:sz w:val="17"/>
          <w:szCs w:val="17"/>
          <w:color w:val="auto"/>
        </w:rPr>
        <w:t>them to reallocate capacity to those customers. Our manufacturing partners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7"/>
          <w:szCs w:val="17"/>
          <w:i w:val="1"/>
          <w:iCs w:val="1"/>
          <w:color w:val="auto"/>
        </w:rPr>
        <w:t>We may experience difficulties in transitioning to smaller</w:t>
      </w:r>
      <w:r>
        <w:rPr>
          <w:rFonts w:ascii="Arial" w:cs="Arial" w:eastAsia="Arial" w:hAnsi="Arial"/>
          <w:sz w:val="17"/>
          <w:szCs w:val="17"/>
          <w:color w:val="auto"/>
        </w:rPr>
        <w:t xml:space="preserve"> </w:t>
      </w:r>
      <w:r>
        <w:rPr>
          <w:rFonts w:ascii="Arial" w:cs="Arial" w:eastAsia="Arial" w:hAnsi="Arial"/>
          <w:sz w:val="17"/>
          <w:szCs w:val="17"/>
          <w:i w:val="1"/>
          <w:iCs w:val="1"/>
          <w:color w:val="auto"/>
        </w:rPr>
        <w:t>geometry process technologies or in achieving higher levels of design integration, which may result in reduced manufacturing yields, delays in product deliveries and increased expenses.</w:t>
      </w:r>
      <w:r>
        <w:rPr>
          <w:rFonts w:ascii="Arial" w:cs="Arial" w:eastAsia="Arial" w:hAnsi="Arial"/>
          <w:sz w:val="17"/>
          <w:szCs w:val="17"/>
          <w:color w:val="auto"/>
        </w:rPr>
        <w:t>” Moreover, if any of our third-party manufacturing partners or other suppliers are unable to secure the necessary raw</w:t>
      </w:r>
      <w:r>
        <w:rPr>
          <w:rFonts w:ascii="Arial" w:cs="Arial" w:eastAsia="Arial" w:hAnsi="Arial"/>
          <w:sz w:val="17"/>
          <w:szCs w:val="17"/>
          <w:i w:val="1"/>
          <w:iCs w:val="1"/>
          <w:color w:val="auto"/>
        </w:rPr>
        <w:t xml:space="preserve"> </w:t>
      </w:r>
      <w:r>
        <w:rPr>
          <w:rFonts w:ascii="Arial" w:cs="Arial" w:eastAsia="Arial" w:hAnsi="Arial"/>
          <w:sz w:val="17"/>
          <w:szCs w:val="17"/>
          <w:color w:val="auto"/>
        </w:rPr>
        <w:t>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For example, in response to growth in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challenges have in the past, and may in the future, limit our ability to fully satisfy the increase in demand for some of our products.</w:t>
      </w:r>
    </w:p>
    <w:p>
      <w:pPr>
        <w:spacing w:after="0" w:line="215"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 In addition, our testing and assembly partners may be single sourced and it may be difficult for us to transition to other partners for these services.</w:t>
      </w:r>
    </w:p>
    <w:p>
      <w:pPr>
        <w:spacing w:after="0" w:line="216"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may enter into various arrangements with our manufacturing partners or other suppliers that could be costly and harm our results of operations, such as nonrefundable deposits with, or loans to, such parties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202"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Recent supply shortages in the semiconductor industry of multi-layer complex substrates, IC packaging capacity and fab constraints have resulted in increased lead times, inability to meet demand, and increased costs during 2020, and these supply constraints are currently expected to continue throughout calendar 2021. Of these shortages, ABF substrates are the most constrained at this time and most of these suppliers are located in Japan and Taiwan. Because of the geographic concentration of these suppliers,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20" w:firstLine="405"/>
        <w:spacing w:after="0" w:line="253" w:lineRule="auto"/>
        <w:rPr>
          <w:sz w:val="20"/>
          <w:szCs w:val="20"/>
          <w:color w:val="auto"/>
        </w:rPr>
      </w:pPr>
      <w:r>
        <w:rPr>
          <w:rFonts w:ascii="Arial" w:cs="Arial" w:eastAsia="Arial" w:hAnsi="Arial"/>
          <w:sz w:val="17"/>
          <w:szCs w:val="17"/>
          <w:color w:val="auto"/>
        </w:rPr>
        <w:t>The fabrication of integrated circuits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w:t>
      </w:r>
      <w:r>
        <w:rPr>
          <w:rFonts w:ascii="Arial" w:cs="Arial" w:eastAsia="Arial" w:hAnsi="Arial"/>
          <w:sz w:val="17"/>
          <w:szCs w:val="17"/>
          <w:color w:val="auto"/>
        </w:rPr>
        <w:t xml:space="preserve"> </w:t>
      </w:r>
      <w:r>
        <w:rPr>
          <w:rFonts w:ascii="Arial" w:cs="Arial" w:eastAsia="Arial" w:hAnsi="Arial"/>
          <w:sz w:val="17"/>
          <w:szCs w:val="17"/>
          <w:i w:val="1"/>
          <w:iCs w:val="1"/>
          <w:color w:val="auto"/>
        </w:rPr>
        <w:t>have a 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20" w:firstLine="405"/>
        <w:spacing w:after="0" w:line="291" w:lineRule="auto"/>
        <w:rPr>
          <w:sz w:val="20"/>
          <w:szCs w:val="20"/>
          <w:color w:val="auto"/>
        </w:rPr>
      </w:pPr>
      <w:r>
        <w:rPr>
          <w:rFonts w:ascii="Arial" w:cs="Arial" w:eastAsia="Arial" w:hAnsi="Arial"/>
          <w:sz w:val="17"/>
          <w:szCs w:val="17"/>
          <w:color w:val="auto"/>
        </w:rPr>
        <w:t>To the extent that we rely on outside manufacturing partners, we may have a reduced ability to directly control product delivery schedules and quality assurance, which could result in product shortages or quality assurance problems that could delay shipments or increase costs.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jc w:val="both"/>
        <w:ind w:right="24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82" w:lineRule="exact"/>
        <w:rPr>
          <w:sz w:val="20"/>
          <w:szCs w:val="20"/>
          <w:color w:val="auto"/>
        </w:rPr>
      </w:pPr>
    </w:p>
    <w:p>
      <w:pPr>
        <w:jc w:val="both"/>
        <w:ind w:right="28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95"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3"/>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29" w:lineRule="exact"/>
        <w:rPr>
          <w:rFonts w:ascii="Arial" w:cs="Arial" w:eastAsia="Arial" w:hAnsi="Arial"/>
          <w:sz w:val="20"/>
          <w:szCs w:val="20"/>
          <w:color w:val="auto"/>
        </w:rPr>
      </w:pPr>
    </w:p>
    <w:p>
      <w:pPr>
        <w:ind w:left="660" w:hanging="328"/>
        <w:spacing w:after="0" w:line="235" w:lineRule="auto"/>
        <w:tabs>
          <w:tab w:leader="none" w:pos="648" w:val="left"/>
        </w:tabs>
        <w:numPr>
          <w:ilvl w:val="0"/>
          <w:numId w:val="13"/>
        </w:numPr>
        <w:rPr>
          <w:rFonts w:ascii="Arial" w:cs="Arial" w:eastAsia="Arial" w:hAnsi="Arial"/>
          <w:sz w:val="19"/>
          <w:szCs w:val="19"/>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20"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9" w:lineRule="exact"/>
        <w:rPr>
          <w:sz w:val="20"/>
          <w:szCs w:val="20"/>
          <w:color w:val="auto"/>
        </w:rPr>
      </w:pPr>
    </w:p>
    <w:p>
      <w:pPr>
        <w:jc w:val="both"/>
        <w:ind w:right="14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“Research and Development” under Results of Operations.</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93"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190"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7" w:lineRule="exact"/>
        <w:rPr>
          <w:sz w:val="20"/>
          <w:szCs w:val="20"/>
          <w:color w:val="auto"/>
        </w:rPr>
      </w:pPr>
    </w:p>
    <w:p>
      <w:pPr>
        <w:jc w:val="both"/>
        <w:spacing w:after="0" w:line="250" w:lineRule="auto"/>
        <w:rPr>
          <w:sz w:val="20"/>
          <w:szCs w:val="20"/>
          <w:color w:val="auto"/>
        </w:rPr>
      </w:pPr>
      <w:r>
        <w:rPr>
          <w:rFonts w:ascii="Arial" w:cs="Arial" w:eastAsia="Arial" w:hAnsi="Arial"/>
          <w:sz w:val="18"/>
          <w:szCs w:val="18"/>
          <w:b w:val="1"/>
          <w:bCs w:val="1"/>
          <w:color w:val="333333"/>
        </w:rPr>
        <w:t>Some of our customers require our products and our third-party contractors to undergo a lengthy and expensive qualification process which does not assure product sales. If we are unsuccessful or delayed in qualifying these products with a customer, our business and operating results would suffer.</w:t>
      </w:r>
    </w:p>
    <w:p>
      <w:pPr>
        <w:spacing w:after="0" w:line="208" w:lineRule="exact"/>
        <w:rPr>
          <w:sz w:val="20"/>
          <w:szCs w:val="20"/>
          <w:color w:val="auto"/>
        </w:rPr>
      </w:pPr>
    </w:p>
    <w:p>
      <w:pPr>
        <w:jc w:val="both"/>
        <w:ind w:firstLine="405"/>
        <w:spacing w:after="0" w:line="271"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contractors undergo extensive qualification processes, which involve testing of our products in the customers’ systems, as well as testing for reliability. This qualification process may take several months and qualification of a product by a customer does not assure any sales of the product to that customer. Even after successful qualification and sales of a product to a customer, a subsequent revision in our third party contractors’ manufacturing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222" w:lineRule="exact"/>
        <w:rPr>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5"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6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4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93" w:lineRule="exact"/>
        <w:rPr>
          <w:sz w:val="20"/>
          <w:szCs w:val="20"/>
          <w:color w:val="auto"/>
        </w:rPr>
      </w:pPr>
    </w:p>
    <w:p>
      <w:pPr>
        <w:ind w:right="20" w:firstLine="405"/>
        <w:spacing w:after="0" w:line="268"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Sales to an increasing number of our customers require licenses in order for us to export our products; there can be no assurances that such licenses will be approved by the U.S. Government. For example, we have recently received notices from the U.S. government that it intends to deny some of our requests for licenses.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has adopted a new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which may also be impacted by export restrictions. Customers in China may also choose to develop indigenous solutions, as replacements for products that are subject to U.S. export controls. So far in calendar 2021, new restrictions have been implemented which may further impact our business. If export restrictions related to Chinese customers are sustained for a long period of time, or increased, or if other export restrictions are imposed, including restrictions on trade with other countries, it will have an adverse impact on our revenues and results of operations.</w:t>
      </w:r>
    </w:p>
    <w:p>
      <w:pPr>
        <w:spacing w:after="0" w:line="199"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8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93" w:lineRule="exact"/>
        <w:rPr>
          <w:sz w:val="20"/>
          <w:szCs w:val="20"/>
          <w:color w:val="auto"/>
        </w:rPr>
      </w:pPr>
    </w:p>
    <w:p>
      <w:pPr>
        <w:ind w:firstLine="405"/>
        <w:spacing w:after="0" w:line="251"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new U.S. presidential administration’s policy goals are not fully understood yet, but such policies may include some changes to the status quo, which may cause damage to our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7"/>
          <w:szCs w:val="17"/>
          <w:i w:val="1"/>
          <w:iCs w:val="1"/>
          <w:color w:val="auto"/>
        </w:rPr>
        <w:t>Adverse changes in the political and economic policies of the U.S. government in connection with trade with China have</w:t>
      </w:r>
      <w:r>
        <w:rPr>
          <w:rFonts w:ascii="Arial" w:cs="Arial" w:eastAsia="Arial" w:hAnsi="Arial"/>
          <w:sz w:val="17"/>
          <w:szCs w:val="17"/>
          <w:color w:val="auto"/>
        </w:rPr>
        <w:t xml:space="preserve"> </w:t>
      </w:r>
      <w:r>
        <w:rPr>
          <w:rFonts w:ascii="Arial" w:cs="Arial" w:eastAsia="Arial" w:hAnsi="Arial"/>
          <w:sz w:val="17"/>
          <w:szCs w:val="17"/>
          <w:i w:val="1"/>
          <w:iCs w:val="1"/>
          <w:color w:val="auto"/>
        </w:rPr>
        <w:t>reduced the demand for our products and damaged our business” and “Changes in existing taxation benefits, rules or practices may adversely affect our financial results</w:t>
      </w:r>
      <w:r>
        <w:rPr>
          <w:rFonts w:ascii="Arial" w:cs="Arial" w:eastAsia="Arial" w:hAnsi="Arial"/>
          <w:sz w:val="17"/>
          <w:szCs w:val="17"/>
          <w:color w:val="auto"/>
        </w:rPr>
        <w:t>.”</w:t>
      </w:r>
    </w:p>
    <w:p>
      <w:pPr>
        <w:spacing w:after="0" w:line="208" w:lineRule="exact"/>
        <w:rPr>
          <w:sz w:val="20"/>
          <w:szCs w:val="20"/>
          <w:color w:val="auto"/>
        </w:rPr>
      </w:pPr>
    </w:p>
    <w:p>
      <w:pPr>
        <w:ind w:right="6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140" w:firstLine="405"/>
        <w:spacing w:after="0" w:line="276"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In addition, our primary assembly and test subcontractors are located in the Pacific Rim region. As a result, disruptions affecting the operations of our suppliers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80% and 79% of our net revenue in the three months ended May 1, 2021 and May 2, 2020, respectively.</w:t>
      </w:r>
    </w:p>
    <w:p>
      <w:pPr>
        <w:spacing w:after="0" w:line="188" w:lineRule="exact"/>
        <w:rPr>
          <w:sz w:val="20"/>
          <w:szCs w:val="20"/>
          <w:color w:val="auto"/>
        </w:rPr>
      </w:pPr>
    </w:p>
    <w:p>
      <w:pPr>
        <w:ind w:right="40"/>
        <w:spacing w:after="0" w:line="243"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80" w:hanging="328"/>
        <w:spacing w:after="0" w:line="261" w:lineRule="auto"/>
        <w:tabs>
          <w:tab w:leader="none" w:pos="655"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5"/>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38" w:lineRule="exact"/>
        <w:rPr>
          <w:rFonts w:ascii="Arial" w:cs="Arial" w:eastAsia="Arial" w:hAnsi="Arial"/>
          <w:sz w:val="18"/>
          <w:szCs w:val="18"/>
          <w:color w:val="auto"/>
        </w:rPr>
      </w:pPr>
    </w:p>
    <w:p>
      <w:pPr>
        <w:ind w:left="660" w:right="44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202" w:lineRule="exact"/>
        <w:rPr>
          <w:rFonts w:ascii="Arial" w:cs="Arial" w:eastAsia="Arial" w:hAnsi="Arial"/>
          <w:sz w:val="20"/>
          <w:szCs w:val="20"/>
          <w:color w:val="auto"/>
        </w:rPr>
      </w:pPr>
    </w:p>
    <w:p>
      <w:pPr>
        <w:ind w:left="660" w:right="72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202" w:lineRule="exact"/>
        <w:rPr>
          <w:rFonts w:ascii="Arial" w:cs="Arial" w:eastAsia="Arial" w:hAnsi="Arial"/>
          <w:sz w:val="20"/>
          <w:szCs w:val="20"/>
          <w:color w:val="auto"/>
        </w:rPr>
      </w:pPr>
    </w:p>
    <w:p>
      <w:pPr>
        <w:ind w:left="660" w:right="6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200" w:lineRule="exact"/>
        <w:rPr>
          <w:sz w:val="20"/>
          <w:szCs w:val="20"/>
          <w:color w:val="auto"/>
        </w:rPr>
      </w:pPr>
    </w:p>
    <w:p>
      <w:pPr>
        <w:spacing w:after="0" w:line="3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51"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0" w:lineRule="exact"/>
        <w:rPr>
          <w:sz w:val="20"/>
          <w:szCs w:val="20"/>
          <w:color w:val="auto"/>
        </w:rPr>
      </w:pP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241" w:lineRule="exact"/>
        <w:rPr>
          <w:sz w:val="20"/>
          <w:szCs w:val="20"/>
          <w:color w:val="auto"/>
        </w:rPr>
      </w:pPr>
    </w:p>
    <w:p>
      <w:pPr>
        <w:ind w:firstLine="405"/>
        <w:spacing w:after="0" w:line="235" w:lineRule="auto"/>
        <w:rPr>
          <w:sz w:val="20"/>
          <w:szCs w:val="20"/>
          <w:color w:val="auto"/>
        </w:rPr>
      </w:pPr>
      <w:r>
        <w:rPr>
          <w:rFonts w:ascii="Arial" w:cs="Arial" w:eastAsia="Arial" w:hAnsi="Arial"/>
          <w:sz w:val="17"/>
          <w:szCs w:val="17"/>
          <w:color w:val="auto"/>
        </w:rPr>
        <w:t>Markets for our 5G and Cloud products may not develop in the manner or in the time periods we anticipate. If domestic and global economic conditions worsen, particularly in light of the impacts of the COVID-19 pandemic and potential global recession resulting therefrom,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7"/>
          <w:szCs w:val="17"/>
          <w:color w:val="333333"/>
        </w:rPr>
        <w:t>s a result of the fact that the markets for 5G and Cloud are not yet fully developed, demand for these</w:t>
      </w:r>
      <w:r>
        <w:rPr>
          <w:rFonts w:ascii="Arial" w:cs="Arial" w:eastAsia="Arial" w:hAnsi="Arial"/>
          <w:sz w:val="17"/>
          <w:szCs w:val="17"/>
          <w:color w:val="auto"/>
        </w:rPr>
        <w:t xml:space="preserve"> </w:t>
      </w:r>
      <w:r>
        <w:rPr>
          <w:rFonts w:ascii="Arial" w:cs="Arial" w:eastAsia="Arial" w:hAnsi="Arial"/>
          <w:sz w:val="17"/>
          <w:szCs w:val="17"/>
          <w:color w:val="333333"/>
        </w:rPr>
        <w:t xml:space="preserve">products may be unpredictable and may vary significantly from one period to another. </w:t>
      </w:r>
      <w:r>
        <w:rPr>
          <w:rFonts w:ascii="Arial" w:cs="Arial" w:eastAsia="Arial" w:hAnsi="Arial"/>
          <w:sz w:val="17"/>
          <w:szCs w:val="17"/>
          <w:color w:val="000000"/>
        </w:rPr>
        <w:t>See also, “</w:t>
      </w:r>
      <w:r>
        <w:rPr>
          <w:rFonts w:ascii="Arial" w:cs="Arial" w:eastAsia="Arial" w:hAnsi="Arial"/>
          <w:sz w:val="17"/>
          <w:szCs w:val="17"/>
          <w:i w:val="1"/>
          <w:iCs w:val="1"/>
          <w:color w:val="000000"/>
        </w:rPr>
        <w:t>Our sales are concentrated in a few large customers. If we</w:t>
      </w:r>
      <w:r>
        <w:rPr>
          <w:rFonts w:ascii="Arial" w:cs="Arial" w:eastAsia="Arial" w:hAnsi="Arial"/>
          <w:sz w:val="17"/>
          <w:szCs w:val="17"/>
          <w:color w:val="333333"/>
        </w:rPr>
        <w:t xml:space="preserve"> </w:t>
      </w:r>
      <w:r>
        <w:rPr>
          <w:rFonts w:ascii="Arial" w:cs="Arial" w:eastAsia="Arial" w:hAnsi="Arial"/>
          <w:sz w:val="17"/>
          <w:szCs w:val="17"/>
          <w:i w:val="1"/>
          <w:iCs w:val="1"/>
          <w:color w:val="000000"/>
        </w:rPr>
        <w:t>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7"/>
          <w:szCs w:val="17"/>
          <w:color w:val="000000"/>
        </w:rPr>
        <w:t>” See also, “</w:t>
      </w:r>
      <w:r>
        <w:rPr>
          <w:rFonts w:ascii="Arial" w:cs="Arial" w:eastAsia="Arial" w:hAnsi="Arial"/>
          <w:sz w:val="17"/>
          <w:szCs w:val="17"/>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7"/>
          <w:szCs w:val="17"/>
          <w:color w:val="000000"/>
        </w:rPr>
        <w:t>for additional risks related to export restrictions that may impact certain</w:t>
      </w:r>
      <w:r>
        <w:rPr>
          <w:rFonts w:ascii="Arial" w:cs="Arial" w:eastAsia="Arial" w:hAnsi="Arial"/>
          <w:sz w:val="17"/>
          <w:szCs w:val="17"/>
          <w:i w:val="1"/>
          <w:iCs w:val="1"/>
          <w:color w:val="000000"/>
        </w:rPr>
        <w:t xml:space="preserve"> </w:t>
      </w:r>
      <w:r>
        <w:rPr>
          <w:rFonts w:ascii="Arial" w:cs="Arial" w:eastAsia="Arial" w:hAnsi="Arial"/>
          <w:sz w:val="17"/>
          <w:szCs w:val="17"/>
          <w:color w:val="000000"/>
        </w:rPr>
        <w:t>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40" w:firstLine="405"/>
        <w:spacing w:after="0" w:line="238" w:lineRule="auto"/>
        <w:rPr>
          <w:sz w:val="20"/>
          <w:szCs w:val="20"/>
          <w:color w:val="auto"/>
        </w:rPr>
      </w:pPr>
      <w:r>
        <w:rPr>
          <w:rFonts w:ascii="Arial" w:cs="Arial" w:eastAsia="Arial" w:hAnsi="Arial"/>
          <w:sz w:val="18"/>
          <w:szCs w:val="18"/>
          <w:color w:val="auto"/>
        </w:rPr>
        <w:t>We receive a significant amount of our revenue from a limited number of customers. For example, during fiscal 2021, there was one distributor, whose revenue as a percentage of our net revenue was 10% or greater of total net revenues. In addition, net revenue from our two largest customers, including this distributor, represented 22% of our net revenue for the year ended January 30, 2021.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18"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40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w:t>
      </w:r>
    </w:p>
    <w:p>
      <w:pPr>
        <w:spacing w:after="0" w:line="202" w:lineRule="exact"/>
        <w:rPr>
          <w:rFonts w:ascii="Arial" w:cs="Arial" w:eastAsia="Arial" w:hAnsi="Arial"/>
          <w:sz w:val="20"/>
          <w:szCs w:val="20"/>
          <w:color w:val="auto"/>
        </w:rPr>
      </w:pPr>
    </w:p>
    <w:p>
      <w:pPr>
        <w:ind w:left="660" w:right="320" w:hanging="328"/>
        <w:spacing w:after="0" w:line="277" w:lineRule="auto"/>
        <w:tabs>
          <w:tab w:leader="none" w:pos="648" w:val="left"/>
        </w:tabs>
        <w:numPr>
          <w:ilvl w:val="0"/>
          <w:numId w:val="17"/>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 or</w:t>
      </w:r>
    </w:p>
    <w:p>
      <w:pPr>
        <w:spacing w:after="0" w:line="169" w:lineRule="exact"/>
        <w:rPr>
          <w:rFonts w:ascii="Arial" w:cs="Arial" w:eastAsia="Arial" w:hAnsi="Arial"/>
          <w:sz w:val="18"/>
          <w:szCs w:val="18"/>
          <w:color w:val="auto"/>
        </w:rPr>
      </w:pPr>
    </w:p>
    <w:p>
      <w:pPr>
        <w:ind w:left="660" w:right="180" w:hanging="328"/>
        <w:spacing w:after="0" w:line="226"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13" w:lineRule="exact"/>
        <w:rPr>
          <w:sz w:val="20"/>
          <w:szCs w:val="20"/>
          <w:color w:val="auto"/>
        </w:rPr>
      </w:pPr>
    </w:p>
    <w:p>
      <w:pPr>
        <w:ind w:right="220"/>
        <w:spacing w:after="0" w:line="245"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12"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40" w:firstLine="405"/>
        <w:spacing w:after="0" w:line="257"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2" w:lineRule="exact"/>
        <w:rPr>
          <w:sz w:val="20"/>
          <w:szCs w:val="20"/>
          <w:color w:val="auto"/>
        </w:rPr>
      </w:pPr>
    </w:p>
    <w:p>
      <w:pPr>
        <w:ind w:right="120" w:firstLine="405"/>
        <w:spacing w:after="0" w:line="239" w:lineRule="auto"/>
        <w:rPr>
          <w:sz w:val="20"/>
          <w:szCs w:val="20"/>
          <w:color w:val="auto"/>
        </w:rPr>
      </w:pPr>
      <w:r>
        <w:rPr>
          <w:rFonts w:ascii="Arial" w:cs="Arial" w:eastAsia="Arial" w:hAnsi="Arial"/>
          <w:sz w:val="18"/>
          <w:szCs w:val="18"/>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8"/>
          <w:szCs w:val="18"/>
          <w:i w:val="1"/>
          <w:iCs w:val="1"/>
          <w:color w:val="auto"/>
        </w:rPr>
        <w:t>We rely on our manufacturing partners for the manufacture, assembly and</w:t>
      </w:r>
      <w:r>
        <w:rPr>
          <w:rFonts w:ascii="Arial" w:cs="Arial" w:eastAsia="Arial" w:hAnsi="Arial"/>
          <w:sz w:val="18"/>
          <w:szCs w:val="18"/>
          <w:color w:val="auto"/>
        </w:rPr>
        <w:t xml:space="preserve"> </w:t>
      </w:r>
      <w:r>
        <w:rPr>
          <w:rFonts w:ascii="Arial" w:cs="Arial" w:eastAsia="Arial" w:hAnsi="Arial"/>
          <w:sz w:val="18"/>
          <w:szCs w:val="18"/>
          <w:i w:val="1"/>
          <w:iCs w:val="1"/>
          <w:color w:val="auto"/>
        </w:rPr>
        <w:t>testing of our products, and the failure of any of these third-party vendors to deliver products or otherwise perform as requested could damage our relationships with our customers, decrease our sales and limit our ability to grow our business</w:t>
      </w:r>
      <w:r>
        <w:rPr>
          <w:rFonts w:ascii="Arial" w:cs="Arial" w:eastAsia="Arial" w:hAnsi="Arial"/>
          <w:sz w:val="18"/>
          <w:szCs w:val="18"/>
          <w:color w:val="auto"/>
        </w:rPr>
        <w:t>” for additional information on the impacts of supply chain</w:t>
      </w:r>
      <w:r>
        <w:rPr>
          <w:rFonts w:ascii="Arial" w:cs="Arial" w:eastAsia="Arial" w:hAnsi="Arial"/>
          <w:sz w:val="18"/>
          <w:szCs w:val="18"/>
          <w:i w:val="1"/>
          <w:iCs w:val="1"/>
          <w:color w:val="auto"/>
        </w:rPr>
        <w:t xml:space="preserve"> </w:t>
      </w:r>
      <w:r>
        <w:rPr>
          <w:rFonts w:ascii="Arial" w:cs="Arial" w:eastAsia="Arial" w:hAnsi="Arial"/>
          <w:sz w:val="18"/>
          <w:szCs w:val="18"/>
          <w:color w:val="auto"/>
        </w:rPr>
        <w:t>cross-dependencies on our business.</w:t>
      </w:r>
    </w:p>
    <w:p>
      <w:pPr>
        <w:spacing w:after="0" w:line="218"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216"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In addition, the semiconductor industry has experienced increased consolidation over the past several years. For example, NVIDIA Corporation acquired Mellanox Technologies on April 27, 2020 and Infineon acquired Cypress Semiconductors on April 16, 2020. In July 2020, Analog Devices Inc. announced its intent to merge with Maxim Integrated Products Inc. In September 2020, NVIDIA announced its intent to acquire Arm Limited. We license technology from Arm Limited that is included in a majority of our products and would be adversely impacted if the pricing for, or availability of, the relevant technology is changed in an adverse manner as a result of this transaction. In October 2020, AMD announced its intent to acquire Xilinx, Inc. Consolidation among our competitors has led, and in the future could lead, to a changing competitive landscape, capabilities and market share, which could put us at a competitive disadvantage and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4" w:lineRule="exact"/>
        <w:rPr>
          <w:sz w:val="20"/>
          <w:szCs w:val="20"/>
          <w:color w:val="auto"/>
        </w:rPr>
      </w:pPr>
    </w:p>
    <w:p>
      <w:pPr>
        <w:ind w:right="160"/>
        <w:spacing w:after="0" w:line="312" w:lineRule="auto"/>
        <w:rPr>
          <w:sz w:val="20"/>
          <w:szCs w:val="20"/>
          <w:color w:val="auto"/>
        </w:rPr>
      </w:pPr>
      <w:r>
        <w:rPr>
          <w:rFonts w:ascii="Arial" w:cs="Arial" w:eastAsia="Arial" w:hAnsi="Arial"/>
          <w:sz w:val="16"/>
          <w:szCs w:val="16"/>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and testing and assembly.</w:t>
      </w:r>
    </w:p>
    <w:p>
      <w:pPr>
        <w:spacing w:after="0" w:line="160"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1"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may affect pricing of such commodities. For example, recent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207"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29" w:lineRule="exact"/>
        <w:rPr>
          <w:sz w:val="20"/>
          <w:szCs w:val="20"/>
          <w:color w:val="auto"/>
        </w:rPr>
      </w:pPr>
    </w:p>
    <w:p>
      <w:pPr>
        <w:ind w:right="100" w:firstLine="405"/>
        <w:spacing w:after="0"/>
        <w:rPr>
          <w:sz w:val="20"/>
          <w:szCs w:val="20"/>
          <w:color w:val="auto"/>
        </w:rPr>
      </w:pPr>
      <w:r>
        <w:rPr>
          <w:rFonts w:ascii="Arial" w:cs="Arial" w:eastAsia="Arial" w:hAnsi="Arial"/>
          <w:sz w:val="17"/>
          <w:szCs w:val="17"/>
          <w:color w:val="auto"/>
        </w:rPr>
        <w:t>As a result of the closing of the transaction with Inphi, the Company is now domiciled in the United States. Therefore, the income from all foreign subsidiaries is now subject to the US provisions applicable to Global Intangible Low Taxed Income (“GILTI”), which generally requires for GILTI income to be included in the taxable income of US entities. The US currently has a federal tax rate of 21%, and that federal income tax rate could be increased in the future by the current Congress and presidential administration, which has proposed raising it to as high as 28%. This proposed increased tax rate could cause our overall effective tax rate to increase significantly versus our effective tax rate when we were a Bermuda-domiciled company, which could materially impact our financial results, including our earnings and cash flow.</w:t>
      </w:r>
    </w:p>
    <w:p>
      <w:pPr>
        <w:spacing w:after="0" w:line="218"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80" w:firstLine="405"/>
        <w:spacing w:after="0" w:line="272" w:lineRule="auto"/>
        <w:rPr>
          <w:sz w:val="20"/>
          <w:szCs w:val="20"/>
          <w:color w:val="auto"/>
        </w:rPr>
      </w:pPr>
      <w:r>
        <w:rPr>
          <w:rFonts w:ascii="Arial" w:cs="Arial" w:eastAsia="Arial" w:hAnsi="Arial"/>
          <w:sz w:val="16"/>
          <w:szCs w:val="16"/>
          <w:color w:val="auto"/>
        </w:rPr>
        <w:t>In addition, in prior years, we have entered into incentive agreements in certain foreign jurisdictions that if certain criteria are met, the foreign jurisdiction will provide a more favorable tax rate than their current statutory rate. For example, our Singapore subsidiary qualifies for the Development and Expansion Incentive until June 2024, which is effective until June 2024, and generally can be extended.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Receipt of past and future benefits under tax agreements may depend on our ability to fulfill commitments regarding employment of personnel or performance of specified activities in the applicable jurisdictions. Changes in our business plans, including divestitures, could result in termination of an agreement or loss of benefits thereunder. If any of our tax agreements in any of these foreign jurisdictions were terminated, our results of operations could be harmed.</w:t>
      </w:r>
    </w:p>
    <w:p>
      <w:pPr>
        <w:spacing w:after="0" w:line="195" w:lineRule="exact"/>
        <w:rPr>
          <w:sz w:val="20"/>
          <w:szCs w:val="20"/>
          <w:color w:val="auto"/>
        </w:rPr>
      </w:pPr>
    </w:p>
    <w:p>
      <w:pPr>
        <w:ind w:right="20" w:firstLine="405"/>
        <w:spacing w:after="0" w:line="269" w:lineRule="auto"/>
        <w:rPr>
          <w:sz w:val="20"/>
          <w:szCs w:val="20"/>
          <w:color w:val="auto"/>
        </w:rPr>
      </w:pPr>
      <w:r>
        <w:rPr>
          <w:rFonts w:ascii="Arial" w:cs="Arial" w:eastAsia="Arial" w:hAnsi="Arial"/>
          <w:sz w:val="16"/>
          <w:szCs w:val="16"/>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to have a tax system that facilitated offshore structuring by attracting profits without commensurate economic activity. To avoid EU “blacklisting”, both Bermuda and Cayman Islands introduced new legislation in December 2018, which came into force on January 1, 2019. These laws required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to comply with the economic substance requirements. It is still not clear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198" w:lineRule="exact"/>
        <w:rPr>
          <w:sz w:val="20"/>
          <w:szCs w:val="20"/>
          <w:color w:val="auto"/>
        </w:rPr>
      </w:pPr>
    </w:p>
    <w:p>
      <w:pPr>
        <w:jc w:val="both"/>
        <w:ind w:right="160" w:firstLine="405"/>
        <w:spacing w:after="0" w:line="243" w:lineRule="auto"/>
        <w:rPr>
          <w:sz w:val="20"/>
          <w:szCs w:val="20"/>
          <w:color w:val="auto"/>
        </w:rPr>
      </w:pPr>
      <w:r>
        <w:rPr>
          <w:rFonts w:ascii="Arial" w:cs="Arial" w:eastAsia="Arial" w:hAnsi="Arial"/>
          <w:sz w:val="18"/>
          <w:szCs w:val="18"/>
          <w:color w:val="auto"/>
        </w:rPr>
        <w:t>In addition, in a prior period, the Company transferred certain intellectual property to a related entity in Singapore. The impact to the Company was determined based on our determination of the fair value of this property, which required management to make significant estimates and to apply complex tax regulations in multiple jurisdictions. In a future period, local tax authorities may challenge the fair value determinations made by the Company, which could adversely impact our expected tax benefits from this transaction.</w:t>
      </w:r>
    </w:p>
    <w:p>
      <w:pPr>
        <w:spacing w:after="0" w:line="215"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Our profitability and effective tax rate could be impacted by unexpected changes to our statutory income tax rates or income tax liabilities. Such changes might include changes in tax law or regulations, changes to our geographic mix of earnings, changes in the valuation of deferred tax assets and liabilities, discrete items, changes in our supply chain and changes due to audit assessments. In particular, the tax benefits associated with our transfer of intellectual property to Singapore are sensitive to future profitability and taxable income in Singapore, audit assessments, and changes in applicable tax law. Our current corporate effective tax rate fluctuates significantly from period to period, and is based upon the application of currently applicable income tax laws, regulations and treaties, as well as current judicial and administrative interpretations of these income tax laws, regulations and treaties, in various jurisdictions.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60" w:firstLine="405"/>
        <w:spacing w:after="0" w:line="284" w:lineRule="auto"/>
        <w:rPr>
          <w:sz w:val="20"/>
          <w:szCs w:val="20"/>
          <w:color w:val="auto"/>
        </w:rPr>
      </w:pPr>
      <w:r>
        <w:rPr>
          <w:rFonts w:ascii="Arial" w:cs="Arial" w:eastAsia="Arial" w:hAnsi="Arial"/>
          <w:sz w:val="16"/>
          <w:szCs w:val="16"/>
          <w:color w:val="auto"/>
        </w:rPr>
        <w:t>On July 6, 2018, in connection with our acquisition of Cavium, we incurred substantial indebtedness pursuant to a Credit Agreement (the “2018 Credit Agreement”). The 2018 Credit Agreement provided for a $900.0 million Term Loan (the “2018 Term Loan”). During the first quarter of fiscal 2022, the entire outstanding principal balance of the 2018 Term Loan was repaid in full and the 2018 Credit Agreement was terminated. See “Note 5 - Debt” for discussion of the debt financing in the Notes to Consolidated Financial Statements set forth in Part II, Item 8 of the Annual Report on Form 10-K.</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17"/>
        <w:spacing w:after="0" w:line="238" w:lineRule="auto"/>
        <w:rPr>
          <w:sz w:val="20"/>
          <w:szCs w:val="20"/>
          <w:color w:val="auto"/>
        </w:rPr>
      </w:pPr>
      <w:r>
        <w:rPr>
          <w:rFonts w:ascii="Arial" w:cs="Arial" w:eastAsia="Arial" w:hAnsi="Arial"/>
          <w:sz w:val="18"/>
          <w:szCs w:val="18"/>
          <w:color w:val="auto"/>
        </w:rPr>
        <w:t>We paid the cash portion of the consideration for the Mergers and other fees and expenses required to be paid in connection with the Mergers from cash on hand and borrowings. On the closing date of the Mergers, the entire principal amount was funded and incurred in respect of the $1.75 billion senior unsecured term loan facility, comprised of a $875.0 million 3-year term loan tranche (the “3 Year Term Loan”) and a $875.0 million 5-year term loan tranche (the “5-Year Term Loan,” and collectively with the 3-Year Term Loan, the “2020 Term Loan Facility”). The 2020 Term Loan Facility is evidenced by a credit agreement, dated December 7, 2020 (the “2020 Term Loan Agreement”) with JPMorgan Chase Bank, N.A., as administrative agent and a lender, and the other lenders from time to time party thereto. In addition to the 2020 Term Loan Agreement, on December 7, 2020, we entered into a revolving credit agreement with JPMorgan Chase Bank, N.A., as administrative agent and a lender, and the other lenders from time to time party thereto (“Revolving Credit Agreement” and together with the 2020 Term Loan Agreement, the “Credit Agreements”), which provides for a $750 million revolving credit facility.</w:t>
      </w:r>
    </w:p>
    <w:p>
      <w:pPr>
        <w:spacing w:after="0" w:line="218" w:lineRule="exact"/>
        <w:rPr>
          <w:sz w:val="20"/>
          <w:szCs w:val="20"/>
          <w:color w:val="auto"/>
        </w:rPr>
      </w:pPr>
    </w:p>
    <w:p>
      <w:pPr>
        <w:ind w:right="80" w:firstLine="417"/>
        <w:spacing w:after="0" w:line="248" w:lineRule="auto"/>
        <w:rPr>
          <w:sz w:val="20"/>
          <w:szCs w:val="20"/>
          <w:color w:val="auto"/>
        </w:rPr>
      </w:pPr>
      <w:r>
        <w:rPr>
          <w:rFonts w:ascii="Arial" w:cs="Arial" w:eastAsia="Arial" w:hAnsi="Arial"/>
          <w:sz w:val="18"/>
          <w:szCs w:val="18"/>
          <w:color w:val="auto"/>
        </w:rPr>
        <w:t>The commitments for the $2.5 billion senior 364-day bridge term loan facility (the “Bridge Facility”), as evidenced by a commitment letter (the “Bridge Commitment Letter”) dated as of October 29, 2020, with JPMorgan Chase Bank, N.A. (“JPMorgan”), and the other financial institutions that have joined thereto, terminated in full on the closing date of the Mergers.</w:t>
      </w:r>
    </w:p>
    <w:p>
      <w:pPr>
        <w:spacing w:after="0" w:line="209" w:lineRule="exact"/>
        <w:rPr>
          <w:sz w:val="20"/>
          <w:szCs w:val="20"/>
          <w:color w:val="auto"/>
        </w:rPr>
      </w:pPr>
    </w:p>
    <w:p>
      <w:pPr>
        <w:ind w:right="40" w:firstLine="417"/>
        <w:spacing w:after="0"/>
        <w:rPr>
          <w:sz w:val="20"/>
          <w:szCs w:val="20"/>
          <w:color w:val="auto"/>
        </w:rPr>
      </w:pPr>
      <w:r>
        <w:rPr>
          <w:rFonts w:ascii="Arial" w:cs="Arial" w:eastAsia="Arial" w:hAnsi="Arial"/>
          <w:sz w:val="18"/>
          <w:szCs w:val="18"/>
          <w:color w:val="auto"/>
        </w:rPr>
        <w:t>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On May 4, 2021, the Company completed exchange offers for approximately $434 million in aggregate principal amount of our 2023 Notes and approximately $479 million in aggregate principal amount of our 2028 Notes, and such Senior Notes were subsequently cancelled. We are obligated to pay interest on the outstanding Senior Notes on June 22 and December 22 of each year. The 2023 Notes will mature on June 22, 2023 and the 2028 Notes will mature on June 22, 2028.</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6" w:lineRule="exact"/>
        <w:rPr>
          <w:sz w:val="20"/>
          <w:szCs w:val="20"/>
          <w:color w:val="auto"/>
        </w:rPr>
      </w:pPr>
    </w:p>
    <w:p>
      <w:pPr>
        <w:ind w:right="220" w:firstLine="405"/>
        <w:spacing w:after="0" w:line="294" w:lineRule="auto"/>
        <w:rPr>
          <w:sz w:val="20"/>
          <w:szCs w:val="20"/>
          <w:color w:val="auto"/>
        </w:rPr>
      </w:pPr>
      <w:r>
        <w:rPr>
          <w:rFonts w:ascii="Arial" w:cs="Arial" w:eastAsia="Arial" w:hAnsi="Arial"/>
          <w:sz w:val="16"/>
          <w:szCs w:val="16"/>
          <w:color w:val="auto"/>
        </w:rPr>
        <w:t>Although the Credit Agreements contain restrictions on our ability to incur additional indebtedness and the indenture governing the Senior Notes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174"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The Credit Agreements and the indenture governing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99" w:lineRule="exact"/>
        <w:rPr>
          <w:sz w:val="20"/>
          <w:szCs w:val="20"/>
          <w:color w:val="auto"/>
        </w:rPr>
      </w:pPr>
    </w:p>
    <w:p>
      <w:pPr>
        <w:jc w:val="both"/>
        <w:ind w:right="120" w:firstLine="405"/>
        <w:spacing w:after="0" w:line="324" w:lineRule="auto"/>
        <w:rPr>
          <w:sz w:val="20"/>
          <w:szCs w:val="20"/>
          <w:color w:val="auto"/>
        </w:rPr>
      </w:pPr>
      <w:r>
        <w:rPr>
          <w:rFonts w:ascii="Arial" w:cs="Arial" w:eastAsia="Arial" w:hAnsi="Arial"/>
          <w:sz w:val="16"/>
          <w:szCs w:val="16"/>
          <w:color w:val="auto"/>
        </w:rPr>
        <w:t>We may not be able to access cash or to incur additional indebtedness if the COVID-19 pandemic causes the closure of banks for an extended period of time or if there is a sudden increase in requests for indebtedness at one time by many potential borrowers which could overwhelm the banking industry.</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indenture governing the Senior Notes impose restrictions on our business.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Credit Agreements and the indenture governing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indenture governing the Senior Notes. Our ability to meet the leverage ratio set forth in the Credit Agreements may be affected by events beyond our control.</w:t>
      </w:r>
    </w:p>
    <w:p>
      <w:pPr>
        <w:spacing w:after="0" w:line="202"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The foregoing restrictions could limit our ability to plan for, or react to, changes in market conditions or our capital needs. We do not know whether we will be granted waivers under, or amendments to, our Credit Agreements or to the indenture governing the Senior Notes if for any reason we are unable to meet these requirements, or whether we will be able to refinance our indebtedness on terms acceptable to us, or at all.</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right="40"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outstanding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outstanding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outstanding Senior Notes at the option of the holder.</w:t>
      </w:r>
    </w:p>
    <w:p>
      <w:pPr>
        <w:spacing w:after="0" w:line="243" w:lineRule="exact"/>
        <w:rPr>
          <w:sz w:val="20"/>
          <w:szCs w:val="20"/>
          <w:color w:val="auto"/>
        </w:rPr>
      </w:pPr>
    </w:p>
    <w:p>
      <w:pPr>
        <w:ind w:right="120" w:firstLine="405"/>
        <w:spacing w:after="0" w:line="274" w:lineRule="auto"/>
        <w:rPr>
          <w:sz w:val="20"/>
          <w:szCs w:val="20"/>
          <w:color w:val="auto"/>
        </w:rPr>
      </w:pPr>
      <w:r>
        <w:rPr>
          <w:rFonts w:ascii="Arial" w:cs="Arial" w:eastAsia="Arial" w:hAnsi="Arial"/>
          <w:sz w:val="16"/>
          <w:szCs w:val="16"/>
          <w:color w:val="auto"/>
        </w:rPr>
        <w:t>We are required to repurchase the outstanding Senior Notes at the option of each holder upon the occurrence of a change of control repurchase event as defined in the indenture governing the Senior Notes. However, we may not have sufficient funds to repurchase the outstanding Senior Notes in cash at the time of any change of control repurchase event. Our failure to repurchase the outstanding Senior Notes upon a change of control repurchase event would be an event of default under the indenture governing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outstanding Senior Notes prior to their scheduled maturity, it could have a negative impact on our cash and liquidity and could impact our ability to invest financial resources in other strategic initiatives.</w:t>
      </w:r>
    </w:p>
    <w:p>
      <w:pPr>
        <w:spacing w:after="0" w:line="200" w:lineRule="exact"/>
        <w:rPr>
          <w:sz w:val="20"/>
          <w:szCs w:val="20"/>
          <w:color w:val="auto"/>
        </w:rPr>
      </w:pPr>
    </w:p>
    <w:p>
      <w:pPr>
        <w:spacing w:after="0" w:line="3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We had approximately $11.0 billion of goodwill and $6.6 billion of acquired intangible assets on our unaudited condensed consolidated balance sheet as of May 1, 2021.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15"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16" w:lineRule="exact"/>
        <w:rPr>
          <w:sz w:val="20"/>
          <w:szCs w:val="20"/>
          <w:color w:val="auto"/>
        </w:rPr>
      </w:pPr>
    </w:p>
    <w:p>
      <w:pPr>
        <w:ind w:right="100" w:firstLine="405"/>
        <w:spacing w:after="0"/>
        <w:rPr>
          <w:sz w:val="20"/>
          <w:szCs w:val="20"/>
          <w:color w:val="auto"/>
        </w:rPr>
      </w:pPr>
      <w:r>
        <w:rPr>
          <w:rFonts w:ascii="Arial" w:cs="Arial" w:eastAsia="Arial" w:hAnsi="Arial"/>
          <w:sz w:val="18"/>
          <w:szCs w:val="18"/>
          <w:color w:val="auto"/>
        </w:rPr>
        <w:t>For example, during the second quarter of fiscal year 2021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w:t>
      </w:r>
    </w:p>
    <w:p>
      <w:pPr>
        <w:spacing w:after="0" w:line="216"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We have determined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18"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19"/>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00" w:lineRule="exact"/>
        <w:rPr>
          <w:rFonts w:ascii="Arial" w:cs="Arial" w:eastAsia="Arial" w:hAnsi="Arial"/>
          <w:sz w:val="20"/>
          <w:szCs w:val="20"/>
          <w:color w:val="auto"/>
        </w:rPr>
      </w:pPr>
    </w:p>
    <w:p>
      <w:pPr>
        <w:spacing w:after="0" w:line="200" w:lineRule="exact"/>
        <w:rPr>
          <w:rFonts w:ascii="Arial" w:cs="Arial" w:eastAsia="Arial" w:hAnsi="Arial"/>
          <w:sz w:val="20"/>
          <w:szCs w:val="20"/>
          <w:color w:val="auto"/>
        </w:rPr>
      </w:pPr>
    </w:p>
    <w:p>
      <w:pPr>
        <w:spacing w:after="0" w:line="369" w:lineRule="exact"/>
        <w:rPr>
          <w:rFonts w:ascii="Arial" w:cs="Arial" w:eastAsia="Arial" w:hAnsi="Arial"/>
          <w:sz w:val="20"/>
          <w:szCs w:val="20"/>
          <w:color w:val="auto"/>
        </w:rPr>
      </w:pPr>
    </w:p>
    <w:p>
      <w:pPr>
        <w:ind w:left="5540"/>
        <w:spacing w:after="0"/>
        <w:rPr>
          <w:rFonts w:ascii="Arial" w:cs="Arial" w:eastAsia="Arial" w:hAnsi="Arial"/>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hanging="328"/>
        <w:spacing w:after="0" w:line="230"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0"/>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20"/>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6" w:lineRule="exact"/>
        <w:rPr>
          <w:sz w:val="20"/>
          <w:szCs w:val="20"/>
          <w:color w:val="auto"/>
        </w:rPr>
      </w:pPr>
    </w:p>
    <w:p>
      <w:pPr>
        <w:ind w:right="8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4"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20" w:firstLine="405"/>
        <w:spacing w:after="0" w:line="269"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8"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86" w:lineRule="exact"/>
        <w:rPr>
          <w:sz w:val="20"/>
          <w:szCs w:val="20"/>
          <w:color w:val="auto"/>
        </w:rPr>
      </w:pPr>
    </w:p>
    <w:p>
      <w:pPr>
        <w:ind w:right="20" w:firstLine="405"/>
        <w:spacing w:after="0" w:line="270"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previously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As a result of the transaction with Inphi, we are now domiciled in the United States. As a result, we are requesting to be released from some of the above obligations. We can offer no assurance that such a request will be granted in a timely manner or at all.</w:t>
      </w:r>
    </w:p>
    <w:p>
      <w:pPr>
        <w:spacing w:after="0" w:line="198"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4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215"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215"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15" w:lineRule="exact"/>
        <w:rPr>
          <w:sz w:val="20"/>
          <w:szCs w:val="20"/>
          <w:color w:val="auto"/>
        </w:rPr>
      </w:pPr>
    </w:p>
    <w:p>
      <w:pPr>
        <w:ind w:left="660" w:right="280" w:hanging="328"/>
        <w:spacing w:after="0" w:line="230"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80" w:hanging="328"/>
        <w:spacing w:after="0" w:line="230" w:lineRule="auto"/>
        <w:tabs>
          <w:tab w:leader="none" w:pos="648" w:val="left"/>
        </w:tabs>
        <w:numPr>
          <w:ilvl w:val="0"/>
          <w:numId w:val="21"/>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21"/>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16"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202"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2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right="8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7"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3" w:name="page64"/>
    <w:bookmarkEnd w:id="6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46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Delaware Law may require us to defer payment of declared dividends or suspend share repurchases.</w:t>
      </w:r>
    </w:p>
    <w:p>
      <w:pPr>
        <w:spacing w:after="0" w:line="148" w:lineRule="exact"/>
        <w:rPr>
          <w:sz w:val="20"/>
          <w:szCs w:val="20"/>
          <w:color w:val="auto"/>
        </w:rPr>
      </w:pPr>
    </w:p>
    <w:p>
      <w:pPr>
        <w:ind w:right="40" w:firstLine="405"/>
        <w:spacing w:after="0" w:line="270" w:lineRule="auto"/>
        <w:rPr>
          <w:sz w:val="20"/>
          <w:szCs w:val="20"/>
          <w:color w:val="auto"/>
        </w:rPr>
      </w:pPr>
      <w:r>
        <w:rPr>
          <w:rFonts w:ascii="Arial" w:cs="Arial" w:eastAsia="Arial" w:hAnsi="Arial"/>
          <w:sz w:val="16"/>
          <w:szCs w:val="16"/>
          <w:color w:val="auto"/>
        </w:rPr>
        <w:t>In May 2012, we declared our first quarterly cash dividend and in October 2018, we announced that our board of directors had authorized a $700 million addition to our previously existing $1.0 billion share repurchase program. An aggregate of $1.1 billion of shares have been repurchased under that program as of May 1, 2021. Future payment of a regular quarterly cash dividend on our common shares and future share repurchases will be subject to, among other things: the best interests of our company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Our share repurchase program was temporarily suspended in late March 2020 to preserve cash during the COVID-19 pandemic and the program remains suspended as we focus on reducing our debt and de-levering our balance sheet. Although share repurchases were temporarily suspended during this time, as of May 1, 2021, there was $564.5 million remaining available for future share repurchases of the authorization. We will continue to evaluate business conditions to decide when we can restart the share repurchase program.</w:t>
      </w:r>
    </w:p>
    <w:p>
      <w:pPr>
        <w:spacing w:after="0" w:line="190"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60" w:firstLine="405"/>
        <w:spacing w:after="0" w:line="239" w:lineRule="auto"/>
        <w:rPr>
          <w:sz w:val="20"/>
          <w:szCs w:val="20"/>
          <w:color w:val="auto"/>
        </w:rPr>
      </w:pPr>
      <w:r>
        <w:rPr>
          <w:rFonts w:ascii="Arial" w:cs="Arial" w:eastAsia="Arial" w:hAnsi="Arial"/>
          <w:sz w:val="18"/>
          <w:szCs w:val="18"/>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stockholder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18"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1"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32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4" w:name="page65"/>
    <w:bookmarkEnd w:id="6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we were classified as a passive foreign investment company, there would be adverse tax consequences to U.S. holders of our ordinary shares.</w:t>
      </w:r>
    </w:p>
    <w:p>
      <w:pPr>
        <w:spacing w:after="0" w:line="266"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2"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2020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43" w:lineRule="exact"/>
        <w:rPr>
          <w:sz w:val="20"/>
          <w:szCs w:val="20"/>
          <w:color w:val="auto"/>
        </w:rPr>
      </w:pPr>
    </w:p>
    <w:p>
      <w:pPr>
        <w:ind w:right="240" w:firstLine="405"/>
        <w:spacing w:after="0" w:line="253" w:lineRule="auto"/>
        <w:rPr>
          <w:sz w:val="20"/>
          <w:szCs w:val="20"/>
          <w:color w:val="auto"/>
        </w:rPr>
      </w:pPr>
      <w:r>
        <w:rPr>
          <w:rFonts w:ascii="Arial" w:cs="Arial" w:eastAsia="Arial" w:hAnsi="Arial"/>
          <w:sz w:val="17"/>
          <w:szCs w:val="17"/>
          <w:color w:val="auto"/>
        </w:rPr>
        <w:t>On April 29, 2021, Inphi Corporation, a wholly owned subsidiary of the Company, delivered an aggregate of 7.1 million newly issued shares of common stock of the Company, to a limited number of holders of Inphi’s outstanding 0.75% Convertible Senior Notes due 2021 and outstanding 0.75% Convertible Senior Notes due 2025 pursuant to separate, privately negotiated exchange agreements. These shares were delivered in exchange for approximately $9.6 million in aggregate principal amount of the 2021 Notes and $199.5 million in aggregate principal amount of the 2025 Notes. Following the settlement of the exchanges, the Notes delivered to Inphi pursuant to the exchange agreements were cancelled. These shares were offered and sold, pursuant to the exemption provided by Section 4(a)(2) of the Securities Act of 1933, as amended. In addition, during the first quarter of fiscal year 2022, the Company issued an aggregate of 2.5 million shares of common stock to certain holders of the Notes that elected to voluntarily convert the principal amount of the Notes pursuant to the terms and conditions of the Indentures governing the Notes. The common stock issued as a result of these conversions was issued pursuant to the exemption provided by Section 3(a)(9) of the Securities Act.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and the program remains suspended as we focus on reducing our debt and de-levering our balance sheet. As a result, the Company did not repurchase any shares during the three months ended May 1, 2021. Although share repurchases are temporarily suspended, we have $564.5 million of repurchase authority remaining under our current share repurchase program.</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5" w:name="page66"/>
    <w:bookmarkEnd w:id="6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120" w:type="dxa"/>
            <w:vAlign w:val="bottom"/>
            <w:gridSpan w:val="2"/>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80" w:type="dxa"/>
            <w:vAlign w:val="bottom"/>
            <w:gridSpan w:val="26"/>
          </w:tcPr>
          <w:p>
            <w:pPr>
              <w:ind w:left="100"/>
              <w:spacing w:after="0"/>
              <w:rPr>
                <w:sz w:val="20"/>
                <w:szCs w:val="20"/>
                <w:color w:val="auto"/>
              </w:rPr>
            </w:pPr>
            <w:r>
              <w:rPr>
                <w:rFonts w:ascii="Arial" w:cs="Arial" w:eastAsia="Arial" w:hAnsi="Arial"/>
                <w:sz w:val="14"/>
                <w:szCs w:val="14"/>
                <w:b w:val="1"/>
                <w:bCs w:val="1"/>
                <w:color w:val="auto"/>
              </w:rPr>
              <w:t>Item</w:t>
            </w:r>
          </w:p>
        </w:tc>
      </w:tr>
      <w:tr>
        <w:trPr>
          <w:trHeight w:val="188"/>
        </w:trPr>
        <w:tc>
          <w:tcPr>
            <w:tcW w:w="1020" w:type="dxa"/>
            <w:vAlign w:val="bottom"/>
            <w:tcBorders>
              <w:top w:val="single" w:sz="8" w:color="auto"/>
            </w:tcBorders>
          </w:tcPr>
          <w:p>
            <w:pPr>
              <w:ind w:left="14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7"/>
          </w:tcPr>
          <w:p>
            <w:pPr>
              <w:spacing w:after="0" w:line="189" w:lineRule="exact"/>
              <w:rPr>
                <w:rFonts w:ascii="Arial" w:cs="Arial" w:eastAsia="Arial" w:hAnsi="Arial"/>
                <w:sz w:val="18"/>
                <w:szCs w:val="18"/>
                <w:color w:val="0000FF"/>
                <w:w w:val="89"/>
              </w:rPr>
            </w:pPr>
            <w:hyperlink r:id="rId78">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8"/>
          </w:tcPr>
          <w:p>
            <w:pPr>
              <w:spacing w:after="0"/>
              <w:rPr>
                <w:sz w:val="16"/>
                <w:szCs w:val="16"/>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7"/>
              </w:rPr>
            </w:pPr>
            <w:hyperlink r:id="rId78">
              <w:r>
                <w:rPr>
                  <w:rFonts w:ascii="Arial" w:cs="Arial" w:eastAsia="Arial" w:hAnsi="Arial"/>
                  <w:sz w:val="18"/>
                  <w:szCs w:val="18"/>
                  <w:color w:val="0000FF"/>
                  <w:w w:val="97"/>
                </w:rPr>
                <w:t>October 29, 2020, by and among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bottom w:val="single" w:sz="8" w:color="0000FF"/>
            </w:tcBorders>
            <w:gridSpan w:val="24"/>
          </w:tcPr>
          <w:p>
            <w:pPr>
              <w:spacing w:after="0" w:line="156" w:lineRule="exact"/>
              <w:rPr>
                <w:rFonts w:ascii="Arial" w:cs="Arial" w:eastAsia="Arial" w:hAnsi="Arial"/>
                <w:sz w:val="18"/>
                <w:szCs w:val="18"/>
                <w:color w:val="0000FF"/>
                <w:w w:val="93"/>
              </w:rPr>
            </w:pPr>
            <w:hyperlink r:id="rId78">
              <w:r>
                <w:rPr>
                  <w:rFonts w:ascii="Arial" w:cs="Arial" w:eastAsia="Arial" w:hAnsi="Arial"/>
                  <w:sz w:val="18"/>
                  <w:szCs w:val="18"/>
                  <w:color w:val="0000FF"/>
                  <w:w w:val="93"/>
                </w:rPr>
                <w:t>Inphi Corporation, Maui HoldCo, Inc., Maui Acquisition Company</w:t>
              </w:r>
            </w:hyperlink>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10"/>
          </w:tcPr>
          <w:p>
            <w:pPr>
              <w:spacing w:after="0" w:line="156" w:lineRule="exact"/>
              <w:rPr>
                <w:rFonts w:ascii="Arial" w:cs="Arial" w:eastAsia="Arial" w:hAnsi="Arial"/>
                <w:sz w:val="18"/>
                <w:szCs w:val="18"/>
                <w:color w:val="0000FF"/>
                <w:w w:val="94"/>
              </w:rPr>
            </w:pPr>
            <w:hyperlink r:id="rId78">
              <w:r>
                <w:rPr>
                  <w:rFonts w:ascii="Arial" w:cs="Arial" w:eastAsia="Arial" w:hAnsi="Arial"/>
                  <w:sz w:val="18"/>
                  <w:szCs w:val="18"/>
                  <w:color w:val="0000FF"/>
                  <w:w w:val="94"/>
                </w:rPr>
                <w:t>Ltd and Indigo Acquisition Corp.</w:t>
              </w:r>
            </w:hyperlink>
          </w:p>
        </w:tc>
        <w:tc>
          <w:tcPr>
            <w:tcW w:w="2500" w:type="dxa"/>
            <w:vAlign w:val="bottom"/>
            <w:gridSpan w:val="19"/>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rPr>
            </w:pPr>
            <w:hyperlink r:id="rId79">
              <w:r>
                <w:rPr>
                  <w:rFonts w:ascii="Arial" w:cs="Arial" w:eastAsia="Arial" w:hAnsi="Arial"/>
                  <w:sz w:val="18"/>
                  <w:szCs w:val="18"/>
                  <w:color w:val="0000FF"/>
                </w:rPr>
                <w:t>Amended and Restated Certificate of Incorporation of Marvell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6"/>
          </w:tcPr>
          <w:p>
            <w:pPr>
              <w:spacing w:after="0" w:line="156" w:lineRule="exact"/>
              <w:rPr>
                <w:rFonts w:ascii="Arial" w:cs="Arial" w:eastAsia="Arial" w:hAnsi="Arial"/>
                <w:sz w:val="18"/>
                <w:szCs w:val="18"/>
                <w:color w:val="0000FF"/>
              </w:rPr>
            </w:pPr>
            <w:hyperlink r:id="rId79">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320" w:type="dxa"/>
            <w:vAlign w:val="bottom"/>
            <w:tcBorders>
              <w:bottom w:val="single" w:sz="8" w:color="0000FF"/>
            </w:tcBorders>
            <w:gridSpan w:val="14"/>
          </w:tcPr>
          <w:p>
            <w:pPr>
              <w:spacing w:after="0"/>
              <w:rPr>
                <w:rFonts w:ascii="Arial" w:cs="Arial" w:eastAsia="Arial" w:hAnsi="Arial"/>
                <w:sz w:val="18"/>
                <w:szCs w:val="18"/>
                <w:color w:val="0000FF"/>
                <w:w w:val="91"/>
              </w:rPr>
            </w:pPr>
            <w:hyperlink r:id="rId80">
              <w:r>
                <w:rPr>
                  <w:rFonts w:ascii="Arial" w:cs="Arial" w:eastAsia="Arial" w:hAnsi="Arial"/>
                  <w:sz w:val="18"/>
                  <w:szCs w:val="18"/>
                  <w:color w:val="0000FF"/>
                  <w:w w:val="91"/>
                </w:rPr>
                <w:t>Amended and Restated Bylaws of Marvell Technology, Inc.</w:t>
              </w:r>
            </w:hyperlink>
          </w:p>
        </w:tc>
        <w:tc>
          <w:tcPr>
            <w:tcW w:w="740" w:type="dxa"/>
            <w:vAlign w:val="bottom"/>
            <w:gridSpan w:val="21"/>
          </w:tcPr>
          <w:p>
            <w:pPr>
              <w:spacing w:after="0"/>
              <w:rPr>
                <w:sz w:val="18"/>
                <w:szCs w:val="18"/>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8"/>
              </w:rPr>
            </w:pPr>
            <w:hyperlink r:id="rId81">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3"/>
              </w:rPr>
            </w:pPr>
            <w:hyperlink r:id="rId81">
              <w:r>
                <w:rPr>
                  <w:rFonts w:ascii="Arial" w:cs="Arial" w:eastAsia="Arial" w:hAnsi="Arial"/>
                  <w:sz w:val="18"/>
                  <w:szCs w:val="18"/>
                  <w:color w:val="0000FF"/>
                  <w:w w:val="93"/>
                </w:rPr>
                <w:t>among Marvell Technology, Inc., Inphi Corporation and Wells Fargo</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90"/>
              </w:rPr>
            </w:pPr>
            <w:hyperlink r:id="rId81">
              <w:r>
                <w:rPr>
                  <w:rFonts w:ascii="Arial" w:cs="Arial" w:eastAsia="Arial" w:hAnsi="Arial"/>
                  <w:sz w:val="18"/>
                  <w:szCs w:val="18"/>
                  <w:color w:val="0000FF"/>
                  <w:w w:val="90"/>
                </w:rPr>
                <w:t>Bank, National Association, as trustee</w:t>
              </w:r>
            </w:hyperlink>
          </w:p>
        </w:tc>
        <w:tc>
          <w:tcPr>
            <w:tcW w:w="2260" w:type="dxa"/>
            <w:vAlign w:val="bottom"/>
            <w:tcBorders>
              <w:top w:val="single" w:sz="8" w:color="0000FF"/>
            </w:tcBorders>
            <w:gridSpan w:val="22"/>
          </w:tcPr>
          <w:p>
            <w:pPr>
              <w:spacing w:after="0"/>
              <w:rPr>
                <w:sz w:val="13"/>
                <w:szCs w:val="13"/>
                <w:color w:val="auto"/>
              </w:rPr>
            </w:pPr>
          </w:p>
        </w:tc>
        <w:tc>
          <w:tcPr>
            <w:tcW w:w="40" w:type="dxa"/>
            <w:vAlign w:val="bottom"/>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8"/>
              </w:rPr>
            </w:pPr>
            <w:hyperlink r:id="rId82">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6"/>
              </w:rPr>
            </w:pPr>
            <w:hyperlink r:id="rId82">
              <w:r>
                <w:rPr>
                  <w:rFonts w:ascii="Arial" w:cs="Arial" w:eastAsia="Arial" w:hAnsi="Arial"/>
                  <w:sz w:val="18"/>
                  <w:szCs w:val="18"/>
                  <w:color w:val="0000FF"/>
                  <w:w w:val="96"/>
                </w:rPr>
                <w:t>among Marvell Technology, Inc., Inphi Corporation and U.S. Bank</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80" w:type="dxa"/>
            <w:vAlign w:val="bottom"/>
            <w:tcBorders>
              <w:top w:val="single" w:sz="8" w:color="0000FF"/>
            </w:tcBorders>
            <w:gridSpan w:val="27"/>
          </w:tcPr>
          <w:p>
            <w:pPr>
              <w:spacing w:after="0" w:line="156" w:lineRule="exact"/>
              <w:rPr>
                <w:rFonts w:ascii="Arial" w:cs="Arial" w:eastAsia="Arial" w:hAnsi="Arial"/>
                <w:sz w:val="18"/>
                <w:szCs w:val="18"/>
                <w:color w:val="0000FF"/>
              </w:rPr>
            </w:pPr>
            <w:hyperlink r:id="rId82">
              <w:r>
                <w:rPr>
                  <w:rFonts w:ascii="Arial" w:cs="Arial" w:eastAsia="Arial" w:hAnsi="Arial"/>
                  <w:sz w:val="18"/>
                  <w:szCs w:val="18"/>
                  <w:color w:val="0000FF"/>
                </w:rPr>
                <w:t>National Association, as trustee</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rPr>
            </w:pPr>
            <w:hyperlink r:id="rId83">
              <w:r>
                <w:rPr>
                  <w:rFonts w:ascii="Arial" w:cs="Arial" w:eastAsia="Arial" w:hAnsi="Arial"/>
                  <w:sz w:val="18"/>
                  <w:szCs w:val="18"/>
                  <w:color w:val="0000FF"/>
                </w:rPr>
                <w:t>Base Indenture, dated as of April 12, 2021, between Marvell</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8"/>
              </w:rPr>
            </w:pPr>
            <w:hyperlink r:id="rId83">
              <w:r>
                <w:rPr>
                  <w:rFonts w:ascii="Arial" w:cs="Arial" w:eastAsia="Arial" w:hAnsi="Arial"/>
                  <w:sz w:val="18"/>
                  <w:szCs w:val="18"/>
                  <w:color w:val="0000FF"/>
                  <w:w w:val="98"/>
                </w:rPr>
                <w:t>Technology, Inc. and U.S. Bank National Association, as trustee</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8"/>
              </w:rPr>
            </w:pPr>
            <w:hyperlink r:id="rId84">
              <w:r>
                <w:rPr>
                  <w:rFonts w:ascii="Arial" w:cs="Arial" w:eastAsia="Arial" w:hAnsi="Arial"/>
                  <w:sz w:val="18"/>
                  <w:szCs w:val="18"/>
                  <w:color w:val="0000FF"/>
                  <w:w w:val="98"/>
                </w:rPr>
                <w:t>First Supplemental Indenture, dated as of April 12,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8"/>
              </w:rPr>
            </w:pPr>
            <w:hyperlink r:id="rId84">
              <w:r>
                <w:rPr>
                  <w:rFonts w:ascii="Arial" w:cs="Arial" w:eastAsia="Arial" w:hAnsi="Arial"/>
                  <w:sz w:val="18"/>
                  <w:szCs w:val="18"/>
                  <w:color w:val="0000FF"/>
                  <w:w w:val="98"/>
                </w:rPr>
                <w:t>among Marvell Technology, Inc.,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38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90"/>
              </w:rPr>
            </w:pPr>
            <w:hyperlink r:id="rId84">
              <w:r>
                <w:rPr>
                  <w:rFonts w:ascii="Arial" w:cs="Arial" w:eastAsia="Arial" w:hAnsi="Arial"/>
                  <w:sz w:val="18"/>
                  <w:szCs w:val="18"/>
                  <w:color w:val="0000FF"/>
                  <w:w w:val="90"/>
                </w:rPr>
                <w:t>and U.S. Bank National Association, as trustee</w:t>
              </w:r>
            </w:hyperlink>
          </w:p>
        </w:tc>
        <w:tc>
          <w:tcPr>
            <w:tcW w:w="1420" w:type="dxa"/>
            <w:vAlign w:val="bottom"/>
            <w:tcBorders>
              <w:top w:val="single" w:sz="8" w:color="0000FF"/>
            </w:tcBorders>
            <w:gridSpan w:val="10"/>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4"/>
              </w:rPr>
            </w:pPr>
            <w:hyperlink r:id="rId84">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500,000,000 1.650% Senior Notes due 2026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7"/>
              </w:rPr>
            </w:pPr>
            <w:hyperlink r:id="rId84">
              <w:r>
                <w:rPr>
                  <w:rFonts w:ascii="Arial" w:cs="Arial" w:eastAsia="Arial" w:hAnsi="Arial"/>
                  <w:sz w:val="18"/>
                  <w:szCs w:val="18"/>
                  <w:color w:val="0000FF"/>
                  <w:w w:val="97"/>
                </w:rPr>
                <w:t>Exhibit A to Exhibit 4.4)</w:t>
              </w:r>
            </w:hyperlink>
          </w:p>
        </w:tc>
        <w:tc>
          <w:tcPr>
            <w:tcW w:w="302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4"/>
              </w:rPr>
            </w:pPr>
            <w:hyperlink r:id="rId84">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2.450%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84">
              <w:r>
                <w:rPr>
                  <w:rFonts w:ascii="Arial" w:cs="Arial" w:eastAsia="Arial" w:hAnsi="Arial"/>
                  <w:sz w:val="18"/>
                  <w:szCs w:val="18"/>
                  <w:color w:val="0000FF"/>
                  <w:w w:val="96"/>
                </w:rPr>
                <w:t>Exhibit B to Exhibit 4.4)</w:t>
              </w:r>
            </w:hyperlink>
          </w:p>
        </w:tc>
        <w:tc>
          <w:tcPr>
            <w:tcW w:w="304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4"/>
              </w:rPr>
            </w:pPr>
            <w:hyperlink r:id="rId84">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2.950% Senior Notes due 2031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84">
              <w:r>
                <w:rPr>
                  <w:rFonts w:ascii="Arial" w:cs="Arial" w:eastAsia="Arial" w:hAnsi="Arial"/>
                  <w:sz w:val="18"/>
                  <w:szCs w:val="18"/>
                  <w:color w:val="0000FF"/>
                  <w:w w:val="95"/>
                </w:rPr>
                <w:t>Exhibit B to Exhibit 4.4)</w:t>
              </w:r>
            </w:hyperlink>
          </w:p>
        </w:tc>
        <w:tc>
          <w:tcPr>
            <w:tcW w:w="3060" w:type="dxa"/>
            <w:vAlign w:val="bottom"/>
            <w:tcBorders>
              <w:top w:val="single" w:sz="8" w:color="0000FF"/>
            </w:tcBorders>
            <w:gridSpan w:val="22"/>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3"/>
              </w:rPr>
            </w:pPr>
            <w:hyperlink r:id="rId85">
              <w:r>
                <w:rPr>
                  <w:rFonts w:ascii="Arial" w:cs="Arial" w:eastAsia="Arial" w:hAnsi="Arial"/>
                  <w:sz w:val="18"/>
                  <w:szCs w:val="18"/>
                  <w:color w:val="0000FF"/>
                  <w:w w:val="93"/>
                </w:rPr>
                <w:t>Second Supplemental Indenture, dated as of May 4, 2021, between</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40" w:type="dxa"/>
            <w:vAlign w:val="bottom"/>
            <w:tcBorders>
              <w:top w:val="single" w:sz="8" w:color="0000FF"/>
            </w:tcBorders>
            <w:gridSpan w:val="25"/>
          </w:tcPr>
          <w:p>
            <w:pPr>
              <w:spacing w:after="0" w:line="156" w:lineRule="exact"/>
              <w:rPr>
                <w:rFonts w:ascii="Arial" w:cs="Arial" w:eastAsia="Arial" w:hAnsi="Arial"/>
                <w:sz w:val="18"/>
                <w:szCs w:val="18"/>
                <w:color w:val="0000FF"/>
                <w:w w:val="93"/>
              </w:rPr>
            </w:pPr>
            <w:hyperlink r:id="rId85">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85">
              <w:r>
                <w:rPr>
                  <w:rFonts w:ascii="Arial" w:cs="Arial" w:eastAsia="Arial" w:hAnsi="Arial"/>
                  <w:sz w:val="18"/>
                  <w:szCs w:val="18"/>
                  <w:color w:val="0000FF"/>
                </w:rPr>
                <w:t>trustee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gridSpan w:val="6"/>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18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2120" w:type="dxa"/>
            <w:vAlign w:val="bottom"/>
            <w:gridSpan w:val="9"/>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4"/>
              </w:rPr>
            </w:pPr>
            <w:hyperlink r:id="rId85">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433,817,000 4.200% Senior Notes due 2023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7"/>
              </w:rPr>
            </w:pPr>
            <w:hyperlink r:id="rId85">
              <w:r>
                <w:rPr>
                  <w:rFonts w:ascii="Arial" w:cs="Arial" w:eastAsia="Arial" w:hAnsi="Arial"/>
                  <w:sz w:val="18"/>
                  <w:szCs w:val="18"/>
                  <w:color w:val="0000FF"/>
                  <w:w w:val="97"/>
                </w:rPr>
                <w:t>Exhibit A to Exhibit 4.8)</w:t>
              </w:r>
            </w:hyperlink>
          </w:p>
        </w:tc>
        <w:tc>
          <w:tcPr>
            <w:tcW w:w="302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4"/>
              </w:rPr>
            </w:pPr>
            <w:hyperlink r:id="rId85">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479,394,000 4.875% Senior Notes due 2028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85">
              <w:r>
                <w:rPr>
                  <w:rFonts w:ascii="Arial" w:cs="Arial" w:eastAsia="Arial" w:hAnsi="Arial"/>
                  <w:sz w:val="18"/>
                  <w:szCs w:val="18"/>
                  <w:color w:val="0000FF"/>
                  <w:w w:val="96"/>
                </w:rPr>
                <w:t>Exhibit B to Exhibit 4.8)</w:t>
              </w:r>
            </w:hyperlink>
          </w:p>
        </w:tc>
        <w:tc>
          <w:tcPr>
            <w:tcW w:w="304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3"/>
              </w:rPr>
            </w:pPr>
            <w:hyperlink r:id="rId86">
              <w:r>
                <w:rPr>
                  <w:rFonts w:ascii="Arial" w:cs="Arial" w:eastAsia="Arial" w:hAnsi="Arial"/>
                  <w:sz w:val="18"/>
                  <w:szCs w:val="18"/>
                  <w:color w:val="0000FF"/>
                  <w:w w:val="93"/>
                </w:rPr>
                <w:t>Second Supplemental Indenture, dated as of April 15, 2021, by and</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00" w:type="dxa"/>
            <w:vAlign w:val="bottom"/>
            <w:tcBorders>
              <w:top w:val="single" w:sz="8" w:color="0000FF"/>
            </w:tcBorders>
            <w:gridSpan w:val="28"/>
          </w:tcPr>
          <w:p>
            <w:pPr>
              <w:spacing w:after="0" w:line="156" w:lineRule="exact"/>
              <w:rPr>
                <w:rFonts w:ascii="Arial" w:cs="Arial" w:eastAsia="Arial" w:hAnsi="Arial"/>
                <w:sz w:val="18"/>
                <w:szCs w:val="18"/>
                <w:color w:val="0000FF"/>
                <w:w w:val="95"/>
              </w:rPr>
            </w:pPr>
            <w:hyperlink r:id="rId86">
              <w:r>
                <w:rPr>
                  <w:rFonts w:ascii="Arial" w:cs="Arial" w:eastAsia="Arial" w:hAnsi="Arial"/>
                  <w:sz w:val="18"/>
                  <w:szCs w:val="18"/>
                  <w:color w:val="0000FF"/>
                  <w:w w:val="95"/>
                </w:rPr>
                <w:t>between Marvell Technology Group Ltd. and U.S. Bank National</w:t>
              </w:r>
            </w:hyperlink>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6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1"/>
              </w:rPr>
            </w:pPr>
            <w:hyperlink r:id="rId86">
              <w:r>
                <w:rPr>
                  <w:rFonts w:ascii="Arial" w:cs="Arial" w:eastAsia="Arial" w:hAnsi="Arial"/>
                  <w:sz w:val="18"/>
                  <w:szCs w:val="18"/>
                  <w:color w:val="0000FF"/>
                  <w:w w:val="91"/>
                </w:rPr>
                <w:t>Association</w:t>
              </w:r>
            </w:hyperlink>
          </w:p>
        </w:tc>
        <w:tc>
          <w:tcPr>
            <w:tcW w:w="388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rPr>
            </w:pPr>
            <w:hyperlink r:id="rId87">
              <w:r>
                <w:rPr>
                  <w:rFonts w:ascii="Arial" w:cs="Arial" w:eastAsia="Arial" w:hAnsi="Arial"/>
                  <w:sz w:val="18"/>
                  <w:szCs w:val="18"/>
                  <w:color w:val="0000FF"/>
                </w:rPr>
                <w:t>Form of Indemnification Agreement</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40" w:type="dxa"/>
            <w:vAlign w:val="bottom"/>
            <w:gridSpan w:val="7"/>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2140" w:type="dxa"/>
            <w:vAlign w:val="bottom"/>
            <w:gridSpan w:val="1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8"/>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6"/>
              </w:rPr>
            </w:pPr>
            <w:hyperlink r:id="rId88">
              <w:r>
                <w:rPr>
                  <w:rFonts w:ascii="Arial" w:cs="Arial" w:eastAsia="Arial" w:hAnsi="Arial"/>
                  <w:sz w:val="18"/>
                  <w:szCs w:val="18"/>
                  <w:color w:val="0000FF"/>
                  <w:w w:val="96"/>
                </w:rPr>
                <w:t>Credit Agreement, dated as of December 7, 2020, among Marvell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60" w:type="dxa"/>
            <w:vAlign w:val="bottom"/>
            <w:tcBorders>
              <w:top w:val="single" w:sz="8" w:color="0000FF"/>
              <w:bottom w:val="single" w:sz="8" w:color="0000FF"/>
            </w:tcBorders>
            <w:gridSpan w:val="21"/>
          </w:tcPr>
          <w:p>
            <w:pPr>
              <w:spacing w:after="0" w:line="156" w:lineRule="exact"/>
              <w:rPr>
                <w:rFonts w:ascii="Arial" w:cs="Arial" w:eastAsia="Arial" w:hAnsi="Arial"/>
                <w:sz w:val="18"/>
                <w:szCs w:val="18"/>
                <w:color w:val="0000FF"/>
                <w:w w:val="92"/>
              </w:rPr>
            </w:pPr>
            <w:hyperlink r:id="rId88">
              <w:r>
                <w:rPr>
                  <w:rFonts w:ascii="Arial" w:cs="Arial" w:eastAsia="Arial" w:hAnsi="Arial"/>
                  <w:sz w:val="18"/>
                  <w:szCs w:val="18"/>
                  <w:color w:val="0000FF"/>
                  <w:w w:val="92"/>
                </w:rPr>
                <w:t>Technology Group Ltd., Maui HoldCo, Inc., the Guarantors party</w:t>
              </w:r>
            </w:hyperlink>
          </w:p>
        </w:tc>
        <w:tc>
          <w:tcPr>
            <w:tcW w:w="20" w:type="dxa"/>
            <w:vAlign w:val="bottom"/>
            <w:tcBorders>
              <w:top w:val="single" w:sz="8" w:color="0000FF"/>
            </w:tcBorders>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5"/>
          </w:tcPr>
          <w:p>
            <w:pPr>
              <w:spacing w:after="0" w:line="156" w:lineRule="exact"/>
              <w:rPr>
                <w:rFonts w:ascii="Arial" w:cs="Arial" w:eastAsia="Arial" w:hAnsi="Arial"/>
                <w:sz w:val="18"/>
                <w:szCs w:val="18"/>
                <w:color w:val="0000FF"/>
                <w:w w:val="92"/>
              </w:rPr>
            </w:pPr>
            <w:hyperlink r:id="rId88">
              <w:r>
                <w:rPr>
                  <w:rFonts w:ascii="Arial" w:cs="Arial" w:eastAsia="Arial" w:hAnsi="Arial"/>
                  <w:sz w:val="18"/>
                  <w:szCs w:val="18"/>
                  <w:color w:val="0000FF"/>
                  <w:w w:val="92"/>
                </w:rPr>
                <w:t>thereto, the Lenders party thereto and JPMorgan Chase Bank, N.A.,</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3"/>
              </w:rPr>
            </w:pPr>
            <w:hyperlink r:id="rId88">
              <w:r>
                <w:rPr>
                  <w:rFonts w:ascii="Arial" w:cs="Arial" w:eastAsia="Arial" w:hAnsi="Arial"/>
                  <w:sz w:val="18"/>
                  <w:szCs w:val="18"/>
                  <w:color w:val="0000FF"/>
                  <w:w w:val="93"/>
                </w:rPr>
                <w:t>as the Administrative Agent</w:t>
              </w:r>
            </w:hyperlink>
          </w:p>
        </w:tc>
        <w:tc>
          <w:tcPr>
            <w:tcW w:w="288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5"/>
          </w:tcPr>
          <w:p>
            <w:pPr>
              <w:spacing w:after="0"/>
              <w:rPr>
                <w:rFonts w:ascii="Arial" w:cs="Arial" w:eastAsia="Arial" w:hAnsi="Arial"/>
                <w:sz w:val="18"/>
                <w:szCs w:val="18"/>
                <w:color w:val="0000FF"/>
                <w:w w:val="92"/>
              </w:rPr>
            </w:pPr>
            <w:hyperlink r:id="rId89">
              <w:r>
                <w:rPr>
                  <w:rFonts w:ascii="Arial" w:cs="Arial" w:eastAsia="Arial" w:hAnsi="Arial"/>
                  <w:sz w:val="18"/>
                  <w:szCs w:val="18"/>
                  <w:color w:val="0000FF"/>
                  <w:w w:val="92"/>
                </w:rPr>
                <w:t>Revolving Credit Agreement, dated as of December 7, 2020, among</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80" w:type="dxa"/>
            <w:vAlign w:val="bottom"/>
            <w:tcBorders>
              <w:top w:val="single" w:sz="8" w:color="0000FF"/>
              <w:bottom w:val="single" w:sz="8" w:color="0000FF"/>
            </w:tcBorders>
            <w:gridSpan w:val="32"/>
          </w:tcPr>
          <w:p>
            <w:pPr>
              <w:spacing w:after="0" w:line="156" w:lineRule="exact"/>
              <w:rPr>
                <w:rFonts w:ascii="Arial" w:cs="Arial" w:eastAsia="Arial" w:hAnsi="Arial"/>
                <w:sz w:val="18"/>
                <w:szCs w:val="18"/>
                <w:color w:val="0000FF"/>
                <w:w w:val="93"/>
              </w:rPr>
            </w:pPr>
            <w:hyperlink r:id="rId89">
              <w:r>
                <w:rPr>
                  <w:rFonts w:ascii="Arial" w:cs="Arial" w:eastAsia="Arial" w:hAnsi="Arial"/>
                  <w:sz w:val="18"/>
                  <w:szCs w:val="18"/>
                  <w:color w:val="0000FF"/>
                  <w:w w:val="93"/>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00" w:type="dxa"/>
            <w:vAlign w:val="bottom"/>
            <w:gridSpan w:val="33"/>
          </w:tcPr>
          <w:p>
            <w:pPr>
              <w:spacing w:after="0" w:line="156" w:lineRule="exact"/>
              <w:rPr>
                <w:rFonts w:ascii="Arial" w:cs="Arial" w:eastAsia="Arial" w:hAnsi="Arial"/>
                <w:sz w:val="18"/>
                <w:szCs w:val="18"/>
                <w:color w:val="0000FF"/>
                <w:w w:val="93"/>
              </w:rPr>
            </w:pPr>
            <w:hyperlink r:id="rId89">
              <w:r>
                <w:rPr>
                  <w:rFonts w:ascii="Arial" w:cs="Arial" w:eastAsia="Arial" w:hAnsi="Arial"/>
                  <w:sz w:val="18"/>
                  <w:szCs w:val="18"/>
                  <w:color w:val="0000FF"/>
                  <w:w w:val="93"/>
                </w:rPr>
                <w:t>party thereto, the Lenders party thereto and Bank of America, N.A.,</w:t>
              </w:r>
            </w:hyperlink>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2"/>
              </w:rPr>
            </w:pPr>
            <w:hyperlink r:id="rId89">
              <w:r>
                <w:rPr>
                  <w:rFonts w:ascii="Arial" w:cs="Arial" w:eastAsia="Arial" w:hAnsi="Arial"/>
                  <w:sz w:val="18"/>
                  <w:szCs w:val="18"/>
                  <w:color w:val="0000FF"/>
                  <w:w w:val="92"/>
                </w:rPr>
                <w:t>as the Administrative Agent</w:t>
              </w:r>
            </w:hyperlink>
          </w:p>
        </w:tc>
        <w:tc>
          <w:tcPr>
            <w:tcW w:w="2920" w:type="dxa"/>
            <w:vAlign w:val="bottom"/>
            <w:tcBorders>
              <w:top w:val="single" w:sz="8" w:color="0000FF"/>
            </w:tcBorders>
            <w:gridSpan w:val="24"/>
          </w:tcPr>
          <w:p>
            <w:pPr>
              <w:spacing w:after="0"/>
              <w:rPr>
                <w:sz w:val="13"/>
                <w:szCs w:val="13"/>
                <w:color w:val="auto"/>
              </w:rPr>
            </w:pPr>
          </w:p>
        </w:tc>
        <w:tc>
          <w:tcPr>
            <w:tcW w:w="100" w:type="dxa"/>
            <w:vAlign w:val="bottom"/>
            <w:gridSpan w:val="4"/>
          </w:tcPr>
          <w:p>
            <w:pPr>
              <w:spacing w:after="0"/>
              <w:rPr>
                <w:sz w:val="13"/>
                <w:szCs w:val="13"/>
                <w:color w:val="auto"/>
              </w:rPr>
            </w:pPr>
          </w:p>
        </w:tc>
      </w:tr>
      <w:tr>
        <w:trPr>
          <w:trHeight w:val="898"/>
        </w:trPr>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40" w:type="dxa"/>
            <w:vAlign w:val="bottom"/>
            <w:gridSpan w:val="19"/>
          </w:tcPr>
          <w:p>
            <w:pPr>
              <w:jc w:val="right"/>
              <w:ind w:right="40"/>
              <w:spacing w:after="0"/>
              <w:rPr>
                <w:sz w:val="20"/>
                <w:szCs w:val="20"/>
                <w:color w:val="auto"/>
              </w:rPr>
            </w:pPr>
            <w:r>
              <w:rPr>
                <w:rFonts w:ascii="Arial" w:cs="Arial" w:eastAsia="Arial" w:hAnsi="Arial"/>
                <w:sz w:val="18"/>
                <w:szCs w:val="18"/>
                <w:color w:val="auto"/>
              </w:rPr>
              <w:t>65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88"/>
        </w:trPr>
        <w:tc>
          <w:tcPr>
            <w:tcW w:w="820" w:type="dxa"/>
            <w:vAlign w:val="bottom"/>
            <w:gridSpan w:val="2"/>
            <w:vMerge w:val="continue"/>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5"/>
        </w:trPr>
        <w:tc>
          <w:tcPr>
            <w:tcW w:w="70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8-K</w:t>
            </w:r>
          </w:p>
        </w:tc>
        <w:tc>
          <w:tcPr>
            <w:tcW w:w="120" w:type="dxa"/>
            <w:vAlign w:val="bottom"/>
          </w:tcPr>
          <w:p>
            <w:pPr>
              <w:spacing w:after="0"/>
              <w:rPr>
                <w:sz w:val="19"/>
                <w:szCs w:val="19"/>
                <w:color w:val="auto"/>
              </w:rPr>
            </w:pPr>
          </w:p>
        </w:tc>
        <w:tc>
          <w:tcPr>
            <w:tcW w:w="1100" w:type="dxa"/>
            <w:vAlign w:val="bottom"/>
            <w:tcBorders>
              <w:top w:val="single" w:sz="8" w:color="auto"/>
            </w:tcBorders>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19"/>
                <w:szCs w:val="19"/>
                <w:color w:val="auto"/>
              </w:rPr>
            </w:pPr>
          </w:p>
        </w:tc>
        <w:tc>
          <w:tcPr>
            <w:tcW w:w="13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19"/>
                <w:szCs w:val="19"/>
                <w:color w:val="auto"/>
              </w:rPr>
            </w:pPr>
          </w:p>
        </w:tc>
        <w:tc>
          <w:tcPr>
            <w:tcW w:w="14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10/30/2020</w:t>
            </w:r>
          </w:p>
        </w:tc>
        <w:tc>
          <w:tcPr>
            <w:tcW w:w="0" w:type="dxa"/>
            <w:vAlign w:val="bottom"/>
          </w:tcPr>
          <w:p>
            <w:pPr>
              <w:spacing w:after="0"/>
              <w:rPr>
                <w:sz w:val="1"/>
                <w:szCs w:val="1"/>
                <w:color w:val="auto"/>
              </w:rPr>
            </w:pPr>
          </w:p>
        </w:tc>
      </w:tr>
      <w:tr>
        <w:trPr>
          <w:trHeight w:val="75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404"/>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1"/>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4/19/2021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r>
        <w:trPr>
          <w:trHeight w:val="756"/>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bl>
    <w:p>
      <w:pPr>
        <w:sectPr>
          <w:pgSz w:w="11900" w:h="16838" w:orient="portrait"/>
          <w:cols w:equalWidth="0" w:num="2">
            <w:col w:w="6200" w:space="120"/>
            <w:col w:w="4920"/>
          </w:cols>
          <w:pgMar w:left="320" w:top="130" w:right="339" w:bottom="1440" w:gutter="0" w:footer="0" w:header="0"/>
        </w:sectPr>
      </w:pPr>
    </w:p>
    <w:bookmarkStart w:id="66" w:name="page67"/>
    <w:bookmarkEnd w:id="66"/>
    <w:p>
      <w:pPr>
        <w:spacing w:after="0"/>
        <w:rPr>
          <w:rFonts w:ascii="Arial" w:cs="Arial" w:eastAsia="Arial" w:hAnsi="Arial"/>
          <w:sz w:val="14"/>
          <w:szCs w:val="14"/>
          <w:u w:val="single" w:color="auto"/>
          <w:color w:val="0000FF"/>
        </w:rPr>
      </w:pPr>
      <w:hyperlink w:anchor="page1">
        <w:r>
          <w:rPr>
            <w:rFonts w:ascii="Arial" w:cs="Arial" w:eastAsia="Arial" w:hAnsi="Arial"/>
            <w:sz w:val="14"/>
            <w:szCs w:val="14"/>
            <w:u w:val="single" w:color="auto"/>
            <w:color w:val="0000FF"/>
          </w:rPr>
          <w:t>Table of Contents</w:t>
        </w:r>
      </w:hyperlink>
    </w:p>
    <w:p>
      <w:pPr>
        <w:sectPr>
          <w:pgSz w:w="11900" w:h="16838" w:orient="portrait"/>
          <w:cols w:equalWidth="0" w:num="1">
            <w:col w:w="10880"/>
          </w:cols>
          <w:pgMar w:left="320" w:top="130"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ind w:left="120"/>
              <w:spacing w:after="0"/>
              <w:rPr>
                <w:sz w:val="20"/>
                <w:szCs w:val="20"/>
                <w:color w:val="auto"/>
              </w:rPr>
            </w:pPr>
            <w:r>
              <w:rPr>
                <w:rFonts w:ascii="Arial" w:cs="Arial" w:eastAsia="Arial" w:hAnsi="Arial"/>
                <w:sz w:val="18"/>
                <w:szCs w:val="18"/>
                <w:color w:val="auto"/>
              </w:rPr>
              <w:t>10.4**</w:t>
            </w:r>
          </w:p>
        </w:tc>
        <w:tc>
          <w:tcPr>
            <w:tcW w:w="5140" w:type="dxa"/>
            <w:vAlign w:val="bottom"/>
            <w:gridSpan w:val="38"/>
          </w:tcPr>
          <w:p>
            <w:pPr>
              <w:spacing w:after="0"/>
              <w:rPr>
                <w:rFonts w:ascii="Arial" w:cs="Arial" w:eastAsia="Arial" w:hAnsi="Arial"/>
                <w:sz w:val="18"/>
                <w:szCs w:val="18"/>
                <w:color w:val="0000FF"/>
                <w:w w:val="98"/>
              </w:rPr>
            </w:pPr>
            <w:hyperlink r:id="rId91">
              <w:r>
                <w:rPr>
                  <w:rFonts w:ascii="Arial" w:cs="Arial" w:eastAsia="Arial" w:hAnsi="Arial"/>
                  <w:sz w:val="18"/>
                  <w:szCs w:val="18"/>
                  <w:color w:val="0000FF"/>
                  <w:w w:val="98"/>
                </w:rPr>
                <w:t>Amendment No. 1 to Credit Agreement, dated as of December 7,</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20"/>
          </w:tcPr>
          <w:p>
            <w:pPr>
              <w:spacing w:after="0" w:line="156" w:lineRule="exact"/>
              <w:rPr>
                <w:rFonts w:ascii="Arial" w:cs="Arial" w:eastAsia="Arial" w:hAnsi="Arial"/>
                <w:sz w:val="18"/>
                <w:szCs w:val="18"/>
                <w:color w:val="0000FF"/>
                <w:w w:val="92"/>
              </w:rPr>
            </w:pPr>
            <w:hyperlink r:id="rId91">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gridSpan w:val="15"/>
            <w:vMerge w:val="restart"/>
          </w:tcPr>
          <w:p>
            <w:pPr>
              <w:spacing w:after="0"/>
              <w:rPr>
                <w:rFonts w:ascii="Arial" w:cs="Arial" w:eastAsia="Arial" w:hAnsi="Arial"/>
                <w:sz w:val="18"/>
                <w:szCs w:val="18"/>
                <w:color w:val="0000FF"/>
              </w:rPr>
            </w:pPr>
            <w:hyperlink r:id="rId91">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640" w:type="dxa"/>
            <w:vAlign w:val="bottom"/>
            <w:tcBorders>
              <w:top w:val="single" w:sz="8" w:color="0000FF"/>
            </w:tcBorders>
            <w:gridSpan w:val="17"/>
          </w:tcPr>
          <w:p>
            <w:pPr>
              <w:spacing w:after="0" w:line="156" w:lineRule="exact"/>
              <w:rPr>
                <w:rFonts w:ascii="Arial" w:cs="Arial" w:eastAsia="Arial" w:hAnsi="Arial"/>
                <w:sz w:val="18"/>
                <w:szCs w:val="18"/>
                <w:color w:val="0000FF"/>
                <w:w w:val="91"/>
              </w:rPr>
            </w:pPr>
            <w:hyperlink r:id="rId91">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gridSpan w:val="15"/>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40" w:type="dxa"/>
            <w:vAlign w:val="bottom"/>
            <w:tcBorders>
              <w:top w:val="single" w:sz="8" w:color="0000FF"/>
              <w:bottom w:val="single" w:sz="8" w:color="0000FF"/>
            </w:tcBorders>
            <w:gridSpan w:val="33"/>
          </w:tcPr>
          <w:p>
            <w:pPr>
              <w:spacing w:after="0" w:line="156" w:lineRule="exact"/>
              <w:rPr>
                <w:rFonts w:ascii="Arial" w:cs="Arial" w:eastAsia="Arial" w:hAnsi="Arial"/>
                <w:sz w:val="18"/>
                <w:szCs w:val="18"/>
                <w:color w:val="0000FF"/>
                <w:w w:val="91"/>
              </w:rPr>
            </w:pPr>
            <w:hyperlink r:id="rId91">
              <w:r>
                <w:rPr>
                  <w:rFonts w:ascii="Arial" w:cs="Arial" w:eastAsia="Arial" w:hAnsi="Arial"/>
                  <w:sz w:val="18"/>
                  <w:szCs w:val="18"/>
                  <w:color w:val="0000FF"/>
                  <w:w w:val="91"/>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rPr>
            </w:pPr>
            <w:hyperlink r:id="rId91">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10.5</w:t>
            </w:r>
          </w:p>
        </w:tc>
        <w:tc>
          <w:tcPr>
            <w:tcW w:w="5140" w:type="dxa"/>
            <w:vAlign w:val="bottom"/>
            <w:gridSpan w:val="38"/>
          </w:tcPr>
          <w:p>
            <w:pPr>
              <w:spacing w:after="0"/>
              <w:rPr>
                <w:rFonts w:ascii="Arial" w:cs="Arial" w:eastAsia="Arial" w:hAnsi="Arial"/>
                <w:sz w:val="18"/>
                <w:szCs w:val="18"/>
                <w:color w:val="0000FF"/>
              </w:rPr>
            </w:pPr>
            <w:hyperlink r:id="rId87">
              <w:r>
                <w:rPr>
                  <w:rFonts w:ascii="Arial" w:cs="Arial" w:eastAsia="Arial" w:hAnsi="Arial"/>
                  <w:sz w:val="18"/>
                  <w:szCs w:val="18"/>
                  <w:color w:val="0000FF"/>
                </w:rPr>
                <w:t>Form of Exchange Agreement</w:t>
              </w:r>
            </w:hyperlink>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tcBorders>
              <w:right w:val="single" w:sz="8" w:color="0000FF"/>
            </w:tcBorders>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10.6</w:t>
            </w:r>
          </w:p>
        </w:tc>
        <w:tc>
          <w:tcPr>
            <w:tcW w:w="5140" w:type="dxa"/>
            <w:vAlign w:val="bottom"/>
            <w:gridSpan w:val="38"/>
          </w:tcPr>
          <w:p>
            <w:pPr>
              <w:spacing w:after="0"/>
              <w:rPr>
                <w:rFonts w:ascii="Arial" w:cs="Arial" w:eastAsia="Arial" w:hAnsi="Arial"/>
                <w:sz w:val="18"/>
                <w:szCs w:val="18"/>
                <w:color w:val="0000FF"/>
                <w:w w:val="97"/>
              </w:rPr>
            </w:pPr>
            <w:hyperlink r:id="rId92">
              <w:r>
                <w:rPr>
                  <w:rFonts w:ascii="Arial" w:cs="Arial" w:eastAsia="Arial" w:hAnsi="Arial"/>
                  <w:sz w:val="18"/>
                  <w:szCs w:val="18"/>
                  <w:color w:val="0000FF"/>
                  <w:w w:val="97"/>
                </w:rPr>
                <w:t>Registration Rights Agreement, dated as of April 12, 2021, by and</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80" w:type="dxa"/>
            <w:vAlign w:val="bottom"/>
            <w:tcBorders>
              <w:top w:val="single" w:sz="8" w:color="0000FF"/>
            </w:tcBorders>
            <w:gridSpan w:val="24"/>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among Marvell Technology, Inc., Marvell Technology Group Ltd.</w:t>
              </w:r>
            </w:hyperlink>
          </w:p>
        </w:tc>
        <w:tc>
          <w:tcPr>
            <w:tcW w:w="360" w:type="dxa"/>
            <w:vAlign w:val="bottom"/>
            <w:gridSpan w:val="14"/>
          </w:tcPr>
          <w:p>
            <w:pPr>
              <w:ind w:left="20"/>
              <w:spacing w:after="0" w:line="156" w:lineRule="exact"/>
              <w:rPr>
                <w:rFonts w:ascii="Arial" w:cs="Arial" w:eastAsia="Arial" w:hAnsi="Arial"/>
                <w:sz w:val="18"/>
                <w:szCs w:val="18"/>
                <w:color w:val="0000FF"/>
              </w:rPr>
            </w:pPr>
            <w:hyperlink r:id="rId92">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120" w:type="dxa"/>
            <w:vAlign w:val="bottom"/>
            <w:tcBorders>
              <w:top w:val="single" w:sz="8" w:color="0000FF"/>
            </w:tcBorders>
            <w:gridSpan w:val="37"/>
          </w:tcPr>
          <w:p>
            <w:pPr>
              <w:spacing w:after="0" w:line="156" w:lineRule="exact"/>
              <w:rPr>
                <w:rFonts w:ascii="Arial" w:cs="Arial" w:eastAsia="Arial" w:hAnsi="Arial"/>
                <w:sz w:val="18"/>
                <w:szCs w:val="18"/>
                <w:color w:val="0000FF"/>
                <w:w w:val="95"/>
              </w:rPr>
            </w:pPr>
            <w:hyperlink r:id="rId92">
              <w:r>
                <w:rPr>
                  <w:rFonts w:ascii="Arial" w:cs="Arial" w:eastAsia="Arial" w:hAnsi="Arial"/>
                  <w:sz w:val="18"/>
                  <w:szCs w:val="18"/>
                  <w:color w:val="0000FF"/>
                  <w:w w:val="95"/>
                </w:rPr>
                <w:t>J.P. Morgan Securities, LLC, BofA Securities, Inc. and Wells Fargo</w:t>
              </w:r>
            </w:hyperlink>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860" w:type="dxa"/>
            <w:vAlign w:val="bottom"/>
            <w:tcBorders>
              <w:top w:val="single" w:sz="8" w:color="0000FF"/>
            </w:tcBorders>
            <w:gridSpan w:val="26"/>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92">
              <w:r>
                <w:rPr>
                  <w:rFonts w:ascii="Arial" w:cs="Arial" w:eastAsia="Arial" w:hAnsi="Arial"/>
                  <w:sz w:val="18"/>
                  <w:szCs w:val="18"/>
                  <w:color w:val="0000FF"/>
                </w:rPr>
                <w:t>Notes</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10.7#</w:t>
            </w:r>
          </w:p>
        </w:tc>
        <w:tc>
          <w:tcPr>
            <w:tcW w:w="5140" w:type="dxa"/>
            <w:vAlign w:val="bottom"/>
            <w:gridSpan w:val="38"/>
          </w:tcPr>
          <w:p>
            <w:pPr>
              <w:spacing w:after="0"/>
              <w:rPr>
                <w:rFonts w:ascii="Arial" w:cs="Arial" w:eastAsia="Arial" w:hAnsi="Arial"/>
                <w:sz w:val="18"/>
                <w:szCs w:val="18"/>
                <w:color w:val="0000FF"/>
                <w:w w:val="95"/>
              </w:rPr>
            </w:pPr>
            <w:hyperlink r:id="rId93">
              <w:r>
                <w:rPr>
                  <w:rFonts w:ascii="Arial" w:cs="Arial" w:eastAsia="Arial" w:hAnsi="Arial"/>
                  <w:sz w:val="18"/>
                  <w:szCs w:val="18"/>
                  <w:color w:val="0000FF"/>
                  <w:w w:val="95"/>
                </w:rPr>
                <w:t>Marvell Technology Group Ltd. Amended and Restated 1995 Stock</w:t>
              </w:r>
            </w:hyperlink>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tcBorders>
              <w:right w:val="single" w:sz="8" w:color="0000FF"/>
            </w:tcBorders>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2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40" w:type="dxa"/>
            <w:vAlign w:val="bottom"/>
            <w:gridSpan w:val="38"/>
          </w:tcPr>
          <w:p>
            <w:pPr>
              <w:spacing w:after="0" w:line="156" w:lineRule="exact"/>
              <w:rPr>
                <w:rFonts w:ascii="Arial" w:cs="Arial" w:eastAsia="Arial" w:hAnsi="Arial"/>
                <w:sz w:val="18"/>
                <w:szCs w:val="18"/>
                <w:color w:val="0000FF"/>
                <w:w w:val="93"/>
              </w:rPr>
            </w:pPr>
            <w:hyperlink r:id="rId93">
              <w:r>
                <w:rPr>
                  <w:rFonts w:ascii="Arial" w:cs="Arial" w:eastAsia="Arial" w:hAnsi="Arial"/>
                  <w:sz w:val="18"/>
                  <w:szCs w:val="18"/>
                  <w:color w:val="0000FF"/>
                  <w:w w:val="93"/>
                </w:rPr>
                <w:t>Option Plan (now named the Marvell Technology, Inc. Amended and</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00" w:type="dxa"/>
            <w:vAlign w:val="bottom"/>
            <w:tcBorders>
              <w:top w:val="single" w:sz="8" w:color="0000FF"/>
            </w:tcBorders>
            <w:gridSpan w:val="31"/>
          </w:tcPr>
          <w:p>
            <w:pPr>
              <w:spacing w:after="0" w:line="156" w:lineRule="exact"/>
              <w:rPr>
                <w:rFonts w:ascii="Arial" w:cs="Arial" w:eastAsia="Arial" w:hAnsi="Arial"/>
                <w:sz w:val="18"/>
                <w:szCs w:val="18"/>
                <w:color w:val="0000FF"/>
                <w:w w:val="93"/>
              </w:rPr>
            </w:pPr>
            <w:hyperlink r:id="rId93">
              <w:r>
                <w:rPr>
                  <w:rFonts w:ascii="Arial" w:cs="Arial" w:eastAsia="Arial" w:hAnsi="Arial"/>
                  <w:sz w:val="18"/>
                  <w:szCs w:val="18"/>
                  <w:color w:val="0000FF"/>
                  <w:w w:val="93"/>
                </w:rPr>
                <w:t>Restated 1995 Stock Option Plan) (as amended and restated as of</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5"/>
              </w:rPr>
            </w:pPr>
            <w:hyperlink r:id="rId93">
              <w:r>
                <w:rPr>
                  <w:rFonts w:ascii="Arial" w:cs="Arial" w:eastAsia="Arial" w:hAnsi="Arial"/>
                  <w:sz w:val="18"/>
                  <w:szCs w:val="18"/>
                  <w:color w:val="0000FF"/>
                  <w:w w:val="95"/>
                </w:rPr>
                <w:t>April 2, 2021)</w:t>
              </w:r>
            </w:hyperlink>
          </w:p>
        </w:tc>
        <w:tc>
          <w:tcPr>
            <w:tcW w:w="3680" w:type="dxa"/>
            <w:vAlign w:val="bottom"/>
            <w:tcBorders>
              <w:top w:val="single" w:sz="8" w:color="0000FF"/>
            </w:tcBorders>
            <w:gridSpan w:val="18"/>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10.8#</w:t>
            </w:r>
          </w:p>
        </w:tc>
        <w:tc>
          <w:tcPr>
            <w:tcW w:w="5140" w:type="dxa"/>
            <w:vAlign w:val="bottom"/>
            <w:gridSpan w:val="38"/>
          </w:tcPr>
          <w:p>
            <w:pPr>
              <w:spacing w:after="0"/>
              <w:rPr>
                <w:rFonts w:ascii="Arial" w:cs="Arial" w:eastAsia="Arial" w:hAnsi="Arial"/>
                <w:sz w:val="18"/>
                <w:szCs w:val="18"/>
                <w:color w:val="0000FF"/>
                <w:w w:val="93"/>
              </w:rPr>
            </w:pPr>
            <w:hyperlink r:id="rId94">
              <w:r>
                <w:rPr>
                  <w:rFonts w:ascii="Arial" w:cs="Arial" w:eastAsia="Arial" w:hAnsi="Arial"/>
                  <w:sz w:val="18"/>
                  <w:szCs w:val="18"/>
                  <w:color w:val="0000FF"/>
                  <w:w w:val="93"/>
                </w:rPr>
                <w:t>Marvell Technology Group Ltd. 2000 Employee Stock Purchase Plan</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660" w:type="dxa"/>
            <w:vAlign w:val="bottom"/>
            <w:tcBorders>
              <w:top w:val="single" w:sz="8" w:color="0000FF"/>
              <w:bottom w:val="single" w:sz="8" w:color="0000FF"/>
            </w:tcBorders>
            <w:gridSpan w:val="18"/>
          </w:tcPr>
          <w:p>
            <w:pPr>
              <w:spacing w:after="0" w:line="156" w:lineRule="exact"/>
              <w:rPr>
                <w:rFonts w:ascii="Arial" w:cs="Arial" w:eastAsia="Arial" w:hAnsi="Arial"/>
                <w:sz w:val="18"/>
                <w:szCs w:val="18"/>
                <w:color w:val="0000FF"/>
                <w:w w:val="91"/>
              </w:rPr>
            </w:pPr>
            <w:hyperlink r:id="rId94">
              <w:r>
                <w:rPr>
                  <w:rFonts w:ascii="Arial" w:cs="Arial" w:eastAsia="Arial" w:hAnsi="Arial"/>
                  <w:sz w:val="18"/>
                  <w:szCs w:val="18"/>
                  <w:color w:val="0000FF"/>
                  <w:w w:val="91"/>
                </w:rPr>
                <w:t>(now named the Marvell Technology, Inc. 2000 Employee Stock</w:t>
              </w:r>
            </w:hyperlink>
          </w:p>
        </w:tc>
        <w:tc>
          <w:tcPr>
            <w:tcW w:w="42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140" w:type="dxa"/>
            <w:vAlign w:val="bottom"/>
            <w:gridSpan w:val="38"/>
          </w:tcPr>
          <w:p>
            <w:pPr>
              <w:spacing w:after="0" w:line="156" w:lineRule="exact"/>
              <w:rPr>
                <w:rFonts w:ascii="Arial" w:cs="Arial" w:eastAsia="Arial" w:hAnsi="Arial"/>
                <w:sz w:val="18"/>
                <w:szCs w:val="18"/>
                <w:color w:val="0000FF"/>
                <w:w w:val="91"/>
              </w:rPr>
            </w:pPr>
            <w:hyperlink r:id="rId94">
              <w:r>
                <w:rPr>
                  <w:rFonts w:ascii="Arial" w:cs="Arial" w:eastAsia="Arial" w:hAnsi="Arial"/>
                  <w:sz w:val="18"/>
                  <w:szCs w:val="18"/>
                  <w:color w:val="0000FF"/>
                  <w:w w:val="91"/>
                </w:rPr>
                <w:t>Purchase Plan, as Amended and Restated) (as amended and restated</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00" w:type="dxa"/>
            <w:vAlign w:val="bottom"/>
            <w:tcBorders>
              <w:top w:val="single" w:sz="8" w:color="0000FF"/>
            </w:tcBorders>
            <w:gridSpan w:val="28"/>
          </w:tcPr>
          <w:p>
            <w:pPr>
              <w:spacing w:after="0" w:line="156" w:lineRule="exact"/>
              <w:rPr>
                <w:rFonts w:ascii="Arial" w:cs="Arial" w:eastAsia="Arial" w:hAnsi="Arial"/>
                <w:sz w:val="18"/>
                <w:szCs w:val="18"/>
                <w:color w:val="0000FF"/>
              </w:rPr>
            </w:pPr>
            <w:hyperlink r:id="rId94">
              <w:r>
                <w:rPr>
                  <w:rFonts w:ascii="Arial" w:cs="Arial" w:eastAsia="Arial" w:hAnsi="Arial"/>
                  <w:sz w:val="18"/>
                  <w:szCs w:val="18"/>
                  <w:color w:val="0000FF"/>
                </w:rPr>
                <w:t>as of April 2, 2021)</w:t>
              </w:r>
            </w:hyperlink>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900" w:type="dxa"/>
            <w:vAlign w:val="bottom"/>
            <w:gridSpan w:val="2"/>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4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10.9#</w:t>
            </w:r>
          </w:p>
        </w:tc>
        <w:tc>
          <w:tcPr>
            <w:tcW w:w="5140" w:type="dxa"/>
            <w:vAlign w:val="bottom"/>
            <w:gridSpan w:val="38"/>
          </w:tcPr>
          <w:p>
            <w:pPr>
              <w:spacing w:after="0"/>
              <w:rPr>
                <w:rFonts w:ascii="Arial" w:cs="Arial" w:eastAsia="Arial" w:hAnsi="Arial"/>
                <w:sz w:val="18"/>
                <w:szCs w:val="18"/>
                <w:color w:val="0000FF"/>
                <w:w w:val="92"/>
              </w:rPr>
            </w:pPr>
            <w:hyperlink r:id="rId95">
              <w:r>
                <w:rPr>
                  <w:rFonts w:ascii="Arial" w:cs="Arial" w:eastAsia="Arial" w:hAnsi="Arial"/>
                  <w:sz w:val="18"/>
                  <w:szCs w:val="18"/>
                  <w:color w:val="0000FF"/>
                  <w:w w:val="92"/>
                </w:rPr>
                <w:t>Marvell Technology Group Ltd. 2000 Employee Stock Purchase Plan,</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tcBorders>
              <w:top w:val="single" w:sz="8" w:color="0000FF"/>
            </w:tcBorders>
            <w:gridSpan w:val="36"/>
          </w:tcPr>
          <w:p>
            <w:pPr>
              <w:spacing w:after="0" w:line="156" w:lineRule="exact"/>
              <w:rPr>
                <w:rFonts w:ascii="Arial" w:cs="Arial" w:eastAsia="Arial" w:hAnsi="Arial"/>
                <w:sz w:val="18"/>
                <w:szCs w:val="18"/>
                <w:color w:val="0000FF"/>
                <w:w w:val="92"/>
              </w:rPr>
            </w:pPr>
            <w:hyperlink r:id="rId95">
              <w:r>
                <w:rPr>
                  <w:rFonts w:ascii="Arial" w:cs="Arial" w:eastAsia="Arial" w:hAnsi="Arial"/>
                  <w:sz w:val="18"/>
                  <w:szCs w:val="18"/>
                  <w:color w:val="0000FF"/>
                  <w:w w:val="92"/>
                </w:rPr>
                <w:t>as Amended and Restated (now named the Marvell Technology, Inc.</w:t>
              </w:r>
            </w:hyperlink>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40" w:type="dxa"/>
            <w:vAlign w:val="bottom"/>
            <w:tcBorders>
              <w:top w:val="single" w:sz="8" w:color="0000FF"/>
            </w:tcBorders>
            <w:gridSpan w:val="29"/>
          </w:tcPr>
          <w:p>
            <w:pPr>
              <w:spacing w:after="0" w:line="156" w:lineRule="exact"/>
              <w:rPr>
                <w:rFonts w:ascii="Arial" w:cs="Arial" w:eastAsia="Arial" w:hAnsi="Arial"/>
                <w:sz w:val="18"/>
                <w:szCs w:val="18"/>
                <w:color w:val="0000FF"/>
                <w:w w:val="93"/>
              </w:rPr>
            </w:pPr>
            <w:hyperlink r:id="rId95">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91"/>
              </w:rPr>
            </w:pPr>
            <w:hyperlink r:id="rId95">
              <w:r>
                <w:rPr>
                  <w:rFonts w:ascii="Arial" w:cs="Arial" w:eastAsia="Arial" w:hAnsi="Arial"/>
                  <w:sz w:val="18"/>
                  <w:szCs w:val="18"/>
                  <w:color w:val="0000FF"/>
                  <w:w w:val="91"/>
                </w:rPr>
                <w:t>Form of Subscription Agreement</w:t>
              </w:r>
            </w:hyperlink>
          </w:p>
        </w:tc>
        <w:tc>
          <w:tcPr>
            <w:tcW w:w="2260" w:type="dxa"/>
            <w:vAlign w:val="bottom"/>
            <w:tcBorders>
              <w:top w:val="single" w:sz="8" w:color="0000FF"/>
            </w:tcBorders>
            <w:gridSpan w:val="9"/>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4"/>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10.10#</w:t>
            </w:r>
          </w:p>
        </w:tc>
        <w:tc>
          <w:tcPr>
            <w:tcW w:w="5140" w:type="dxa"/>
            <w:vAlign w:val="bottom"/>
            <w:gridSpan w:val="38"/>
          </w:tcPr>
          <w:p>
            <w:pPr>
              <w:spacing w:after="0"/>
              <w:rPr>
                <w:rFonts w:ascii="Arial" w:cs="Arial" w:eastAsia="Arial" w:hAnsi="Arial"/>
                <w:sz w:val="18"/>
                <w:szCs w:val="18"/>
                <w:color w:val="0000FF"/>
                <w:w w:val="99"/>
              </w:rPr>
            </w:pPr>
            <w:hyperlink r:id="rId96">
              <w:r>
                <w:rPr>
                  <w:rFonts w:ascii="Arial" w:cs="Arial" w:eastAsia="Arial" w:hAnsi="Arial"/>
                  <w:sz w:val="18"/>
                  <w:szCs w:val="18"/>
                  <w:color w:val="0000FF"/>
                  <w:w w:val="99"/>
                </w:rPr>
                <w:t>Cavium, Inc. 2016 Equity Incentive Plan (including forms of grant</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96">
              <w:r>
                <w:rPr>
                  <w:rFonts w:ascii="Arial" w:cs="Arial" w:eastAsia="Arial" w:hAnsi="Arial"/>
                  <w:sz w:val="18"/>
                  <w:szCs w:val="18"/>
                  <w:color w:val="0000FF"/>
                  <w:w w:val="88"/>
                </w:rPr>
                <w:t>notice and agreements)</w:t>
              </w:r>
            </w:hyperlink>
          </w:p>
        </w:tc>
        <w:tc>
          <w:tcPr>
            <w:tcW w:w="3080" w:type="dxa"/>
            <w:vAlign w:val="bottom"/>
            <w:tcBorders>
              <w:top w:val="single" w:sz="8" w:color="0000FF"/>
            </w:tcBorders>
            <w:gridSpan w:val="20"/>
          </w:tcPr>
          <w:p>
            <w:pPr>
              <w:spacing w:after="0"/>
              <w:rPr>
                <w:sz w:val="13"/>
                <w:szCs w:val="13"/>
                <w:color w:val="auto"/>
              </w:rPr>
            </w:pPr>
          </w:p>
        </w:tc>
        <w:tc>
          <w:tcPr>
            <w:tcW w:w="180" w:type="dxa"/>
            <w:vAlign w:val="bottom"/>
            <w:gridSpan w:val="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10.11</w:t>
            </w:r>
          </w:p>
        </w:tc>
        <w:tc>
          <w:tcPr>
            <w:tcW w:w="5140" w:type="dxa"/>
            <w:vAlign w:val="bottom"/>
            <w:gridSpan w:val="38"/>
          </w:tcPr>
          <w:p>
            <w:pPr>
              <w:spacing w:after="0"/>
              <w:rPr>
                <w:rFonts w:ascii="Arial" w:cs="Arial" w:eastAsia="Arial" w:hAnsi="Arial"/>
                <w:sz w:val="18"/>
                <w:szCs w:val="18"/>
                <w:color w:val="0000FF"/>
                <w:w w:val="99"/>
              </w:rPr>
            </w:pPr>
            <w:hyperlink r:id="rId97">
              <w:r>
                <w:rPr>
                  <w:rFonts w:ascii="Arial" w:cs="Arial" w:eastAsia="Arial" w:hAnsi="Arial"/>
                  <w:sz w:val="18"/>
                  <w:szCs w:val="18"/>
                  <w:color w:val="0000FF"/>
                  <w:w w:val="99"/>
                </w:rPr>
                <w:t>Cavium, Inc. 2007 Equity Incentive Plan (including forms of grant</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97">
              <w:r>
                <w:rPr>
                  <w:rFonts w:ascii="Arial" w:cs="Arial" w:eastAsia="Arial" w:hAnsi="Arial"/>
                  <w:sz w:val="18"/>
                  <w:szCs w:val="18"/>
                  <w:color w:val="0000FF"/>
                  <w:w w:val="88"/>
                </w:rPr>
                <w:t>notice and agreements)</w:t>
              </w:r>
            </w:hyperlink>
          </w:p>
        </w:tc>
        <w:tc>
          <w:tcPr>
            <w:tcW w:w="3080" w:type="dxa"/>
            <w:vAlign w:val="bottom"/>
            <w:tcBorders>
              <w:top w:val="single" w:sz="8" w:color="0000FF"/>
            </w:tcBorders>
            <w:gridSpan w:val="20"/>
          </w:tcPr>
          <w:p>
            <w:pPr>
              <w:spacing w:after="0"/>
              <w:rPr>
                <w:sz w:val="13"/>
                <w:szCs w:val="13"/>
                <w:color w:val="auto"/>
              </w:rPr>
            </w:pPr>
          </w:p>
        </w:tc>
        <w:tc>
          <w:tcPr>
            <w:tcW w:w="180" w:type="dxa"/>
            <w:vAlign w:val="bottom"/>
            <w:gridSpan w:val="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10.12</w:t>
            </w:r>
          </w:p>
        </w:tc>
        <w:tc>
          <w:tcPr>
            <w:tcW w:w="5140" w:type="dxa"/>
            <w:vAlign w:val="bottom"/>
            <w:gridSpan w:val="38"/>
          </w:tcPr>
          <w:p>
            <w:pPr>
              <w:spacing w:after="0"/>
              <w:rPr>
                <w:rFonts w:ascii="Arial" w:cs="Arial" w:eastAsia="Arial" w:hAnsi="Arial"/>
                <w:sz w:val="18"/>
                <w:szCs w:val="18"/>
                <w:color w:val="0000FF"/>
              </w:rPr>
            </w:pPr>
            <w:hyperlink r:id="rId98">
              <w:r>
                <w:rPr>
                  <w:rFonts w:ascii="Arial" w:cs="Arial" w:eastAsia="Arial" w:hAnsi="Arial"/>
                  <w:sz w:val="18"/>
                  <w:szCs w:val="18"/>
                  <w:color w:val="0000FF"/>
                </w:rPr>
                <w:t>QLogic Corporation 2005 Performance Incentive Plan (including</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2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98">
              <w:r>
                <w:rPr>
                  <w:rFonts w:ascii="Arial" w:cs="Arial" w:eastAsia="Arial" w:hAnsi="Arial"/>
                  <w:sz w:val="18"/>
                  <w:szCs w:val="18"/>
                  <w:color w:val="0000FF"/>
                </w:rPr>
                <w:t>forms of grant notice and agreements)</w:t>
              </w:r>
            </w:hyperlink>
          </w:p>
        </w:tc>
        <w:tc>
          <w:tcPr>
            <w:tcW w:w="40" w:type="dxa"/>
            <w:vAlign w:val="bottom"/>
            <w:gridSpan w:val="2"/>
          </w:tcPr>
          <w:p>
            <w:pPr>
              <w:spacing w:after="0"/>
              <w:rPr>
                <w:sz w:val="13"/>
                <w:szCs w:val="13"/>
                <w:color w:val="auto"/>
              </w:rPr>
            </w:pPr>
          </w:p>
        </w:tc>
        <w:tc>
          <w:tcPr>
            <w:tcW w:w="220" w:type="dxa"/>
            <w:vAlign w:val="bottom"/>
            <w:gridSpan w:val="7"/>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tcBorders>
              <w:right w:val="single" w:sz="8" w:color="0000FF"/>
            </w:tcBorders>
            <w:gridSpan w:val="4"/>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20" w:type="dxa"/>
            <w:vAlign w:val="bottom"/>
            <w:gridSpan w:val="7"/>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10.13</w:t>
            </w:r>
          </w:p>
        </w:tc>
        <w:tc>
          <w:tcPr>
            <w:tcW w:w="5140" w:type="dxa"/>
            <w:vAlign w:val="bottom"/>
            <w:gridSpan w:val="38"/>
          </w:tcPr>
          <w:p>
            <w:pPr>
              <w:spacing w:after="0"/>
              <w:rPr>
                <w:rFonts w:ascii="Arial" w:cs="Arial" w:eastAsia="Arial" w:hAnsi="Arial"/>
                <w:sz w:val="18"/>
                <w:szCs w:val="18"/>
                <w:color w:val="0000FF"/>
                <w:w w:val="95"/>
              </w:rPr>
            </w:pPr>
            <w:hyperlink r:id="rId99">
              <w:r>
                <w:rPr>
                  <w:rFonts w:ascii="Arial" w:cs="Arial" w:eastAsia="Arial" w:hAnsi="Arial"/>
                  <w:sz w:val="18"/>
                  <w:szCs w:val="18"/>
                  <w:color w:val="0000FF"/>
                  <w:w w:val="95"/>
                </w:rPr>
                <w:t>Aquantia Corp. 2017 Equity Incentive Plan (including forms of grant</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99">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10.14</w:t>
            </w:r>
          </w:p>
        </w:tc>
        <w:tc>
          <w:tcPr>
            <w:tcW w:w="5140" w:type="dxa"/>
            <w:vAlign w:val="bottom"/>
            <w:gridSpan w:val="38"/>
          </w:tcPr>
          <w:p>
            <w:pPr>
              <w:spacing w:after="0"/>
              <w:rPr>
                <w:rFonts w:ascii="Arial" w:cs="Arial" w:eastAsia="Arial" w:hAnsi="Arial"/>
                <w:sz w:val="18"/>
                <w:szCs w:val="18"/>
                <w:color w:val="0000FF"/>
                <w:w w:val="95"/>
              </w:rPr>
            </w:pPr>
            <w:hyperlink r:id="rId100">
              <w:r>
                <w:rPr>
                  <w:rFonts w:ascii="Arial" w:cs="Arial" w:eastAsia="Arial" w:hAnsi="Arial"/>
                  <w:sz w:val="18"/>
                  <w:szCs w:val="18"/>
                  <w:color w:val="0000FF"/>
                  <w:w w:val="95"/>
                </w:rPr>
                <w:t>Aquantia Corp. 2015 Equity Incentive Plan (including forms of grant</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00">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10.15</w:t>
            </w:r>
          </w:p>
        </w:tc>
        <w:tc>
          <w:tcPr>
            <w:tcW w:w="5140" w:type="dxa"/>
            <w:vAlign w:val="bottom"/>
            <w:gridSpan w:val="38"/>
          </w:tcPr>
          <w:p>
            <w:pPr>
              <w:spacing w:after="0"/>
              <w:rPr>
                <w:rFonts w:ascii="Arial" w:cs="Arial" w:eastAsia="Arial" w:hAnsi="Arial"/>
                <w:sz w:val="18"/>
                <w:szCs w:val="18"/>
                <w:color w:val="0000FF"/>
                <w:w w:val="95"/>
              </w:rPr>
            </w:pPr>
            <w:hyperlink r:id="rId101">
              <w:r>
                <w:rPr>
                  <w:rFonts w:ascii="Arial" w:cs="Arial" w:eastAsia="Arial" w:hAnsi="Arial"/>
                  <w:sz w:val="18"/>
                  <w:szCs w:val="18"/>
                  <w:color w:val="0000FF"/>
                  <w:w w:val="95"/>
                </w:rPr>
                <w:t>Aquantia Corp. 2004 Equity Incentive Plan (including forms of grant</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88"/>
              </w:rPr>
            </w:pPr>
            <w:hyperlink r:id="rId101">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10.16#</w:t>
            </w:r>
          </w:p>
        </w:tc>
        <w:tc>
          <w:tcPr>
            <w:tcW w:w="5140" w:type="dxa"/>
            <w:vAlign w:val="bottom"/>
            <w:gridSpan w:val="38"/>
          </w:tcPr>
          <w:p>
            <w:pPr>
              <w:spacing w:after="0"/>
              <w:rPr>
                <w:rFonts w:ascii="Arial" w:cs="Arial" w:eastAsia="Arial" w:hAnsi="Arial"/>
                <w:sz w:val="18"/>
                <w:szCs w:val="18"/>
                <w:color w:val="0000FF"/>
                <w:w w:val="93"/>
              </w:rPr>
            </w:pPr>
            <w:hyperlink r:id="rId102">
              <w:r>
                <w:rPr>
                  <w:rFonts w:ascii="Arial" w:cs="Arial" w:eastAsia="Arial" w:hAnsi="Arial"/>
                  <w:sz w:val="18"/>
                  <w:szCs w:val="18"/>
                  <w:color w:val="0000FF"/>
                  <w:w w:val="93"/>
                </w:rPr>
                <w:t>Inphi Corporation Amended and Restated 2010 Stock Incentive Plan,</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20" w:type="dxa"/>
            <w:vAlign w:val="bottom"/>
            <w:tcBorders>
              <w:top w:val="single" w:sz="8" w:color="0000FF"/>
            </w:tcBorders>
            <w:gridSpan w:val="32"/>
          </w:tcPr>
          <w:p>
            <w:pPr>
              <w:spacing w:after="0" w:line="156" w:lineRule="exact"/>
              <w:rPr>
                <w:rFonts w:ascii="Arial" w:cs="Arial" w:eastAsia="Arial" w:hAnsi="Arial"/>
                <w:sz w:val="18"/>
                <w:szCs w:val="18"/>
                <w:color w:val="0000FF"/>
              </w:rPr>
            </w:pPr>
            <w:hyperlink r:id="rId102">
              <w:r>
                <w:rPr>
                  <w:rFonts w:ascii="Arial" w:cs="Arial" w:eastAsia="Arial" w:hAnsi="Arial"/>
                  <w:sz w:val="18"/>
                  <w:szCs w:val="18"/>
                  <w:color w:val="0000FF"/>
                </w:rPr>
                <w:t>as amended and restated on April 14, 2020</w:t>
              </w:r>
            </w:hyperlink>
          </w:p>
        </w:tc>
        <w:tc>
          <w:tcPr>
            <w:tcW w:w="120" w:type="dxa"/>
            <w:vAlign w:val="bottom"/>
            <w:gridSpan w:val="6"/>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13"/>
          </w:tcPr>
          <w:p>
            <w:pPr>
              <w:spacing w:after="0"/>
              <w:rPr>
                <w:rFonts w:ascii="Arial" w:cs="Arial" w:eastAsia="Arial" w:hAnsi="Arial"/>
                <w:sz w:val="18"/>
                <w:szCs w:val="18"/>
                <w:color w:val="0000FF"/>
              </w:rPr>
            </w:pPr>
            <w:hyperlink w:anchor="page70">
              <w:r>
                <w:rPr>
                  <w:rFonts w:ascii="Arial" w:cs="Arial" w:eastAsia="Arial" w:hAnsi="Arial"/>
                  <w:sz w:val="18"/>
                  <w:szCs w:val="18"/>
                  <w:color w:val="0000FF"/>
                </w:rPr>
                <w:t>Offer letter with Loi Nguyen</w:t>
              </w:r>
            </w:hyperlink>
          </w:p>
        </w:tc>
        <w:tc>
          <w:tcPr>
            <w:tcW w:w="2060" w:type="dxa"/>
            <w:vAlign w:val="bottom"/>
            <w:gridSpan w:val="25"/>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tcBorders>
              <w:right w:val="single" w:sz="8" w:color="0000FF"/>
            </w:tcBorders>
            <w:gridSpan w:val="4"/>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4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380" w:type="dxa"/>
            <w:vAlign w:val="bottom"/>
            <w:gridSpan w:val="15"/>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11"/>
          </w:tcPr>
          <w:p>
            <w:pPr>
              <w:spacing w:after="0"/>
              <w:rPr>
                <w:rFonts w:ascii="Arial" w:cs="Arial" w:eastAsia="Arial" w:hAnsi="Arial"/>
                <w:sz w:val="18"/>
                <w:szCs w:val="18"/>
                <w:color w:val="0000FF"/>
                <w:w w:val="93"/>
              </w:rPr>
            </w:pPr>
            <w:hyperlink w:anchor="page75">
              <w:r>
                <w:rPr>
                  <w:rFonts w:ascii="Arial" w:cs="Arial" w:eastAsia="Arial" w:hAnsi="Arial"/>
                  <w:sz w:val="18"/>
                  <w:szCs w:val="18"/>
                  <w:color w:val="0000FF"/>
                  <w:w w:val="93"/>
                </w:rPr>
                <w:t>Offer letter with Nariman Yousefi</w:t>
              </w:r>
            </w:hyperlink>
          </w:p>
        </w:tc>
        <w:tc>
          <w:tcPr>
            <w:tcW w:w="2680" w:type="dxa"/>
            <w:vAlign w:val="bottom"/>
            <w:gridSpan w:val="27"/>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10"/>
          </w:tcPr>
          <w:p>
            <w:pPr>
              <w:spacing w:after="0"/>
              <w:rPr>
                <w:rFonts w:ascii="Arial" w:cs="Arial" w:eastAsia="Arial" w:hAnsi="Arial"/>
                <w:sz w:val="18"/>
                <w:szCs w:val="18"/>
                <w:color w:val="0000FF"/>
                <w:w w:val="93"/>
              </w:rPr>
            </w:pPr>
            <w:hyperlink r:id="rId103">
              <w:r>
                <w:rPr>
                  <w:rFonts w:ascii="Arial" w:cs="Arial" w:eastAsia="Arial" w:hAnsi="Arial"/>
                  <w:sz w:val="18"/>
                  <w:szCs w:val="18"/>
                  <w:color w:val="0000FF"/>
                  <w:w w:val="93"/>
                </w:rPr>
                <w:t>Offer letter with Chris Koopmans</w:t>
              </w:r>
            </w:hyperlink>
          </w:p>
        </w:tc>
        <w:tc>
          <w:tcPr>
            <w:tcW w:w="2700" w:type="dxa"/>
            <w:vAlign w:val="bottom"/>
            <w:gridSpan w:val="28"/>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120" w:type="dxa"/>
            <w:vAlign w:val="bottom"/>
          </w:tcPr>
          <w:p>
            <w:pPr>
              <w:ind w:left="120"/>
              <w:spacing w:after="0"/>
              <w:rPr>
                <w:sz w:val="20"/>
                <w:szCs w:val="20"/>
                <w:color w:val="auto"/>
              </w:rPr>
            </w:pPr>
            <w:r>
              <w:rPr>
                <w:rFonts w:ascii="Arial" w:cs="Arial" w:eastAsia="Arial" w:hAnsi="Arial"/>
                <w:sz w:val="18"/>
                <w:szCs w:val="18"/>
                <w:color w:val="auto"/>
              </w:rPr>
              <w:t>10.20#</w:t>
            </w:r>
          </w:p>
        </w:tc>
        <w:tc>
          <w:tcPr>
            <w:tcW w:w="4200" w:type="dxa"/>
            <w:vAlign w:val="bottom"/>
            <w:tcBorders>
              <w:bottom w:val="single" w:sz="8" w:color="0000FF"/>
            </w:tcBorders>
            <w:gridSpan w:val="14"/>
          </w:tcPr>
          <w:p>
            <w:pPr>
              <w:spacing w:after="0"/>
              <w:rPr>
                <w:rFonts w:ascii="Arial" w:cs="Arial" w:eastAsia="Arial" w:hAnsi="Arial"/>
                <w:sz w:val="18"/>
                <w:szCs w:val="18"/>
                <w:color w:val="0000FF"/>
                <w:w w:val="90"/>
              </w:rPr>
            </w:pPr>
            <w:hyperlink w:anchor="page87">
              <w:r>
                <w:rPr>
                  <w:rFonts w:ascii="Arial" w:cs="Arial" w:eastAsia="Arial" w:hAnsi="Arial"/>
                  <w:sz w:val="18"/>
                  <w:szCs w:val="18"/>
                  <w:color w:val="0000FF"/>
                  <w:w w:val="90"/>
                </w:rPr>
                <w:t>Fiscal Year 2022 Named Executive Officer Compensation</w:t>
              </w:r>
            </w:hyperlink>
          </w:p>
        </w:tc>
        <w:tc>
          <w:tcPr>
            <w:tcW w:w="940" w:type="dxa"/>
            <w:vAlign w:val="bottom"/>
            <w:gridSpan w:val="24"/>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31.1</w:t>
            </w:r>
          </w:p>
        </w:tc>
        <w:tc>
          <w:tcPr>
            <w:tcW w:w="5140" w:type="dxa"/>
            <w:vAlign w:val="bottom"/>
            <w:gridSpan w:val="38"/>
          </w:tcPr>
          <w:p>
            <w:pPr>
              <w:spacing w:after="0"/>
              <w:rPr>
                <w:rFonts w:ascii="Arial" w:cs="Arial" w:eastAsia="Arial" w:hAnsi="Arial"/>
                <w:sz w:val="18"/>
                <w:szCs w:val="18"/>
                <w:color w:val="0000FF"/>
              </w:rPr>
            </w:pPr>
            <w:hyperlink w:anchor="page89">
              <w:r>
                <w:rPr>
                  <w:rFonts w:ascii="Arial" w:cs="Arial" w:eastAsia="Arial" w:hAnsi="Arial"/>
                  <w:sz w:val="18"/>
                  <w:szCs w:val="18"/>
                  <w:color w:val="0000FF"/>
                </w:rPr>
                <w:t>Rule 13a-14(a)/15d-14(a) Certification of the Principal Executive</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60" w:type="dxa"/>
            <w:vAlign w:val="bottom"/>
            <w:tcBorders>
              <w:top w:val="single" w:sz="8" w:color="0000FF"/>
            </w:tcBorders>
            <w:gridSpan w:val="23"/>
          </w:tcPr>
          <w:p>
            <w:pPr>
              <w:spacing w:after="0" w:line="156" w:lineRule="exact"/>
              <w:rPr>
                <w:rFonts w:ascii="Arial" w:cs="Arial" w:eastAsia="Arial" w:hAnsi="Arial"/>
                <w:sz w:val="18"/>
                <w:szCs w:val="18"/>
                <w:color w:val="0000FF"/>
              </w:rPr>
            </w:pPr>
            <w:hyperlink w:anchor="page89">
              <w:r>
                <w:rPr>
                  <w:rFonts w:ascii="Arial" w:cs="Arial" w:eastAsia="Arial" w:hAnsi="Arial"/>
                  <w:sz w:val="18"/>
                  <w:szCs w:val="18"/>
                  <w:color w:val="0000FF"/>
                </w:rPr>
                <w:t>Officer</w:t>
              </w:r>
            </w:hyperlink>
          </w:p>
        </w:tc>
        <w:tc>
          <w:tcPr>
            <w:tcW w:w="380" w:type="dxa"/>
            <w:vAlign w:val="bottom"/>
            <w:gridSpan w:val="15"/>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2440" w:type="dxa"/>
            <w:vAlign w:val="bottom"/>
            <w:gridSpan w:val="9"/>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60" w:type="dxa"/>
            <w:vAlign w:val="bottom"/>
            <w:gridSpan w:val="19"/>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31.2</w:t>
            </w:r>
          </w:p>
        </w:tc>
        <w:tc>
          <w:tcPr>
            <w:tcW w:w="5140" w:type="dxa"/>
            <w:vAlign w:val="bottom"/>
            <w:gridSpan w:val="38"/>
          </w:tcPr>
          <w:p>
            <w:pPr>
              <w:spacing w:after="0"/>
              <w:rPr>
                <w:rFonts w:ascii="Arial" w:cs="Arial" w:eastAsia="Arial" w:hAnsi="Arial"/>
                <w:sz w:val="18"/>
                <w:szCs w:val="18"/>
                <w:color w:val="0000FF"/>
              </w:rPr>
            </w:pPr>
            <w:hyperlink w:anchor="page90">
              <w:r>
                <w:rPr>
                  <w:rFonts w:ascii="Arial" w:cs="Arial" w:eastAsia="Arial" w:hAnsi="Arial"/>
                  <w:sz w:val="18"/>
                  <w:szCs w:val="18"/>
                  <w:color w:val="0000FF"/>
                </w:rPr>
                <w:t>Rule 13a-14(a)/15d-14(a) Certification of the Principal Financial</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68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w:anchor="page90">
              <w:r>
                <w:rPr>
                  <w:rFonts w:ascii="Arial" w:cs="Arial" w:eastAsia="Arial" w:hAnsi="Arial"/>
                  <w:sz w:val="18"/>
                  <w:szCs w:val="18"/>
                  <w:color w:val="0000FF"/>
                </w:rPr>
                <w:t>Officer</w:t>
              </w:r>
            </w:hyperlink>
          </w:p>
        </w:tc>
        <w:tc>
          <w:tcPr>
            <w:tcW w:w="460" w:type="dxa"/>
            <w:vAlign w:val="bottom"/>
            <w:gridSpan w:val="19"/>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2440" w:type="dxa"/>
            <w:vAlign w:val="bottom"/>
            <w:gridSpan w:val="9"/>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gridSpan w:val="2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32.1*</w:t>
            </w:r>
          </w:p>
        </w:tc>
        <w:tc>
          <w:tcPr>
            <w:tcW w:w="5140" w:type="dxa"/>
            <w:vAlign w:val="bottom"/>
            <w:gridSpan w:val="38"/>
          </w:tcPr>
          <w:p>
            <w:pPr>
              <w:spacing w:after="0"/>
              <w:rPr>
                <w:rFonts w:ascii="Arial" w:cs="Arial" w:eastAsia="Arial" w:hAnsi="Arial"/>
                <w:sz w:val="18"/>
                <w:szCs w:val="18"/>
                <w:color w:val="0000FF"/>
              </w:rPr>
            </w:pPr>
            <w:hyperlink w:anchor="page91">
              <w:r>
                <w:rPr>
                  <w:rFonts w:ascii="Arial" w:cs="Arial" w:eastAsia="Arial" w:hAnsi="Arial"/>
                  <w:sz w:val="18"/>
                  <w:szCs w:val="18"/>
                  <w:color w:val="0000FF"/>
                </w:rPr>
                <w:t>Certification Pursuant to 18 U.S.C. Section 1350, as Adopted</w:t>
              </w:r>
            </w:hyperlink>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6"/>
            <w:shd w:val="clear" w:color="auto" w:fill="0000FF"/>
          </w:tcPr>
          <w:p>
            <w:pPr>
              <w:spacing w:after="0" w:line="20" w:lineRule="exact"/>
              <w:rPr>
                <w:sz w:val="1"/>
                <w:szCs w:val="1"/>
                <w:color w:val="auto"/>
              </w:rPr>
            </w:pPr>
          </w:p>
        </w:tc>
        <w:tc>
          <w:tcPr>
            <w:tcW w:w="2440" w:type="dxa"/>
            <w:vAlign w:val="bottom"/>
            <w:gridSpan w:val="9"/>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gridSpan w:val="2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38"/>
          </w:tcPr>
          <w:p>
            <w:pPr>
              <w:spacing w:after="0" w:line="156" w:lineRule="exact"/>
              <w:rPr>
                <w:rFonts w:ascii="Arial" w:cs="Arial" w:eastAsia="Arial" w:hAnsi="Arial"/>
                <w:sz w:val="18"/>
                <w:szCs w:val="18"/>
                <w:color w:val="0000FF"/>
              </w:rPr>
            </w:pPr>
            <w:hyperlink w:anchor="page91">
              <w:r>
                <w:rPr>
                  <w:rFonts w:ascii="Arial" w:cs="Arial" w:eastAsia="Arial" w:hAnsi="Arial"/>
                  <w:sz w:val="18"/>
                  <w:szCs w:val="18"/>
                  <w:color w:val="0000FF"/>
                </w:rPr>
                <w:t>Pursuant to Section 906 of the Sarbanes-Oxley Act of 2002 for</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540" w:type="dxa"/>
            <w:vAlign w:val="bottom"/>
            <w:tcBorders>
              <w:top w:val="single" w:sz="8" w:color="0000FF"/>
            </w:tcBorders>
            <w:gridSpan w:val="16"/>
          </w:tcPr>
          <w:p>
            <w:pPr>
              <w:spacing w:after="0" w:line="156" w:lineRule="exact"/>
              <w:rPr>
                <w:rFonts w:ascii="Arial" w:cs="Arial" w:eastAsia="Arial" w:hAnsi="Arial"/>
                <w:sz w:val="18"/>
                <w:szCs w:val="18"/>
                <w:color w:val="0000FF"/>
              </w:rPr>
            </w:pPr>
            <w:hyperlink w:anchor="page91">
              <w:r>
                <w:rPr>
                  <w:rFonts w:ascii="Arial" w:cs="Arial" w:eastAsia="Arial" w:hAnsi="Arial"/>
                  <w:sz w:val="18"/>
                  <w:szCs w:val="18"/>
                  <w:color w:val="0000FF"/>
                </w:rPr>
                <w:t>Principal Executive Officer</w:t>
              </w:r>
            </w:hyperlink>
          </w:p>
        </w:tc>
        <w:tc>
          <w:tcPr>
            <w:tcW w:w="600" w:type="dxa"/>
            <w:vAlign w:val="bottom"/>
            <w:gridSpan w:val="2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6"/>
            <w:shd w:val="clear" w:color="auto" w:fill="0000FF"/>
          </w:tcPr>
          <w:p>
            <w:pPr>
              <w:spacing w:after="0" w:line="20" w:lineRule="exact"/>
              <w:rPr>
                <w:sz w:val="1"/>
                <w:szCs w:val="1"/>
                <w:color w:val="auto"/>
              </w:rPr>
            </w:pPr>
          </w:p>
        </w:tc>
        <w:tc>
          <w:tcPr>
            <w:tcW w:w="3160" w:type="dxa"/>
            <w:vAlign w:val="bottom"/>
            <w:gridSpan w:val="3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120" w:type="dxa"/>
            <w:vAlign w:val="bottom"/>
          </w:tcPr>
          <w:p>
            <w:pPr>
              <w:ind w:left="120"/>
              <w:spacing w:after="0"/>
              <w:rPr>
                <w:sz w:val="20"/>
                <w:szCs w:val="20"/>
                <w:color w:val="auto"/>
              </w:rPr>
            </w:pPr>
            <w:r>
              <w:rPr>
                <w:rFonts w:ascii="Arial" w:cs="Arial" w:eastAsia="Arial" w:hAnsi="Arial"/>
                <w:sz w:val="18"/>
                <w:szCs w:val="18"/>
                <w:color w:val="auto"/>
              </w:rPr>
              <w:t>32.2*</w:t>
            </w:r>
          </w:p>
        </w:tc>
        <w:tc>
          <w:tcPr>
            <w:tcW w:w="5140" w:type="dxa"/>
            <w:vAlign w:val="bottom"/>
            <w:gridSpan w:val="38"/>
          </w:tcPr>
          <w:p>
            <w:pPr>
              <w:spacing w:after="0"/>
              <w:rPr>
                <w:rFonts w:ascii="Arial" w:cs="Arial" w:eastAsia="Arial" w:hAnsi="Arial"/>
                <w:sz w:val="18"/>
                <w:szCs w:val="18"/>
                <w:color w:val="0000FF"/>
              </w:rPr>
            </w:pPr>
            <w:hyperlink w:anchor="page92">
              <w:r>
                <w:rPr>
                  <w:rFonts w:ascii="Arial" w:cs="Arial" w:eastAsia="Arial" w:hAnsi="Arial"/>
                  <w:sz w:val="18"/>
                  <w:szCs w:val="18"/>
                  <w:color w:val="0000FF"/>
                </w:rPr>
                <w:t>Certification Pursuant to 18 U.S.C. Section 1350, as Adopted</w:t>
              </w:r>
            </w:hyperlink>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6"/>
            <w:shd w:val="clear" w:color="auto" w:fill="0000FF"/>
          </w:tcPr>
          <w:p>
            <w:pPr>
              <w:spacing w:after="0" w:line="20" w:lineRule="exact"/>
              <w:rPr>
                <w:sz w:val="1"/>
                <w:szCs w:val="1"/>
                <w:color w:val="auto"/>
              </w:rPr>
            </w:pPr>
          </w:p>
        </w:tc>
        <w:tc>
          <w:tcPr>
            <w:tcW w:w="2440" w:type="dxa"/>
            <w:vAlign w:val="bottom"/>
            <w:gridSpan w:val="9"/>
            <w:shd w:val="clear" w:color="auto" w:fill="0000FF"/>
          </w:tcPr>
          <w:p>
            <w:pPr>
              <w:spacing w:after="0" w:line="20" w:lineRule="exact"/>
              <w:rPr>
                <w:sz w:val="1"/>
                <w:szCs w:val="1"/>
                <w:color w:val="auto"/>
              </w:rPr>
            </w:pPr>
          </w:p>
        </w:tc>
        <w:tc>
          <w:tcPr>
            <w:tcW w:w="720" w:type="dxa"/>
            <w:vAlign w:val="bottom"/>
            <w:gridSpan w:val="2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38"/>
          </w:tcPr>
          <w:p>
            <w:pPr>
              <w:spacing w:after="0" w:line="156" w:lineRule="exact"/>
              <w:rPr>
                <w:rFonts w:ascii="Arial" w:cs="Arial" w:eastAsia="Arial" w:hAnsi="Arial"/>
                <w:sz w:val="18"/>
                <w:szCs w:val="18"/>
                <w:color w:val="0000FF"/>
              </w:rPr>
            </w:pPr>
            <w:hyperlink w:anchor="page92">
              <w:r>
                <w:rPr>
                  <w:rFonts w:ascii="Arial" w:cs="Arial" w:eastAsia="Arial" w:hAnsi="Arial"/>
                  <w:sz w:val="18"/>
                  <w:szCs w:val="18"/>
                  <w:color w:val="0000FF"/>
                </w:rPr>
                <w:t>Pursuant to Section 906 of the Sarbanes-Oxley Act of 2002 for</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98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5"/>
              </w:rPr>
            </w:pPr>
            <w:hyperlink w:anchor="page92">
              <w:r>
                <w:rPr>
                  <w:rFonts w:ascii="Arial" w:cs="Arial" w:eastAsia="Arial" w:hAnsi="Arial"/>
                  <w:sz w:val="18"/>
                  <w:szCs w:val="18"/>
                  <w:color w:val="0000FF"/>
                  <w:w w:val="95"/>
                </w:rPr>
                <w:t>Principal Financial Officer</w:t>
              </w:r>
            </w:hyperlink>
          </w:p>
        </w:tc>
        <w:tc>
          <w:tcPr>
            <w:tcW w:w="2560" w:type="dxa"/>
            <w:vAlign w:val="bottom"/>
            <w:tcBorders>
              <w:top w:val="single" w:sz="8" w:color="0000FF"/>
            </w:tcBorders>
            <w:gridSpan w:val="10"/>
          </w:tcPr>
          <w:p>
            <w:pPr>
              <w:spacing w:after="0"/>
              <w:rPr>
                <w:sz w:val="13"/>
                <w:szCs w:val="13"/>
                <w:color w:val="auto"/>
              </w:rPr>
            </w:pPr>
          </w:p>
        </w:tc>
        <w:tc>
          <w:tcPr>
            <w:tcW w:w="600" w:type="dxa"/>
            <w:vAlign w:val="bottom"/>
            <w:gridSpan w:val="22"/>
          </w:tcPr>
          <w:p>
            <w:pPr>
              <w:spacing w:after="0"/>
              <w:rPr>
                <w:sz w:val="13"/>
                <w:szCs w:val="13"/>
                <w:color w:val="auto"/>
              </w:rPr>
            </w:pPr>
          </w:p>
        </w:tc>
        <w:tc>
          <w:tcPr>
            <w:tcW w:w="0" w:type="dxa"/>
            <w:vAlign w:val="bottom"/>
          </w:tcPr>
          <w:p>
            <w:pPr>
              <w:spacing w:after="0"/>
              <w:rPr>
                <w:sz w:val="1"/>
                <w:szCs w:val="1"/>
                <w:color w:val="auto"/>
              </w:rPr>
            </w:pPr>
          </w:p>
        </w:tc>
      </w:tr>
      <w:tr>
        <w:trPr>
          <w:trHeight w:val="250"/>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5140" w:type="dxa"/>
            <w:vAlign w:val="bottom"/>
            <w:gridSpan w:val="38"/>
          </w:tcPr>
          <w:p>
            <w:pPr>
              <w:spacing w:after="0"/>
              <w:rPr>
                <w:sz w:val="20"/>
                <w:szCs w:val="20"/>
                <w:color w:val="auto"/>
              </w:rPr>
            </w:pPr>
            <w:r>
              <w:rPr>
                <w:rFonts w:ascii="Arial" w:cs="Arial" w:eastAsia="Arial" w:hAnsi="Arial"/>
                <w:sz w:val="18"/>
                <w:szCs w:val="18"/>
                <w:color w:val="auto"/>
              </w:rPr>
              <w:t>Inline XBRL Instance Document</w:t>
            </w:r>
          </w:p>
        </w:tc>
        <w:tc>
          <w:tcPr>
            <w:tcW w:w="0" w:type="dxa"/>
            <w:vAlign w:val="bottom"/>
          </w:tcPr>
          <w:p>
            <w:pPr>
              <w:spacing w:after="0"/>
              <w:rPr>
                <w:sz w:val="1"/>
                <w:szCs w:val="1"/>
                <w:color w:val="auto"/>
              </w:rPr>
            </w:pPr>
          </w:p>
        </w:tc>
      </w:tr>
      <w:tr>
        <w:trPr>
          <w:trHeight w:val="877"/>
        </w:trPr>
        <w:tc>
          <w:tcPr>
            <w:tcW w:w="1120" w:type="dxa"/>
            <w:vAlign w:val="bottom"/>
          </w:tcPr>
          <w:p>
            <w:pPr>
              <w:spacing w:after="0"/>
              <w:rPr>
                <w:sz w:val="24"/>
                <w:szCs w:val="24"/>
                <w:color w:val="auto"/>
              </w:rPr>
            </w:pPr>
          </w:p>
        </w:tc>
        <w:tc>
          <w:tcPr>
            <w:tcW w:w="4640" w:type="dxa"/>
            <w:vAlign w:val="bottom"/>
            <w:gridSpan w:val="17"/>
          </w:tcPr>
          <w:p>
            <w:pPr>
              <w:ind w:left="4400"/>
              <w:spacing w:after="0"/>
              <w:rPr>
                <w:sz w:val="20"/>
                <w:szCs w:val="20"/>
                <w:color w:val="auto"/>
              </w:rPr>
            </w:pPr>
            <w:r>
              <w:rPr>
                <w:rFonts w:ascii="Arial" w:cs="Arial" w:eastAsia="Arial" w:hAnsi="Arial"/>
                <w:sz w:val="18"/>
                <w:szCs w:val="18"/>
                <w:color w:val="auto"/>
              </w:rPr>
              <w:t>66</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10.3</w:t>
            </w:r>
          </w:p>
        </w:tc>
        <w:tc>
          <w:tcPr>
            <w:tcW w:w="1620" w:type="dxa"/>
            <w:vAlign w:val="bottom"/>
          </w:tcPr>
          <w:p>
            <w:pPr>
              <w:ind w:left="560"/>
              <w:spacing w:after="0"/>
              <w:rPr>
                <w:sz w:val="20"/>
                <w:szCs w:val="20"/>
                <w:color w:val="auto"/>
              </w:rPr>
            </w:pPr>
            <w:r>
              <w:rPr>
                <w:rFonts w:ascii="Arial" w:cs="Arial" w:eastAsia="Arial" w:hAnsi="Arial"/>
                <w:sz w:val="18"/>
                <w:szCs w:val="18"/>
                <w:color w:val="auto"/>
              </w:rPr>
              <w:t>12/8/2020</w:t>
            </w:r>
          </w:p>
        </w:tc>
      </w:tr>
      <w:tr>
        <w:trPr>
          <w:trHeight w:val="931"/>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10.1</w:t>
            </w:r>
          </w:p>
        </w:tc>
        <w:tc>
          <w:tcPr>
            <w:tcW w:w="1620" w:type="dxa"/>
            <w:vAlign w:val="bottom"/>
          </w:tcPr>
          <w:p>
            <w:pPr>
              <w:ind w:left="560"/>
              <w:spacing w:after="0"/>
              <w:rPr>
                <w:sz w:val="20"/>
                <w:szCs w:val="20"/>
                <w:color w:val="auto"/>
              </w:rPr>
            </w:pPr>
            <w:r>
              <w:rPr>
                <w:rFonts w:ascii="Arial" w:cs="Arial" w:eastAsia="Arial" w:hAnsi="Arial"/>
                <w:sz w:val="18"/>
                <w:szCs w:val="18"/>
                <w:color w:val="auto"/>
              </w:rPr>
              <w:t>4/21/2021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10.1</w:t>
            </w:r>
          </w:p>
        </w:tc>
        <w:tc>
          <w:tcPr>
            <w:tcW w:w="1620" w:type="dxa"/>
            <w:vAlign w:val="bottom"/>
          </w:tcPr>
          <w:p>
            <w:pPr>
              <w:ind w:left="560"/>
              <w:spacing w:after="0"/>
              <w:rPr>
                <w:sz w:val="20"/>
                <w:szCs w:val="20"/>
                <w:color w:val="auto"/>
              </w:rPr>
            </w:pPr>
            <w:r>
              <w:rPr>
                <w:rFonts w:ascii="Arial" w:cs="Arial" w:eastAsia="Arial" w:hAnsi="Arial"/>
                <w:sz w:val="18"/>
                <w:szCs w:val="18"/>
                <w:color w:val="auto"/>
              </w:rPr>
              <w:t>4/12/2021</w:t>
            </w:r>
          </w:p>
        </w:tc>
      </w:tr>
      <w:tr>
        <w:trPr>
          <w:trHeight w:val="932"/>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4.1</w:t>
            </w:r>
          </w:p>
        </w:tc>
        <w:tc>
          <w:tcPr>
            <w:tcW w:w="1620" w:type="dxa"/>
            <w:vAlign w:val="bottom"/>
          </w:tcPr>
          <w:p>
            <w:pPr>
              <w:ind w:left="560"/>
              <w:spacing w:after="0"/>
              <w:rPr>
                <w:sz w:val="20"/>
                <w:szCs w:val="20"/>
                <w:color w:val="auto"/>
              </w:rPr>
            </w:pPr>
            <w:r>
              <w:rPr>
                <w:rFonts w:ascii="Arial" w:cs="Arial" w:eastAsia="Arial" w:hAnsi="Arial"/>
                <w:sz w:val="18"/>
                <w:szCs w:val="18"/>
                <w:color w:val="auto"/>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4.2</w:t>
            </w:r>
          </w:p>
        </w:tc>
        <w:tc>
          <w:tcPr>
            <w:tcW w:w="1620" w:type="dxa"/>
            <w:vAlign w:val="bottom"/>
          </w:tcPr>
          <w:p>
            <w:pPr>
              <w:ind w:left="560"/>
              <w:spacing w:after="0"/>
              <w:rPr>
                <w:sz w:val="20"/>
                <w:szCs w:val="20"/>
                <w:color w:val="auto"/>
              </w:rPr>
            </w:pPr>
            <w:r>
              <w:rPr>
                <w:rFonts w:ascii="Arial" w:cs="Arial" w:eastAsia="Arial" w:hAnsi="Arial"/>
                <w:sz w:val="18"/>
                <w:szCs w:val="18"/>
                <w:color w:val="auto"/>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4.3</w:t>
            </w:r>
          </w:p>
        </w:tc>
        <w:tc>
          <w:tcPr>
            <w:tcW w:w="1620" w:type="dxa"/>
            <w:vAlign w:val="bottom"/>
          </w:tcPr>
          <w:p>
            <w:pPr>
              <w:ind w:left="560"/>
              <w:spacing w:after="0"/>
              <w:rPr>
                <w:sz w:val="20"/>
                <w:szCs w:val="20"/>
                <w:color w:val="auto"/>
              </w:rPr>
            </w:pPr>
            <w:r>
              <w:rPr>
                <w:rFonts w:ascii="Arial" w:cs="Arial" w:eastAsia="Arial" w:hAnsi="Arial"/>
                <w:sz w:val="18"/>
                <w:szCs w:val="18"/>
                <w:color w:val="auto"/>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10.1</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10.2</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10.3</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10.6</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10.5</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10.4</w:t>
            </w:r>
          </w:p>
        </w:tc>
        <w:tc>
          <w:tcPr>
            <w:tcW w:w="1620" w:type="dxa"/>
            <w:vAlign w:val="bottom"/>
          </w:tcPr>
          <w:p>
            <w:pPr>
              <w:ind w:left="560"/>
              <w:spacing w:after="0"/>
              <w:rPr>
                <w:sz w:val="20"/>
                <w:szCs w:val="20"/>
                <w:color w:val="auto"/>
              </w:rPr>
            </w:pPr>
            <w:r>
              <w:rPr>
                <w:rFonts w:ascii="Arial" w:cs="Arial" w:eastAsia="Arial" w:hAnsi="Arial"/>
                <w:sz w:val="18"/>
                <w:szCs w:val="18"/>
                <w:color w:val="auto"/>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080" w:type="dxa"/>
            <w:vAlign w:val="bottom"/>
          </w:tcPr>
          <w:p>
            <w:pPr>
              <w:ind w:left="200"/>
              <w:spacing w:after="0"/>
              <w:rPr>
                <w:sz w:val="20"/>
                <w:szCs w:val="20"/>
                <w:color w:val="auto"/>
              </w:rPr>
            </w:pPr>
            <w:r>
              <w:rPr>
                <w:rFonts w:ascii="Arial" w:cs="Arial" w:eastAsia="Arial" w:hAnsi="Arial"/>
                <w:sz w:val="18"/>
                <w:szCs w:val="18"/>
                <w:color w:val="auto"/>
              </w:rPr>
              <w:t>4.10</w:t>
            </w:r>
          </w:p>
        </w:tc>
        <w:tc>
          <w:tcPr>
            <w:tcW w:w="1620" w:type="dxa"/>
            <w:vAlign w:val="bottom"/>
          </w:tcPr>
          <w:p>
            <w:pPr>
              <w:ind w:left="560"/>
              <w:spacing w:after="0"/>
              <w:rPr>
                <w:sz w:val="20"/>
                <w:szCs w:val="20"/>
                <w:color w:val="auto"/>
              </w:rPr>
            </w:pPr>
            <w:r>
              <w:rPr>
                <w:rFonts w:ascii="Arial" w:cs="Arial" w:eastAsia="Arial" w:hAnsi="Arial"/>
                <w:sz w:val="18"/>
                <w:szCs w:val="18"/>
                <w:color w:val="auto"/>
              </w:rPr>
              <w:t>4/20/2021</w:t>
            </w:r>
          </w:p>
        </w:tc>
      </w:tr>
      <w:tr>
        <w:trPr>
          <w:trHeight w:val="404"/>
        </w:trPr>
        <w:tc>
          <w:tcPr>
            <w:tcW w:w="6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620" w:type="dxa"/>
            <w:vAlign w:val="bottom"/>
          </w:tcPr>
          <w:p>
            <w:pPr>
              <w:ind w:left="560"/>
              <w:spacing w:after="0"/>
              <w:rPr>
                <w:sz w:val="20"/>
                <w:szCs w:val="20"/>
                <w:color w:val="auto"/>
              </w:rPr>
            </w:pPr>
            <w:r>
              <w:rPr>
                <w:rFonts w:ascii="Arial" w:cs="Arial" w:eastAsia="Arial" w:hAnsi="Arial"/>
                <w:sz w:val="18"/>
                <w:szCs w:val="18"/>
                <w:color w:val="auto"/>
                <w:w w:val="92"/>
              </w:rPr>
              <w:t>Filed herewith</w:t>
            </w:r>
          </w:p>
        </w:tc>
      </w:tr>
      <w:tr>
        <w:trPr>
          <w:trHeight w:val="230"/>
        </w:trPr>
        <w:tc>
          <w:tcPr>
            <w:tcW w:w="60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620" w:type="dxa"/>
            <w:vAlign w:val="bottom"/>
          </w:tcPr>
          <w:p>
            <w:pPr>
              <w:ind w:left="560"/>
              <w:spacing w:after="0"/>
              <w:rPr>
                <w:sz w:val="20"/>
                <w:szCs w:val="20"/>
                <w:color w:val="auto"/>
              </w:rPr>
            </w:pPr>
            <w:r>
              <w:rPr>
                <w:rFonts w:ascii="Arial" w:cs="Arial" w:eastAsia="Arial" w:hAnsi="Arial"/>
                <w:sz w:val="18"/>
                <w:szCs w:val="18"/>
                <w:color w:val="auto"/>
                <w:w w:val="92"/>
              </w:rPr>
              <w:t>Filed herewith</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000-30877</w:t>
            </w:r>
          </w:p>
        </w:tc>
        <w:tc>
          <w:tcPr>
            <w:tcW w:w="1080" w:type="dxa"/>
            <w:vAlign w:val="bottom"/>
          </w:tcPr>
          <w:p>
            <w:pPr>
              <w:ind w:left="200"/>
              <w:spacing w:after="0"/>
              <w:rPr>
                <w:sz w:val="20"/>
                <w:szCs w:val="20"/>
                <w:color w:val="auto"/>
              </w:rPr>
            </w:pPr>
            <w:r>
              <w:rPr>
                <w:rFonts w:ascii="Arial" w:cs="Arial" w:eastAsia="Arial" w:hAnsi="Arial"/>
                <w:sz w:val="18"/>
                <w:szCs w:val="18"/>
                <w:color w:val="auto"/>
              </w:rPr>
              <w:t>10.4</w:t>
            </w:r>
          </w:p>
        </w:tc>
        <w:tc>
          <w:tcPr>
            <w:tcW w:w="1620" w:type="dxa"/>
            <w:vAlign w:val="bottom"/>
          </w:tcPr>
          <w:p>
            <w:pPr>
              <w:ind w:left="560"/>
              <w:spacing w:after="0"/>
              <w:rPr>
                <w:sz w:val="20"/>
                <w:szCs w:val="20"/>
                <w:color w:val="auto"/>
              </w:rPr>
            </w:pPr>
            <w:r>
              <w:rPr>
                <w:rFonts w:ascii="Arial" w:cs="Arial" w:eastAsia="Arial" w:hAnsi="Arial"/>
                <w:sz w:val="18"/>
                <w:szCs w:val="18"/>
                <w:color w:val="auto"/>
              </w:rPr>
              <w:t>9/8/2016</w:t>
            </w:r>
          </w:p>
        </w:tc>
      </w:tr>
    </w:tbl>
    <w:p>
      <w:pPr>
        <w:jc w:val="right"/>
        <w:spacing w:after="0"/>
        <w:rPr>
          <w:sz w:val="20"/>
          <w:szCs w:val="20"/>
          <w:color w:val="auto"/>
        </w:rPr>
      </w:pPr>
      <w:r>
        <w:rPr>
          <w:rFonts w:ascii="Arial" w:cs="Arial" w:eastAsia="Arial" w:hAnsi="Arial"/>
          <w:sz w:val="18"/>
          <w:szCs w:val="18"/>
          <w:color w:val="auto"/>
        </w:rPr>
        <w:t>Filed herewith</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19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37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pacing w:after="0" w:line="37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Filed herewith</w:t>
      </w:r>
    </w:p>
    <w:p>
      <w:pPr>
        <w:sectPr>
          <w:pgSz w:w="11900" w:h="16838" w:orient="portrait"/>
          <w:cols w:equalWidth="0" w:num="2">
            <w:col w:w="6200" w:space="160"/>
            <w:col w:w="4520"/>
          </w:cols>
          <w:pgMar w:left="320" w:top="130" w:right="699" w:bottom="1440" w:gutter="0" w:footer="0" w:header="0"/>
          <w:type w:val="continuous"/>
        </w:sectPr>
      </w:pPr>
    </w:p>
    <w:bookmarkStart w:id="67" w:name="page68"/>
    <w:bookmarkEnd w:id="6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tbl>
      <w:tblPr>
        <w:tblLayout w:type="fixed"/>
        <w:tblInd w:w="20" w:type="dxa"/>
        <w:tblCellMar>
          <w:top w:w="0" w:type="dxa"/>
          <w:left w:w="0" w:type="dxa"/>
          <w:bottom w:w="0" w:type="dxa"/>
          <w:right w:w="0" w:type="dxa"/>
        </w:tblCellMar>
      </w:tblP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7040" w:type="dxa"/>
            <w:vAlign w:val="bottom"/>
          </w:tcPr>
          <w:p>
            <w:pPr>
              <w:ind w:left="220"/>
              <w:spacing w:after="0"/>
              <w:rPr>
                <w:sz w:val="20"/>
                <w:szCs w:val="20"/>
                <w:color w:val="auto"/>
              </w:rPr>
            </w:pPr>
            <w:r>
              <w:rPr>
                <w:rFonts w:ascii="Arial" w:cs="Arial" w:eastAsia="Arial" w:hAnsi="Arial"/>
                <w:sz w:val="18"/>
                <w:szCs w:val="18"/>
                <w:color w:val="auto"/>
              </w:rPr>
              <w:t>Inline XBRL Taxonomy Extension Schema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7040" w:type="dxa"/>
            <w:vAlign w:val="bottom"/>
          </w:tcPr>
          <w:p>
            <w:pPr>
              <w:ind w:left="220"/>
              <w:spacing w:after="0"/>
              <w:rPr>
                <w:sz w:val="20"/>
                <w:szCs w:val="20"/>
                <w:color w:val="auto"/>
              </w:rPr>
            </w:pPr>
            <w:r>
              <w:rPr>
                <w:rFonts w:ascii="Arial" w:cs="Arial" w:eastAsia="Arial" w:hAnsi="Arial"/>
                <w:sz w:val="18"/>
                <w:szCs w:val="18"/>
                <w:color w:val="auto"/>
              </w:rPr>
              <w:t>Inline XBRL Taxonomy Extension Calculation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7040" w:type="dxa"/>
            <w:vAlign w:val="bottom"/>
          </w:tcPr>
          <w:p>
            <w:pPr>
              <w:ind w:left="220"/>
              <w:spacing w:after="0"/>
              <w:rPr>
                <w:sz w:val="20"/>
                <w:szCs w:val="20"/>
                <w:color w:val="auto"/>
              </w:rPr>
            </w:pPr>
            <w:r>
              <w:rPr>
                <w:rFonts w:ascii="Arial" w:cs="Arial" w:eastAsia="Arial" w:hAnsi="Arial"/>
                <w:sz w:val="18"/>
                <w:szCs w:val="18"/>
                <w:color w:val="auto"/>
              </w:rPr>
              <w:t>Inline XBRL Taxonomy Extension Definition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7040" w:type="dxa"/>
            <w:vAlign w:val="bottom"/>
          </w:tcPr>
          <w:p>
            <w:pPr>
              <w:ind w:left="220"/>
              <w:spacing w:after="0"/>
              <w:rPr>
                <w:sz w:val="20"/>
                <w:szCs w:val="20"/>
                <w:color w:val="auto"/>
              </w:rPr>
            </w:pPr>
            <w:r>
              <w:rPr>
                <w:rFonts w:ascii="Arial" w:cs="Arial" w:eastAsia="Arial" w:hAnsi="Arial"/>
                <w:sz w:val="18"/>
                <w:szCs w:val="18"/>
                <w:color w:val="auto"/>
              </w:rPr>
              <w:t>Inline XBRL Taxonomy Extension Label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30"/>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7040" w:type="dxa"/>
            <w:vAlign w:val="bottom"/>
          </w:tcPr>
          <w:p>
            <w:pPr>
              <w:ind w:left="220"/>
              <w:spacing w:after="0"/>
              <w:rPr>
                <w:sz w:val="20"/>
                <w:szCs w:val="20"/>
                <w:color w:val="auto"/>
              </w:rPr>
            </w:pPr>
            <w:r>
              <w:rPr>
                <w:rFonts w:ascii="Arial" w:cs="Arial" w:eastAsia="Arial" w:hAnsi="Arial"/>
                <w:sz w:val="18"/>
                <w:szCs w:val="18"/>
                <w:color w:val="auto"/>
              </w:rPr>
              <w:t>Inline XBRL Taxonomy Extension Presentation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76"/>
        </w:trPr>
        <w:tc>
          <w:tcPr>
            <w:tcW w:w="920" w:type="dxa"/>
            <w:vAlign w:val="bottom"/>
          </w:tcPr>
          <w:p>
            <w:pPr>
              <w:spacing w:after="0" w:line="176" w:lineRule="exact"/>
              <w:rPr>
                <w:sz w:val="20"/>
                <w:szCs w:val="20"/>
                <w:color w:val="auto"/>
              </w:rPr>
            </w:pPr>
            <w:r>
              <w:rPr>
                <w:rFonts w:ascii="Arial" w:cs="Arial" w:eastAsia="Arial" w:hAnsi="Arial"/>
                <w:sz w:val="18"/>
                <w:szCs w:val="18"/>
                <w:color w:val="auto"/>
              </w:rPr>
              <w:t>104</w:t>
            </w:r>
          </w:p>
        </w:tc>
        <w:tc>
          <w:tcPr>
            <w:tcW w:w="7040" w:type="dxa"/>
            <w:vAlign w:val="bottom"/>
          </w:tcPr>
          <w:p>
            <w:pPr>
              <w:ind w:left="220"/>
              <w:spacing w:after="0" w:line="176" w:lineRule="exact"/>
              <w:rPr>
                <w:sz w:val="20"/>
                <w:szCs w:val="20"/>
                <w:color w:val="auto"/>
              </w:rPr>
            </w:pPr>
            <w:r>
              <w:rPr>
                <w:rFonts w:ascii="Arial" w:cs="Arial" w:eastAsia="Arial" w:hAnsi="Arial"/>
                <w:sz w:val="18"/>
                <w:szCs w:val="18"/>
                <w:color w:val="auto"/>
              </w:rPr>
              <w:t>The cover page for this Form 10-Q, formatted in Inline XBRL</w:t>
            </w:r>
          </w:p>
        </w:tc>
        <w:tc>
          <w:tcPr>
            <w:tcW w:w="2900" w:type="dxa"/>
            <w:vAlign w:val="bottom"/>
          </w:tcPr>
          <w:p>
            <w:pPr>
              <w:ind w:left="1840"/>
              <w:spacing w:after="0" w:line="176" w:lineRule="exact"/>
              <w:rPr>
                <w:sz w:val="20"/>
                <w:szCs w:val="20"/>
                <w:color w:val="auto"/>
              </w:rPr>
            </w:pPr>
            <w:r>
              <w:rPr>
                <w:rFonts w:ascii="Arial" w:cs="Arial" w:eastAsia="Arial" w:hAnsi="Arial"/>
                <w:sz w:val="18"/>
                <w:szCs w:val="18"/>
                <w:color w:val="auto"/>
                <w:w w:val="92"/>
              </w:rPr>
              <w:t>Filed herewith</w:t>
            </w:r>
          </w:p>
        </w:tc>
      </w:tr>
      <w:tr>
        <w:trPr>
          <w:trHeight w:val="230"/>
        </w:trPr>
        <w:tc>
          <w:tcPr>
            <w:tcW w:w="920" w:type="dxa"/>
            <w:vAlign w:val="bottom"/>
          </w:tcPr>
          <w:p>
            <w:pPr>
              <w:spacing w:after="0"/>
              <w:rPr>
                <w:sz w:val="20"/>
                <w:szCs w:val="20"/>
                <w:color w:val="auto"/>
              </w:rPr>
            </w:pPr>
          </w:p>
        </w:tc>
        <w:tc>
          <w:tcPr>
            <w:tcW w:w="7040" w:type="dxa"/>
            <w:vAlign w:val="bottom"/>
          </w:tcPr>
          <w:p>
            <w:pPr>
              <w:ind w:left="220"/>
              <w:spacing w:after="0"/>
              <w:rPr>
                <w:sz w:val="20"/>
                <w:szCs w:val="20"/>
                <w:color w:val="auto"/>
              </w:rPr>
            </w:pPr>
            <w:r>
              <w:rPr>
                <w:rFonts w:ascii="Arial" w:cs="Arial" w:eastAsia="Arial" w:hAnsi="Arial"/>
                <w:sz w:val="18"/>
                <w:szCs w:val="18"/>
                <w:color w:val="auto"/>
              </w:rPr>
              <w:t>(included in Exhibit 101)</w:t>
            </w:r>
          </w:p>
        </w:tc>
        <w:tc>
          <w:tcPr>
            <w:tcW w:w="2900" w:type="dxa"/>
            <w:vAlign w:val="bottom"/>
          </w:tcPr>
          <w:p>
            <w:pPr>
              <w:spacing w:after="0"/>
              <w:rPr>
                <w:sz w:val="20"/>
                <w:szCs w:val="20"/>
                <w:color w:val="auto"/>
              </w:rPr>
            </w:pPr>
          </w:p>
        </w:tc>
      </w:tr>
    </w:tbl>
    <w:p>
      <w:pPr>
        <w:spacing w:after="0" w:line="376" w:lineRule="exact"/>
        <w:rPr>
          <w:sz w:val="20"/>
          <w:szCs w:val="20"/>
          <w:color w:val="auto"/>
        </w:rPr>
      </w:pPr>
    </w:p>
    <w:p>
      <w:pPr>
        <w:ind w:left="600" w:right="1240" w:hanging="574"/>
        <w:spacing w:after="0" w:line="235" w:lineRule="auto"/>
        <w:tabs>
          <w:tab w:leader="none" w:pos="6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jc w:val="both"/>
        <w:ind w:left="600" w:right="1140" w:hanging="574"/>
        <w:spacing w:after="0" w:line="219" w:lineRule="auto"/>
        <w:tabs>
          <w:tab w:leader="none" w:pos="6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1480" w:hanging="574"/>
        <w:spacing w:after="0" w:line="257" w:lineRule="auto"/>
        <w:tabs>
          <w:tab w:leader="none" w:pos="600" w:val="left"/>
        </w:tabs>
        <w:numPr>
          <w:ilvl w:val="0"/>
          <w:numId w:val="24"/>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880"/>
          </w:cols>
          <w:pgMar w:left="320" w:top="130" w:right="699" w:bottom="1440" w:gutter="0" w:footer="0" w:header="0"/>
        </w:sectPr>
      </w:pPr>
    </w:p>
    <w:bookmarkStart w:id="68" w:name="page69"/>
    <w:bookmarkEnd w:id="6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84" w:lineRule="exact"/>
        <w:rPr>
          <w:sz w:val="20"/>
          <w:szCs w:val="20"/>
          <w:color w:val="auto"/>
        </w:rPr>
      </w:pPr>
    </w:p>
    <w:p>
      <w:pPr>
        <w:ind w:left="638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20"/>
        <w:spacing w:after="0"/>
        <w:tabs>
          <w:tab w:leader="none" w:pos="6360" w:val="left"/>
          <w:tab w:leader="none" w:pos="6820" w:val="left"/>
        </w:tabs>
        <w:rPr>
          <w:sz w:val="20"/>
          <w:szCs w:val="20"/>
          <w:color w:val="auto"/>
        </w:rPr>
      </w:pPr>
      <w:r>
        <w:rPr>
          <w:rFonts w:ascii="Arial" w:cs="Arial" w:eastAsia="Arial" w:hAnsi="Arial"/>
          <w:sz w:val="18"/>
          <w:szCs w:val="18"/>
          <w:color w:val="auto"/>
        </w:rPr>
        <w:t>Date: June 9,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4333875</wp:posOffset>
            </wp:positionH>
            <wp:positionV relativeFrom="paragraph">
              <wp:posOffset>14605</wp:posOffset>
            </wp:positionV>
            <wp:extent cx="256286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4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4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0680"/>
          </w:cols>
          <w:pgMar w:left="320" w:top="130" w:right="899" w:bottom="1440" w:gutter="0" w:footer="0" w:header="0"/>
        </w:sectPr>
      </w:pPr>
    </w:p>
    <w:bookmarkStart w:id="69" w:name="page70"/>
    <w:bookmarkEnd w:id="69"/>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6978015" cy="132016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a:clrChange>
                        <a:clrFrom>
                          <a:srgbClr val="FFFFFF"/>
                        </a:clrFrom>
                        <a:clrTo>
                          <a:srgbClr val="FFFFFF">
                            <a:alpha val="0"/>
                          </a:srgbClr>
                        </a:clrTo>
                      </a:clrChange>
                      <a:extLst>
                        <a:ext uri="{28A0092B-C50C-407E-A947-70E740481C1C}"/>
                      </a:extLst>
                    </a:blip>
                    <a:srcRect/>
                    <a:stretch>
                      <a:fillRect/>
                    </a:stretch>
                  </pic:blipFill>
                  <pic:spPr bwMode="auto">
                    <a:xfrm>
                      <a:off x="0" y="0"/>
                      <a:ext cx="6978015" cy="13201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10.17</w:t>
      </w:r>
    </w:p>
    <w:p>
      <w:pPr>
        <w:spacing w:after="0" w:line="28" w:lineRule="exact"/>
        <w:rPr>
          <w:sz w:val="20"/>
          <w:szCs w:val="20"/>
          <w:color w:val="auto"/>
        </w:rPr>
      </w:pPr>
    </w:p>
    <w:p>
      <w:pPr>
        <w:spacing w:after="0"/>
        <w:rPr>
          <w:sz w:val="20"/>
          <w:szCs w:val="20"/>
          <w:color w:val="auto"/>
        </w:rPr>
      </w:pPr>
      <w:r>
        <w:rPr>
          <w:rFonts w:ascii="Arial" w:cs="Arial" w:eastAsia="Arial" w:hAnsi="Arial"/>
          <w:sz w:val="20"/>
          <w:szCs w:val="20"/>
          <w:color w:val="auto"/>
        </w:rPr>
        <w:t>April 20, 2021</w:t>
      </w:r>
    </w:p>
    <w:p>
      <w:pPr>
        <w:spacing w:after="0" w:line="242" w:lineRule="exact"/>
        <w:rPr>
          <w:sz w:val="20"/>
          <w:szCs w:val="20"/>
          <w:color w:val="auto"/>
        </w:rPr>
      </w:pPr>
    </w:p>
    <w:p>
      <w:pPr>
        <w:spacing w:after="0"/>
        <w:rPr>
          <w:sz w:val="20"/>
          <w:szCs w:val="20"/>
          <w:color w:val="auto"/>
        </w:rPr>
      </w:pPr>
      <w:r>
        <w:rPr>
          <w:rFonts w:ascii="Arial" w:cs="Arial" w:eastAsia="Arial" w:hAnsi="Arial"/>
          <w:sz w:val="20"/>
          <w:szCs w:val="20"/>
          <w:color w:val="auto"/>
        </w:rPr>
        <w:t>Loi Nguyen</w:t>
      </w:r>
    </w:p>
    <w:p>
      <w:pPr>
        <w:spacing w:after="0"/>
        <w:rPr>
          <w:sz w:val="20"/>
          <w:szCs w:val="20"/>
          <w:color w:val="auto"/>
        </w:rPr>
      </w:pPr>
      <w:r>
        <w:rPr>
          <w:rFonts w:ascii="Arial" w:cs="Arial" w:eastAsia="Arial" w:hAnsi="Arial"/>
          <w:sz w:val="20"/>
          <w:szCs w:val="20"/>
          <w:color w:val="auto"/>
        </w:rPr>
        <w:t>[address removed]</w:t>
      </w:r>
    </w:p>
    <w:p>
      <w:pPr>
        <w:spacing w:after="0" w:line="243" w:lineRule="exact"/>
        <w:rPr>
          <w:sz w:val="20"/>
          <w:szCs w:val="20"/>
          <w:color w:val="auto"/>
        </w:rPr>
      </w:pPr>
    </w:p>
    <w:p>
      <w:pPr>
        <w:spacing w:after="0"/>
        <w:rPr>
          <w:sz w:val="20"/>
          <w:szCs w:val="20"/>
          <w:color w:val="auto"/>
        </w:rPr>
      </w:pPr>
      <w:r>
        <w:rPr>
          <w:rFonts w:ascii="Arial" w:cs="Arial" w:eastAsia="Arial" w:hAnsi="Arial"/>
          <w:sz w:val="20"/>
          <w:szCs w:val="20"/>
          <w:color w:val="auto"/>
        </w:rPr>
        <w:t>Dear Loi,</w:t>
      </w:r>
    </w:p>
    <w:p>
      <w:pPr>
        <w:spacing w:after="0" w:line="243" w:lineRule="exact"/>
        <w:rPr>
          <w:sz w:val="20"/>
          <w:szCs w:val="20"/>
          <w:color w:val="auto"/>
        </w:rPr>
      </w:pPr>
    </w:p>
    <w:p>
      <w:pPr>
        <w:ind w:right="280"/>
        <w:spacing w:after="0" w:line="243" w:lineRule="auto"/>
        <w:rPr>
          <w:sz w:val="20"/>
          <w:szCs w:val="20"/>
          <w:color w:val="auto"/>
        </w:rPr>
      </w:pPr>
      <w:r>
        <w:rPr>
          <w:rFonts w:ascii="Arial" w:cs="Arial" w:eastAsia="Arial" w:hAnsi="Arial"/>
          <w:sz w:val="20"/>
          <w:szCs w:val="20"/>
          <w:color w:val="auto"/>
        </w:rPr>
        <w:t>It is our pleasure to offer you the position of Executive Vice President, Optical and Copper Connectivity with Marvell Semiconductor, Inc. ("the Company"), a subsidiary of Marvell Technology, Inc. (“Marvell”), at a salary of $480,000.00 USD per year.</w:t>
      </w:r>
    </w:p>
    <w:p>
      <w:pPr>
        <w:spacing w:after="0" w:line="233" w:lineRule="exact"/>
        <w:rPr>
          <w:sz w:val="20"/>
          <w:szCs w:val="20"/>
          <w:color w:val="auto"/>
        </w:rPr>
      </w:pPr>
    </w:p>
    <w:p>
      <w:pPr>
        <w:spacing w:after="0"/>
        <w:rPr>
          <w:sz w:val="20"/>
          <w:szCs w:val="20"/>
          <w:color w:val="auto"/>
        </w:rPr>
      </w:pPr>
      <w:r>
        <w:rPr>
          <w:rFonts w:ascii="Arial" w:cs="Arial" w:eastAsia="Arial" w:hAnsi="Arial"/>
          <w:sz w:val="20"/>
          <w:szCs w:val="20"/>
          <w:color w:val="auto"/>
        </w:rPr>
        <w:t>Your supervisor will be Matt Murphy. Your work location will be Westlake Village, California.</w:t>
      </w:r>
    </w:p>
    <w:p>
      <w:pPr>
        <w:spacing w:after="0" w:line="21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Cash Incentive Compensation</w:t>
      </w:r>
    </w:p>
    <w:p>
      <w:pPr>
        <w:spacing w:after="0" w:line="267" w:lineRule="exact"/>
        <w:rPr>
          <w:sz w:val="20"/>
          <w:szCs w:val="20"/>
          <w:color w:val="auto"/>
        </w:rPr>
      </w:pPr>
    </w:p>
    <w:p>
      <w:pPr>
        <w:ind w:right="60"/>
        <w:spacing w:after="0"/>
        <w:rPr>
          <w:sz w:val="20"/>
          <w:szCs w:val="20"/>
          <w:color w:val="auto"/>
        </w:rPr>
      </w:pPr>
      <w:r>
        <w:rPr>
          <w:rFonts w:ascii="Arial" w:cs="Arial" w:eastAsia="Arial" w:hAnsi="Arial"/>
          <w:sz w:val="20"/>
          <w:szCs w:val="20"/>
          <w:color w:val="auto"/>
        </w:rPr>
        <w:t>You will be eligible to participate in the Company’s executive Annual Incentive Program (AIP) with a target bonus of 90% of your current base salary. The amount of your actual AIP bonus payment will be determined by the Company at its sole discretion based on a number of factors including but not limited to company and individual performance. To ensure alignment between you and the other members of the Marvell executive team, you will be paid your Marvell FY2022 AIP bonus as if you had been an employee of Marvell for the entire year; and the amount of any prorated partial bonus for the current year paid to you, if any, for the period January 2021-April 2021 will be treated as a pre-payment and will be deducted from your final FY2022 AIP. You must be an active Company employee at the time of the bonus payout to be eligible for payment. It is clarified that the Company retains the right to modify, amend or terminate its plans and policies, including the AIP, from time to time, at its sole discretion. Any such modification or amendment will be communicated to you. It is also clarified that any payment of bonus or other compensation in one financial year, under any of the Company’s plans and/or policies does not create a right to claim such compensation or bonus from the Company in the future.</w:t>
      </w:r>
    </w:p>
    <w:p>
      <w:pPr>
        <w:spacing w:after="0" w:line="214"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Equity Awards</w:t>
      </w:r>
    </w:p>
    <w:p>
      <w:pPr>
        <w:spacing w:after="0" w:line="267" w:lineRule="exact"/>
        <w:rPr>
          <w:sz w:val="20"/>
          <w:szCs w:val="20"/>
          <w:color w:val="auto"/>
        </w:rPr>
      </w:pPr>
    </w:p>
    <w:p>
      <w:pPr>
        <w:spacing w:after="0"/>
        <w:rPr>
          <w:sz w:val="20"/>
          <w:szCs w:val="20"/>
          <w:color w:val="auto"/>
        </w:rPr>
      </w:pPr>
      <w:r>
        <w:rPr>
          <w:rFonts w:ascii="Arial" w:cs="Arial" w:eastAsia="Arial" w:hAnsi="Arial"/>
          <w:sz w:val="20"/>
          <w:szCs w:val="20"/>
          <w:color w:val="auto"/>
        </w:rPr>
        <w:t>You will be recommended to the Executive Compensation Committee (“ECC”) for the following grants:</w:t>
      </w:r>
    </w:p>
    <w:p>
      <w:pPr>
        <w:spacing w:after="0" w:line="219" w:lineRule="exact"/>
        <w:rPr>
          <w:sz w:val="20"/>
          <w:szCs w:val="20"/>
          <w:color w:val="auto"/>
        </w:rPr>
      </w:pPr>
    </w:p>
    <w:p>
      <w:pPr>
        <w:jc w:val="both"/>
        <w:ind w:right="20" w:firstLine="8"/>
        <w:spacing w:after="0" w:line="233" w:lineRule="auto"/>
        <w:tabs>
          <w:tab w:leader="none" w:pos="636" w:val="left"/>
        </w:tabs>
        <w:numPr>
          <w:ilvl w:val="0"/>
          <w:numId w:val="25"/>
        </w:numPr>
        <w:rPr>
          <w:rFonts w:ascii="Arial" w:cs="Arial" w:eastAsia="Arial" w:hAnsi="Arial"/>
          <w:sz w:val="20"/>
          <w:szCs w:val="20"/>
          <w:color w:val="auto"/>
        </w:rPr>
      </w:pPr>
      <w:r>
        <w:rPr>
          <w:rFonts w:ascii="Arial" w:cs="Arial" w:eastAsia="Arial" w:hAnsi="Arial"/>
          <w:sz w:val="20"/>
          <w:szCs w:val="20"/>
          <w:b w:val="1"/>
          <w:bCs w:val="1"/>
          <w:color w:val="auto"/>
        </w:rPr>
        <w:t>Time Based RSU Buy Award</w:t>
      </w:r>
      <w:r>
        <w:rPr>
          <w:rFonts w:ascii="Arial" w:cs="Arial" w:eastAsia="Arial" w:hAnsi="Arial"/>
          <w:sz w:val="20"/>
          <w:szCs w:val="20"/>
          <w:color w:val="auto"/>
        </w:rPr>
        <w:t>. A restricted stock unit award of common shares of Marvell equal to $900,000 (the “RSU”)</w:t>
      </w:r>
      <w:r>
        <w:rPr>
          <w:rFonts w:ascii="Arial" w:cs="Arial" w:eastAsia="Arial" w:hAnsi="Arial"/>
          <w:sz w:val="20"/>
          <w:szCs w:val="20"/>
          <w:b w:val="1"/>
          <w:bCs w:val="1"/>
          <w:color w:val="auto"/>
        </w:rPr>
        <w:t xml:space="preserve"> </w:t>
      </w:r>
      <w:r>
        <w:rPr>
          <w:rFonts w:ascii="Arial" w:cs="Arial" w:eastAsia="Arial" w:hAnsi="Arial"/>
          <w:sz w:val="20"/>
          <w:szCs w:val="20"/>
          <w:color w:val="auto"/>
        </w:rPr>
        <w:t>divided by the Share Price, subject to applicable securities law restrictions. The RSU shall vest over three (3) years at the rate of 1/12 on the first quarterly anniversary of the vesting start date and 1/12</w:t>
      </w:r>
      <w:r>
        <w:rPr>
          <w:rFonts w:ascii="Arial" w:cs="Arial" w:eastAsia="Arial" w:hAnsi="Arial"/>
          <w:sz w:val="25"/>
          <w:szCs w:val="25"/>
          <w:color w:val="auto"/>
          <w:vertAlign w:val="superscript"/>
        </w:rPr>
        <w:t>th</w:t>
      </w:r>
      <w:r>
        <w:rPr>
          <w:rFonts w:ascii="Arial" w:cs="Arial" w:eastAsia="Arial" w:hAnsi="Arial"/>
          <w:sz w:val="20"/>
          <w:szCs w:val="20"/>
          <w:color w:val="auto"/>
        </w:rPr>
        <w:t xml:space="preserve"> per quarter thereafter; provided that you continue to serve as an employee through each applicable vesting date.</w:t>
      </w:r>
    </w:p>
    <w:p>
      <w:pPr>
        <w:sectPr>
          <w:pgSz w:w="11900" w:h="16838" w:orient="portrait"/>
          <w:cols w:equalWidth="0" w:num="1">
            <w:col w:w="11240"/>
          </w:cols>
          <w:pgMar w:left="320" w:top="1440" w:right="339" w:bottom="1440" w:gutter="0" w:footer="0" w:header="0"/>
        </w:sectPr>
      </w:pPr>
    </w:p>
    <w:bookmarkStart w:id="70" w:name="page71"/>
    <w:bookmarkEnd w:id="70"/>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right="180" w:firstLine="8"/>
        <w:spacing w:after="0" w:line="244" w:lineRule="auto"/>
        <w:tabs>
          <w:tab w:leader="none" w:pos="636" w:val="left"/>
        </w:tabs>
        <w:numPr>
          <w:ilvl w:val="0"/>
          <w:numId w:val="26"/>
        </w:numPr>
        <w:rPr>
          <w:rFonts w:ascii="Arial" w:cs="Arial" w:eastAsia="Arial" w:hAnsi="Arial"/>
          <w:sz w:val="20"/>
          <w:szCs w:val="20"/>
          <w:color w:val="auto"/>
        </w:rPr>
      </w:pPr>
      <w:r>
        <w:rPr>
          <w:rFonts w:ascii="Arial" w:cs="Arial" w:eastAsia="Arial" w:hAnsi="Arial"/>
          <w:sz w:val="20"/>
          <w:szCs w:val="20"/>
          <w:b w:val="1"/>
          <w:bCs w:val="1"/>
          <w:color w:val="auto"/>
        </w:rPr>
        <w:t xml:space="preserve">Performance Based RSU Award based on Total Shareholder Return. </w:t>
      </w:r>
      <w:r>
        <w:rPr>
          <w:rFonts w:ascii="Arial" w:cs="Arial" w:eastAsia="Arial" w:hAnsi="Arial"/>
          <w:sz w:val="20"/>
          <w:szCs w:val="20"/>
          <w:color w:val="auto"/>
        </w:rPr>
        <w:t>A performance-based restricted stock unit</w:t>
      </w:r>
      <w:r>
        <w:rPr>
          <w:rFonts w:ascii="Arial" w:cs="Arial" w:eastAsia="Arial" w:hAnsi="Arial"/>
          <w:sz w:val="20"/>
          <w:szCs w:val="20"/>
          <w:b w:val="1"/>
          <w:bCs w:val="1"/>
          <w:color w:val="auto"/>
        </w:rPr>
        <w:t xml:space="preserve"> </w:t>
      </w:r>
      <w:r>
        <w:rPr>
          <w:rFonts w:ascii="Arial" w:cs="Arial" w:eastAsia="Arial" w:hAnsi="Arial"/>
          <w:sz w:val="20"/>
          <w:szCs w:val="20"/>
          <w:color w:val="auto"/>
        </w:rPr>
        <w:t>award of common shares of Marvell equal to $1,100,000 (the “TSR”) divided by the Share Price (as defined below); such amount being referred to as the target amount for this award. The TSR shall vest on the third anniversary of the date of grant, provided that you remain an employee through such vesting date. The number of shares that shall vest can range from zero to 200% of the above referenced target number based on achievement of performance objectives relating to the relative total shareholder return of Marvell 's stock as compared to the total shareholder return of other companies over the measurement period. The TSR shall be on the same terms, performance measures and payout curve as the TSR awards approved for the other executive officers in March 2021.</w:t>
      </w:r>
    </w:p>
    <w:p>
      <w:pPr>
        <w:spacing w:after="0" w:line="208" w:lineRule="exact"/>
        <w:rPr>
          <w:rFonts w:ascii="Arial" w:cs="Arial" w:eastAsia="Arial" w:hAnsi="Arial"/>
          <w:sz w:val="20"/>
          <w:szCs w:val="20"/>
          <w:color w:val="auto"/>
        </w:rPr>
      </w:pPr>
    </w:p>
    <w:p>
      <w:pPr>
        <w:ind w:firstLine="8"/>
        <w:spacing w:after="0" w:line="244" w:lineRule="auto"/>
        <w:tabs>
          <w:tab w:leader="none" w:pos="636" w:val="left"/>
        </w:tabs>
        <w:numPr>
          <w:ilvl w:val="0"/>
          <w:numId w:val="26"/>
        </w:numPr>
        <w:rPr>
          <w:rFonts w:ascii="Arial" w:cs="Arial" w:eastAsia="Arial" w:hAnsi="Arial"/>
          <w:sz w:val="20"/>
          <w:szCs w:val="20"/>
          <w:color w:val="auto"/>
        </w:rPr>
      </w:pPr>
      <w:r>
        <w:rPr>
          <w:rFonts w:ascii="Arial" w:cs="Arial" w:eastAsia="Arial" w:hAnsi="Arial"/>
          <w:sz w:val="20"/>
          <w:szCs w:val="20"/>
          <w:b w:val="1"/>
          <w:bCs w:val="1"/>
          <w:color w:val="auto"/>
        </w:rPr>
        <w:t>Refresh Equity Grant</w:t>
      </w:r>
      <w:r>
        <w:rPr>
          <w:rFonts w:ascii="Arial" w:cs="Arial" w:eastAsia="Arial" w:hAnsi="Arial"/>
          <w:sz w:val="20"/>
          <w:szCs w:val="20"/>
          <w:color w:val="auto"/>
        </w:rPr>
        <w:t>. The Company generally conducts its annual employee compensation review in Q1 of its fiscal</w:t>
      </w:r>
      <w:r>
        <w:rPr>
          <w:rFonts w:ascii="Arial" w:cs="Arial" w:eastAsia="Arial" w:hAnsi="Arial"/>
          <w:sz w:val="20"/>
          <w:szCs w:val="20"/>
          <w:b w:val="1"/>
          <w:bCs w:val="1"/>
          <w:color w:val="auto"/>
        </w:rPr>
        <w:t xml:space="preserve"> </w:t>
      </w:r>
      <w:r>
        <w:rPr>
          <w:rFonts w:ascii="Arial" w:cs="Arial" w:eastAsia="Arial" w:hAnsi="Arial"/>
          <w:sz w:val="20"/>
          <w:szCs w:val="20"/>
          <w:color w:val="auto"/>
        </w:rPr>
        <w:t>year, including equity grants. With respect to the review scheduled to be conducted in March 2022, you will receive an additional equity award. It is expected that those awards will be granted on and commence vesting on April 15, 2022 and it is also currently expected that such award will consist of a combination of (i) RSUs that will vest over a three (3) year period with 1/12th vesting per quarter over the succeeding three (3) years, provided that you continue to serve as an active employee through each applicable vesting date and (ii) performance based awards. The type and mix of awards will be identical to those awarded to other employees at the executive vice president level.</w:t>
      </w:r>
    </w:p>
    <w:p>
      <w:pPr>
        <w:spacing w:after="0" w:line="237" w:lineRule="exact"/>
        <w:rPr>
          <w:sz w:val="20"/>
          <w:szCs w:val="20"/>
          <w:color w:val="auto"/>
        </w:rPr>
      </w:pPr>
    </w:p>
    <w:p>
      <w:pPr>
        <w:ind w:right="120"/>
        <w:spacing w:after="0" w:line="243" w:lineRule="auto"/>
        <w:rPr>
          <w:sz w:val="20"/>
          <w:szCs w:val="20"/>
          <w:color w:val="auto"/>
        </w:rPr>
      </w:pPr>
      <w:r>
        <w:rPr>
          <w:rFonts w:ascii="Arial" w:cs="Arial" w:eastAsia="Arial" w:hAnsi="Arial"/>
          <w:sz w:val="20"/>
          <w:szCs w:val="20"/>
          <w:color w:val="auto"/>
        </w:rPr>
        <w:t>For the purposes of the equity awards described above, “Share Price” shall mean the closing price of Marvell common stock on the effective date the grant is approved by Marvell’s ECC (or a subcommittee thereof), subject to applicable securities law restrictions. This is expected to occur on May 15, 2021.</w:t>
      </w:r>
    </w:p>
    <w:p>
      <w:pPr>
        <w:spacing w:after="0" w:line="233" w:lineRule="exact"/>
        <w:rPr>
          <w:sz w:val="20"/>
          <w:szCs w:val="20"/>
          <w:color w:val="auto"/>
        </w:rPr>
      </w:pPr>
    </w:p>
    <w:p>
      <w:pPr>
        <w:ind w:right="180"/>
        <w:spacing w:after="0" w:line="243" w:lineRule="auto"/>
        <w:rPr>
          <w:sz w:val="20"/>
          <w:szCs w:val="20"/>
          <w:color w:val="auto"/>
        </w:rPr>
      </w:pPr>
      <w:r>
        <w:rPr>
          <w:rFonts w:ascii="Arial" w:cs="Arial" w:eastAsia="Arial" w:hAnsi="Arial"/>
          <w:sz w:val="20"/>
          <w:szCs w:val="20"/>
          <w:color w:val="auto"/>
        </w:rPr>
        <w:t>All of the foregoing equity awards are subject to applicable local laws and regulations and will be subject to your return to us of completed, signed award agreement (or acceptance of such award in accordance with the Company policies related to such awards) and the terms thereof.</w:t>
      </w:r>
    </w:p>
    <w:p>
      <w:pPr>
        <w:spacing w:after="0" w:line="20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Change-in-Control</w:t>
      </w:r>
    </w:p>
    <w:p>
      <w:pPr>
        <w:spacing w:after="0" w:line="267" w:lineRule="exact"/>
        <w:rPr>
          <w:sz w:val="20"/>
          <w:szCs w:val="20"/>
          <w:color w:val="auto"/>
        </w:rPr>
      </w:pPr>
    </w:p>
    <w:p>
      <w:pPr>
        <w:ind w:right="160"/>
        <w:spacing w:after="0" w:line="272" w:lineRule="auto"/>
        <w:rPr>
          <w:sz w:val="20"/>
          <w:szCs w:val="20"/>
          <w:color w:val="auto"/>
        </w:rPr>
      </w:pPr>
      <w:r>
        <w:rPr>
          <w:rFonts w:ascii="Arial" w:cs="Arial" w:eastAsia="Arial" w:hAnsi="Arial"/>
          <w:sz w:val="19"/>
          <w:szCs w:val="19"/>
          <w:color w:val="auto"/>
        </w:rPr>
        <w:t>You will be eligible to participate in the Marvell Change in Control and Severance Plan ("CIC Plan") at the “Tier 2” level, subject to the terms and conditions of the CIC Plan and in substantially the form of Tier 2 agreement attached hereto as Appendix A.</w:t>
      </w:r>
    </w:p>
    <w:p>
      <w:pPr>
        <w:spacing w:after="0" w:line="183"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Inphi Equity Awards</w:t>
      </w:r>
    </w:p>
    <w:p>
      <w:pPr>
        <w:spacing w:after="0" w:line="267" w:lineRule="exact"/>
        <w:rPr>
          <w:sz w:val="20"/>
          <w:szCs w:val="20"/>
          <w:color w:val="auto"/>
        </w:rPr>
      </w:pPr>
    </w:p>
    <w:p>
      <w:pPr>
        <w:jc w:val="both"/>
        <w:ind w:right="320"/>
        <w:spacing w:after="0" w:line="243" w:lineRule="auto"/>
        <w:rPr>
          <w:sz w:val="20"/>
          <w:szCs w:val="20"/>
          <w:color w:val="auto"/>
        </w:rPr>
      </w:pPr>
      <w:r>
        <w:rPr>
          <w:rFonts w:ascii="Arial" w:cs="Arial" w:eastAsia="Arial" w:hAnsi="Arial"/>
          <w:sz w:val="20"/>
          <w:szCs w:val="20"/>
          <w:color w:val="auto"/>
        </w:rPr>
        <w:t>You have been granted various equity awards by Inphi Corporation. Those awards continue to vest on their respective terms. The change in role and compensation under this agreement does not constitute an Involuntary Termination under your Inphi Change of Control Agreement.</w:t>
      </w:r>
    </w:p>
    <w:p>
      <w:pPr>
        <w:spacing w:after="0" w:line="20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Other Terms</w:t>
      </w:r>
    </w:p>
    <w:p>
      <w:pPr>
        <w:sectPr>
          <w:pgSz w:w="11900" w:h="16838" w:orient="portrait"/>
          <w:cols w:equalWidth="0" w:num="1">
            <w:col w:w="11240"/>
          </w:cols>
          <w:pgMar w:left="320" w:top="1440" w:right="339" w:bottom="1440" w:gutter="0" w:footer="0" w:header="0"/>
        </w:sectPr>
      </w:pPr>
    </w:p>
    <w:bookmarkStart w:id="71" w:name="page72"/>
    <w:bookmarkEnd w:id="7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right="80"/>
        <w:spacing w:after="0" w:line="243" w:lineRule="auto"/>
        <w:rPr>
          <w:sz w:val="20"/>
          <w:szCs w:val="20"/>
          <w:color w:val="auto"/>
        </w:rPr>
      </w:pPr>
      <w:r>
        <w:rPr>
          <w:rFonts w:ascii="Arial" w:cs="Arial" w:eastAsia="Arial" w:hAnsi="Arial"/>
          <w:sz w:val="20"/>
          <w:szCs w:val="20"/>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32" w:lineRule="exact"/>
        <w:rPr>
          <w:sz w:val="20"/>
          <w:szCs w:val="20"/>
          <w:color w:val="auto"/>
        </w:rPr>
      </w:pPr>
    </w:p>
    <w:p>
      <w:pPr>
        <w:ind w:left="640" w:hanging="308"/>
        <w:spacing w:after="0"/>
        <w:tabs>
          <w:tab w:leader="none" w:pos="640" w:val="left"/>
        </w:tabs>
        <w:numPr>
          <w:ilvl w:val="0"/>
          <w:numId w:val="27"/>
        </w:numPr>
        <w:rPr>
          <w:rFonts w:ascii="Arial" w:cs="Arial" w:eastAsia="Arial" w:hAnsi="Arial"/>
          <w:sz w:val="20"/>
          <w:szCs w:val="20"/>
          <w:color w:val="auto"/>
        </w:rPr>
      </w:pPr>
      <w:r>
        <w:rPr>
          <w:rFonts w:ascii="Arial" w:cs="Arial" w:eastAsia="Arial" w:hAnsi="Arial"/>
          <w:sz w:val="20"/>
          <w:szCs w:val="20"/>
          <w:color w:val="auto"/>
        </w:rPr>
        <w:t>A valid driver’s license and social security card, or</w:t>
      </w:r>
    </w:p>
    <w:p>
      <w:pPr>
        <w:ind w:left="640" w:hanging="308"/>
        <w:spacing w:after="0"/>
        <w:tabs>
          <w:tab w:leader="none" w:pos="640" w:val="left"/>
        </w:tabs>
        <w:numPr>
          <w:ilvl w:val="0"/>
          <w:numId w:val="27"/>
        </w:numPr>
        <w:rPr>
          <w:rFonts w:ascii="Arial" w:cs="Arial" w:eastAsia="Arial" w:hAnsi="Arial"/>
          <w:sz w:val="20"/>
          <w:szCs w:val="20"/>
          <w:color w:val="auto"/>
        </w:rPr>
      </w:pPr>
      <w:r>
        <w:rPr>
          <w:rFonts w:ascii="Arial" w:cs="Arial" w:eastAsia="Arial" w:hAnsi="Arial"/>
          <w:sz w:val="20"/>
          <w:szCs w:val="20"/>
          <w:color w:val="auto"/>
        </w:rPr>
        <w:t>A current passport</w:t>
      </w:r>
    </w:p>
    <w:p>
      <w:pPr>
        <w:spacing w:after="0" w:line="242" w:lineRule="exact"/>
        <w:rPr>
          <w:sz w:val="20"/>
          <w:szCs w:val="20"/>
          <w:color w:val="auto"/>
        </w:rPr>
      </w:pPr>
    </w:p>
    <w:p>
      <w:pPr>
        <w:spacing w:after="0"/>
        <w:rPr>
          <w:sz w:val="20"/>
          <w:szCs w:val="20"/>
          <w:color w:val="auto"/>
        </w:rPr>
      </w:pPr>
      <w:r>
        <w:rPr>
          <w:rFonts w:ascii="Arial" w:cs="Arial" w:eastAsia="Arial" w:hAnsi="Arial"/>
          <w:sz w:val="20"/>
          <w:szCs w:val="20"/>
          <w:color w:val="auto"/>
        </w:rPr>
        <w:t>Please note your offer is contingent upon:</w:t>
      </w:r>
    </w:p>
    <w:p>
      <w:pPr>
        <w:ind w:left="660" w:hanging="328"/>
        <w:spacing w:after="0"/>
        <w:tabs>
          <w:tab w:leader="none" w:pos="660" w:val="left"/>
        </w:tabs>
        <w:numPr>
          <w:ilvl w:val="0"/>
          <w:numId w:val="28"/>
        </w:numPr>
        <w:rPr>
          <w:rFonts w:ascii="Arial" w:cs="Arial" w:eastAsia="Arial" w:hAnsi="Arial"/>
          <w:sz w:val="18"/>
          <w:szCs w:val="18"/>
          <w:color w:val="auto"/>
        </w:rPr>
      </w:pPr>
      <w:r>
        <w:rPr>
          <w:rFonts w:ascii="Arial" w:cs="Arial" w:eastAsia="Arial" w:hAnsi="Arial"/>
          <w:sz w:val="20"/>
          <w:szCs w:val="20"/>
          <w:color w:val="auto"/>
        </w:rPr>
        <w:t>Successful completion of a routine background investigation and reference checks;</w:t>
      </w:r>
    </w:p>
    <w:p>
      <w:pPr>
        <w:ind w:left="660" w:right="40" w:hanging="328"/>
        <w:spacing w:after="0" w:line="252" w:lineRule="auto"/>
        <w:tabs>
          <w:tab w:leader="none" w:pos="655" w:val="left"/>
        </w:tabs>
        <w:numPr>
          <w:ilvl w:val="0"/>
          <w:numId w:val="28"/>
        </w:numPr>
        <w:rPr>
          <w:rFonts w:ascii="Arial" w:cs="Arial" w:eastAsia="Arial" w:hAnsi="Arial"/>
          <w:sz w:val="17"/>
          <w:szCs w:val="17"/>
          <w:color w:val="auto"/>
        </w:rPr>
      </w:pPr>
      <w:r>
        <w:rPr>
          <w:rFonts w:ascii="Arial" w:cs="Arial" w:eastAsia="Arial" w:hAnsi="Arial"/>
          <w:sz w:val="19"/>
          <w:szCs w:val="19"/>
          <w:color w:val="auto"/>
        </w:rPr>
        <w:t>The Company’s receipt from you of a signed Employee Agreement, which contains the Company's Confidential Information and Invention Assignment Provisions, Code of Business Conduct and Ethics and Arbitration Agreement; and</w:t>
      </w:r>
    </w:p>
    <w:p>
      <w:pPr>
        <w:ind w:left="660" w:hanging="328"/>
        <w:spacing w:after="0"/>
        <w:tabs>
          <w:tab w:leader="none" w:pos="660" w:val="left"/>
        </w:tabs>
        <w:numPr>
          <w:ilvl w:val="0"/>
          <w:numId w:val="28"/>
        </w:numPr>
        <w:rPr>
          <w:rFonts w:ascii="Arial" w:cs="Arial" w:eastAsia="Arial" w:hAnsi="Arial"/>
          <w:sz w:val="18"/>
          <w:szCs w:val="18"/>
          <w:color w:val="auto"/>
        </w:rPr>
      </w:pPr>
      <w:r>
        <w:rPr>
          <w:rFonts w:ascii="Arial" w:cs="Arial" w:eastAsia="Arial" w:hAnsi="Arial"/>
          <w:sz w:val="20"/>
          <w:szCs w:val="20"/>
          <w:color w:val="auto"/>
        </w:rPr>
        <w:t>Completion of visa, license requirements, and government restricted party screening requirements, if applicable.</w:t>
      </w:r>
    </w:p>
    <w:p>
      <w:pPr>
        <w:spacing w:after="0" w:line="243" w:lineRule="exact"/>
        <w:rPr>
          <w:sz w:val="20"/>
          <w:szCs w:val="20"/>
          <w:color w:val="auto"/>
        </w:rPr>
      </w:pPr>
    </w:p>
    <w:p>
      <w:pPr>
        <w:ind w:right="100"/>
        <w:spacing w:after="0" w:line="243" w:lineRule="auto"/>
        <w:rPr>
          <w:sz w:val="20"/>
          <w:szCs w:val="20"/>
          <w:color w:val="auto"/>
        </w:rPr>
      </w:pPr>
      <w:r>
        <w:rPr>
          <w:rFonts w:ascii="Arial" w:cs="Arial" w:eastAsia="Arial" w:hAnsi="Arial"/>
          <w:sz w:val="20"/>
          <w:szCs w:val="20"/>
          <w:color w:val="auto"/>
        </w:rPr>
        <w:t>Your employment with the Company is at the mutual consent of you, the employee, and the Company, the employer. Your employment with the Company is at-will. Either you or the Company may terminate your employment at any time and for any or no reason. The at-will nature of your employment may only be changed by a written agreement signed by the CEO.</w:t>
      </w:r>
    </w:p>
    <w:p>
      <w:pPr>
        <w:spacing w:after="0" w:line="233" w:lineRule="exact"/>
        <w:rPr>
          <w:sz w:val="20"/>
          <w:szCs w:val="20"/>
          <w:color w:val="auto"/>
        </w:rPr>
      </w:pPr>
    </w:p>
    <w:p>
      <w:pPr>
        <w:jc w:val="both"/>
        <w:spacing w:after="0" w:line="243" w:lineRule="auto"/>
        <w:rPr>
          <w:sz w:val="20"/>
          <w:szCs w:val="20"/>
          <w:color w:val="auto"/>
        </w:rPr>
      </w:pPr>
      <w:r>
        <w:rPr>
          <w:rFonts w:ascii="Arial" w:cs="Arial" w:eastAsia="Arial" w:hAnsi="Arial"/>
          <w:sz w:val="20"/>
          <w:szCs w:val="20"/>
          <w:color w:val="auto"/>
        </w:rPr>
        <w:t>Marvell is an exciting company whose mission is to develop and deliver semiconductor solutions that process, move, store, and secure the world’s data faster and more reliably than anyone else. We look forward to your acceptance as we believe you will be an important addition to our team.</w:t>
      </w:r>
    </w:p>
    <w:p>
      <w:pPr>
        <w:spacing w:after="0" w:line="233" w:lineRule="exact"/>
        <w:rPr>
          <w:sz w:val="20"/>
          <w:szCs w:val="20"/>
          <w:color w:val="auto"/>
        </w:rPr>
      </w:pPr>
    </w:p>
    <w:p>
      <w:pPr>
        <w:ind w:right="80"/>
        <w:spacing w:after="0" w:line="241" w:lineRule="auto"/>
        <w:rPr>
          <w:sz w:val="20"/>
          <w:szCs w:val="20"/>
          <w:color w:val="auto"/>
        </w:rPr>
      </w:pPr>
      <w:r>
        <w:rPr>
          <w:rFonts w:ascii="Arial" w:cs="Arial" w:eastAsia="Arial" w:hAnsi="Arial"/>
          <w:sz w:val="20"/>
          <w:szCs w:val="20"/>
          <w:color w:val="auto"/>
        </w:rPr>
        <w:t>This letter (if accepted) and the Employee Agreement noted above constitute the entire agreement between you and the Company regarding the terms of your employment, and supersede any prior representations or agreements, whether written or oral, concerning the terms of your employment; except that your Inphi Change in Control Agreement and Employee Innovations and Proprietary Rights Assignment Agreement shall remain in full force and effect. This letter may not be modified or amended except by a signed written agreement.</w:t>
      </w:r>
    </w:p>
    <w:p>
      <w:pPr>
        <w:spacing w:after="0" w:line="236" w:lineRule="exact"/>
        <w:rPr>
          <w:sz w:val="20"/>
          <w:szCs w:val="20"/>
          <w:color w:val="auto"/>
        </w:rPr>
      </w:pPr>
    </w:p>
    <w:p>
      <w:pPr>
        <w:ind w:right="20"/>
        <w:spacing w:after="0" w:line="246" w:lineRule="auto"/>
        <w:rPr>
          <w:sz w:val="20"/>
          <w:szCs w:val="20"/>
          <w:color w:val="auto"/>
        </w:rPr>
      </w:pPr>
      <w:r>
        <w:rPr>
          <w:rFonts w:ascii="Arial" w:cs="Arial" w:eastAsia="Arial" w:hAnsi="Arial"/>
          <w:sz w:val="20"/>
          <w:szCs w:val="20"/>
          <w:color w:val="auto"/>
        </w:rPr>
        <w:t>To accept this offer, please sign this letter within one week of the offer date. Before submitting your response please print a copy of this letter for your records.</w:t>
      </w:r>
    </w:p>
    <w:p>
      <w:pPr>
        <w:spacing w:after="0" w:line="231" w:lineRule="exact"/>
        <w:rPr>
          <w:sz w:val="20"/>
          <w:szCs w:val="20"/>
          <w:color w:val="auto"/>
        </w:rPr>
      </w:pPr>
    </w:p>
    <w:p>
      <w:pPr>
        <w:spacing w:after="0"/>
        <w:rPr>
          <w:sz w:val="20"/>
          <w:szCs w:val="20"/>
          <w:color w:val="auto"/>
        </w:rPr>
      </w:pPr>
      <w:r>
        <w:rPr>
          <w:rFonts w:ascii="Arial" w:cs="Arial" w:eastAsia="Arial" w:hAnsi="Arial"/>
          <w:sz w:val="20"/>
          <w:szCs w:val="20"/>
          <w:color w:val="auto"/>
        </w:rPr>
        <w:t>Sincerely,</w:t>
      </w:r>
    </w:p>
    <w:p>
      <w:pPr>
        <w:spacing w:after="0" w:line="242" w:lineRule="exact"/>
        <w:rPr>
          <w:sz w:val="20"/>
          <w:szCs w:val="20"/>
          <w:color w:val="auto"/>
        </w:rPr>
      </w:pPr>
    </w:p>
    <w:p>
      <w:pPr>
        <w:spacing w:after="0"/>
        <w:rPr>
          <w:sz w:val="20"/>
          <w:szCs w:val="20"/>
          <w:color w:val="auto"/>
        </w:rPr>
      </w:pPr>
      <w:r>
        <w:rPr>
          <w:rFonts w:ascii="Arial" w:cs="Arial" w:eastAsia="Arial" w:hAnsi="Arial"/>
          <w:sz w:val="20"/>
          <w:szCs w:val="20"/>
          <w:color w:val="auto"/>
        </w:rPr>
        <w:t>Mitch Gaynor</w:t>
      </w:r>
    </w:p>
    <w:p>
      <w:pPr>
        <w:spacing w:after="0"/>
        <w:rPr>
          <w:sz w:val="20"/>
          <w:szCs w:val="20"/>
          <w:color w:val="auto"/>
        </w:rPr>
      </w:pPr>
      <w:r>
        <w:rPr>
          <w:rFonts w:ascii="Arial" w:cs="Arial" w:eastAsia="Arial" w:hAnsi="Arial"/>
          <w:sz w:val="20"/>
          <w:szCs w:val="20"/>
          <w:color w:val="auto"/>
        </w:rPr>
        <w:t>Chief Administration and Legal Officer</w:t>
      </w:r>
    </w:p>
    <w:p>
      <w:pPr>
        <w:spacing w:after="0" w:line="243" w:lineRule="exact"/>
        <w:rPr>
          <w:sz w:val="20"/>
          <w:szCs w:val="20"/>
          <w:color w:val="auto"/>
        </w:rPr>
      </w:pPr>
    </w:p>
    <w:p>
      <w:pPr>
        <w:spacing w:after="0"/>
        <w:rPr>
          <w:sz w:val="20"/>
          <w:szCs w:val="20"/>
          <w:color w:val="auto"/>
        </w:rPr>
      </w:pPr>
      <w:r>
        <w:rPr>
          <w:rFonts w:ascii="Arial" w:cs="Arial" w:eastAsia="Arial" w:hAnsi="Arial"/>
          <w:sz w:val="20"/>
          <w:szCs w:val="20"/>
          <w:color w:val="auto"/>
        </w:rPr>
        <w:t>Accepted By:</w:t>
      </w:r>
    </w:p>
    <w:p>
      <w:pPr>
        <w:sectPr>
          <w:pgSz w:w="11900" w:h="16838" w:orient="portrait"/>
          <w:cols w:equalWidth="0" w:num="1">
            <w:col w:w="11220"/>
          </w:cols>
          <w:pgMar w:left="320" w:top="1440" w:right="359" w:bottom="1440" w:gutter="0" w:footer="0" w:header="0"/>
        </w:sectPr>
      </w:pPr>
    </w:p>
    <w:p>
      <w:pPr>
        <w:spacing w:after="0" w:line="243" w:lineRule="exact"/>
        <w:rPr>
          <w:sz w:val="20"/>
          <w:szCs w:val="20"/>
          <w:color w:val="auto"/>
        </w:rPr>
      </w:pPr>
    </w:p>
    <w:p>
      <w:pPr>
        <w:spacing w:after="0" w:line="272" w:lineRule="auto"/>
        <w:rPr>
          <w:sz w:val="20"/>
          <w:szCs w:val="20"/>
          <w:color w:val="auto"/>
        </w:rPr>
      </w:pPr>
      <w:r>
        <w:rPr>
          <w:rFonts w:ascii="Arial" w:cs="Arial" w:eastAsia="Arial" w:hAnsi="Arial"/>
          <w:sz w:val="19"/>
          <w:szCs w:val="19"/>
          <w:color w:val="auto"/>
        </w:rPr>
        <w:t>_____________________ Loi Nguyen</w:t>
      </w:r>
    </w:p>
    <w:p>
      <w:pPr>
        <w:spacing w:after="0" w:line="20" w:lineRule="exact"/>
        <w:rPr>
          <w:sz w:val="20"/>
          <w:szCs w:val="20"/>
          <w:color w:val="auto"/>
        </w:rPr>
      </w:pPr>
      <w:r>
        <w:rPr>
          <w:sz w:val="20"/>
          <w:szCs w:val="20"/>
          <w:color w:val="auto"/>
        </w:rPr>
        <w:br w:type="column"/>
      </w:r>
    </w:p>
    <w:p>
      <w:pPr>
        <w:spacing w:after="0" w:line="223" w:lineRule="exact"/>
        <w:rPr>
          <w:sz w:val="20"/>
          <w:szCs w:val="20"/>
          <w:color w:val="auto"/>
        </w:rPr>
      </w:pPr>
    </w:p>
    <w:p>
      <w:pPr>
        <w:spacing w:after="0"/>
        <w:rPr>
          <w:sz w:val="20"/>
          <w:szCs w:val="20"/>
          <w:color w:val="auto"/>
        </w:rPr>
      </w:pPr>
      <w:r>
        <w:rPr>
          <w:rFonts w:ascii="Arial" w:cs="Arial" w:eastAsia="Arial" w:hAnsi="Arial"/>
          <w:sz w:val="19"/>
          <w:szCs w:val="19"/>
          <w:color w:val="auto"/>
        </w:rPr>
        <w:t>Date signed: __________________</w:t>
      </w:r>
    </w:p>
    <w:p>
      <w:pPr>
        <w:sectPr>
          <w:pgSz w:w="11900" w:h="16838" w:orient="portrait"/>
          <w:cols w:equalWidth="0" w:num="2">
            <w:col w:w="2320" w:space="440"/>
            <w:col w:w="8460"/>
          </w:cols>
          <w:pgMar w:left="320" w:top="1440" w:right="359" w:bottom="1440" w:gutter="0" w:footer="0" w:header="0"/>
          <w:type w:val="continuous"/>
        </w:sectPr>
      </w:pPr>
    </w:p>
    <w:bookmarkStart w:id="72" w:name="page73"/>
    <w:bookmarkEnd w:id="7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right"/>
        <w:spacing w:after="0"/>
        <w:rPr>
          <w:sz w:val="20"/>
          <w:szCs w:val="20"/>
          <w:color w:val="auto"/>
        </w:rPr>
      </w:pPr>
      <w:r>
        <w:rPr>
          <w:rFonts w:ascii="Arial" w:cs="Arial" w:eastAsia="Arial" w:hAnsi="Arial"/>
          <w:sz w:val="20"/>
          <w:szCs w:val="20"/>
          <w:b w:val="1"/>
          <w:bCs w:val="1"/>
          <w:color w:val="auto"/>
        </w:rPr>
        <w:t>TIER 2</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20"/>
          <w:szCs w:val="20"/>
          <w:b w:val="1"/>
          <w:bCs w:val="1"/>
          <w:u w:val="single" w:color="auto"/>
          <w:color w:val="auto"/>
        </w:rPr>
        <w:t>Appendix A</w:t>
      </w:r>
    </w:p>
    <w:p>
      <w:pPr>
        <w:spacing w:after="0" w:line="24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is pleased to inform you, _______________________, that you have been selected to</w:t>
      </w:r>
    </w:p>
    <w:p>
      <w:pPr>
        <w:spacing w:after="0" w:line="45" w:lineRule="exact"/>
        <w:rPr>
          <w:sz w:val="20"/>
          <w:szCs w:val="20"/>
          <w:color w:val="auto"/>
        </w:rPr>
      </w:pPr>
    </w:p>
    <w:p>
      <w:pPr>
        <w:ind w:right="200"/>
        <w:spacing w:after="0" w:line="239" w:lineRule="auto"/>
        <w:rPr>
          <w:sz w:val="20"/>
          <w:szCs w:val="20"/>
          <w:color w:val="auto"/>
        </w:rPr>
      </w:pPr>
      <w:r>
        <w:rPr>
          <w:rFonts w:ascii="Arial" w:cs="Arial" w:eastAsia="Arial" w:hAnsi="Arial"/>
          <w:sz w:val="20"/>
          <w:szCs w:val="20"/>
          <w:color w:val="auto"/>
        </w:rPr>
        <w:t>participate in the Company’s Change in Control Severance Plan (the “</w:t>
      </w:r>
      <w:r>
        <w:rPr>
          <w:rFonts w:ascii="Arial" w:cs="Arial" w:eastAsia="Arial" w:hAnsi="Arial"/>
          <w:sz w:val="20"/>
          <w:szCs w:val="20"/>
          <w:b w:val="1"/>
          <w:bCs w:val="1"/>
          <w:color w:val="auto"/>
        </w:rPr>
        <w:t>Plan</w:t>
      </w:r>
      <w:r>
        <w:rPr>
          <w:rFonts w:ascii="Arial" w:cs="Arial" w:eastAsia="Arial" w:hAnsi="Arial"/>
          <w:sz w:val="20"/>
          <w:szCs w:val="20"/>
          <w:color w:val="auto"/>
        </w:rPr>
        <w:t>”) as a Participant. 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 w:lineRule="exact"/>
        <w:rPr>
          <w:sz w:val="20"/>
          <w:szCs w:val="20"/>
          <w:color w:val="auto"/>
        </w:rPr>
      </w:pPr>
    </w:p>
    <w:p>
      <w:pPr>
        <w:ind w:right="260"/>
        <w:spacing w:after="0" w:line="244" w:lineRule="auto"/>
        <w:rPr>
          <w:sz w:val="20"/>
          <w:szCs w:val="20"/>
          <w:color w:val="auto"/>
        </w:rPr>
      </w:pPr>
      <w:r>
        <w:rPr>
          <w:rFonts w:ascii="Arial" w:cs="Arial" w:eastAsia="Arial" w:hAnsi="Arial"/>
          <w:sz w:val="20"/>
          <w:szCs w:val="20"/>
          <w:color w:val="auto"/>
        </w:rPr>
        <w:t>In order to actually become a participant in the Plan, you must complete and sign this Participation Agreement and return it to [NAME] no later than [DATE].</w:t>
      </w:r>
    </w:p>
    <w:p>
      <w:pPr>
        <w:spacing w:after="0" w:line="218" w:lineRule="exact"/>
        <w:rPr>
          <w:sz w:val="20"/>
          <w:szCs w:val="20"/>
          <w:color w:val="auto"/>
        </w:rPr>
      </w:pPr>
    </w:p>
    <w:p>
      <w:pPr>
        <w:ind w:right="340"/>
        <w:spacing w:after="0" w:line="250" w:lineRule="auto"/>
        <w:rPr>
          <w:sz w:val="20"/>
          <w:szCs w:val="20"/>
          <w:color w:val="auto"/>
        </w:rPr>
      </w:pPr>
      <w:r>
        <w:rPr>
          <w:rFonts w:ascii="Arial" w:cs="Arial" w:eastAsia="Arial" w:hAnsi="Arial"/>
          <w:sz w:val="20"/>
          <w:szCs w:val="20"/>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213" w:lineRule="exact"/>
        <w:rPr>
          <w:sz w:val="20"/>
          <w:szCs w:val="20"/>
          <w:color w:val="auto"/>
        </w:rPr>
      </w:pPr>
    </w:p>
    <w:p>
      <w:pPr>
        <w:ind w:right="80"/>
        <w:spacing w:after="0" w:line="250" w:lineRule="auto"/>
        <w:rPr>
          <w:sz w:val="20"/>
          <w:szCs w:val="20"/>
          <w:color w:val="auto"/>
        </w:rPr>
      </w:pPr>
      <w:r>
        <w:rPr>
          <w:rFonts w:ascii="Arial" w:cs="Arial" w:eastAsia="Arial" w:hAnsi="Arial"/>
          <w:sz w:val="20"/>
          <w:szCs w:val="20"/>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80" w:lineRule="exact"/>
        <w:rPr>
          <w:sz w:val="20"/>
          <w:szCs w:val="20"/>
          <w:color w:val="auto"/>
        </w:rPr>
      </w:pPr>
    </w:p>
    <w:p>
      <w:pPr>
        <w:ind w:left="1300" w:hanging="644"/>
        <w:spacing w:after="0"/>
        <w:tabs>
          <w:tab w:leader="none" w:pos="1300" w:val="left"/>
        </w:tabs>
        <w:numPr>
          <w:ilvl w:val="0"/>
          <w:numId w:val="29"/>
        </w:numPr>
        <w:rPr>
          <w:rFonts w:ascii="Arial" w:cs="Arial" w:eastAsia="Arial" w:hAnsi="Arial"/>
          <w:sz w:val="20"/>
          <w:szCs w:val="20"/>
          <w:color w:val="auto"/>
        </w:rPr>
      </w:pPr>
      <w:r>
        <w:rPr>
          <w:rFonts w:ascii="Arial" w:cs="Arial" w:eastAsia="Arial" w:hAnsi="Arial"/>
          <w:sz w:val="20"/>
          <w:szCs w:val="20"/>
          <w:b w:val="1"/>
          <w:bCs w:val="1"/>
          <w:color w:val="auto"/>
        </w:rPr>
        <w:t>Cash Severance Benefits</w:t>
      </w:r>
      <w:r>
        <w:rPr>
          <w:rFonts w:ascii="Arial" w:cs="Arial" w:eastAsia="Arial" w:hAnsi="Arial"/>
          <w:sz w:val="20"/>
          <w:szCs w:val="20"/>
          <w:color w:val="auto"/>
        </w:rPr>
        <w:t>.</w:t>
      </w:r>
    </w:p>
    <w:p>
      <w:pPr>
        <w:spacing w:after="0" w:line="221" w:lineRule="exact"/>
        <w:rPr>
          <w:rFonts w:ascii="Arial" w:cs="Arial" w:eastAsia="Arial" w:hAnsi="Arial"/>
          <w:sz w:val="20"/>
          <w:szCs w:val="20"/>
          <w:color w:val="auto"/>
        </w:rPr>
      </w:pPr>
    </w:p>
    <w:p>
      <w:pPr>
        <w:jc w:val="both"/>
        <w:ind w:firstLine="1304"/>
        <w:spacing w:after="0" w:line="246" w:lineRule="auto"/>
        <w:tabs>
          <w:tab w:leader="none" w:pos="1944" w:val="left"/>
        </w:tabs>
        <w:numPr>
          <w:ilvl w:val="1"/>
          <w:numId w:val="29"/>
        </w:numPr>
        <w:rPr>
          <w:rFonts w:ascii="Arial" w:cs="Arial" w:eastAsia="Arial" w:hAnsi="Arial"/>
          <w:sz w:val="20"/>
          <w:szCs w:val="20"/>
          <w:i w:val="1"/>
          <w:iCs w:val="1"/>
          <w:color w:val="auto"/>
        </w:rPr>
      </w:pPr>
      <w:r>
        <w:rPr>
          <w:rFonts w:ascii="Arial" w:cs="Arial" w:eastAsia="Arial" w:hAnsi="Arial"/>
          <w:sz w:val="20"/>
          <w:szCs w:val="20"/>
          <w:i w:val="1"/>
          <w:iCs w:val="1"/>
          <w:color w:val="auto"/>
        </w:rPr>
        <w:t>Base Salary</w:t>
      </w:r>
      <w:r>
        <w:rPr>
          <w:rFonts w:ascii="Arial" w:cs="Arial" w:eastAsia="Arial" w:hAnsi="Arial"/>
          <w:sz w:val="20"/>
          <w:szCs w:val="20"/>
          <w:color w:val="auto"/>
        </w:rPr>
        <w:t>. A lump-sum payment (less applicable withholding taxes) equal to 18 months of your annual base salary</w:t>
      </w:r>
      <w:r>
        <w:rPr>
          <w:rFonts w:ascii="Arial" w:cs="Arial" w:eastAsia="Arial" w:hAnsi="Arial"/>
          <w:sz w:val="20"/>
          <w:szCs w:val="20"/>
          <w:i w:val="1"/>
          <w:iCs w:val="1"/>
          <w:color w:val="auto"/>
        </w:rPr>
        <w:t xml:space="preserve"> </w:t>
      </w:r>
      <w:r>
        <w:rPr>
          <w:rFonts w:ascii="Arial" w:cs="Arial" w:eastAsia="Arial" w:hAnsi="Arial"/>
          <w:sz w:val="20"/>
          <w:szCs w:val="20"/>
          <w:color w:val="auto"/>
        </w:rPr>
        <w:t>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91" w:lineRule="exact"/>
        <w:rPr>
          <w:rFonts w:ascii="Arial" w:cs="Arial" w:eastAsia="Arial" w:hAnsi="Arial"/>
          <w:sz w:val="20"/>
          <w:szCs w:val="20"/>
          <w:i w:val="1"/>
          <w:iCs w:val="1"/>
          <w:color w:val="auto"/>
        </w:rPr>
      </w:pPr>
    </w:p>
    <w:p>
      <w:pPr>
        <w:ind w:left="660" w:right="20" w:firstLine="644"/>
        <w:spacing w:after="0" w:line="287" w:lineRule="auto"/>
        <w:tabs>
          <w:tab w:leader="none" w:pos="1695" w:val="left"/>
        </w:tabs>
        <w:numPr>
          <w:ilvl w:val="1"/>
          <w:numId w:val="29"/>
        </w:numPr>
        <w:rPr>
          <w:rFonts w:ascii="Arial" w:cs="Arial" w:eastAsia="Arial" w:hAnsi="Arial"/>
          <w:sz w:val="19"/>
          <w:szCs w:val="19"/>
          <w:i w:val="1"/>
          <w:iCs w:val="1"/>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 Involuntary</w:t>
      </w:r>
      <w:r>
        <w:rPr>
          <w:rFonts w:ascii="Arial" w:cs="Arial" w:eastAsia="Arial" w:hAnsi="Arial"/>
          <w:sz w:val="19"/>
          <w:szCs w:val="19"/>
          <w:i w:val="1"/>
          <w:iCs w:val="1"/>
          <w:color w:val="auto"/>
        </w:rPr>
        <w:t xml:space="preserve"> </w:t>
      </w:r>
      <w:r>
        <w:rPr>
          <w:rFonts w:ascii="Arial" w:cs="Arial" w:eastAsia="Arial" w:hAnsi="Arial"/>
          <w:sz w:val="19"/>
          <w:szCs w:val="19"/>
          <w:color w:val="auto"/>
        </w:rPr>
        <w:t>Termination occurs or, if greater, your annual target bonus in effect immediately prior to the Change in Control.</w:t>
      </w:r>
    </w:p>
    <w:p>
      <w:pPr>
        <w:spacing w:after="0" w:line="152" w:lineRule="exact"/>
        <w:rPr>
          <w:rFonts w:ascii="Arial" w:cs="Arial" w:eastAsia="Arial" w:hAnsi="Arial"/>
          <w:sz w:val="19"/>
          <w:szCs w:val="19"/>
          <w:i w:val="1"/>
          <w:iCs w:val="1"/>
          <w:color w:val="auto"/>
        </w:rPr>
      </w:pPr>
    </w:p>
    <w:p>
      <w:pPr>
        <w:ind w:left="660" w:right="20" w:firstLine="644"/>
        <w:spacing w:after="0" w:line="260" w:lineRule="auto"/>
        <w:tabs>
          <w:tab w:leader="none" w:pos="1686" w:val="left"/>
        </w:tabs>
        <w:numPr>
          <w:ilvl w:val="1"/>
          <w:numId w:val="29"/>
        </w:numPr>
        <w:rPr>
          <w:rFonts w:ascii="Arial" w:cs="Arial" w:eastAsia="Arial" w:hAnsi="Arial"/>
          <w:sz w:val="20"/>
          <w:szCs w:val="20"/>
          <w:i w:val="1"/>
          <w:iCs w:val="1"/>
          <w:color w:val="auto"/>
        </w:rPr>
      </w:pPr>
      <w:r>
        <w:rPr>
          <w:rFonts w:ascii="Arial" w:cs="Arial" w:eastAsia="Arial" w:hAnsi="Arial"/>
          <w:sz w:val="20"/>
          <w:szCs w:val="20"/>
          <w:i w:val="1"/>
          <w:iCs w:val="1"/>
          <w:color w:val="auto"/>
        </w:rPr>
        <w:t>Pro-Rata Bonus</w:t>
      </w:r>
      <w:r>
        <w:rPr>
          <w:rFonts w:ascii="Arial" w:cs="Arial" w:eastAsia="Arial" w:hAnsi="Arial"/>
          <w:sz w:val="20"/>
          <w:szCs w:val="20"/>
          <w:color w:val="auto"/>
        </w:rPr>
        <w:t>. A lump-sum payment equal to your annual target bonus for the fiscal year in which your Involuntary</w:t>
      </w:r>
      <w:r>
        <w:rPr>
          <w:rFonts w:ascii="Arial" w:cs="Arial" w:eastAsia="Arial" w:hAnsi="Arial"/>
          <w:sz w:val="20"/>
          <w:szCs w:val="20"/>
          <w:i w:val="1"/>
          <w:iCs w:val="1"/>
          <w:color w:val="auto"/>
        </w:rPr>
        <w:t xml:space="preserve"> </w:t>
      </w:r>
      <w:r>
        <w:rPr>
          <w:rFonts w:ascii="Arial" w:cs="Arial" w:eastAsia="Arial" w:hAnsi="Arial"/>
          <w:sz w:val="20"/>
          <w:szCs w:val="20"/>
          <w:color w:val="auto"/>
        </w:rPr>
        <w:t>Termination occurs, pro-rated for the number of full months employed during the fiscal year.</w:t>
      </w:r>
    </w:p>
    <w:p>
      <w:pPr>
        <w:sectPr>
          <w:pgSz w:w="11900" w:h="16838" w:orient="portrait"/>
          <w:cols w:equalWidth="0" w:num="1">
            <w:col w:w="11240"/>
          </w:cols>
          <w:pgMar w:left="320" w:top="1440" w:right="339" w:bottom="1440" w:gutter="0" w:footer="0" w:header="0"/>
        </w:sectPr>
      </w:pPr>
    </w:p>
    <w:bookmarkStart w:id="73" w:name="page74"/>
    <w:bookmarkEnd w:id="7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both"/>
        <w:ind w:firstLine="656"/>
        <w:spacing w:after="0" w:line="255" w:lineRule="auto"/>
        <w:tabs>
          <w:tab w:leader="none" w:pos="994" w:val="left"/>
        </w:tabs>
        <w:numPr>
          <w:ilvl w:val="0"/>
          <w:numId w:val="30"/>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 in full. If,</w:t>
      </w:r>
      <w:r>
        <w:rPr>
          <w:rFonts w:ascii="Arial" w:cs="Arial" w:eastAsia="Arial" w:hAnsi="Arial"/>
          <w:sz w:val="19"/>
          <w:szCs w:val="19"/>
          <w:b w:val="1"/>
          <w:bCs w:val="1"/>
          <w:color w:val="auto"/>
        </w:rPr>
        <w:t xml:space="preserve"> </w:t>
      </w:r>
      <w:r>
        <w:rPr>
          <w:rFonts w:ascii="Arial" w:cs="Arial" w:eastAsia="Arial" w:hAnsi="Arial"/>
          <w:sz w:val="19"/>
          <w:szCs w:val="19"/>
          <w:color w:val="auto"/>
        </w:rPr>
        <w:t>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84" w:lineRule="exact"/>
        <w:rPr>
          <w:rFonts w:ascii="Arial" w:cs="Arial" w:eastAsia="Arial" w:hAnsi="Arial"/>
          <w:sz w:val="19"/>
          <w:szCs w:val="19"/>
          <w:color w:val="auto"/>
        </w:rPr>
      </w:pPr>
    </w:p>
    <w:p>
      <w:pPr>
        <w:jc w:val="both"/>
        <w:ind w:firstLine="656"/>
        <w:spacing w:after="0" w:line="248" w:lineRule="auto"/>
        <w:tabs>
          <w:tab w:leader="none" w:pos="1012" w:val="left"/>
        </w:tabs>
        <w:numPr>
          <w:ilvl w:val="0"/>
          <w:numId w:val="30"/>
        </w:numPr>
        <w:rPr>
          <w:rFonts w:ascii="Arial" w:cs="Arial" w:eastAsia="Arial" w:hAnsi="Arial"/>
          <w:sz w:val="20"/>
          <w:szCs w:val="20"/>
          <w:color w:val="auto"/>
        </w:rPr>
      </w:pPr>
      <w:r>
        <w:rPr>
          <w:rFonts w:ascii="Arial" w:cs="Arial" w:eastAsia="Arial" w:hAnsi="Arial"/>
          <w:sz w:val="20"/>
          <w:szCs w:val="20"/>
          <w:b w:val="1"/>
          <w:bCs w:val="1"/>
          <w:color w:val="auto"/>
        </w:rPr>
        <w:t>Continued Medical Benefits</w:t>
      </w:r>
      <w:r>
        <w:rPr>
          <w:rFonts w:ascii="Arial" w:cs="Arial" w:eastAsia="Arial" w:hAnsi="Arial"/>
          <w:sz w:val="20"/>
          <w:szCs w:val="20"/>
          <w:color w:val="auto"/>
        </w:rPr>
        <w:t>. Your reimbursement of continued health coverage under COBRA or taxable monthly payment in</w:t>
      </w:r>
      <w:r>
        <w:rPr>
          <w:rFonts w:ascii="Arial" w:cs="Arial" w:eastAsia="Arial" w:hAnsi="Arial"/>
          <w:sz w:val="20"/>
          <w:szCs w:val="20"/>
          <w:b w:val="1"/>
          <w:bCs w:val="1"/>
          <w:color w:val="auto"/>
        </w:rPr>
        <w:t xml:space="preserve"> </w:t>
      </w:r>
      <w:r>
        <w:rPr>
          <w:rFonts w:ascii="Arial" w:cs="Arial" w:eastAsia="Arial" w:hAnsi="Arial"/>
          <w:sz w:val="20"/>
          <w:szCs w:val="20"/>
          <w:color w:val="auto"/>
        </w:rPr>
        <w:t>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16" w:lineRule="exact"/>
        <w:rPr>
          <w:sz w:val="20"/>
          <w:szCs w:val="20"/>
          <w:color w:val="auto"/>
        </w:rPr>
      </w:pPr>
    </w:p>
    <w:p>
      <w:pPr>
        <w:ind w:right="560" w:firstLine="1296"/>
        <w:spacing w:after="0" w:line="287"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9" w:lineRule="exact"/>
        <w:rPr>
          <w:sz w:val="20"/>
          <w:szCs w:val="20"/>
          <w:color w:val="auto"/>
        </w:rPr>
      </w:pPr>
    </w:p>
    <w:p>
      <w:pPr>
        <w:ind w:right="260" w:firstLine="1296"/>
        <w:spacing w:after="0" w:line="276" w:lineRule="auto"/>
        <w:rPr>
          <w:sz w:val="20"/>
          <w:szCs w:val="20"/>
          <w:color w:val="auto"/>
        </w:rPr>
      </w:pPr>
      <w:r>
        <w:rPr>
          <w:rFonts w:ascii="Arial" w:cs="Arial" w:eastAsia="Arial" w:hAnsi="Arial"/>
          <w:sz w:val="18"/>
          <w:szCs w:val="18"/>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agreeing that your prior Participation Agreement is terminated and superseded by this Participation Agreement.</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800" w:type="dxa"/>
            <w:vAlign w:val="bottom"/>
          </w:tcPr>
          <w:p>
            <w:pPr>
              <w:ind w:left="20"/>
              <w:spacing w:after="0"/>
              <w:rPr>
                <w:sz w:val="20"/>
                <w:szCs w:val="20"/>
                <w:color w:val="auto"/>
              </w:rPr>
            </w:pPr>
            <w:r>
              <w:rPr>
                <w:rFonts w:ascii="Arial" w:cs="Arial" w:eastAsia="Arial" w:hAnsi="Arial"/>
                <w:sz w:val="18"/>
                <w:szCs w:val="18"/>
                <w:b w:val="1"/>
                <w:bCs w:val="1"/>
                <w:color w:val="auto"/>
              </w:rPr>
              <w:t>MARVELL TECHNOLOGY GROUP LTD.</w:t>
            </w:r>
          </w:p>
        </w:tc>
        <w:tc>
          <w:tcPr>
            <w:tcW w:w="1220" w:type="dxa"/>
            <w:vAlign w:val="bottom"/>
          </w:tcPr>
          <w:p>
            <w:pPr>
              <w:spacing w:after="0"/>
              <w:rPr>
                <w:sz w:val="20"/>
                <w:szCs w:val="20"/>
                <w:color w:val="auto"/>
              </w:rPr>
            </w:pPr>
          </w:p>
        </w:tc>
        <w:tc>
          <w:tcPr>
            <w:tcW w:w="4800" w:type="dxa"/>
            <w:vAlign w:val="bottom"/>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459"/>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Borders>
              <w:bottom w:val="single" w:sz="8" w:color="auto"/>
            </w:tcBorders>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Signature</w:t>
            </w:r>
          </w:p>
        </w:tc>
        <w:tc>
          <w:tcPr>
            <w:tcW w:w="1220" w:type="dxa"/>
            <w:vAlign w:val="bottom"/>
          </w:tcPr>
          <w:p>
            <w:pPr>
              <w:spacing w:after="0"/>
              <w:rPr>
                <w:sz w:val="22"/>
                <w:szCs w:val="22"/>
                <w:color w:val="auto"/>
              </w:rPr>
            </w:pPr>
          </w:p>
        </w:tc>
        <w:tc>
          <w:tcPr>
            <w:tcW w:w="4800" w:type="dxa"/>
            <w:vAlign w:val="bottom"/>
          </w:tcPr>
          <w:p>
            <w:pPr>
              <w:ind w:left="20"/>
              <w:spacing w:after="0"/>
              <w:rPr>
                <w:sz w:val="20"/>
                <w:szCs w:val="20"/>
                <w:color w:val="auto"/>
              </w:rPr>
            </w:pPr>
            <w:r>
              <w:rPr>
                <w:rFonts w:ascii="Arial" w:cs="Arial" w:eastAsia="Arial" w:hAnsi="Arial"/>
                <w:sz w:val="20"/>
                <w:szCs w:val="20"/>
                <w:color w:val="auto"/>
              </w:rPr>
              <w:t>Signature</w:t>
            </w:r>
          </w:p>
        </w:tc>
      </w:tr>
      <w:tr>
        <w:trPr>
          <w:trHeight w:val="563"/>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Borders>
              <w:bottom w:val="single" w:sz="8" w:color="auto"/>
            </w:tcBorders>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Name</w:t>
            </w:r>
          </w:p>
        </w:tc>
        <w:tc>
          <w:tcPr>
            <w:tcW w:w="1220" w:type="dxa"/>
            <w:vAlign w:val="bottom"/>
          </w:tcPr>
          <w:p>
            <w:pPr>
              <w:spacing w:after="0"/>
              <w:rPr>
                <w:sz w:val="22"/>
                <w:szCs w:val="22"/>
                <w:color w:val="auto"/>
              </w:rPr>
            </w:pPr>
          </w:p>
        </w:tc>
        <w:tc>
          <w:tcPr>
            <w:tcW w:w="4800" w:type="dxa"/>
            <w:vAlign w:val="bottom"/>
          </w:tcPr>
          <w:p>
            <w:pPr>
              <w:ind w:left="20"/>
              <w:spacing w:after="0"/>
              <w:rPr>
                <w:sz w:val="20"/>
                <w:szCs w:val="20"/>
                <w:color w:val="auto"/>
              </w:rPr>
            </w:pPr>
            <w:r>
              <w:rPr>
                <w:rFonts w:ascii="Arial" w:cs="Arial" w:eastAsia="Arial" w:hAnsi="Arial"/>
                <w:sz w:val="20"/>
                <w:szCs w:val="20"/>
                <w:color w:val="auto"/>
              </w:rPr>
              <w:t>Date</w:t>
            </w:r>
          </w:p>
        </w:tc>
      </w:tr>
      <w:tr>
        <w:trPr>
          <w:trHeight w:val="563"/>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Title</w:t>
            </w:r>
          </w:p>
        </w:tc>
        <w:tc>
          <w:tcPr>
            <w:tcW w:w="1220" w:type="dxa"/>
            <w:vAlign w:val="bottom"/>
          </w:tcPr>
          <w:p>
            <w:pPr>
              <w:spacing w:after="0"/>
              <w:rPr>
                <w:sz w:val="22"/>
                <w:szCs w:val="22"/>
                <w:color w:val="auto"/>
              </w:rPr>
            </w:pPr>
          </w:p>
        </w:tc>
        <w:tc>
          <w:tcPr>
            <w:tcW w:w="4800" w:type="dxa"/>
            <w:vAlign w:val="bottom"/>
          </w:tcPr>
          <w:p>
            <w:pPr>
              <w:spacing w:after="0"/>
              <w:rPr>
                <w:sz w:val="22"/>
                <w:szCs w:val="22"/>
                <w:color w:val="auto"/>
              </w:rPr>
            </w:pPr>
          </w:p>
        </w:tc>
      </w:tr>
    </w:tbl>
    <w:p>
      <w:pPr>
        <w:sectPr>
          <w:pgSz w:w="11900" w:h="16838" w:orient="portrait"/>
          <w:cols w:equalWidth="0" w:num="1">
            <w:col w:w="11240"/>
          </w:cols>
          <w:pgMar w:left="320" w:top="1440" w:right="339" w:bottom="1440" w:gutter="0" w:footer="0" w:header="0"/>
        </w:sectPr>
      </w:pPr>
    </w:p>
    <w:bookmarkStart w:id="74" w:name="page75"/>
    <w:bookmarkEnd w:id="7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6978015" cy="132016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8">
                      <a:clrChange>
                        <a:clrFrom>
                          <a:srgbClr val="FFFFFF"/>
                        </a:clrFrom>
                        <a:clrTo>
                          <a:srgbClr val="FFFFFF">
                            <a:alpha val="0"/>
                          </a:srgbClr>
                        </a:clrTo>
                      </a:clrChange>
                      <a:extLst>
                        <a:ext uri="{28A0092B-C50C-407E-A947-70E740481C1C}"/>
                      </a:extLst>
                    </a:blip>
                    <a:srcRect/>
                    <a:stretch>
                      <a:fillRect/>
                    </a:stretch>
                  </pic:blipFill>
                  <pic:spPr bwMode="auto">
                    <a:xfrm>
                      <a:off x="0" y="0"/>
                      <a:ext cx="6978015" cy="13201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10.18</w:t>
      </w:r>
    </w:p>
    <w:p>
      <w:pPr>
        <w:spacing w:after="0" w:line="28" w:lineRule="exact"/>
        <w:rPr>
          <w:sz w:val="20"/>
          <w:szCs w:val="20"/>
          <w:color w:val="auto"/>
        </w:rPr>
      </w:pPr>
    </w:p>
    <w:p>
      <w:pPr>
        <w:spacing w:after="0"/>
        <w:rPr>
          <w:sz w:val="20"/>
          <w:szCs w:val="20"/>
          <w:color w:val="auto"/>
        </w:rPr>
      </w:pPr>
      <w:r>
        <w:rPr>
          <w:rFonts w:ascii="Arial" w:cs="Arial" w:eastAsia="Arial" w:hAnsi="Arial"/>
          <w:sz w:val="20"/>
          <w:szCs w:val="20"/>
          <w:color w:val="auto"/>
        </w:rPr>
        <w:t>April 20, 2021</w:t>
      </w: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Arial" w:cs="Arial" w:eastAsia="Arial" w:hAnsi="Arial"/>
          <w:sz w:val="20"/>
          <w:szCs w:val="20"/>
          <w:color w:val="auto"/>
        </w:rPr>
        <w:t>Nariman Yousefi</w:t>
      </w:r>
    </w:p>
    <w:p>
      <w:pPr>
        <w:spacing w:after="0"/>
        <w:rPr>
          <w:sz w:val="20"/>
          <w:szCs w:val="20"/>
          <w:color w:val="auto"/>
        </w:rPr>
      </w:pPr>
      <w:r>
        <w:rPr>
          <w:rFonts w:ascii="Arial" w:cs="Arial" w:eastAsia="Arial" w:hAnsi="Arial"/>
          <w:sz w:val="20"/>
          <w:szCs w:val="20"/>
          <w:color w:val="auto"/>
        </w:rPr>
        <w:t>[address removed]</w:t>
      </w: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Arial" w:cs="Arial" w:eastAsia="Arial" w:hAnsi="Arial"/>
          <w:sz w:val="20"/>
          <w:szCs w:val="20"/>
          <w:color w:val="auto"/>
        </w:rPr>
        <w:t>Dear Nariman,</w:t>
      </w:r>
    </w:p>
    <w:p>
      <w:pPr>
        <w:spacing w:after="0" w:line="243" w:lineRule="exact"/>
        <w:rPr>
          <w:sz w:val="20"/>
          <w:szCs w:val="20"/>
          <w:color w:val="auto"/>
        </w:rPr>
      </w:pPr>
    </w:p>
    <w:p>
      <w:pPr>
        <w:jc w:val="both"/>
        <w:ind w:right="280"/>
        <w:spacing w:after="0" w:line="243" w:lineRule="auto"/>
        <w:rPr>
          <w:sz w:val="20"/>
          <w:szCs w:val="20"/>
          <w:color w:val="auto"/>
        </w:rPr>
      </w:pPr>
      <w:r>
        <w:rPr>
          <w:rFonts w:ascii="Arial" w:cs="Arial" w:eastAsia="Arial" w:hAnsi="Arial"/>
          <w:sz w:val="20"/>
          <w:szCs w:val="20"/>
          <w:color w:val="auto"/>
        </w:rPr>
        <w:t>It is our pleasure to offer you the position of Executive Vice President, Automotive, Coherent DSP and Switching with Marvell Semiconductor, Inc. ("the Company"), a subsidiary of Marvell Technology, Inc. (“Marvell”), at a salary of $480,000.00 USD per year.</w:t>
      </w:r>
    </w:p>
    <w:p>
      <w:pPr>
        <w:spacing w:after="0" w:line="233" w:lineRule="exact"/>
        <w:rPr>
          <w:sz w:val="20"/>
          <w:szCs w:val="20"/>
          <w:color w:val="auto"/>
        </w:rPr>
      </w:pPr>
    </w:p>
    <w:p>
      <w:pPr>
        <w:spacing w:after="0"/>
        <w:rPr>
          <w:sz w:val="20"/>
          <w:szCs w:val="20"/>
          <w:color w:val="auto"/>
        </w:rPr>
      </w:pPr>
      <w:r>
        <w:rPr>
          <w:rFonts w:ascii="Arial" w:cs="Arial" w:eastAsia="Arial" w:hAnsi="Arial"/>
          <w:sz w:val="20"/>
          <w:szCs w:val="20"/>
          <w:color w:val="auto"/>
        </w:rPr>
        <w:t>Your supervisor will be Matt Murphy. Your work location will be Irvine, California.</w:t>
      </w:r>
    </w:p>
    <w:p>
      <w:pPr>
        <w:spacing w:after="0" w:line="21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Cash Incentive Compensation</w:t>
      </w:r>
    </w:p>
    <w:p>
      <w:pPr>
        <w:spacing w:after="0" w:line="267" w:lineRule="exact"/>
        <w:rPr>
          <w:sz w:val="20"/>
          <w:szCs w:val="20"/>
          <w:color w:val="auto"/>
        </w:rPr>
      </w:pPr>
    </w:p>
    <w:p>
      <w:pPr>
        <w:ind w:right="60"/>
        <w:spacing w:after="0"/>
        <w:rPr>
          <w:sz w:val="20"/>
          <w:szCs w:val="20"/>
          <w:color w:val="auto"/>
        </w:rPr>
      </w:pPr>
      <w:r>
        <w:rPr>
          <w:rFonts w:ascii="Arial" w:cs="Arial" w:eastAsia="Arial" w:hAnsi="Arial"/>
          <w:sz w:val="20"/>
          <w:szCs w:val="20"/>
          <w:color w:val="auto"/>
        </w:rPr>
        <w:t>You will be eligible to participate in the Company’s executive Annual Incentive Program (AIP) with a target bonus of 90% of your current base salary. The amount of your actual AIP bonus payment will be determined by the Company at its sole discretion based on a number of factors including but not limited to company and individual performance. To ensure alignment between you and the other members of the Marvell executive team, you will be paid your Marvell FY2022 AIP bonus as if you had been an employee of Marvell for the entire year; and the amount of any prorated partial bonus for the current year paid to you, if any, for the period January 2021-April 2021 will be treated as a pre-payment and will be deducted from your final FY2022 AIP. You must be an active Company employee at the time of the bonus payout to be eligible for payment. It is clarified that the Company retains the right to modify, amend or terminate its plans and policies, including the AIP, from time to time, at its sole discretion. Any such modification or amendment will be communicated to you. It is also clarified that any payment of bonus or other compensation in one financial year, under any of the Company’s plans and/or policies does not create a right to claim such compensation or bonus from the Company in the future.</w:t>
      </w:r>
    </w:p>
    <w:p>
      <w:pPr>
        <w:spacing w:after="0" w:line="214"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Equity Awards</w:t>
      </w:r>
    </w:p>
    <w:p>
      <w:pPr>
        <w:spacing w:after="0" w:line="267" w:lineRule="exact"/>
        <w:rPr>
          <w:sz w:val="20"/>
          <w:szCs w:val="20"/>
          <w:color w:val="auto"/>
        </w:rPr>
      </w:pPr>
    </w:p>
    <w:p>
      <w:pPr>
        <w:spacing w:after="0"/>
        <w:rPr>
          <w:sz w:val="20"/>
          <w:szCs w:val="20"/>
          <w:color w:val="auto"/>
        </w:rPr>
      </w:pPr>
      <w:r>
        <w:rPr>
          <w:rFonts w:ascii="Arial" w:cs="Arial" w:eastAsia="Arial" w:hAnsi="Arial"/>
          <w:sz w:val="20"/>
          <w:szCs w:val="20"/>
          <w:color w:val="auto"/>
        </w:rPr>
        <w:t>You will be recommended to the Executive Compensation Committee (“ECC”) for the following grants:</w:t>
      </w:r>
    </w:p>
    <w:p>
      <w:pPr>
        <w:spacing w:after="0" w:line="219" w:lineRule="exact"/>
        <w:rPr>
          <w:sz w:val="20"/>
          <w:szCs w:val="20"/>
          <w:color w:val="auto"/>
        </w:rPr>
      </w:pPr>
    </w:p>
    <w:p>
      <w:pPr>
        <w:jc w:val="both"/>
        <w:ind w:right="20" w:firstLine="8"/>
        <w:spacing w:after="0" w:line="233" w:lineRule="auto"/>
        <w:tabs>
          <w:tab w:leader="none" w:pos="636" w:val="left"/>
        </w:tabs>
        <w:numPr>
          <w:ilvl w:val="0"/>
          <w:numId w:val="31"/>
        </w:numPr>
        <w:rPr>
          <w:rFonts w:ascii="Arial" w:cs="Arial" w:eastAsia="Arial" w:hAnsi="Arial"/>
          <w:sz w:val="20"/>
          <w:szCs w:val="20"/>
          <w:color w:val="auto"/>
        </w:rPr>
      </w:pPr>
      <w:r>
        <w:rPr>
          <w:rFonts w:ascii="Arial" w:cs="Arial" w:eastAsia="Arial" w:hAnsi="Arial"/>
          <w:sz w:val="20"/>
          <w:szCs w:val="20"/>
          <w:b w:val="1"/>
          <w:bCs w:val="1"/>
          <w:color w:val="auto"/>
        </w:rPr>
        <w:t>Time Based RSU Buy Award</w:t>
      </w:r>
      <w:r>
        <w:rPr>
          <w:rFonts w:ascii="Arial" w:cs="Arial" w:eastAsia="Arial" w:hAnsi="Arial"/>
          <w:sz w:val="20"/>
          <w:szCs w:val="20"/>
          <w:color w:val="auto"/>
        </w:rPr>
        <w:t>. A restricted stock unit award of common shares of Marvell equal to $900,000 (the “RSU”)</w:t>
      </w:r>
      <w:r>
        <w:rPr>
          <w:rFonts w:ascii="Arial" w:cs="Arial" w:eastAsia="Arial" w:hAnsi="Arial"/>
          <w:sz w:val="20"/>
          <w:szCs w:val="20"/>
          <w:b w:val="1"/>
          <w:bCs w:val="1"/>
          <w:color w:val="auto"/>
        </w:rPr>
        <w:t xml:space="preserve"> </w:t>
      </w:r>
      <w:r>
        <w:rPr>
          <w:rFonts w:ascii="Arial" w:cs="Arial" w:eastAsia="Arial" w:hAnsi="Arial"/>
          <w:sz w:val="20"/>
          <w:szCs w:val="20"/>
          <w:color w:val="auto"/>
        </w:rPr>
        <w:t>divided by the Share Price, subject to applicable securities law restrictions. The RSU shall vest over three (3) years at the rate of 1/12 on the first quarterly anniversary of the vesting start date and 1/12</w:t>
      </w:r>
      <w:r>
        <w:rPr>
          <w:rFonts w:ascii="Arial" w:cs="Arial" w:eastAsia="Arial" w:hAnsi="Arial"/>
          <w:sz w:val="25"/>
          <w:szCs w:val="25"/>
          <w:color w:val="auto"/>
          <w:vertAlign w:val="superscript"/>
        </w:rPr>
        <w:t>th</w:t>
      </w:r>
      <w:r>
        <w:rPr>
          <w:rFonts w:ascii="Arial" w:cs="Arial" w:eastAsia="Arial" w:hAnsi="Arial"/>
          <w:sz w:val="20"/>
          <w:szCs w:val="20"/>
          <w:color w:val="auto"/>
        </w:rPr>
        <w:t xml:space="preserve"> per quarter thereafter; provided that you continue to serve as an employee through each applicable vesting date.</w:t>
      </w:r>
    </w:p>
    <w:p>
      <w:pPr>
        <w:sectPr>
          <w:pgSz w:w="11900" w:h="16838" w:orient="portrait"/>
          <w:cols w:equalWidth="0" w:num="1">
            <w:col w:w="11240"/>
          </w:cols>
          <w:pgMar w:left="320" w:top="1440" w:right="339" w:bottom="1440" w:gutter="0" w:footer="0" w:header="0"/>
        </w:sectPr>
      </w:pPr>
    </w:p>
    <w:bookmarkStart w:id="75" w:name="page76"/>
    <w:bookmarkEnd w:id="75"/>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right="180" w:firstLine="8"/>
        <w:spacing w:after="0" w:line="244" w:lineRule="auto"/>
        <w:tabs>
          <w:tab w:leader="none" w:pos="636" w:val="left"/>
        </w:tabs>
        <w:numPr>
          <w:ilvl w:val="0"/>
          <w:numId w:val="32"/>
        </w:numPr>
        <w:rPr>
          <w:rFonts w:ascii="Arial" w:cs="Arial" w:eastAsia="Arial" w:hAnsi="Arial"/>
          <w:sz w:val="20"/>
          <w:szCs w:val="20"/>
          <w:color w:val="auto"/>
        </w:rPr>
      </w:pPr>
      <w:r>
        <w:rPr>
          <w:rFonts w:ascii="Arial" w:cs="Arial" w:eastAsia="Arial" w:hAnsi="Arial"/>
          <w:sz w:val="20"/>
          <w:szCs w:val="20"/>
          <w:b w:val="1"/>
          <w:bCs w:val="1"/>
          <w:color w:val="auto"/>
        </w:rPr>
        <w:t xml:space="preserve">Performance Based RSU Award based on Total Shareholder Return. </w:t>
      </w:r>
      <w:r>
        <w:rPr>
          <w:rFonts w:ascii="Arial" w:cs="Arial" w:eastAsia="Arial" w:hAnsi="Arial"/>
          <w:sz w:val="20"/>
          <w:szCs w:val="20"/>
          <w:color w:val="auto"/>
        </w:rPr>
        <w:t>A performance-based restricted stock unit</w:t>
      </w:r>
      <w:r>
        <w:rPr>
          <w:rFonts w:ascii="Arial" w:cs="Arial" w:eastAsia="Arial" w:hAnsi="Arial"/>
          <w:sz w:val="20"/>
          <w:szCs w:val="20"/>
          <w:b w:val="1"/>
          <w:bCs w:val="1"/>
          <w:color w:val="auto"/>
        </w:rPr>
        <w:t xml:space="preserve"> </w:t>
      </w:r>
      <w:r>
        <w:rPr>
          <w:rFonts w:ascii="Arial" w:cs="Arial" w:eastAsia="Arial" w:hAnsi="Arial"/>
          <w:sz w:val="20"/>
          <w:szCs w:val="20"/>
          <w:color w:val="auto"/>
        </w:rPr>
        <w:t>award of common shares of Marvell equal to $1,100,000 (the “TSR”) divided by the Share Price (as defined below); such amount being referred to as the target amount for this award. The TSR shall vest on the third anniversary of the date of grant, provided that you remain an employee through such vesting date. The number of shares that shall vest can range from zero to 200% of the above referenced target number based on achievement of performance objectives relating to the relative total shareholder return of Marvell 's stock as compared to the total shareholder return of other companies over the measurement period. The TSR shall be on the same terms, performance measures and payout curve as the TSR awards approved for the other executive officers in March 2021.</w:t>
      </w:r>
    </w:p>
    <w:p>
      <w:pPr>
        <w:spacing w:after="0" w:line="208" w:lineRule="exact"/>
        <w:rPr>
          <w:rFonts w:ascii="Arial" w:cs="Arial" w:eastAsia="Arial" w:hAnsi="Arial"/>
          <w:sz w:val="20"/>
          <w:szCs w:val="20"/>
          <w:color w:val="auto"/>
        </w:rPr>
      </w:pPr>
    </w:p>
    <w:p>
      <w:pPr>
        <w:ind w:firstLine="8"/>
        <w:spacing w:after="0" w:line="244" w:lineRule="auto"/>
        <w:tabs>
          <w:tab w:leader="none" w:pos="636" w:val="left"/>
        </w:tabs>
        <w:numPr>
          <w:ilvl w:val="0"/>
          <w:numId w:val="32"/>
        </w:numPr>
        <w:rPr>
          <w:rFonts w:ascii="Arial" w:cs="Arial" w:eastAsia="Arial" w:hAnsi="Arial"/>
          <w:sz w:val="20"/>
          <w:szCs w:val="20"/>
          <w:color w:val="auto"/>
        </w:rPr>
      </w:pPr>
      <w:r>
        <w:rPr>
          <w:rFonts w:ascii="Arial" w:cs="Arial" w:eastAsia="Arial" w:hAnsi="Arial"/>
          <w:sz w:val="20"/>
          <w:szCs w:val="20"/>
          <w:b w:val="1"/>
          <w:bCs w:val="1"/>
          <w:color w:val="auto"/>
        </w:rPr>
        <w:t>Refresh Equity Grant</w:t>
      </w:r>
      <w:r>
        <w:rPr>
          <w:rFonts w:ascii="Arial" w:cs="Arial" w:eastAsia="Arial" w:hAnsi="Arial"/>
          <w:sz w:val="20"/>
          <w:szCs w:val="20"/>
          <w:color w:val="auto"/>
        </w:rPr>
        <w:t>. The Company generally conducts its annual employee compensation review in Q1 of its fiscal</w:t>
      </w:r>
      <w:r>
        <w:rPr>
          <w:rFonts w:ascii="Arial" w:cs="Arial" w:eastAsia="Arial" w:hAnsi="Arial"/>
          <w:sz w:val="20"/>
          <w:szCs w:val="20"/>
          <w:b w:val="1"/>
          <w:bCs w:val="1"/>
          <w:color w:val="auto"/>
        </w:rPr>
        <w:t xml:space="preserve"> </w:t>
      </w:r>
      <w:r>
        <w:rPr>
          <w:rFonts w:ascii="Arial" w:cs="Arial" w:eastAsia="Arial" w:hAnsi="Arial"/>
          <w:sz w:val="20"/>
          <w:szCs w:val="20"/>
          <w:color w:val="auto"/>
        </w:rPr>
        <w:t>year, including equity grants. With respect to the review scheduled to be conducted in March 2022, you will receive an additional equity award. It is expected that those awards will be granted on and commence vesting on April 15, 2022 and it is also currently expected that such award will consist of a combination of (i) RSUs that will vest over a three (3) year period with 1/12th vesting per quarter over the succeeding three (3) years, provided that you continue to serve as an active employee through each applicable vesting date and (ii) performance based awards. The type and mix of awards will be identical to those awarded to other employees at the executive vice president level.</w:t>
      </w:r>
    </w:p>
    <w:p>
      <w:pPr>
        <w:spacing w:after="0" w:line="237" w:lineRule="exact"/>
        <w:rPr>
          <w:sz w:val="20"/>
          <w:szCs w:val="20"/>
          <w:color w:val="auto"/>
        </w:rPr>
      </w:pPr>
    </w:p>
    <w:p>
      <w:pPr>
        <w:ind w:right="120"/>
        <w:spacing w:after="0" w:line="243" w:lineRule="auto"/>
        <w:rPr>
          <w:sz w:val="20"/>
          <w:szCs w:val="20"/>
          <w:color w:val="auto"/>
        </w:rPr>
      </w:pPr>
      <w:r>
        <w:rPr>
          <w:rFonts w:ascii="Arial" w:cs="Arial" w:eastAsia="Arial" w:hAnsi="Arial"/>
          <w:sz w:val="20"/>
          <w:szCs w:val="20"/>
          <w:color w:val="auto"/>
        </w:rPr>
        <w:t>For the purposes of the equity awards described above, “Share Price” shall mean the closing price of Marvell common stock on the effective date the grant is approved by Marvell’s ECC (or a subcommittee thereof), subject to applicable securities law restrictions. This is expected to occur on May 15, 2021.</w:t>
      </w:r>
    </w:p>
    <w:p>
      <w:pPr>
        <w:spacing w:after="0" w:line="233" w:lineRule="exact"/>
        <w:rPr>
          <w:sz w:val="20"/>
          <w:szCs w:val="20"/>
          <w:color w:val="auto"/>
        </w:rPr>
      </w:pPr>
    </w:p>
    <w:p>
      <w:pPr>
        <w:ind w:right="180"/>
        <w:spacing w:after="0" w:line="243" w:lineRule="auto"/>
        <w:rPr>
          <w:sz w:val="20"/>
          <w:szCs w:val="20"/>
          <w:color w:val="auto"/>
        </w:rPr>
      </w:pPr>
      <w:r>
        <w:rPr>
          <w:rFonts w:ascii="Arial" w:cs="Arial" w:eastAsia="Arial" w:hAnsi="Arial"/>
          <w:sz w:val="20"/>
          <w:szCs w:val="20"/>
          <w:color w:val="auto"/>
        </w:rPr>
        <w:t>All of the foregoing equity awards are subject to applicable local laws and regulations and will be subject to your return to us of completed, signed award agreement (or acceptance of such award in accordance with the Company policies related to such awards) and the terms thereof.</w:t>
      </w:r>
    </w:p>
    <w:p>
      <w:pPr>
        <w:spacing w:after="0" w:line="20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Change-in-Control</w:t>
      </w:r>
    </w:p>
    <w:p>
      <w:pPr>
        <w:spacing w:after="0" w:line="267" w:lineRule="exact"/>
        <w:rPr>
          <w:sz w:val="20"/>
          <w:szCs w:val="20"/>
          <w:color w:val="auto"/>
        </w:rPr>
      </w:pPr>
    </w:p>
    <w:p>
      <w:pPr>
        <w:ind w:right="160"/>
        <w:spacing w:after="0" w:line="272" w:lineRule="auto"/>
        <w:rPr>
          <w:sz w:val="20"/>
          <w:szCs w:val="20"/>
          <w:color w:val="auto"/>
        </w:rPr>
      </w:pPr>
      <w:r>
        <w:rPr>
          <w:rFonts w:ascii="Arial" w:cs="Arial" w:eastAsia="Arial" w:hAnsi="Arial"/>
          <w:sz w:val="19"/>
          <w:szCs w:val="19"/>
          <w:color w:val="auto"/>
        </w:rPr>
        <w:t>You will be eligible to participate in the Marvell Change in Control and Severance Plan ("CIC Plan") at the “Tier 2” level, subject to the terms and conditions of the CIC Plan and in substantially the form of Tier 2 agreement attached hereto as Appendix A.</w:t>
      </w:r>
    </w:p>
    <w:p>
      <w:pPr>
        <w:spacing w:after="0" w:line="183"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Inphi Equity Awards</w:t>
      </w:r>
    </w:p>
    <w:p>
      <w:pPr>
        <w:spacing w:after="0" w:line="267" w:lineRule="exact"/>
        <w:rPr>
          <w:sz w:val="20"/>
          <w:szCs w:val="20"/>
          <w:color w:val="auto"/>
        </w:rPr>
      </w:pPr>
    </w:p>
    <w:p>
      <w:pPr>
        <w:jc w:val="both"/>
        <w:ind w:right="320"/>
        <w:spacing w:after="0" w:line="243" w:lineRule="auto"/>
        <w:rPr>
          <w:sz w:val="20"/>
          <w:szCs w:val="20"/>
          <w:color w:val="auto"/>
        </w:rPr>
      </w:pPr>
      <w:r>
        <w:rPr>
          <w:rFonts w:ascii="Arial" w:cs="Arial" w:eastAsia="Arial" w:hAnsi="Arial"/>
          <w:sz w:val="20"/>
          <w:szCs w:val="20"/>
          <w:color w:val="auto"/>
        </w:rPr>
        <w:t>You have been granted various equity awards by Inphi Corporation. Those awards continue to vest on their respective terms. The change in role and compensation under this agreement does not constitute an Involuntary Termination under your Inphi Change of Control Agreement.</w:t>
      </w:r>
    </w:p>
    <w:p>
      <w:pPr>
        <w:sectPr>
          <w:pgSz w:w="11900" w:h="16838" w:orient="portrait"/>
          <w:cols w:equalWidth="0" w:num="1">
            <w:col w:w="11240"/>
          </w:cols>
          <w:pgMar w:left="320" w:top="1440" w:right="339" w:bottom="1440" w:gutter="0" w:footer="0" w:header="0"/>
        </w:sectPr>
      </w:pPr>
    </w:p>
    <w:bookmarkStart w:id="76" w:name="page77"/>
    <w:bookmarkEnd w:id="7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right="20"/>
        <w:spacing w:after="0"/>
        <w:rPr>
          <w:sz w:val="20"/>
          <w:szCs w:val="20"/>
          <w:color w:val="auto"/>
        </w:rPr>
      </w:pPr>
      <w:r>
        <w:rPr>
          <w:rFonts w:ascii="Arial" w:cs="Arial" w:eastAsia="Arial" w:hAnsi="Arial"/>
          <w:sz w:val="20"/>
          <w:szCs w:val="20"/>
          <w:color w:val="auto"/>
        </w:rPr>
        <w:t>Your performance-based award granted April 24, 2019 for 24,110 target shares of Inphi Common Stock (the “PSU”) vests based on achievement of certain revenue targets (100% of target at $90M of applicable revenue and 150% of target at $ 120M of applicable revenue). A copy is attached as Appendix B. The provision of the PSU that states “Effect of Change of Control: If a Change of Control occurs prior to the end of the Performance Period, then the Performance Vesting Rate shall be deemed to be 100%” is, to the extent not previously modified by Inphi, hereby modified and shall be of no further force and effect. For purposes of determining the amount of revenue achievement under the PSU Coherent Digital Signal Processing revenue will be calculated in a manner consistent with how it was being calculated by Inphi immediately prior to the acquisition by Marvell (which is reflected on Appendix C). For the avoidance of doubt, it will include optical module revenue that has M200 or Canopus DSP incorporated, applicable NRE and the 016 ASIC.</w:t>
      </w:r>
    </w:p>
    <w:p>
      <w:pPr>
        <w:spacing w:after="0" w:line="215"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Other Terms</w:t>
      </w:r>
    </w:p>
    <w:p>
      <w:pPr>
        <w:spacing w:after="0" w:line="267" w:lineRule="exact"/>
        <w:rPr>
          <w:sz w:val="20"/>
          <w:szCs w:val="20"/>
          <w:color w:val="auto"/>
        </w:rPr>
      </w:pPr>
    </w:p>
    <w:p>
      <w:pPr>
        <w:ind w:right="80"/>
        <w:spacing w:after="0" w:line="243" w:lineRule="auto"/>
        <w:rPr>
          <w:sz w:val="20"/>
          <w:szCs w:val="20"/>
          <w:color w:val="auto"/>
        </w:rPr>
      </w:pPr>
      <w:r>
        <w:rPr>
          <w:rFonts w:ascii="Arial" w:cs="Arial" w:eastAsia="Arial" w:hAnsi="Arial"/>
          <w:sz w:val="20"/>
          <w:szCs w:val="20"/>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232" w:lineRule="exact"/>
        <w:rPr>
          <w:sz w:val="20"/>
          <w:szCs w:val="20"/>
          <w:color w:val="auto"/>
        </w:rPr>
      </w:pPr>
    </w:p>
    <w:p>
      <w:pPr>
        <w:ind w:left="640" w:hanging="308"/>
        <w:spacing w:after="0"/>
        <w:tabs>
          <w:tab w:leader="none" w:pos="640" w:val="left"/>
        </w:tabs>
        <w:numPr>
          <w:ilvl w:val="0"/>
          <w:numId w:val="33"/>
        </w:numPr>
        <w:rPr>
          <w:rFonts w:ascii="Arial" w:cs="Arial" w:eastAsia="Arial" w:hAnsi="Arial"/>
          <w:sz w:val="20"/>
          <w:szCs w:val="20"/>
          <w:color w:val="auto"/>
        </w:rPr>
      </w:pPr>
      <w:r>
        <w:rPr>
          <w:rFonts w:ascii="Arial" w:cs="Arial" w:eastAsia="Arial" w:hAnsi="Arial"/>
          <w:sz w:val="20"/>
          <w:szCs w:val="20"/>
          <w:color w:val="auto"/>
        </w:rPr>
        <w:t>A valid driver’s license and social security card, or</w:t>
      </w:r>
    </w:p>
    <w:p>
      <w:pPr>
        <w:ind w:left="640" w:hanging="308"/>
        <w:spacing w:after="0"/>
        <w:tabs>
          <w:tab w:leader="none" w:pos="640" w:val="left"/>
        </w:tabs>
        <w:numPr>
          <w:ilvl w:val="0"/>
          <w:numId w:val="33"/>
        </w:numPr>
        <w:rPr>
          <w:rFonts w:ascii="Arial" w:cs="Arial" w:eastAsia="Arial" w:hAnsi="Arial"/>
          <w:sz w:val="20"/>
          <w:szCs w:val="20"/>
          <w:color w:val="auto"/>
        </w:rPr>
      </w:pPr>
      <w:r>
        <w:rPr>
          <w:rFonts w:ascii="Arial" w:cs="Arial" w:eastAsia="Arial" w:hAnsi="Arial"/>
          <w:sz w:val="20"/>
          <w:szCs w:val="20"/>
          <w:color w:val="auto"/>
        </w:rPr>
        <w:t>A current passport</w:t>
      </w:r>
    </w:p>
    <w:p>
      <w:pPr>
        <w:spacing w:after="0" w:line="242" w:lineRule="exact"/>
        <w:rPr>
          <w:sz w:val="20"/>
          <w:szCs w:val="20"/>
          <w:color w:val="auto"/>
        </w:rPr>
      </w:pPr>
    </w:p>
    <w:p>
      <w:pPr>
        <w:spacing w:after="0"/>
        <w:rPr>
          <w:sz w:val="20"/>
          <w:szCs w:val="20"/>
          <w:color w:val="auto"/>
        </w:rPr>
      </w:pPr>
      <w:r>
        <w:rPr>
          <w:rFonts w:ascii="Arial" w:cs="Arial" w:eastAsia="Arial" w:hAnsi="Arial"/>
          <w:sz w:val="20"/>
          <w:szCs w:val="20"/>
          <w:color w:val="auto"/>
        </w:rPr>
        <w:t>Please note your offer is contingent upon:</w:t>
      </w:r>
    </w:p>
    <w:p>
      <w:pPr>
        <w:ind w:left="660" w:hanging="328"/>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20"/>
          <w:szCs w:val="20"/>
          <w:color w:val="auto"/>
        </w:rPr>
        <w:t>Successful completion of a routine background investigation and reference checks;</w:t>
      </w:r>
    </w:p>
    <w:p>
      <w:pPr>
        <w:ind w:left="660" w:right="40" w:hanging="328"/>
        <w:spacing w:after="0" w:line="252" w:lineRule="auto"/>
        <w:tabs>
          <w:tab w:leader="none" w:pos="655" w:val="left"/>
        </w:tabs>
        <w:numPr>
          <w:ilvl w:val="0"/>
          <w:numId w:val="34"/>
        </w:numPr>
        <w:rPr>
          <w:rFonts w:ascii="Arial" w:cs="Arial" w:eastAsia="Arial" w:hAnsi="Arial"/>
          <w:sz w:val="17"/>
          <w:szCs w:val="17"/>
          <w:color w:val="auto"/>
        </w:rPr>
      </w:pPr>
      <w:r>
        <w:rPr>
          <w:rFonts w:ascii="Arial" w:cs="Arial" w:eastAsia="Arial" w:hAnsi="Arial"/>
          <w:sz w:val="19"/>
          <w:szCs w:val="19"/>
          <w:color w:val="auto"/>
        </w:rPr>
        <w:t>The Company’s receipt from you of a signed Employee Agreement, which contains the Company's Confidential Information and Invention Assignment Provisions, Code of Business Conduct and Ethics and Arbitration Agreement; and</w:t>
      </w:r>
    </w:p>
    <w:p>
      <w:pPr>
        <w:ind w:left="660" w:hanging="328"/>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20"/>
          <w:szCs w:val="20"/>
          <w:color w:val="auto"/>
        </w:rPr>
        <w:t>Completion of visa, license requirements, and government restricted party screening requirements, if applicable.</w:t>
      </w:r>
    </w:p>
    <w:p>
      <w:pPr>
        <w:spacing w:after="0" w:line="243" w:lineRule="exact"/>
        <w:rPr>
          <w:sz w:val="20"/>
          <w:szCs w:val="20"/>
          <w:color w:val="auto"/>
        </w:rPr>
      </w:pPr>
    </w:p>
    <w:p>
      <w:pPr>
        <w:ind w:right="100"/>
        <w:spacing w:after="0" w:line="243" w:lineRule="auto"/>
        <w:rPr>
          <w:sz w:val="20"/>
          <w:szCs w:val="20"/>
          <w:color w:val="auto"/>
        </w:rPr>
      </w:pPr>
      <w:r>
        <w:rPr>
          <w:rFonts w:ascii="Arial" w:cs="Arial" w:eastAsia="Arial" w:hAnsi="Arial"/>
          <w:sz w:val="20"/>
          <w:szCs w:val="20"/>
          <w:color w:val="auto"/>
        </w:rPr>
        <w:t>Your employment with the Company is at the mutual consent of you, the employee, and the Company, the employer. Your employment with the Company is at-will. Either you or the Company may terminate your employment at any time and for any or no reason. The at-will nature of your employment may only be changed by a written agreement signed by the CEO.</w:t>
      </w:r>
    </w:p>
    <w:p>
      <w:pPr>
        <w:spacing w:after="0" w:line="233" w:lineRule="exact"/>
        <w:rPr>
          <w:sz w:val="20"/>
          <w:szCs w:val="20"/>
          <w:color w:val="auto"/>
        </w:rPr>
      </w:pPr>
    </w:p>
    <w:p>
      <w:pPr>
        <w:jc w:val="both"/>
        <w:spacing w:after="0" w:line="243" w:lineRule="auto"/>
        <w:rPr>
          <w:sz w:val="20"/>
          <w:szCs w:val="20"/>
          <w:color w:val="auto"/>
        </w:rPr>
      </w:pPr>
      <w:r>
        <w:rPr>
          <w:rFonts w:ascii="Arial" w:cs="Arial" w:eastAsia="Arial" w:hAnsi="Arial"/>
          <w:sz w:val="20"/>
          <w:szCs w:val="20"/>
          <w:color w:val="auto"/>
        </w:rPr>
        <w:t>Marvell is an exciting company whose mission is to develop and deliver semiconductor solutions that process, move, store, and secure the world’s data faster and more reliably than anyone else. We look forward to your acceptance as we believe you will be an important addition to our team.</w:t>
      </w:r>
    </w:p>
    <w:p>
      <w:pPr>
        <w:sectPr>
          <w:pgSz w:w="11900" w:h="16838" w:orient="portrait"/>
          <w:cols w:equalWidth="0" w:num="1">
            <w:col w:w="11220"/>
          </w:cols>
          <w:pgMar w:left="320" w:top="1440" w:right="359" w:bottom="1440" w:gutter="0" w:footer="0" w:header="0"/>
        </w:sectPr>
      </w:pPr>
    </w:p>
    <w:bookmarkStart w:id="77" w:name="page78"/>
    <w:bookmarkEnd w:id="7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right="60"/>
        <w:spacing w:after="0" w:line="241" w:lineRule="auto"/>
        <w:rPr>
          <w:sz w:val="20"/>
          <w:szCs w:val="20"/>
          <w:color w:val="auto"/>
        </w:rPr>
      </w:pPr>
      <w:r>
        <w:rPr>
          <w:rFonts w:ascii="Arial" w:cs="Arial" w:eastAsia="Arial" w:hAnsi="Arial"/>
          <w:sz w:val="20"/>
          <w:szCs w:val="20"/>
          <w:color w:val="auto"/>
        </w:rPr>
        <w:t>This letter (if accepted) and the Employee Agreement noted above constitute the entire agreement between you and the Company regarding the terms of your employment, and supersede any prior representations or agreements, whether written or oral, concerning the terms of your employment; except that your Inphi Change in Control Agreement and Employee Innovations and Proprietary Rights Assignment Agreement shall remain in full force and effect. This letter may not be modified or amended except by a signed written agreement.</w:t>
      </w:r>
    </w:p>
    <w:p>
      <w:pPr>
        <w:spacing w:after="0" w:line="236" w:lineRule="exact"/>
        <w:rPr>
          <w:sz w:val="20"/>
          <w:szCs w:val="20"/>
          <w:color w:val="auto"/>
        </w:rPr>
      </w:pPr>
    </w:p>
    <w:p>
      <w:pPr>
        <w:spacing w:after="0" w:line="246" w:lineRule="auto"/>
        <w:rPr>
          <w:sz w:val="20"/>
          <w:szCs w:val="20"/>
          <w:color w:val="auto"/>
        </w:rPr>
      </w:pPr>
      <w:r>
        <w:rPr>
          <w:rFonts w:ascii="Arial" w:cs="Arial" w:eastAsia="Arial" w:hAnsi="Arial"/>
          <w:sz w:val="20"/>
          <w:szCs w:val="20"/>
          <w:color w:val="auto"/>
        </w:rPr>
        <w:t>To accept this offer, please sign this letter within one week of the offer date. Before submitting your response please print a copy of this letter for your records.</w:t>
      </w:r>
    </w:p>
    <w:p>
      <w:pPr>
        <w:spacing w:after="0" w:line="231" w:lineRule="exact"/>
        <w:rPr>
          <w:sz w:val="20"/>
          <w:szCs w:val="20"/>
          <w:color w:val="auto"/>
        </w:rPr>
      </w:pPr>
    </w:p>
    <w:p>
      <w:pPr>
        <w:spacing w:after="0"/>
        <w:rPr>
          <w:sz w:val="20"/>
          <w:szCs w:val="20"/>
          <w:color w:val="auto"/>
        </w:rPr>
      </w:pPr>
      <w:r>
        <w:rPr>
          <w:rFonts w:ascii="Arial" w:cs="Arial" w:eastAsia="Arial" w:hAnsi="Arial"/>
          <w:sz w:val="20"/>
          <w:szCs w:val="20"/>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Arial" w:cs="Arial" w:eastAsia="Arial" w:hAnsi="Arial"/>
          <w:sz w:val="20"/>
          <w:szCs w:val="20"/>
          <w:color w:val="auto"/>
        </w:rPr>
        <w:t>Mitch Gaynor</w:t>
      </w:r>
    </w:p>
    <w:p>
      <w:pPr>
        <w:spacing w:after="0"/>
        <w:rPr>
          <w:sz w:val="20"/>
          <w:szCs w:val="20"/>
          <w:color w:val="auto"/>
        </w:rPr>
      </w:pPr>
      <w:r>
        <w:rPr>
          <w:rFonts w:ascii="Arial" w:cs="Arial" w:eastAsia="Arial" w:hAnsi="Arial"/>
          <w:sz w:val="20"/>
          <w:szCs w:val="20"/>
          <w:color w:val="auto"/>
        </w:rPr>
        <w:t>Chief Administration and Legal Officer</w:t>
      </w:r>
    </w:p>
    <w:p>
      <w:pPr>
        <w:spacing w:after="0" w:line="243" w:lineRule="exact"/>
        <w:rPr>
          <w:sz w:val="20"/>
          <w:szCs w:val="20"/>
          <w:color w:val="auto"/>
        </w:rPr>
      </w:pPr>
    </w:p>
    <w:p>
      <w:pPr>
        <w:spacing w:after="0"/>
        <w:rPr>
          <w:sz w:val="20"/>
          <w:szCs w:val="20"/>
          <w:color w:val="auto"/>
        </w:rPr>
      </w:pPr>
      <w:r>
        <w:rPr>
          <w:rFonts w:ascii="Arial" w:cs="Arial" w:eastAsia="Arial" w:hAnsi="Arial"/>
          <w:sz w:val="20"/>
          <w:szCs w:val="20"/>
          <w:color w:val="auto"/>
        </w:rPr>
        <w:t>Accepted By:</w:t>
      </w:r>
    </w:p>
    <w:p>
      <w:pPr>
        <w:sectPr>
          <w:pgSz w:w="11900" w:h="16838" w:orient="portrait"/>
          <w:cols w:equalWidth="0" w:num="1">
            <w:col w:w="11200"/>
          </w:cols>
          <w:pgMar w:left="320" w:top="1440" w:right="379" w:bottom="1440" w:gutter="0" w:footer="0" w:header="0"/>
        </w:sectPr>
      </w:pPr>
    </w:p>
    <w:p>
      <w:pPr>
        <w:spacing w:after="0" w:line="243" w:lineRule="exact"/>
        <w:rPr>
          <w:sz w:val="20"/>
          <w:szCs w:val="20"/>
          <w:color w:val="auto"/>
        </w:rPr>
      </w:pPr>
    </w:p>
    <w:p>
      <w:pPr>
        <w:spacing w:after="0" w:line="272" w:lineRule="auto"/>
        <w:rPr>
          <w:sz w:val="20"/>
          <w:szCs w:val="20"/>
          <w:color w:val="auto"/>
        </w:rPr>
      </w:pPr>
      <w:r>
        <w:rPr>
          <w:rFonts w:ascii="Arial" w:cs="Arial" w:eastAsia="Arial" w:hAnsi="Arial"/>
          <w:sz w:val="19"/>
          <w:szCs w:val="19"/>
          <w:color w:val="auto"/>
        </w:rPr>
        <w:t>_____________________ Nariman Yousefi</w:t>
      </w:r>
    </w:p>
    <w:p>
      <w:pPr>
        <w:spacing w:after="0" w:line="20" w:lineRule="exact"/>
        <w:rPr>
          <w:sz w:val="20"/>
          <w:szCs w:val="20"/>
          <w:color w:val="auto"/>
        </w:rPr>
      </w:pPr>
      <w:r>
        <w:rPr>
          <w:sz w:val="20"/>
          <w:szCs w:val="20"/>
          <w:color w:val="auto"/>
        </w:rPr>
        <w:br w:type="column"/>
      </w:r>
    </w:p>
    <w:p>
      <w:pPr>
        <w:spacing w:after="0" w:line="223" w:lineRule="exact"/>
        <w:rPr>
          <w:sz w:val="20"/>
          <w:szCs w:val="20"/>
          <w:color w:val="auto"/>
        </w:rPr>
      </w:pPr>
    </w:p>
    <w:p>
      <w:pPr>
        <w:spacing w:after="0"/>
        <w:rPr>
          <w:sz w:val="20"/>
          <w:szCs w:val="20"/>
          <w:color w:val="auto"/>
        </w:rPr>
      </w:pPr>
      <w:r>
        <w:rPr>
          <w:rFonts w:ascii="Arial" w:cs="Arial" w:eastAsia="Arial" w:hAnsi="Arial"/>
          <w:sz w:val="19"/>
          <w:szCs w:val="19"/>
          <w:color w:val="auto"/>
        </w:rPr>
        <w:t>Date signed: __________________</w:t>
      </w:r>
    </w:p>
    <w:p>
      <w:pPr>
        <w:sectPr>
          <w:pgSz w:w="11900" w:h="16838" w:orient="portrait"/>
          <w:cols w:equalWidth="0" w:num="2">
            <w:col w:w="2320" w:space="440"/>
            <w:col w:w="8440"/>
          </w:cols>
          <w:pgMar w:left="320" w:top="1440" w:right="379" w:bottom="1440" w:gutter="0" w:footer="0" w:header="0"/>
          <w:type w:val="continuous"/>
        </w:sectPr>
      </w:pPr>
    </w:p>
    <w:bookmarkStart w:id="78" w:name="page79"/>
    <w:bookmarkEnd w:id="7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right"/>
        <w:spacing w:after="0"/>
        <w:rPr>
          <w:sz w:val="20"/>
          <w:szCs w:val="20"/>
          <w:color w:val="auto"/>
        </w:rPr>
      </w:pPr>
      <w:r>
        <w:rPr>
          <w:rFonts w:ascii="Arial" w:cs="Arial" w:eastAsia="Arial" w:hAnsi="Arial"/>
          <w:sz w:val="20"/>
          <w:szCs w:val="20"/>
          <w:b w:val="1"/>
          <w:bCs w:val="1"/>
          <w:color w:val="auto"/>
        </w:rPr>
        <w:t>TIER 2</w:t>
      </w:r>
    </w:p>
    <w:p>
      <w:pPr>
        <w:spacing w:after="0" w:line="202" w:lineRule="exact"/>
        <w:rPr>
          <w:sz w:val="20"/>
          <w:szCs w:val="20"/>
          <w:color w:val="auto"/>
        </w:rPr>
      </w:pPr>
    </w:p>
    <w:p>
      <w:pPr>
        <w:jc w:val="center"/>
        <w:spacing w:after="0"/>
        <w:rPr>
          <w:sz w:val="20"/>
          <w:szCs w:val="20"/>
          <w:color w:val="auto"/>
        </w:rPr>
      </w:pPr>
      <w:r>
        <w:rPr>
          <w:rFonts w:ascii="Arial" w:cs="Arial" w:eastAsia="Arial" w:hAnsi="Arial"/>
          <w:sz w:val="20"/>
          <w:szCs w:val="20"/>
          <w:b w:val="1"/>
          <w:bCs w:val="1"/>
          <w:u w:val="single" w:color="auto"/>
          <w:color w:val="auto"/>
        </w:rPr>
        <w:t>Appendix A</w:t>
      </w:r>
    </w:p>
    <w:p>
      <w:pPr>
        <w:spacing w:after="0" w:line="24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is pleased to inform you, _______________________, that you have been selected to</w:t>
      </w:r>
    </w:p>
    <w:p>
      <w:pPr>
        <w:spacing w:after="0" w:line="45" w:lineRule="exact"/>
        <w:rPr>
          <w:sz w:val="20"/>
          <w:szCs w:val="20"/>
          <w:color w:val="auto"/>
        </w:rPr>
      </w:pPr>
    </w:p>
    <w:p>
      <w:pPr>
        <w:ind w:right="200"/>
        <w:spacing w:after="0" w:line="239" w:lineRule="auto"/>
        <w:rPr>
          <w:sz w:val="20"/>
          <w:szCs w:val="20"/>
          <w:color w:val="auto"/>
        </w:rPr>
      </w:pPr>
      <w:r>
        <w:rPr>
          <w:rFonts w:ascii="Arial" w:cs="Arial" w:eastAsia="Arial" w:hAnsi="Arial"/>
          <w:sz w:val="20"/>
          <w:szCs w:val="20"/>
          <w:color w:val="auto"/>
        </w:rPr>
        <w:t>participate in the Company’s Change in Control Severance Plan (the “</w:t>
      </w:r>
      <w:r>
        <w:rPr>
          <w:rFonts w:ascii="Arial" w:cs="Arial" w:eastAsia="Arial" w:hAnsi="Arial"/>
          <w:sz w:val="20"/>
          <w:szCs w:val="20"/>
          <w:b w:val="1"/>
          <w:bCs w:val="1"/>
          <w:color w:val="auto"/>
        </w:rPr>
        <w:t>Plan</w:t>
      </w:r>
      <w:r>
        <w:rPr>
          <w:rFonts w:ascii="Arial" w:cs="Arial" w:eastAsia="Arial" w:hAnsi="Arial"/>
          <w:sz w:val="20"/>
          <w:szCs w:val="20"/>
          <w:color w:val="auto"/>
        </w:rPr>
        <w:t>”) as a Participant. 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 w:lineRule="exact"/>
        <w:rPr>
          <w:sz w:val="20"/>
          <w:szCs w:val="20"/>
          <w:color w:val="auto"/>
        </w:rPr>
      </w:pPr>
    </w:p>
    <w:p>
      <w:pPr>
        <w:ind w:right="260"/>
        <w:spacing w:after="0" w:line="244" w:lineRule="auto"/>
        <w:rPr>
          <w:sz w:val="20"/>
          <w:szCs w:val="20"/>
          <w:color w:val="auto"/>
        </w:rPr>
      </w:pPr>
      <w:r>
        <w:rPr>
          <w:rFonts w:ascii="Arial" w:cs="Arial" w:eastAsia="Arial" w:hAnsi="Arial"/>
          <w:sz w:val="20"/>
          <w:szCs w:val="20"/>
          <w:color w:val="auto"/>
        </w:rPr>
        <w:t>In order to actually become a participant in the Plan, you must complete and sign this Participation Agreement and return it to [NAME] no later than [DATE].</w:t>
      </w:r>
    </w:p>
    <w:p>
      <w:pPr>
        <w:spacing w:after="0" w:line="218" w:lineRule="exact"/>
        <w:rPr>
          <w:sz w:val="20"/>
          <w:szCs w:val="20"/>
          <w:color w:val="auto"/>
        </w:rPr>
      </w:pPr>
    </w:p>
    <w:p>
      <w:pPr>
        <w:ind w:right="340"/>
        <w:spacing w:after="0" w:line="250" w:lineRule="auto"/>
        <w:rPr>
          <w:sz w:val="20"/>
          <w:szCs w:val="20"/>
          <w:color w:val="auto"/>
        </w:rPr>
      </w:pPr>
      <w:r>
        <w:rPr>
          <w:rFonts w:ascii="Arial" w:cs="Arial" w:eastAsia="Arial" w:hAnsi="Arial"/>
          <w:sz w:val="20"/>
          <w:szCs w:val="20"/>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213" w:lineRule="exact"/>
        <w:rPr>
          <w:sz w:val="20"/>
          <w:szCs w:val="20"/>
          <w:color w:val="auto"/>
        </w:rPr>
      </w:pPr>
    </w:p>
    <w:p>
      <w:pPr>
        <w:ind w:right="80"/>
        <w:spacing w:after="0" w:line="250" w:lineRule="auto"/>
        <w:rPr>
          <w:sz w:val="20"/>
          <w:szCs w:val="20"/>
          <w:color w:val="auto"/>
        </w:rPr>
      </w:pPr>
      <w:r>
        <w:rPr>
          <w:rFonts w:ascii="Arial" w:cs="Arial" w:eastAsia="Arial" w:hAnsi="Arial"/>
          <w:sz w:val="20"/>
          <w:szCs w:val="20"/>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80" w:lineRule="exact"/>
        <w:rPr>
          <w:sz w:val="20"/>
          <w:szCs w:val="20"/>
          <w:color w:val="auto"/>
        </w:rPr>
      </w:pPr>
    </w:p>
    <w:p>
      <w:pPr>
        <w:ind w:left="1300" w:hanging="644"/>
        <w:spacing w:after="0"/>
        <w:tabs>
          <w:tab w:leader="none" w:pos="1300" w:val="left"/>
        </w:tabs>
        <w:numPr>
          <w:ilvl w:val="0"/>
          <w:numId w:val="35"/>
        </w:numPr>
        <w:rPr>
          <w:rFonts w:ascii="Arial" w:cs="Arial" w:eastAsia="Arial" w:hAnsi="Arial"/>
          <w:sz w:val="20"/>
          <w:szCs w:val="20"/>
          <w:color w:val="auto"/>
        </w:rPr>
      </w:pPr>
      <w:r>
        <w:rPr>
          <w:rFonts w:ascii="Arial" w:cs="Arial" w:eastAsia="Arial" w:hAnsi="Arial"/>
          <w:sz w:val="20"/>
          <w:szCs w:val="20"/>
          <w:b w:val="1"/>
          <w:bCs w:val="1"/>
          <w:color w:val="auto"/>
        </w:rPr>
        <w:t>Cash Severance Benefits</w:t>
      </w:r>
      <w:r>
        <w:rPr>
          <w:rFonts w:ascii="Arial" w:cs="Arial" w:eastAsia="Arial" w:hAnsi="Arial"/>
          <w:sz w:val="20"/>
          <w:szCs w:val="20"/>
          <w:color w:val="auto"/>
        </w:rPr>
        <w:t>.</w:t>
      </w:r>
    </w:p>
    <w:p>
      <w:pPr>
        <w:spacing w:after="0" w:line="221" w:lineRule="exact"/>
        <w:rPr>
          <w:rFonts w:ascii="Arial" w:cs="Arial" w:eastAsia="Arial" w:hAnsi="Arial"/>
          <w:sz w:val="20"/>
          <w:szCs w:val="20"/>
          <w:color w:val="auto"/>
        </w:rPr>
      </w:pPr>
    </w:p>
    <w:p>
      <w:pPr>
        <w:jc w:val="both"/>
        <w:ind w:firstLine="1304"/>
        <w:spacing w:after="0" w:line="246" w:lineRule="auto"/>
        <w:tabs>
          <w:tab w:leader="none" w:pos="1944" w:val="left"/>
        </w:tabs>
        <w:numPr>
          <w:ilvl w:val="1"/>
          <w:numId w:val="35"/>
        </w:numPr>
        <w:rPr>
          <w:rFonts w:ascii="Arial" w:cs="Arial" w:eastAsia="Arial" w:hAnsi="Arial"/>
          <w:sz w:val="20"/>
          <w:szCs w:val="20"/>
          <w:i w:val="1"/>
          <w:iCs w:val="1"/>
          <w:color w:val="auto"/>
        </w:rPr>
      </w:pPr>
      <w:r>
        <w:rPr>
          <w:rFonts w:ascii="Arial" w:cs="Arial" w:eastAsia="Arial" w:hAnsi="Arial"/>
          <w:sz w:val="20"/>
          <w:szCs w:val="20"/>
          <w:i w:val="1"/>
          <w:iCs w:val="1"/>
          <w:color w:val="auto"/>
        </w:rPr>
        <w:t>Base Salary</w:t>
      </w:r>
      <w:r>
        <w:rPr>
          <w:rFonts w:ascii="Arial" w:cs="Arial" w:eastAsia="Arial" w:hAnsi="Arial"/>
          <w:sz w:val="20"/>
          <w:szCs w:val="20"/>
          <w:color w:val="auto"/>
        </w:rPr>
        <w:t>. A lump-sum payment (less applicable withholding taxes) equal to 18 months of your annual base salary</w:t>
      </w:r>
      <w:r>
        <w:rPr>
          <w:rFonts w:ascii="Arial" w:cs="Arial" w:eastAsia="Arial" w:hAnsi="Arial"/>
          <w:sz w:val="20"/>
          <w:szCs w:val="20"/>
          <w:i w:val="1"/>
          <w:iCs w:val="1"/>
          <w:color w:val="auto"/>
        </w:rPr>
        <w:t xml:space="preserve"> </w:t>
      </w:r>
      <w:r>
        <w:rPr>
          <w:rFonts w:ascii="Arial" w:cs="Arial" w:eastAsia="Arial" w:hAnsi="Arial"/>
          <w:sz w:val="20"/>
          <w:szCs w:val="20"/>
          <w:color w:val="auto"/>
        </w:rPr>
        <w:t>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91" w:lineRule="exact"/>
        <w:rPr>
          <w:rFonts w:ascii="Arial" w:cs="Arial" w:eastAsia="Arial" w:hAnsi="Arial"/>
          <w:sz w:val="20"/>
          <w:szCs w:val="20"/>
          <w:i w:val="1"/>
          <w:iCs w:val="1"/>
          <w:color w:val="auto"/>
        </w:rPr>
      </w:pPr>
    </w:p>
    <w:p>
      <w:pPr>
        <w:ind w:left="660" w:right="20" w:firstLine="644"/>
        <w:spacing w:after="0" w:line="287" w:lineRule="auto"/>
        <w:tabs>
          <w:tab w:leader="none" w:pos="1695" w:val="left"/>
        </w:tabs>
        <w:numPr>
          <w:ilvl w:val="1"/>
          <w:numId w:val="35"/>
        </w:numPr>
        <w:rPr>
          <w:rFonts w:ascii="Arial" w:cs="Arial" w:eastAsia="Arial" w:hAnsi="Arial"/>
          <w:sz w:val="19"/>
          <w:szCs w:val="19"/>
          <w:i w:val="1"/>
          <w:iCs w:val="1"/>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 Involuntary</w:t>
      </w:r>
      <w:r>
        <w:rPr>
          <w:rFonts w:ascii="Arial" w:cs="Arial" w:eastAsia="Arial" w:hAnsi="Arial"/>
          <w:sz w:val="19"/>
          <w:szCs w:val="19"/>
          <w:i w:val="1"/>
          <w:iCs w:val="1"/>
          <w:color w:val="auto"/>
        </w:rPr>
        <w:t xml:space="preserve"> </w:t>
      </w:r>
      <w:r>
        <w:rPr>
          <w:rFonts w:ascii="Arial" w:cs="Arial" w:eastAsia="Arial" w:hAnsi="Arial"/>
          <w:sz w:val="19"/>
          <w:szCs w:val="19"/>
          <w:color w:val="auto"/>
        </w:rPr>
        <w:t>Termination occurs or, if greater, your annual target bonus in effect immediately prior to the Change in Control.</w:t>
      </w:r>
    </w:p>
    <w:p>
      <w:pPr>
        <w:spacing w:after="0" w:line="152" w:lineRule="exact"/>
        <w:rPr>
          <w:rFonts w:ascii="Arial" w:cs="Arial" w:eastAsia="Arial" w:hAnsi="Arial"/>
          <w:sz w:val="19"/>
          <w:szCs w:val="19"/>
          <w:i w:val="1"/>
          <w:iCs w:val="1"/>
          <w:color w:val="auto"/>
        </w:rPr>
      </w:pPr>
    </w:p>
    <w:p>
      <w:pPr>
        <w:ind w:left="660" w:right="20" w:firstLine="644"/>
        <w:spacing w:after="0" w:line="260" w:lineRule="auto"/>
        <w:tabs>
          <w:tab w:leader="none" w:pos="1686" w:val="left"/>
        </w:tabs>
        <w:numPr>
          <w:ilvl w:val="1"/>
          <w:numId w:val="35"/>
        </w:numPr>
        <w:rPr>
          <w:rFonts w:ascii="Arial" w:cs="Arial" w:eastAsia="Arial" w:hAnsi="Arial"/>
          <w:sz w:val="20"/>
          <w:szCs w:val="20"/>
          <w:i w:val="1"/>
          <w:iCs w:val="1"/>
          <w:color w:val="auto"/>
        </w:rPr>
      </w:pPr>
      <w:r>
        <w:rPr>
          <w:rFonts w:ascii="Arial" w:cs="Arial" w:eastAsia="Arial" w:hAnsi="Arial"/>
          <w:sz w:val="20"/>
          <w:szCs w:val="20"/>
          <w:i w:val="1"/>
          <w:iCs w:val="1"/>
          <w:color w:val="auto"/>
        </w:rPr>
        <w:t>Pro-Rata Bonus</w:t>
      </w:r>
      <w:r>
        <w:rPr>
          <w:rFonts w:ascii="Arial" w:cs="Arial" w:eastAsia="Arial" w:hAnsi="Arial"/>
          <w:sz w:val="20"/>
          <w:szCs w:val="20"/>
          <w:color w:val="auto"/>
        </w:rPr>
        <w:t>. A lump-sum payment equal to your annual target bonus for the fiscal year in which your Involuntary</w:t>
      </w:r>
      <w:r>
        <w:rPr>
          <w:rFonts w:ascii="Arial" w:cs="Arial" w:eastAsia="Arial" w:hAnsi="Arial"/>
          <w:sz w:val="20"/>
          <w:szCs w:val="20"/>
          <w:i w:val="1"/>
          <w:iCs w:val="1"/>
          <w:color w:val="auto"/>
        </w:rPr>
        <w:t xml:space="preserve"> </w:t>
      </w:r>
      <w:r>
        <w:rPr>
          <w:rFonts w:ascii="Arial" w:cs="Arial" w:eastAsia="Arial" w:hAnsi="Arial"/>
          <w:sz w:val="20"/>
          <w:szCs w:val="20"/>
          <w:color w:val="auto"/>
        </w:rPr>
        <w:t>Termination occurs, pro-rated for the number of full months employed during the fiscal year.</w:t>
      </w:r>
    </w:p>
    <w:p>
      <w:pPr>
        <w:sectPr>
          <w:pgSz w:w="11900" w:h="16838" w:orient="portrait"/>
          <w:cols w:equalWidth="0" w:num="1">
            <w:col w:w="11240"/>
          </w:cols>
          <w:pgMar w:left="320" w:top="1440" w:right="339" w:bottom="1440" w:gutter="0" w:footer="0" w:header="0"/>
        </w:sectPr>
      </w:pPr>
    </w:p>
    <w:bookmarkStart w:id="79" w:name="page80"/>
    <w:bookmarkEnd w:id="7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both"/>
        <w:ind w:firstLine="656"/>
        <w:spacing w:after="0" w:line="255" w:lineRule="auto"/>
        <w:tabs>
          <w:tab w:leader="none" w:pos="994" w:val="left"/>
        </w:tabs>
        <w:numPr>
          <w:ilvl w:val="0"/>
          <w:numId w:val="36"/>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 in full. If,</w:t>
      </w:r>
      <w:r>
        <w:rPr>
          <w:rFonts w:ascii="Arial" w:cs="Arial" w:eastAsia="Arial" w:hAnsi="Arial"/>
          <w:sz w:val="19"/>
          <w:szCs w:val="19"/>
          <w:b w:val="1"/>
          <w:bCs w:val="1"/>
          <w:color w:val="auto"/>
        </w:rPr>
        <w:t xml:space="preserve"> </w:t>
      </w:r>
      <w:r>
        <w:rPr>
          <w:rFonts w:ascii="Arial" w:cs="Arial" w:eastAsia="Arial" w:hAnsi="Arial"/>
          <w:sz w:val="19"/>
          <w:szCs w:val="19"/>
          <w:color w:val="auto"/>
        </w:rPr>
        <w:t>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84" w:lineRule="exact"/>
        <w:rPr>
          <w:rFonts w:ascii="Arial" w:cs="Arial" w:eastAsia="Arial" w:hAnsi="Arial"/>
          <w:sz w:val="19"/>
          <w:szCs w:val="19"/>
          <w:color w:val="auto"/>
        </w:rPr>
      </w:pPr>
    </w:p>
    <w:p>
      <w:pPr>
        <w:jc w:val="both"/>
        <w:ind w:firstLine="656"/>
        <w:spacing w:after="0" w:line="248" w:lineRule="auto"/>
        <w:tabs>
          <w:tab w:leader="none" w:pos="1012" w:val="left"/>
        </w:tabs>
        <w:numPr>
          <w:ilvl w:val="0"/>
          <w:numId w:val="36"/>
        </w:numPr>
        <w:rPr>
          <w:rFonts w:ascii="Arial" w:cs="Arial" w:eastAsia="Arial" w:hAnsi="Arial"/>
          <w:sz w:val="20"/>
          <w:szCs w:val="20"/>
          <w:color w:val="auto"/>
        </w:rPr>
      </w:pPr>
      <w:r>
        <w:rPr>
          <w:rFonts w:ascii="Arial" w:cs="Arial" w:eastAsia="Arial" w:hAnsi="Arial"/>
          <w:sz w:val="20"/>
          <w:szCs w:val="20"/>
          <w:b w:val="1"/>
          <w:bCs w:val="1"/>
          <w:color w:val="auto"/>
        </w:rPr>
        <w:t>Continued Medical Benefits</w:t>
      </w:r>
      <w:r>
        <w:rPr>
          <w:rFonts w:ascii="Arial" w:cs="Arial" w:eastAsia="Arial" w:hAnsi="Arial"/>
          <w:sz w:val="20"/>
          <w:szCs w:val="20"/>
          <w:color w:val="auto"/>
        </w:rPr>
        <w:t>. Your reimbursement of continued health coverage under COBRA or taxable monthly payment in</w:t>
      </w:r>
      <w:r>
        <w:rPr>
          <w:rFonts w:ascii="Arial" w:cs="Arial" w:eastAsia="Arial" w:hAnsi="Arial"/>
          <w:sz w:val="20"/>
          <w:szCs w:val="20"/>
          <w:b w:val="1"/>
          <w:bCs w:val="1"/>
          <w:color w:val="auto"/>
        </w:rPr>
        <w:t xml:space="preserve"> </w:t>
      </w:r>
      <w:r>
        <w:rPr>
          <w:rFonts w:ascii="Arial" w:cs="Arial" w:eastAsia="Arial" w:hAnsi="Arial"/>
          <w:sz w:val="20"/>
          <w:szCs w:val="20"/>
          <w:color w:val="auto"/>
        </w:rPr>
        <w:t>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216" w:lineRule="exact"/>
        <w:rPr>
          <w:sz w:val="20"/>
          <w:szCs w:val="20"/>
          <w:color w:val="auto"/>
        </w:rPr>
      </w:pPr>
    </w:p>
    <w:p>
      <w:pPr>
        <w:ind w:right="560" w:firstLine="1296"/>
        <w:spacing w:after="0" w:line="287"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79" w:lineRule="exact"/>
        <w:rPr>
          <w:sz w:val="20"/>
          <w:szCs w:val="20"/>
          <w:color w:val="auto"/>
        </w:rPr>
      </w:pPr>
    </w:p>
    <w:p>
      <w:pPr>
        <w:ind w:right="260" w:firstLine="1296"/>
        <w:spacing w:after="0" w:line="276" w:lineRule="auto"/>
        <w:rPr>
          <w:sz w:val="20"/>
          <w:szCs w:val="20"/>
          <w:color w:val="auto"/>
        </w:rPr>
      </w:pPr>
      <w:r>
        <w:rPr>
          <w:rFonts w:ascii="Arial" w:cs="Arial" w:eastAsia="Arial" w:hAnsi="Arial"/>
          <w:sz w:val="18"/>
          <w:szCs w:val="18"/>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agreeing that your prior Participation Agreement is terminated and superseded by this Participation Agreement.</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4800" w:type="dxa"/>
            <w:vAlign w:val="bottom"/>
          </w:tcPr>
          <w:p>
            <w:pPr>
              <w:ind w:left="20"/>
              <w:spacing w:after="0"/>
              <w:rPr>
                <w:sz w:val="20"/>
                <w:szCs w:val="20"/>
                <w:color w:val="auto"/>
              </w:rPr>
            </w:pPr>
            <w:r>
              <w:rPr>
                <w:rFonts w:ascii="Arial" w:cs="Arial" w:eastAsia="Arial" w:hAnsi="Arial"/>
                <w:sz w:val="18"/>
                <w:szCs w:val="18"/>
                <w:b w:val="1"/>
                <w:bCs w:val="1"/>
                <w:color w:val="auto"/>
              </w:rPr>
              <w:t>MARVELL TECHNOLOGY GROUP LTD.</w:t>
            </w:r>
          </w:p>
        </w:tc>
        <w:tc>
          <w:tcPr>
            <w:tcW w:w="1220" w:type="dxa"/>
            <w:vAlign w:val="bottom"/>
          </w:tcPr>
          <w:p>
            <w:pPr>
              <w:spacing w:after="0"/>
              <w:rPr>
                <w:sz w:val="20"/>
                <w:szCs w:val="20"/>
                <w:color w:val="auto"/>
              </w:rPr>
            </w:pPr>
          </w:p>
        </w:tc>
        <w:tc>
          <w:tcPr>
            <w:tcW w:w="4800" w:type="dxa"/>
            <w:vAlign w:val="bottom"/>
          </w:tcPr>
          <w:p>
            <w:pPr>
              <w:ind w:left="20"/>
              <w:spacing w:after="0"/>
              <w:rPr>
                <w:sz w:val="20"/>
                <w:szCs w:val="20"/>
                <w:color w:val="auto"/>
              </w:rPr>
            </w:pPr>
            <w:r>
              <w:rPr>
                <w:rFonts w:ascii="Arial" w:cs="Arial" w:eastAsia="Arial" w:hAnsi="Arial"/>
                <w:sz w:val="18"/>
                <w:szCs w:val="18"/>
                <w:b w:val="1"/>
                <w:bCs w:val="1"/>
                <w:color w:val="auto"/>
              </w:rPr>
              <w:t>PARTICIPANT</w:t>
            </w:r>
          </w:p>
        </w:tc>
      </w:tr>
      <w:tr>
        <w:trPr>
          <w:trHeight w:val="459"/>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Borders>
              <w:bottom w:val="single" w:sz="8" w:color="auto"/>
            </w:tcBorders>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Signature</w:t>
            </w:r>
          </w:p>
        </w:tc>
        <w:tc>
          <w:tcPr>
            <w:tcW w:w="1220" w:type="dxa"/>
            <w:vAlign w:val="bottom"/>
          </w:tcPr>
          <w:p>
            <w:pPr>
              <w:spacing w:after="0"/>
              <w:rPr>
                <w:sz w:val="22"/>
                <w:szCs w:val="22"/>
                <w:color w:val="auto"/>
              </w:rPr>
            </w:pPr>
          </w:p>
        </w:tc>
        <w:tc>
          <w:tcPr>
            <w:tcW w:w="4800" w:type="dxa"/>
            <w:vAlign w:val="bottom"/>
          </w:tcPr>
          <w:p>
            <w:pPr>
              <w:ind w:left="20"/>
              <w:spacing w:after="0"/>
              <w:rPr>
                <w:sz w:val="20"/>
                <w:szCs w:val="20"/>
                <w:color w:val="auto"/>
              </w:rPr>
            </w:pPr>
            <w:r>
              <w:rPr>
                <w:rFonts w:ascii="Arial" w:cs="Arial" w:eastAsia="Arial" w:hAnsi="Arial"/>
                <w:sz w:val="20"/>
                <w:szCs w:val="20"/>
                <w:color w:val="auto"/>
              </w:rPr>
              <w:t>Signature</w:t>
            </w:r>
          </w:p>
        </w:tc>
      </w:tr>
      <w:tr>
        <w:trPr>
          <w:trHeight w:val="563"/>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Borders>
              <w:bottom w:val="single" w:sz="8" w:color="auto"/>
            </w:tcBorders>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Name</w:t>
            </w:r>
          </w:p>
        </w:tc>
        <w:tc>
          <w:tcPr>
            <w:tcW w:w="1220" w:type="dxa"/>
            <w:vAlign w:val="bottom"/>
          </w:tcPr>
          <w:p>
            <w:pPr>
              <w:spacing w:after="0"/>
              <w:rPr>
                <w:sz w:val="22"/>
                <w:szCs w:val="22"/>
                <w:color w:val="auto"/>
              </w:rPr>
            </w:pPr>
          </w:p>
        </w:tc>
        <w:tc>
          <w:tcPr>
            <w:tcW w:w="4800" w:type="dxa"/>
            <w:vAlign w:val="bottom"/>
          </w:tcPr>
          <w:p>
            <w:pPr>
              <w:ind w:left="20"/>
              <w:spacing w:after="0"/>
              <w:rPr>
                <w:sz w:val="20"/>
                <w:szCs w:val="20"/>
                <w:color w:val="auto"/>
              </w:rPr>
            </w:pPr>
            <w:r>
              <w:rPr>
                <w:rFonts w:ascii="Arial" w:cs="Arial" w:eastAsia="Arial" w:hAnsi="Arial"/>
                <w:sz w:val="20"/>
                <w:szCs w:val="20"/>
                <w:color w:val="auto"/>
              </w:rPr>
              <w:t>Date</w:t>
            </w:r>
          </w:p>
        </w:tc>
      </w:tr>
      <w:tr>
        <w:trPr>
          <w:trHeight w:val="563"/>
        </w:trPr>
        <w:tc>
          <w:tcPr>
            <w:tcW w:w="4800" w:type="dxa"/>
            <w:vAlign w:val="bottom"/>
            <w:tcBorders>
              <w:bottom w:val="single" w:sz="8" w:color="auto"/>
            </w:tcBorders>
          </w:tcPr>
          <w:p>
            <w:pPr>
              <w:spacing w:after="0"/>
              <w:rPr>
                <w:sz w:val="24"/>
                <w:szCs w:val="24"/>
                <w:color w:val="auto"/>
              </w:rPr>
            </w:pPr>
          </w:p>
        </w:tc>
        <w:tc>
          <w:tcPr>
            <w:tcW w:w="1220" w:type="dxa"/>
            <w:vAlign w:val="bottom"/>
          </w:tcPr>
          <w:p>
            <w:pPr>
              <w:spacing w:after="0"/>
              <w:rPr>
                <w:sz w:val="24"/>
                <w:szCs w:val="24"/>
                <w:color w:val="auto"/>
              </w:rPr>
            </w:pPr>
          </w:p>
        </w:tc>
        <w:tc>
          <w:tcPr>
            <w:tcW w:w="4800" w:type="dxa"/>
            <w:vAlign w:val="bottom"/>
          </w:tcPr>
          <w:p>
            <w:pPr>
              <w:spacing w:after="0"/>
              <w:rPr>
                <w:sz w:val="24"/>
                <w:szCs w:val="24"/>
                <w:color w:val="auto"/>
              </w:rPr>
            </w:pPr>
          </w:p>
        </w:tc>
      </w:tr>
      <w:tr>
        <w:trPr>
          <w:trHeight w:val="254"/>
        </w:trPr>
        <w:tc>
          <w:tcPr>
            <w:tcW w:w="4800" w:type="dxa"/>
            <w:vAlign w:val="bottom"/>
          </w:tcPr>
          <w:p>
            <w:pPr>
              <w:ind w:left="20"/>
              <w:spacing w:after="0"/>
              <w:rPr>
                <w:sz w:val="20"/>
                <w:szCs w:val="20"/>
                <w:color w:val="auto"/>
              </w:rPr>
            </w:pPr>
            <w:r>
              <w:rPr>
                <w:rFonts w:ascii="Arial" w:cs="Arial" w:eastAsia="Arial" w:hAnsi="Arial"/>
                <w:sz w:val="20"/>
                <w:szCs w:val="20"/>
                <w:color w:val="auto"/>
              </w:rPr>
              <w:t>Title</w:t>
            </w:r>
          </w:p>
        </w:tc>
        <w:tc>
          <w:tcPr>
            <w:tcW w:w="1220" w:type="dxa"/>
            <w:vAlign w:val="bottom"/>
          </w:tcPr>
          <w:p>
            <w:pPr>
              <w:spacing w:after="0"/>
              <w:rPr>
                <w:sz w:val="22"/>
                <w:szCs w:val="22"/>
                <w:color w:val="auto"/>
              </w:rPr>
            </w:pPr>
          </w:p>
        </w:tc>
        <w:tc>
          <w:tcPr>
            <w:tcW w:w="4800" w:type="dxa"/>
            <w:vAlign w:val="bottom"/>
          </w:tcPr>
          <w:p>
            <w:pPr>
              <w:spacing w:after="0"/>
              <w:rPr>
                <w:sz w:val="22"/>
                <w:szCs w:val="22"/>
                <w:color w:val="auto"/>
              </w:rPr>
            </w:pPr>
          </w:p>
        </w:tc>
      </w:tr>
    </w:tbl>
    <w:p>
      <w:pPr>
        <w:sectPr>
          <w:pgSz w:w="11900" w:h="16838" w:orient="portrait"/>
          <w:cols w:equalWidth="0" w:num="1">
            <w:col w:w="11240"/>
          </w:cols>
          <w:pgMar w:left="320" w:top="1440" w:right="339" w:bottom="1440" w:gutter="0" w:footer="0" w:header="0"/>
        </w:sectPr>
      </w:pPr>
    </w:p>
    <w:bookmarkStart w:id="80" w:name="page81"/>
    <w:bookmarkEnd w:id="80"/>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Appendix B</w:t>
      </w:r>
    </w:p>
    <w:p>
      <w:pPr>
        <w:spacing w:after="0" w:line="220"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INPHI CORPORATION</w:t>
      </w:r>
    </w:p>
    <w:p>
      <w:pPr>
        <w:spacing w:after="0" w:line="220"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2010 STOCK INCENTIVE PLAN</w:t>
      </w:r>
    </w:p>
    <w:p>
      <w:pPr>
        <w:spacing w:after="0" w:line="220" w:lineRule="exact"/>
        <w:rPr>
          <w:sz w:val="20"/>
          <w:szCs w:val="20"/>
          <w:color w:val="auto"/>
        </w:rPr>
      </w:pPr>
    </w:p>
    <w:p>
      <w:pPr>
        <w:jc w:val="center"/>
        <w:ind w:right="-199"/>
        <w:spacing w:after="0"/>
        <w:rPr>
          <w:sz w:val="20"/>
          <w:szCs w:val="20"/>
          <w:color w:val="auto"/>
        </w:rPr>
      </w:pPr>
      <w:r>
        <w:rPr>
          <w:rFonts w:ascii="Arial" w:cs="Arial" w:eastAsia="Arial" w:hAnsi="Arial"/>
          <w:sz w:val="22"/>
          <w:szCs w:val="22"/>
          <w:b w:val="1"/>
          <w:bCs w:val="1"/>
          <w:color w:val="auto"/>
        </w:rPr>
        <w:t>NOTICE OF STOCK UNIT AWARD - U.S. AND NON-U.S. EMPLOYEES AND CONSULTANTS</w:t>
      </w:r>
    </w:p>
    <w:p>
      <w:pPr>
        <w:spacing w:after="0" w:line="233"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You have been granted the following stock units representing the common stock of INPHI CORPORATION (the “Company”) under the Company’s 2010 Stock Incentive Plan (the “Plan”). Capitalized terms that are used herein but not defined shall have the meanings set forth in the Plan.</w:t>
      </w:r>
    </w:p>
    <w:p>
      <w:pPr>
        <w:sectPr>
          <w:pgSz w:w="11900" w:h="16838" w:orient="portrait"/>
          <w:cols w:equalWidth="0" w:num="1">
            <w:col w:w="11060"/>
          </w:cols>
          <w:pgMar w:left="320" w:top="1440" w:right="519" w:bottom="1440" w:gutter="0" w:footer="0" w:header="0"/>
        </w:sectPr>
      </w:pPr>
    </w:p>
    <w:p>
      <w:pPr>
        <w:spacing w:after="0" w:line="265" w:lineRule="exact"/>
        <w:rPr>
          <w:sz w:val="20"/>
          <w:szCs w:val="20"/>
          <w:color w:val="auto"/>
        </w:rPr>
      </w:pPr>
    </w:p>
    <w:p>
      <w:pPr>
        <w:ind w:left="80"/>
        <w:spacing w:after="0"/>
        <w:rPr>
          <w:sz w:val="20"/>
          <w:szCs w:val="20"/>
          <w:color w:val="auto"/>
        </w:rPr>
      </w:pPr>
      <w:r>
        <w:rPr>
          <w:rFonts w:ascii="Arial" w:cs="Arial" w:eastAsia="Arial" w:hAnsi="Arial"/>
          <w:sz w:val="21"/>
          <w:szCs w:val="21"/>
          <w:b w:val="1"/>
          <w:bCs w:val="1"/>
          <w:i w:val="1"/>
          <w:iCs w:val="1"/>
          <w:color w:val="auto"/>
        </w:rPr>
        <w:t>Name of Participant:</w:t>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rPr>
          <w:sz w:val="20"/>
          <w:szCs w:val="20"/>
          <w:color w:val="auto"/>
        </w:rPr>
      </w:pPr>
      <w:r>
        <w:rPr>
          <w:rFonts w:ascii="Arial" w:cs="Arial" w:eastAsia="Arial" w:hAnsi="Arial"/>
          <w:sz w:val="21"/>
          <w:szCs w:val="21"/>
          <w:color w:val="auto"/>
        </w:rPr>
        <w:t>Nariman Yousefi</w:t>
      </w:r>
    </w:p>
    <w:p>
      <w:pPr>
        <w:spacing w:after="0" w:line="200" w:lineRule="exact"/>
        <w:rPr>
          <w:sz w:val="20"/>
          <w:szCs w:val="20"/>
          <w:color w:val="auto"/>
        </w:rPr>
      </w:pPr>
    </w:p>
    <w:p>
      <w:pPr>
        <w:sectPr>
          <w:pgSz w:w="11900" w:h="16838" w:orient="portrait"/>
          <w:cols w:equalWidth="0" w:num="2">
            <w:col w:w="2360" w:space="720"/>
            <w:col w:w="7980"/>
          </w:cols>
          <w:pgMar w:left="320" w:top="1440" w:right="519" w:bottom="1440" w:gutter="0" w:footer="0" w:header="0"/>
          <w:type w:val="continuous"/>
        </w:sectPr>
      </w:pPr>
    </w:p>
    <w:p>
      <w:pPr>
        <w:spacing w:after="0" w:line="73" w:lineRule="exact"/>
        <w:rPr>
          <w:sz w:val="20"/>
          <w:szCs w:val="20"/>
          <w:color w:val="auto"/>
        </w:rPr>
      </w:pPr>
    </w:p>
    <w:p>
      <w:pPr>
        <w:ind w:left="80"/>
        <w:spacing w:after="0" w:line="274" w:lineRule="auto"/>
        <w:rPr>
          <w:sz w:val="20"/>
          <w:szCs w:val="20"/>
          <w:color w:val="auto"/>
        </w:rPr>
      </w:pPr>
      <w:r>
        <w:rPr>
          <w:rFonts w:ascii="Arial" w:cs="Arial" w:eastAsia="Arial" w:hAnsi="Arial"/>
          <w:sz w:val="22"/>
          <w:szCs w:val="22"/>
          <w:b w:val="1"/>
          <w:bCs w:val="1"/>
          <w:i w:val="1"/>
          <w:iCs w:val="1"/>
          <w:color w:val="auto"/>
        </w:rPr>
        <w:t>Target Number of Stock Units Granted:</w:t>
      </w:r>
    </w:p>
    <w:p>
      <w:pPr>
        <w:spacing w:after="0" w:line="20" w:lineRule="exact"/>
        <w:rPr>
          <w:sz w:val="20"/>
          <w:szCs w:val="20"/>
          <w:color w:val="auto"/>
        </w:rPr>
      </w:pPr>
      <w:r>
        <w:rPr>
          <w:sz w:val="20"/>
          <w:szCs w:val="20"/>
          <w:color w:val="auto"/>
        </w:rPr>
        <w:br w:type="column"/>
      </w:r>
    </w:p>
    <w:p>
      <w:pPr>
        <w:spacing w:after="0" w:line="79" w:lineRule="exact"/>
        <w:rPr>
          <w:sz w:val="20"/>
          <w:szCs w:val="20"/>
          <w:color w:val="auto"/>
        </w:rPr>
      </w:pPr>
    </w:p>
    <w:p>
      <w:pPr>
        <w:spacing w:after="0"/>
        <w:rPr>
          <w:sz w:val="20"/>
          <w:szCs w:val="20"/>
          <w:color w:val="auto"/>
        </w:rPr>
      </w:pPr>
      <w:r>
        <w:rPr>
          <w:rFonts w:ascii="Arial" w:cs="Arial" w:eastAsia="Arial" w:hAnsi="Arial"/>
          <w:sz w:val="21"/>
          <w:szCs w:val="21"/>
          <w:color w:val="auto"/>
        </w:rPr>
        <w:t>24,110</w:t>
      </w:r>
    </w:p>
    <w:p>
      <w:pPr>
        <w:spacing w:after="0" w:line="510" w:lineRule="exact"/>
        <w:rPr>
          <w:sz w:val="20"/>
          <w:szCs w:val="20"/>
          <w:color w:val="auto"/>
        </w:rPr>
      </w:pPr>
    </w:p>
    <w:p>
      <w:pPr>
        <w:sectPr>
          <w:pgSz w:w="11900" w:h="16838" w:orient="portrait"/>
          <w:cols w:equalWidth="0" w:num="2">
            <w:col w:w="2520" w:space="560"/>
            <w:col w:w="7980"/>
          </w:cols>
          <w:pgMar w:left="320" w:top="1440" w:right="519" w:bottom="1440" w:gutter="0" w:footer="0" w:header="0"/>
          <w:type w:val="continuous"/>
        </w:sectPr>
      </w:pPr>
    </w:p>
    <w:p>
      <w:pPr>
        <w:spacing w:after="0" w:line="19" w:lineRule="exact"/>
        <w:rPr>
          <w:sz w:val="20"/>
          <w:szCs w:val="20"/>
          <w:color w:val="auto"/>
        </w:rPr>
      </w:pPr>
    </w:p>
    <w:p>
      <w:pPr>
        <w:ind w:left="80"/>
        <w:spacing w:after="0"/>
        <w:rPr>
          <w:sz w:val="20"/>
          <w:szCs w:val="20"/>
          <w:color w:val="auto"/>
        </w:rPr>
      </w:pPr>
      <w:r>
        <w:rPr>
          <w:rFonts w:ascii="Arial" w:cs="Arial" w:eastAsia="Arial" w:hAnsi="Arial"/>
          <w:sz w:val="21"/>
          <w:szCs w:val="21"/>
          <w:b w:val="1"/>
          <w:bCs w:val="1"/>
          <w:i w:val="1"/>
          <w:iCs w:val="1"/>
          <w:color w:val="auto"/>
        </w:rPr>
        <w:t>Date of Grant:</w:t>
      </w:r>
    </w:p>
    <w:p>
      <w:pPr>
        <w:spacing w:after="0" w:line="20" w:lineRule="exact"/>
        <w:rPr>
          <w:sz w:val="20"/>
          <w:szCs w:val="20"/>
          <w:color w:val="auto"/>
        </w:rPr>
      </w:pPr>
      <w:r>
        <w:rPr>
          <w:sz w:val="20"/>
          <w:szCs w:val="20"/>
          <w:color w:val="auto"/>
        </w:rPr>
        <w:br w:type="column"/>
      </w:r>
    </w:p>
    <w:p>
      <w:pPr>
        <w:spacing w:after="0" w:line="25" w:lineRule="exact"/>
        <w:rPr>
          <w:sz w:val="20"/>
          <w:szCs w:val="20"/>
          <w:color w:val="auto"/>
        </w:rPr>
      </w:pPr>
    </w:p>
    <w:p>
      <w:pPr>
        <w:spacing w:after="0"/>
        <w:rPr>
          <w:sz w:val="20"/>
          <w:szCs w:val="20"/>
          <w:color w:val="auto"/>
        </w:rPr>
      </w:pPr>
      <w:r>
        <w:rPr>
          <w:rFonts w:ascii="Arial" w:cs="Arial" w:eastAsia="Arial" w:hAnsi="Arial"/>
          <w:sz w:val="21"/>
          <w:szCs w:val="21"/>
          <w:color w:val="auto"/>
        </w:rPr>
        <w:t>April 24, 2019</w:t>
      </w:r>
    </w:p>
    <w:p>
      <w:pPr>
        <w:spacing w:after="0" w:line="200" w:lineRule="exact"/>
        <w:rPr>
          <w:sz w:val="20"/>
          <w:szCs w:val="20"/>
          <w:color w:val="auto"/>
        </w:rPr>
      </w:pPr>
    </w:p>
    <w:p>
      <w:pPr>
        <w:sectPr>
          <w:pgSz w:w="11900" w:h="16838" w:orient="portrait"/>
          <w:cols w:equalWidth="0" w:num="2">
            <w:col w:w="2360" w:space="720"/>
            <w:col w:w="7980"/>
          </w:cols>
          <w:pgMar w:left="320" w:top="1440" w:right="519" w:bottom="1440" w:gutter="0" w:footer="0" w:header="0"/>
          <w:type w:val="continuous"/>
        </w:sectPr>
      </w:pPr>
    </w:p>
    <w:p>
      <w:pPr>
        <w:spacing w:after="0" w:line="73" w:lineRule="exact"/>
        <w:rPr>
          <w:sz w:val="20"/>
          <w:szCs w:val="20"/>
          <w:color w:val="auto"/>
        </w:rPr>
      </w:pPr>
    </w:p>
    <w:p>
      <w:pPr>
        <w:ind w:left="80"/>
        <w:spacing w:after="0"/>
        <w:rPr>
          <w:sz w:val="20"/>
          <w:szCs w:val="20"/>
          <w:color w:val="auto"/>
        </w:rPr>
      </w:pPr>
      <w:r>
        <w:rPr>
          <w:rFonts w:ascii="Arial" w:cs="Arial" w:eastAsia="Arial" w:hAnsi="Arial"/>
          <w:sz w:val="21"/>
          <w:szCs w:val="21"/>
          <w:b w:val="1"/>
          <w:bCs w:val="1"/>
          <w:i w:val="1"/>
          <w:iCs w:val="1"/>
          <w:color w:val="auto"/>
        </w:rPr>
        <w:t>Performance Period:</w:t>
      </w:r>
    </w:p>
    <w:p>
      <w:pPr>
        <w:spacing w:after="0" w:line="20" w:lineRule="exact"/>
        <w:rPr>
          <w:sz w:val="20"/>
          <w:szCs w:val="20"/>
          <w:color w:val="auto"/>
        </w:rPr>
      </w:pPr>
      <w:r>
        <w:rPr>
          <w:sz w:val="20"/>
          <w:szCs w:val="20"/>
          <w:color w:val="auto"/>
        </w:rPr>
        <w:br w:type="column"/>
      </w:r>
    </w:p>
    <w:p>
      <w:pPr>
        <w:spacing w:after="0" w:line="79" w:lineRule="exact"/>
        <w:rPr>
          <w:sz w:val="20"/>
          <w:szCs w:val="20"/>
          <w:color w:val="auto"/>
        </w:rPr>
      </w:pPr>
    </w:p>
    <w:p>
      <w:pPr>
        <w:spacing w:after="0"/>
        <w:rPr>
          <w:sz w:val="20"/>
          <w:szCs w:val="20"/>
          <w:color w:val="auto"/>
        </w:rPr>
      </w:pPr>
      <w:r>
        <w:rPr>
          <w:rFonts w:ascii="Arial" w:cs="Arial" w:eastAsia="Arial" w:hAnsi="Arial"/>
          <w:sz w:val="21"/>
          <w:szCs w:val="21"/>
          <w:color w:val="auto"/>
        </w:rPr>
        <w:t>January 1, 2019 through December 31, 2021</w:t>
      </w:r>
    </w:p>
    <w:p>
      <w:pPr>
        <w:sectPr>
          <w:pgSz w:w="11900" w:h="16838" w:orient="portrait"/>
          <w:cols w:equalWidth="0" w:num="2">
            <w:col w:w="2360" w:space="720"/>
            <w:col w:w="7980"/>
          </w:cols>
          <w:pgMar w:left="320" w:top="1440" w:right="519" w:bottom="1440" w:gutter="0" w:footer="0" w:header="0"/>
          <w:type w:val="continuous"/>
        </w:sectPr>
      </w:pPr>
    </w:p>
    <w:bookmarkStart w:id="81" w:name="page82"/>
    <w:bookmarkEnd w:id="8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both"/>
        <w:ind w:left="2240" w:right="40" w:hanging="3292"/>
        <w:spacing w:after="0" w:line="244" w:lineRule="auto"/>
        <w:tabs>
          <w:tab w:leader="none" w:pos="2220" w:val="left"/>
        </w:tabs>
        <w:rPr>
          <w:sz w:val="20"/>
          <w:szCs w:val="20"/>
          <w:color w:val="auto"/>
        </w:rPr>
      </w:pPr>
      <w:r>
        <w:rPr>
          <w:rFonts w:ascii="Arial" w:cs="Arial" w:eastAsia="Arial" w:hAnsi="Arial"/>
          <w:sz w:val="22"/>
          <w:szCs w:val="22"/>
          <w:b w:val="1"/>
          <w:bCs w:val="1"/>
          <w:i w:val="1"/>
          <w:iCs w:val="1"/>
          <w:color w:val="auto"/>
        </w:rPr>
        <w:t>Vesting Schedule:</w:t>
      </w:r>
      <w:r>
        <w:rPr>
          <w:sz w:val="20"/>
          <w:szCs w:val="20"/>
          <w:color w:val="auto"/>
        </w:rPr>
        <w:tab/>
      </w:r>
      <w:r>
        <w:rPr>
          <w:rFonts w:ascii="Arial" w:cs="Arial" w:eastAsia="Arial" w:hAnsi="Arial"/>
          <w:sz w:val="22"/>
          <w:szCs w:val="22"/>
          <w:color w:val="auto"/>
        </w:rPr>
        <w:t>Subject to your continuous Service as an Employee (“Employment”) through the final day of the Performance Period (December 31, 2021), you will “cliff-vest” on that day in a percentage up to 150% (the “Performance Vesting Rate”) of the total Target Number of Stock Units subject to this Award based on performance relative to the established objectives as set forth below in the section of this Notice entitled “Performance Vesting Rate.” If the Performance Vesting Rate is less than 100%, a number of Stock Units will be automatically cancelled equal to the product of (i) the number of target Stock Units and (ii) the difference between 100% and the Performance Vesting Rate.</w:t>
      </w:r>
    </w:p>
    <w:p>
      <w:pPr>
        <w:spacing w:after="0" w:line="263" w:lineRule="exact"/>
        <w:rPr>
          <w:sz w:val="20"/>
          <w:szCs w:val="20"/>
          <w:color w:val="auto"/>
        </w:rPr>
      </w:pPr>
    </w:p>
    <w:p>
      <w:pPr>
        <w:ind w:left="2240"/>
        <w:spacing w:after="0"/>
        <w:rPr>
          <w:sz w:val="20"/>
          <w:szCs w:val="20"/>
          <w:color w:val="auto"/>
        </w:rPr>
      </w:pPr>
      <w:r>
        <w:rPr>
          <w:rFonts w:ascii="Arial" w:cs="Arial" w:eastAsia="Arial" w:hAnsi="Arial"/>
          <w:sz w:val="22"/>
          <w:szCs w:val="22"/>
          <w:color w:val="auto"/>
        </w:rPr>
        <w:t>Except as provided in the section of this Notice entitled “Coordination with</w:t>
      </w:r>
    </w:p>
    <w:p>
      <w:pPr>
        <w:spacing w:after="0" w:line="4" w:lineRule="exact"/>
        <w:rPr>
          <w:sz w:val="20"/>
          <w:szCs w:val="20"/>
          <w:color w:val="auto"/>
        </w:rPr>
      </w:pPr>
    </w:p>
    <w:p>
      <w:pPr>
        <w:ind w:left="2240"/>
        <w:spacing w:after="0"/>
        <w:rPr>
          <w:sz w:val="20"/>
          <w:szCs w:val="20"/>
          <w:color w:val="auto"/>
        </w:rPr>
      </w:pPr>
      <w:r>
        <w:rPr>
          <w:rFonts w:ascii="Arial" w:cs="Arial" w:eastAsia="Arial" w:hAnsi="Arial"/>
          <w:sz w:val="22"/>
          <w:szCs w:val="22"/>
          <w:color w:val="auto"/>
        </w:rPr>
        <w:t>Severance Agreement,” the Award is entirely forfeited upon a termination of</w:t>
      </w:r>
    </w:p>
    <w:p>
      <w:pPr>
        <w:spacing w:after="0" w:line="4" w:lineRule="exact"/>
        <w:rPr>
          <w:sz w:val="20"/>
          <w:szCs w:val="20"/>
          <w:color w:val="auto"/>
        </w:rPr>
      </w:pPr>
    </w:p>
    <w:p>
      <w:pPr>
        <w:ind w:left="2240"/>
        <w:spacing w:after="0"/>
        <w:rPr>
          <w:sz w:val="20"/>
          <w:szCs w:val="20"/>
          <w:color w:val="auto"/>
        </w:rPr>
      </w:pPr>
      <w:r>
        <w:rPr>
          <w:rFonts w:ascii="Arial" w:cs="Arial" w:eastAsia="Arial" w:hAnsi="Arial"/>
          <w:sz w:val="22"/>
          <w:szCs w:val="22"/>
          <w:color w:val="auto"/>
        </w:rPr>
        <w:t>Employment occurring prior to the end of the Performance Period.</w:t>
      </w:r>
    </w:p>
    <w:p>
      <w:pPr>
        <w:spacing w:after="0" w:line="247" w:lineRule="exact"/>
        <w:rPr>
          <w:sz w:val="20"/>
          <w:szCs w:val="20"/>
          <w:color w:val="auto"/>
        </w:rPr>
      </w:pPr>
    </w:p>
    <w:p>
      <w:pPr>
        <w:jc w:val="both"/>
        <w:ind w:left="2240" w:right="40"/>
        <w:spacing w:after="0" w:line="244" w:lineRule="auto"/>
        <w:rPr>
          <w:sz w:val="20"/>
          <w:szCs w:val="20"/>
          <w:color w:val="auto"/>
        </w:rPr>
      </w:pPr>
      <w:r>
        <w:rPr>
          <w:rFonts w:ascii="Arial" w:cs="Arial" w:eastAsia="Arial" w:hAnsi="Arial"/>
          <w:sz w:val="22"/>
          <w:szCs w:val="22"/>
          <w:color w:val="auto"/>
        </w:rPr>
        <w:t>Continuous Employment will not be considered to have terminated in the event of an approved leave of absence during the Performance Period. However, to the extent vesting credit would not be provided for such leave under the general leave of absence policy under the Plan, the number of Stock Units that would otherwise vest will be prorated by that percentage of the relevant period during which you were not on leave of absence and the remaining portion of the Award relating to the leave of absence period will be forfeited.</w:t>
      </w:r>
    </w:p>
    <w:p>
      <w:pPr>
        <w:spacing w:after="0" w:line="238" w:lineRule="exact"/>
        <w:rPr>
          <w:sz w:val="20"/>
          <w:szCs w:val="20"/>
          <w:color w:val="auto"/>
        </w:rPr>
      </w:pPr>
    </w:p>
    <w:p>
      <w:pPr>
        <w:ind w:left="2240" w:right="140"/>
        <w:spacing w:after="0" w:line="245" w:lineRule="auto"/>
        <w:rPr>
          <w:sz w:val="20"/>
          <w:szCs w:val="20"/>
          <w:color w:val="auto"/>
        </w:rPr>
      </w:pPr>
      <w:r>
        <w:rPr>
          <w:rFonts w:ascii="Arial" w:cs="Arial" w:eastAsia="Arial" w:hAnsi="Arial"/>
          <w:sz w:val="22"/>
          <w:szCs w:val="22"/>
          <w:color w:val="auto"/>
        </w:rPr>
        <w:t>In addition, Employment is not continuous if you terminate employment notwithstanding that you may be subject to a period of notice or garden leave protection under employment laws in the jurisdiction in which you reside or under the terms of any employment agreement.</w:t>
      </w:r>
    </w:p>
    <w:p>
      <w:pPr>
        <w:spacing w:after="0" w:line="291" w:lineRule="exact"/>
        <w:rPr>
          <w:sz w:val="20"/>
          <w:szCs w:val="20"/>
          <w:color w:val="auto"/>
        </w:rPr>
      </w:pPr>
    </w:p>
    <w:p>
      <w:pPr>
        <w:ind w:left="2200" w:hanging="3243"/>
        <w:spacing w:after="0" w:line="249" w:lineRule="auto"/>
        <w:tabs>
          <w:tab w:leader="none" w:pos="2180" w:val="left"/>
        </w:tabs>
        <w:rPr>
          <w:sz w:val="20"/>
          <w:szCs w:val="20"/>
          <w:color w:val="auto"/>
        </w:rPr>
      </w:pPr>
      <w:r>
        <w:rPr>
          <w:rFonts w:ascii="Arial" w:cs="Arial" w:eastAsia="Arial" w:hAnsi="Arial"/>
          <w:sz w:val="22"/>
          <w:szCs w:val="22"/>
          <w:b w:val="1"/>
          <w:bCs w:val="1"/>
          <w:i w:val="1"/>
          <w:iCs w:val="1"/>
          <w:color w:val="auto"/>
        </w:rPr>
        <w:t>Effect of Change of Control:</w:t>
      </w:r>
      <w:r>
        <w:rPr>
          <w:sz w:val="20"/>
          <w:szCs w:val="20"/>
          <w:color w:val="auto"/>
        </w:rPr>
        <w:tab/>
      </w:r>
      <w:r>
        <w:rPr>
          <w:rFonts w:ascii="Arial" w:cs="Arial" w:eastAsia="Arial" w:hAnsi="Arial"/>
          <w:sz w:val="22"/>
          <w:szCs w:val="22"/>
          <w:color w:val="auto"/>
        </w:rPr>
        <w:t>If a Change of Control occurs prior to the end of the Performance Period, then the Performance Vesting Rate shall be deemed to be 100%.</w:t>
      </w:r>
    </w:p>
    <w:p>
      <w:pPr>
        <w:sectPr>
          <w:pgSz w:w="11900" w:h="16838" w:orient="portrait"/>
          <w:cols w:equalWidth="0" w:num="1">
            <w:col w:w="10100"/>
          </w:cols>
          <w:pgMar w:left="1440" w:top="1440" w:right="359" w:bottom="1440" w:gutter="0" w:footer="0" w:header="0"/>
        </w:sectPr>
      </w:pPr>
    </w:p>
    <w:bookmarkStart w:id="82" w:name="page83"/>
    <w:bookmarkEnd w:id="8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tbl>
      <w:tblPr>
        <w:tblLayout w:type="fixed"/>
        <w:tblInd w:w="80" w:type="dxa"/>
        <w:tblCellMar>
          <w:top w:w="0" w:type="dxa"/>
          <w:left w:w="0" w:type="dxa"/>
          <w:bottom w:w="0" w:type="dxa"/>
          <w:right w:w="0" w:type="dxa"/>
        </w:tblCellMar>
      </w:tblPr>
      <w:tr>
        <w:trPr>
          <w:trHeight w:val="283"/>
        </w:trPr>
        <w:tc>
          <w:tcPr>
            <w:tcW w:w="2640" w:type="dxa"/>
            <w:vAlign w:val="bottom"/>
          </w:tcPr>
          <w:p>
            <w:pPr>
              <w:spacing w:after="0"/>
              <w:rPr>
                <w:sz w:val="20"/>
                <w:szCs w:val="20"/>
                <w:color w:val="auto"/>
              </w:rPr>
            </w:pPr>
            <w:r>
              <w:rPr>
                <w:rFonts w:ascii="Arial" w:cs="Arial" w:eastAsia="Arial" w:hAnsi="Arial"/>
                <w:sz w:val="22"/>
                <w:szCs w:val="22"/>
                <w:b w:val="1"/>
                <w:bCs w:val="1"/>
                <w:i w:val="1"/>
                <w:iCs w:val="1"/>
                <w:color w:val="auto"/>
              </w:rPr>
              <w:t>Settlement:</w:t>
            </w:r>
          </w:p>
        </w:tc>
        <w:tc>
          <w:tcPr>
            <w:tcW w:w="8500" w:type="dxa"/>
            <w:vAlign w:val="bottom"/>
          </w:tcPr>
          <w:p>
            <w:pPr>
              <w:jc w:val="center"/>
              <w:ind w:left="172"/>
              <w:spacing w:after="0"/>
              <w:rPr>
                <w:sz w:val="20"/>
                <w:szCs w:val="20"/>
                <w:color w:val="auto"/>
              </w:rPr>
            </w:pPr>
            <w:r>
              <w:rPr>
                <w:rFonts w:ascii="Arial" w:cs="Arial" w:eastAsia="Arial" w:hAnsi="Arial"/>
                <w:sz w:val="22"/>
                <w:szCs w:val="22"/>
                <w:color w:val="auto"/>
                <w:w w:val="99"/>
              </w:rPr>
              <w:t>The vested Stock Units will be settled as soon as practicable following the last day of</w:t>
            </w:r>
          </w:p>
        </w:tc>
      </w:tr>
      <w:tr>
        <w:trPr>
          <w:trHeight w:val="257"/>
        </w:trPr>
        <w:tc>
          <w:tcPr>
            <w:tcW w:w="2640" w:type="dxa"/>
            <w:vAlign w:val="bottom"/>
          </w:tcPr>
          <w:p>
            <w:pPr>
              <w:spacing w:after="0"/>
              <w:rPr>
                <w:sz w:val="22"/>
                <w:szCs w:val="22"/>
                <w:color w:val="auto"/>
              </w:rPr>
            </w:pPr>
          </w:p>
        </w:tc>
        <w:tc>
          <w:tcPr>
            <w:tcW w:w="8500" w:type="dxa"/>
            <w:vAlign w:val="bottom"/>
          </w:tcPr>
          <w:p>
            <w:pPr>
              <w:jc w:val="center"/>
              <w:ind w:left="172"/>
              <w:spacing w:after="0"/>
              <w:rPr>
                <w:sz w:val="20"/>
                <w:szCs w:val="20"/>
                <w:color w:val="auto"/>
              </w:rPr>
            </w:pPr>
            <w:r>
              <w:rPr>
                <w:rFonts w:ascii="Arial" w:cs="Arial" w:eastAsia="Arial" w:hAnsi="Arial"/>
                <w:sz w:val="22"/>
                <w:szCs w:val="22"/>
                <w:color w:val="auto"/>
              </w:rPr>
              <w:t>the Performance Period and the determination by the Compensation Committee of</w:t>
            </w:r>
          </w:p>
        </w:tc>
      </w:tr>
      <w:tr>
        <w:trPr>
          <w:trHeight w:val="257"/>
        </w:trPr>
        <w:tc>
          <w:tcPr>
            <w:tcW w:w="2640" w:type="dxa"/>
            <w:vAlign w:val="bottom"/>
          </w:tcPr>
          <w:p>
            <w:pPr>
              <w:spacing w:after="0"/>
              <w:rPr>
                <w:sz w:val="22"/>
                <w:szCs w:val="22"/>
                <w:color w:val="auto"/>
              </w:rPr>
            </w:pPr>
          </w:p>
        </w:tc>
        <w:tc>
          <w:tcPr>
            <w:tcW w:w="8500" w:type="dxa"/>
            <w:vAlign w:val="bottom"/>
          </w:tcPr>
          <w:p>
            <w:pPr>
              <w:jc w:val="center"/>
              <w:ind w:left="192"/>
              <w:spacing w:after="0"/>
              <w:rPr>
                <w:sz w:val="20"/>
                <w:szCs w:val="20"/>
                <w:color w:val="auto"/>
              </w:rPr>
            </w:pPr>
            <w:r>
              <w:rPr>
                <w:rFonts w:ascii="Arial" w:cs="Arial" w:eastAsia="Arial" w:hAnsi="Arial"/>
                <w:sz w:val="22"/>
                <w:szCs w:val="22"/>
                <w:color w:val="auto"/>
                <w:w w:val="99"/>
              </w:rPr>
              <w:t>the Board of Directors of the Company (the “Committee”) of the Performance Vesting</w:t>
            </w:r>
          </w:p>
        </w:tc>
      </w:tr>
      <w:tr>
        <w:trPr>
          <w:trHeight w:val="256"/>
        </w:trPr>
        <w:tc>
          <w:tcPr>
            <w:tcW w:w="2640" w:type="dxa"/>
            <w:vAlign w:val="bottom"/>
          </w:tcPr>
          <w:p>
            <w:pPr>
              <w:spacing w:after="0"/>
              <w:rPr>
                <w:sz w:val="22"/>
                <w:szCs w:val="22"/>
                <w:color w:val="auto"/>
              </w:rPr>
            </w:pPr>
          </w:p>
        </w:tc>
        <w:tc>
          <w:tcPr>
            <w:tcW w:w="8500" w:type="dxa"/>
            <w:vAlign w:val="bottom"/>
          </w:tcPr>
          <w:p>
            <w:pPr>
              <w:jc w:val="center"/>
              <w:ind w:left="192"/>
              <w:spacing w:after="0"/>
              <w:rPr>
                <w:sz w:val="20"/>
                <w:szCs w:val="20"/>
                <w:color w:val="auto"/>
              </w:rPr>
            </w:pPr>
            <w:r>
              <w:rPr>
                <w:rFonts w:ascii="Arial" w:cs="Arial" w:eastAsia="Arial" w:hAnsi="Arial"/>
                <w:sz w:val="22"/>
                <w:szCs w:val="22"/>
                <w:color w:val="auto"/>
              </w:rPr>
              <w:t>Rate, but in no event later than 2-1/2 months following the last day of the calendar</w:t>
            </w:r>
          </w:p>
        </w:tc>
      </w:tr>
      <w:tr>
        <w:trPr>
          <w:trHeight w:val="259"/>
        </w:trPr>
        <w:tc>
          <w:tcPr>
            <w:tcW w:w="2640" w:type="dxa"/>
            <w:vAlign w:val="bottom"/>
          </w:tcPr>
          <w:p>
            <w:pPr>
              <w:spacing w:after="0"/>
              <w:rPr>
                <w:sz w:val="22"/>
                <w:szCs w:val="22"/>
                <w:color w:val="auto"/>
              </w:rPr>
            </w:pPr>
          </w:p>
        </w:tc>
        <w:tc>
          <w:tcPr>
            <w:tcW w:w="8500" w:type="dxa"/>
            <w:vAlign w:val="bottom"/>
          </w:tcPr>
          <w:p>
            <w:pPr>
              <w:ind w:left="300"/>
              <w:spacing w:after="0"/>
              <w:rPr>
                <w:sz w:val="20"/>
                <w:szCs w:val="20"/>
                <w:color w:val="auto"/>
              </w:rPr>
            </w:pPr>
            <w:r>
              <w:rPr>
                <w:rFonts w:ascii="Arial" w:cs="Arial" w:eastAsia="Arial" w:hAnsi="Arial"/>
                <w:sz w:val="22"/>
                <w:szCs w:val="22"/>
                <w:color w:val="auto"/>
              </w:rPr>
              <w:t>year in which the Stock Units vest.</w:t>
            </w:r>
          </w:p>
        </w:tc>
      </w:tr>
      <w:tr>
        <w:trPr>
          <w:trHeight w:val="282"/>
        </w:trPr>
        <w:tc>
          <w:tcPr>
            <w:tcW w:w="2640" w:type="dxa"/>
            <w:vAlign w:val="bottom"/>
          </w:tcPr>
          <w:p>
            <w:pPr>
              <w:spacing w:after="0"/>
              <w:rPr>
                <w:sz w:val="20"/>
                <w:szCs w:val="20"/>
                <w:color w:val="auto"/>
              </w:rPr>
            </w:pPr>
            <w:r>
              <w:rPr>
                <w:rFonts w:ascii="Arial" w:cs="Arial" w:eastAsia="Arial" w:hAnsi="Arial"/>
                <w:sz w:val="22"/>
                <w:szCs w:val="22"/>
                <w:b w:val="1"/>
                <w:bCs w:val="1"/>
                <w:i w:val="1"/>
                <w:iCs w:val="1"/>
                <w:color w:val="auto"/>
              </w:rPr>
              <w:t>Coordination with</w:t>
            </w:r>
          </w:p>
        </w:tc>
        <w:tc>
          <w:tcPr>
            <w:tcW w:w="8500" w:type="dxa"/>
            <w:vAlign w:val="bottom"/>
          </w:tcPr>
          <w:p>
            <w:pPr>
              <w:jc w:val="center"/>
              <w:ind w:left="192"/>
              <w:spacing w:after="0"/>
              <w:rPr>
                <w:sz w:val="20"/>
                <w:szCs w:val="20"/>
                <w:color w:val="auto"/>
              </w:rPr>
            </w:pPr>
            <w:r>
              <w:rPr>
                <w:rFonts w:ascii="Arial" w:cs="Arial" w:eastAsia="Arial" w:hAnsi="Arial"/>
                <w:sz w:val="22"/>
                <w:szCs w:val="22"/>
                <w:color w:val="auto"/>
              </w:rPr>
              <w:t>The Stock Units are subject to acceleration of vesting pursuant to the provisions of</w:t>
            </w:r>
          </w:p>
        </w:tc>
      </w:tr>
      <w:tr>
        <w:trPr>
          <w:trHeight w:val="282"/>
        </w:trPr>
        <w:tc>
          <w:tcPr>
            <w:tcW w:w="2640" w:type="dxa"/>
            <w:vAlign w:val="bottom"/>
          </w:tcPr>
          <w:p>
            <w:pPr>
              <w:spacing w:after="0"/>
              <w:rPr>
                <w:sz w:val="20"/>
                <w:szCs w:val="20"/>
                <w:color w:val="auto"/>
              </w:rPr>
            </w:pPr>
            <w:r>
              <w:rPr>
                <w:rFonts w:ascii="Arial" w:cs="Arial" w:eastAsia="Arial" w:hAnsi="Arial"/>
                <w:sz w:val="22"/>
                <w:szCs w:val="22"/>
                <w:b w:val="1"/>
                <w:bCs w:val="1"/>
                <w:i w:val="1"/>
                <w:iCs w:val="1"/>
                <w:color w:val="auto"/>
              </w:rPr>
              <w:t>Severance Agreement:</w:t>
            </w:r>
          </w:p>
        </w:tc>
        <w:tc>
          <w:tcPr>
            <w:tcW w:w="8500" w:type="dxa"/>
            <w:vAlign w:val="bottom"/>
          </w:tcPr>
          <w:p>
            <w:pPr>
              <w:jc w:val="center"/>
              <w:ind w:left="192"/>
              <w:spacing w:after="0"/>
              <w:rPr>
                <w:sz w:val="20"/>
                <w:szCs w:val="20"/>
                <w:color w:val="auto"/>
              </w:rPr>
            </w:pPr>
            <w:r>
              <w:rPr>
                <w:rFonts w:ascii="Arial" w:cs="Arial" w:eastAsia="Arial" w:hAnsi="Arial"/>
                <w:sz w:val="22"/>
                <w:szCs w:val="22"/>
                <w:color w:val="auto"/>
                <w:w w:val="99"/>
              </w:rPr>
              <w:t>the Change of Control Severance Agreement between you and the Company dated</w:t>
            </w:r>
          </w:p>
        </w:tc>
      </w:tr>
      <w:tr>
        <w:trPr>
          <w:trHeight w:val="235"/>
        </w:trPr>
        <w:tc>
          <w:tcPr>
            <w:tcW w:w="2640" w:type="dxa"/>
            <w:vAlign w:val="bottom"/>
          </w:tcPr>
          <w:p>
            <w:pPr>
              <w:spacing w:after="0"/>
              <w:rPr>
                <w:sz w:val="20"/>
                <w:szCs w:val="20"/>
                <w:color w:val="auto"/>
              </w:rPr>
            </w:pPr>
          </w:p>
        </w:tc>
        <w:tc>
          <w:tcPr>
            <w:tcW w:w="8500" w:type="dxa"/>
            <w:vAlign w:val="bottom"/>
          </w:tcPr>
          <w:p>
            <w:pPr>
              <w:jc w:val="center"/>
              <w:ind w:left="192"/>
              <w:spacing w:after="0" w:line="234" w:lineRule="exact"/>
              <w:rPr>
                <w:sz w:val="20"/>
                <w:szCs w:val="20"/>
                <w:color w:val="auto"/>
              </w:rPr>
            </w:pPr>
            <w:r>
              <w:rPr>
                <w:rFonts w:ascii="Arial" w:cs="Arial" w:eastAsia="Arial" w:hAnsi="Arial"/>
                <w:sz w:val="22"/>
                <w:szCs w:val="22"/>
                <w:color w:val="auto"/>
              </w:rPr>
              <w:t>February 24, 2016, as amended from time to time (“Change of Control Severance</w:t>
            </w:r>
          </w:p>
        </w:tc>
      </w:tr>
      <w:tr>
        <w:trPr>
          <w:trHeight w:val="278"/>
        </w:trPr>
        <w:tc>
          <w:tcPr>
            <w:tcW w:w="2640" w:type="dxa"/>
            <w:vAlign w:val="bottom"/>
          </w:tcPr>
          <w:p>
            <w:pPr>
              <w:spacing w:after="0"/>
              <w:rPr>
                <w:sz w:val="24"/>
                <w:szCs w:val="24"/>
                <w:color w:val="auto"/>
              </w:rPr>
            </w:pPr>
          </w:p>
        </w:tc>
        <w:tc>
          <w:tcPr>
            <w:tcW w:w="8500" w:type="dxa"/>
            <w:vAlign w:val="bottom"/>
          </w:tcPr>
          <w:p>
            <w:pPr>
              <w:jc w:val="center"/>
              <w:ind w:left="212"/>
              <w:spacing w:after="0"/>
              <w:rPr>
                <w:sz w:val="20"/>
                <w:szCs w:val="20"/>
                <w:color w:val="auto"/>
              </w:rPr>
            </w:pPr>
            <w:r>
              <w:rPr>
                <w:rFonts w:ascii="Arial" w:cs="Arial" w:eastAsia="Arial" w:hAnsi="Arial"/>
                <w:sz w:val="22"/>
                <w:szCs w:val="22"/>
                <w:color w:val="auto"/>
              </w:rPr>
              <w:t xml:space="preserve">Agreement”);  </w:t>
            </w:r>
            <w:r>
              <w:rPr>
                <w:rFonts w:ascii="Arial" w:cs="Arial" w:eastAsia="Arial" w:hAnsi="Arial"/>
                <w:sz w:val="22"/>
                <w:szCs w:val="22"/>
                <w:i w:val="1"/>
                <w:iCs w:val="1"/>
                <w:color w:val="auto"/>
              </w:rPr>
              <w:t>provided,  however</w:t>
            </w:r>
            <w:r>
              <w:rPr>
                <w:rFonts w:ascii="Arial" w:cs="Arial" w:eastAsia="Arial" w:hAnsi="Arial"/>
                <w:sz w:val="22"/>
                <w:szCs w:val="22"/>
                <w:color w:val="auto"/>
              </w:rPr>
              <w:t>,  that  notwithstanding  the  provisions  of  any</w:t>
            </w:r>
          </w:p>
        </w:tc>
      </w:tr>
      <w:tr>
        <w:trPr>
          <w:trHeight w:val="257"/>
        </w:trPr>
        <w:tc>
          <w:tcPr>
            <w:tcW w:w="2640" w:type="dxa"/>
            <w:vAlign w:val="bottom"/>
          </w:tcPr>
          <w:p>
            <w:pPr>
              <w:spacing w:after="0"/>
              <w:rPr>
                <w:sz w:val="22"/>
                <w:szCs w:val="22"/>
                <w:color w:val="auto"/>
              </w:rPr>
            </w:pPr>
          </w:p>
        </w:tc>
        <w:tc>
          <w:tcPr>
            <w:tcW w:w="8500" w:type="dxa"/>
            <w:vAlign w:val="bottom"/>
          </w:tcPr>
          <w:p>
            <w:pPr>
              <w:jc w:val="center"/>
              <w:ind w:left="212"/>
              <w:spacing w:after="0"/>
              <w:rPr>
                <w:sz w:val="20"/>
                <w:szCs w:val="20"/>
                <w:color w:val="auto"/>
              </w:rPr>
            </w:pPr>
            <w:r>
              <w:rPr>
                <w:rFonts w:ascii="Arial" w:cs="Arial" w:eastAsia="Arial" w:hAnsi="Arial"/>
                <w:sz w:val="22"/>
                <w:szCs w:val="22"/>
                <w:color w:val="auto"/>
              </w:rPr>
              <w:t>agreement dated on or prior to the Date of Grant, including but not limited to the</w:t>
            </w:r>
          </w:p>
        </w:tc>
      </w:tr>
      <w:tr>
        <w:trPr>
          <w:trHeight w:val="257"/>
        </w:trPr>
        <w:tc>
          <w:tcPr>
            <w:tcW w:w="2640" w:type="dxa"/>
            <w:vAlign w:val="bottom"/>
          </w:tcPr>
          <w:p>
            <w:pPr>
              <w:spacing w:after="0"/>
              <w:rPr>
                <w:sz w:val="22"/>
                <w:szCs w:val="22"/>
                <w:color w:val="auto"/>
              </w:rPr>
            </w:pPr>
          </w:p>
        </w:tc>
        <w:tc>
          <w:tcPr>
            <w:tcW w:w="8500" w:type="dxa"/>
            <w:vAlign w:val="bottom"/>
          </w:tcPr>
          <w:p>
            <w:pPr>
              <w:jc w:val="center"/>
              <w:ind w:left="212"/>
              <w:spacing w:after="0"/>
              <w:rPr>
                <w:sz w:val="20"/>
                <w:szCs w:val="20"/>
                <w:color w:val="auto"/>
              </w:rPr>
            </w:pPr>
            <w:r>
              <w:rPr>
                <w:rFonts w:ascii="Arial" w:cs="Arial" w:eastAsia="Arial" w:hAnsi="Arial"/>
                <w:sz w:val="22"/>
                <w:szCs w:val="22"/>
                <w:color w:val="auto"/>
              </w:rPr>
              <w:t>Change of Control Severance Agreement, no accelerated vesting shall be received</w:t>
            </w:r>
          </w:p>
        </w:tc>
      </w:tr>
    </w:tbl>
    <w:p>
      <w:pPr>
        <w:ind w:left="3080" w:right="80"/>
        <w:spacing w:after="0" w:line="249" w:lineRule="auto"/>
        <w:rPr>
          <w:sz w:val="20"/>
          <w:szCs w:val="20"/>
          <w:color w:val="auto"/>
        </w:rPr>
      </w:pPr>
      <w:r>
        <w:rPr>
          <w:rFonts w:ascii="Arial" w:cs="Arial" w:eastAsia="Arial" w:hAnsi="Arial"/>
          <w:sz w:val="22"/>
          <w:szCs w:val="22"/>
          <w:color w:val="auto"/>
        </w:rPr>
        <w:t>for any Stock Units in excess of the actual or deemed Performance Vesting Rate as determined pursuant to the terms hereof.</w:t>
      </w:r>
    </w:p>
    <w:p>
      <w:pPr>
        <w:spacing w:after="0" w:line="16" w:lineRule="exact"/>
        <w:rPr>
          <w:sz w:val="20"/>
          <w:szCs w:val="20"/>
          <w:color w:val="auto"/>
        </w:rPr>
      </w:pPr>
    </w:p>
    <w:p>
      <w:pPr>
        <w:ind w:left="3020" w:right="260" w:hanging="2946"/>
        <w:spacing w:after="0" w:line="245" w:lineRule="auto"/>
        <w:tabs>
          <w:tab w:leader="none" w:pos="3000" w:val="left"/>
        </w:tabs>
        <w:rPr>
          <w:sz w:val="20"/>
          <w:szCs w:val="20"/>
          <w:color w:val="auto"/>
        </w:rPr>
      </w:pPr>
      <w:r>
        <w:rPr>
          <w:rFonts w:ascii="Arial" w:cs="Arial" w:eastAsia="Arial" w:hAnsi="Arial"/>
          <w:sz w:val="22"/>
          <w:szCs w:val="22"/>
          <w:b w:val="1"/>
          <w:bCs w:val="1"/>
          <w:i w:val="1"/>
          <w:iCs w:val="1"/>
          <w:color w:val="auto"/>
        </w:rPr>
        <w:t>Performance Vesting Rate:</w:t>
      </w:r>
      <w:r>
        <w:rPr>
          <w:sz w:val="20"/>
          <w:szCs w:val="20"/>
          <w:color w:val="auto"/>
        </w:rPr>
        <w:tab/>
      </w:r>
      <w:r>
        <w:rPr>
          <w:rFonts w:ascii="Arial" w:cs="Arial" w:eastAsia="Arial" w:hAnsi="Arial"/>
          <w:sz w:val="22"/>
          <w:szCs w:val="22"/>
          <w:color w:val="auto"/>
        </w:rPr>
        <w:t>The Performance Vesting Rate for the Stock Units subject to this Award shall be based on the percentage achievement of the established objectives set forth on the Performance Goals Addendum hereto, as recommended by the Chief Executive Officer of the Company and certified by the Committee.</w:t>
      </w:r>
    </w:p>
    <w:p>
      <w:pPr>
        <w:spacing w:after="0" w:line="200" w:lineRule="exact"/>
        <w:rPr>
          <w:sz w:val="20"/>
          <w:szCs w:val="20"/>
          <w:color w:val="auto"/>
        </w:rPr>
      </w:pPr>
    </w:p>
    <w:p>
      <w:pPr>
        <w:spacing w:after="0" w:line="262" w:lineRule="exact"/>
        <w:rPr>
          <w:sz w:val="20"/>
          <w:szCs w:val="20"/>
          <w:color w:val="auto"/>
        </w:rPr>
      </w:pPr>
    </w:p>
    <w:p>
      <w:pPr>
        <w:ind w:right="320"/>
        <w:spacing w:after="0" w:line="256" w:lineRule="auto"/>
        <w:rPr>
          <w:sz w:val="20"/>
          <w:szCs w:val="20"/>
          <w:color w:val="auto"/>
        </w:rPr>
      </w:pPr>
      <w:r>
        <w:rPr>
          <w:rFonts w:ascii="Arial" w:cs="Arial" w:eastAsia="Arial" w:hAnsi="Arial"/>
          <w:sz w:val="18"/>
          <w:szCs w:val="18"/>
          <w:b w:val="1"/>
          <w:bCs w:val="1"/>
          <w:color w:val="auto"/>
        </w:rPr>
        <w:t>By your signature and the signature of the Company’s representative below, you and the Company agree that these Stock Units are granted under and governed by the terms and conditions of the Plan and the Stock Unit Agreement - U.S. and Non-U.S. Employees and Consultants, including any applicable country-specific Appendix (together, the “Agreement”), all of which are attached to and made a part of this document.</w:t>
      </w:r>
    </w:p>
    <w:p>
      <w:pPr>
        <w:spacing w:after="0" w:line="3" w:lineRule="exact"/>
        <w:rPr>
          <w:sz w:val="20"/>
          <w:szCs w:val="20"/>
          <w:color w:val="auto"/>
        </w:rPr>
      </w:pPr>
    </w:p>
    <w:p>
      <w:pPr>
        <w:spacing w:after="0" w:line="252" w:lineRule="auto"/>
        <w:rPr>
          <w:sz w:val="20"/>
          <w:szCs w:val="20"/>
          <w:color w:val="auto"/>
        </w:rPr>
      </w:pPr>
      <w:r>
        <w:rPr>
          <w:rFonts w:ascii="Arial" w:cs="Arial" w:eastAsia="Arial" w:hAnsi="Arial"/>
          <w:sz w:val="18"/>
          <w:szCs w:val="18"/>
          <w:b w:val="1"/>
          <w:bCs w:val="1"/>
          <w:color w:val="auto"/>
        </w:rPr>
        <w:t>By signing this document, you further agree that the Company may, in its sole discretion, deliver by e-mail all documents relating to current or future participation in the Plan or this Award (including without limitation, prospectuses required by the U.S. Securities and Exchange Commission) and all other documents that the Company is required to deliver to its security holders (including without limitation, annual reports and proxy statements). You also agree that the Company may deliver these documents by posting them on a website maintained by the Company or by a third party under contract with the Company. If the Company posts these documents on a website, it will notify you by e-mail.</w:t>
      </w:r>
    </w:p>
    <w:p>
      <w:pPr>
        <w:sectPr>
          <w:pgSz w:w="11900" w:h="16838" w:orient="portrait"/>
          <w:cols w:equalWidth="0" w:num="1">
            <w:col w:w="11240"/>
          </w:cols>
          <w:pgMar w:left="320" w:top="1440" w:right="339" w:bottom="1440" w:gutter="0" w:footer="0" w:header="0"/>
        </w:sectPr>
      </w:pPr>
    </w:p>
    <w:bookmarkStart w:id="83" w:name="page84"/>
    <w:bookmarkEnd w:id="8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tabs>
          <w:tab w:leader="none" w:pos="6000" w:val="left"/>
        </w:tabs>
        <w:rPr>
          <w:sz w:val="20"/>
          <w:szCs w:val="20"/>
          <w:color w:val="auto"/>
        </w:rPr>
      </w:pPr>
      <w:r>
        <w:rPr>
          <w:rFonts w:ascii="Arial" w:cs="Arial" w:eastAsia="Arial" w:hAnsi="Arial"/>
          <w:sz w:val="18"/>
          <w:szCs w:val="18"/>
          <w:b w:val="1"/>
          <w:bCs w:val="1"/>
          <w:color w:val="auto"/>
        </w:rPr>
        <w:t>PARTICIPANT</w:t>
      </w:r>
      <w:r>
        <w:rPr>
          <w:sz w:val="20"/>
          <w:szCs w:val="20"/>
          <w:color w:val="auto"/>
        </w:rPr>
        <w:tab/>
      </w:r>
      <w:r>
        <w:rPr>
          <w:rFonts w:ascii="Arial" w:cs="Arial" w:eastAsia="Arial" w:hAnsi="Arial"/>
          <w:sz w:val="18"/>
          <w:szCs w:val="18"/>
          <w:b w:val="1"/>
          <w:bCs w:val="1"/>
          <w:color w:val="auto"/>
        </w:rPr>
        <w:t>INPHI CORPORATION:</w:t>
      </w:r>
    </w:p>
    <w:p>
      <w:pPr>
        <w:spacing w:after="0" w:line="227" w:lineRule="exact"/>
        <w:rPr>
          <w:sz w:val="20"/>
          <w:szCs w:val="20"/>
          <w:color w:val="auto"/>
        </w:rPr>
      </w:pPr>
    </w:p>
    <w:p>
      <w:pPr>
        <w:ind w:left="5700"/>
        <w:spacing w:after="0"/>
        <w:rPr>
          <w:sz w:val="20"/>
          <w:szCs w:val="20"/>
          <w:color w:val="auto"/>
        </w:rPr>
      </w:pPr>
      <w:r>
        <w:rPr>
          <w:rFonts w:ascii="Arial" w:cs="Arial" w:eastAsia="Arial" w:hAnsi="Arial"/>
          <w:sz w:val="20"/>
          <w:szCs w:val="20"/>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27305</wp:posOffset>
            </wp:positionV>
            <wp:extent cx="686625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9">
                      <a:extLst>
                        <a:ext uri="{28A0092B-C50C-407E-A947-70E740481C1C}"/>
                      </a:extLst>
                    </a:blip>
                    <a:srcRect/>
                    <a:stretch>
                      <a:fillRect/>
                    </a:stretch>
                  </pic:blipFill>
                  <pic:spPr bwMode="auto">
                    <a:xfrm>
                      <a:off x="0" y="0"/>
                      <a:ext cx="6866255" cy="8255"/>
                    </a:xfrm>
                    <a:prstGeom prst="rect">
                      <a:avLst/>
                    </a:prstGeom>
                    <a:noFill/>
                  </pic:spPr>
                </pic:pic>
              </a:graphicData>
            </a:graphic>
          </wp:anchor>
        </w:drawing>
      </w:r>
    </w:p>
    <w:p>
      <w:pPr>
        <w:spacing w:after="0" w:line="304" w:lineRule="exact"/>
        <w:rPr>
          <w:sz w:val="20"/>
          <w:szCs w:val="20"/>
          <w:color w:val="auto"/>
        </w:rPr>
      </w:pPr>
    </w:p>
    <w:p>
      <w:pPr>
        <w:ind w:left="5720"/>
        <w:spacing w:after="0"/>
        <w:rPr>
          <w:sz w:val="20"/>
          <w:szCs w:val="20"/>
          <w:color w:val="auto"/>
        </w:rPr>
      </w:pPr>
      <w:r>
        <w:rPr>
          <w:rFonts w:ascii="Arial" w:cs="Arial" w:eastAsia="Arial" w:hAnsi="Arial"/>
          <w:sz w:val="19"/>
          <w:szCs w:val="19"/>
          <w:color w:val="auto"/>
        </w:rPr>
        <w:t>Its: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34925</wp:posOffset>
            </wp:positionV>
            <wp:extent cx="6866255"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0">
                      <a:extLst>
                        <a:ext uri="{28A0092B-C50C-407E-A947-70E740481C1C}"/>
                      </a:extLst>
                    </a:blip>
                    <a:srcRect/>
                    <a:stretch>
                      <a:fillRect/>
                    </a:stretch>
                  </pic:blipFill>
                  <pic:spPr bwMode="auto">
                    <a:xfrm>
                      <a:off x="0" y="0"/>
                      <a:ext cx="6866255" cy="8255"/>
                    </a:xfrm>
                    <a:prstGeom prst="rect">
                      <a:avLst/>
                    </a:prstGeom>
                    <a:noFill/>
                  </pic:spPr>
                </pic:pic>
              </a:graphicData>
            </a:graphic>
          </wp:anchor>
        </w:drawing>
      </w:r>
    </w:p>
    <w:p>
      <w:pPr>
        <w:spacing w:after="0" w:line="59" w:lineRule="exact"/>
        <w:rPr>
          <w:sz w:val="20"/>
          <w:szCs w:val="20"/>
          <w:color w:val="auto"/>
        </w:rPr>
      </w:pPr>
    </w:p>
    <w:p>
      <w:pPr>
        <w:spacing w:after="0"/>
        <w:rPr>
          <w:sz w:val="20"/>
          <w:szCs w:val="20"/>
          <w:color w:val="auto"/>
        </w:rPr>
      </w:pPr>
      <w:r>
        <w:rPr>
          <w:rFonts w:ascii="Arial" w:cs="Arial" w:eastAsia="Arial" w:hAnsi="Arial"/>
          <w:sz w:val="20"/>
          <w:szCs w:val="20"/>
          <w:color w:val="auto"/>
        </w:rPr>
        <w:t>Print Name</w:t>
      </w:r>
    </w:p>
    <w:p>
      <w:pPr>
        <w:sectPr>
          <w:pgSz w:w="11900" w:h="16838" w:orient="portrait"/>
          <w:cols w:equalWidth="0" w:num="1">
            <w:col w:w="10119"/>
          </w:cols>
          <w:pgMar w:left="340" w:top="1440" w:right="1440" w:bottom="1440" w:gutter="0" w:footer="0" w:header="0"/>
        </w:sectPr>
      </w:pPr>
    </w:p>
    <w:bookmarkStart w:id="84" w:name="page85"/>
    <w:bookmarkEnd w:id="8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jc w:val="center"/>
        <w:ind w:right="-179"/>
        <w:spacing w:after="0"/>
        <w:rPr>
          <w:sz w:val="20"/>
          <w:szCs w:val="20"/>
          <w:color w:val="auto"/>
        </w:rPr>
      </w:pPr>
      <w:r>
        <w:rPr>
          <w:rFonts w:ascii="Arial" w:cs="Arial" w:eastAsia="Arial" w:hAnsi="Arial"/>
          <w:sz w:val="20"/>
          <w:szCs w:val="20"/>
          <w:b w:val="1"/>
          <w:bCs w:val="1"/>
          <w:color w:val="auto"/>
        </w:rPr>
        <w:t>INPHI CORPORATION</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20"/>
          <w:szCs w:val="20"/>
          <w:b w:val="1"/>
          <w:bCs w:val="1"/>
          <w:color w:val="auto"/>
        </w:rPr>
        <w:t>2010 STOCK INCENTIVE PLAN</w:t>
      </w:r>
    </w:p>
    <w:p>
      <w:pPr>
        <w:jc w:val="center"/>
        <w:ind w:right="-179"/>
        <w:spacing w:after="0"/>
        <w:rPr>
          <w:sz w:val="20"/>
          <w:szCs w:val="20"/>
          <w:color w:val="auto"/>
        </w:rPr>
      </w:pPr>
      <w:r>
        <w:rPr>
          <w:rFonts w:ascii="Arial" w:cs="Arial" w:eastAsia="Arial" w:hAnsi="Arial"/>
          <w:sz w:val="20"/>
          <w:szCs w:val="20"/>
          <w:b w:val="1"/>
          <w:bCs w:val="1"/>
          <w:color w:val="auto"/>
        </w:rPr>
        <w:t>NOTICE OF STOCK UNIT AWARD</w:t>
      </w:r>
    </w:p>
    <w:p>
      <w:pPr>
        <w:spacing w:after="0" w:line="192" w:lineRule="exact"/>
        <w:rPr>
          <w:sz w:val="20"/>
          <w:szCs w:val="20"/>
          <w:color w:val="auto"/>
        </w:rPr>
      </w:pPr>
    </w:p>
    <w:p>
      <w:pPr>
        <w:jc w:val="center"/>
        <w:ind w:right="-179"/>
        <w:spacing w:after="0"/>
        <w:rPr>
          <w:sz w:val="20"/>
          <w:szCs w:val="20"/>
          <w:color w:val="auto"/>
        </w:rPr>
      </w:pPr>
      <w:r>
        <w:rPr>
          <w:rFonts w:ascii="Arial" w:cs="Arial" w:eastAsia="Arial" w:hAnsi="Arial"/>
          <w:sz w:val="20"/>
          <w:szCs w:val="20"/>
          <w:b w:val="1"/>
          <w:bCs w:val="1"/>
          <w:color w:val="auto"/>
        </w:rPr>
        <w:t>PERFORMANCE GOALS ADDENDUM</w:t>
      </w:r>
    </w:p>
    <w:p>
      <w:pPr>
        <w:spacing w:after="0" w:line="240" w:lineRule="exact"/>
        <w:rPr>
          <w:sz w:val="20"/>
          <w:szCs w:val="20"/>
          <w:color w:val="auto"/>
        </w:rPr>
      </w:pPr>
    </w:p>
    <w:p>
      <w:pPr>
        <w:spacing w:after="0" w:line="243" w:lineRule="auto"/>
        <w:rPr>
          <w:sz w:val="20"/>
          <w:szCs w:val="20"/>
          <w:color w:val="auto"/>
        </w:rPr>
      </w:pPr>
      <w:r>
        <w:rPr>
          <w:rFonts w:ascii="Arial" w:cs="Arial" w:eastAsia="Arial" w:hAnsi="Arial"/>
          <w:sz w:val="20"/>
          <w:szCs w:val="20"/>
          <w:color w:val="auto"/>
        </w:rPr>
        <w:t>The Performance Vesting Rate for the Stock Units subject to this Award for the entire three-year Performance Period shall be based on the percentage achievement of the Coherent Digital Signal Processing revenue objectives for the 2021 fiscal year as set forth below:</w:t>
      </w:r>
    </w:p>
    <w:p>
      <w:pPr>
        <w:spacing w:after="0" w:line="182" w:lineRule="exact"/>
        <w:rPr>
          <w:sz w:val="20"/>
          <w:szCs w:val="20"/>
          <w:color w:val="auto"/>
        </w:rPr>
      </w:pPr>
    </w:p>
    <w:p>
      <w:pPr>
        <w:jc w:val="center"/>
        <w:ind w:right="-179"/>
        <w:spacing w:after="0"/>
        <w:rPr>
          <w:sz w:val="20"/>
          <w:szCs w:val="20"/>
          <w:color w:val="auto"/>
        </w:rPr>
      </w:pPr>
      <w:r>
        <w:rPr>
          <w:rFonts w:ascii="Arial" w:cs="Arial" w:eastAsia="Arial" w:hAnsi="Arial"/>
          <w:sz w:val="20"/>
          <w:szCs w:val="20"/>
          <w:b w:val="1"/>
          <w:bCs w:val="1"/>
          <w:color w:val="auto"/>
        </w:rPr>
        <w:t>2021 Revenue:</w:t>
      </w:r>
    </w:p>
    <w:p>
      <w:pPr>
        <w:spacing w:after="0" w:line="34" w:lineRule="exact"/>
        <w:rPr>
          <w:sz w:val="20"/>
          <w:szCs w:val="20"/>
          <w:color w:val="auto"/>
        </w:rPr>
      </w:pPr>
    </w:p>
    <w:tbl>
      <w:tblPr>
        <w:tblLayout w:type="fixed"/>
        <w:tblInd w:w="3290" w:type="dxa"/>
        <w:tblCellMar>
          <w:top w:w="0" w:type="dxa"/>
          <w:left w:w="0" w:type="dxa"/>
          <w:bottom w:w="0" w:type="dxa"/>
          <w:right w:w="0" w:type="dxa"/>
        </w:tblCellMar>
      </w:tblPr>
      <w:tr>
        <w:trPr>
          <w:trHeight w:val="275"/>
        </w:trPr>
        <w:tc>
          <w:tcPr>
            <w:tcW w:w="2100" w:type="dxa"/>
            <w:vAlign w:val="bottom"/>
            <w:tcBorders>
              <w:top w:val="single" w:sz="8" w:color="auto"/>
              <w:left w:val="single" w:sz="8" w:color="auto"/>
              <w:right w:val="single" w:sz="8" w:color="auto"/>
            </w:tcBorders>
          </w:tcPr>
          <w:p>
            <w:pPr>
              <w:ind w:left="460"/>
              <w:spacing w:after="0"/>
              <w:rPr>
                <w:sz w:val="20"/>
                <w:szCs w:val="20"/>
                <w:color w:val="auto"/>
              </w:rPr>
            </w:pPr>
            <w:r>
              <w:rPr>
                <w:rFonts w:ascii="Arial" w:cs="Arial" w:eastAsia="Arial" w:hAnsi="Arial"/>
                <w:sz w:val="20"/>
                <w:szCs w:val="20"/>
                <w:b w:val="1"/>
                <w:bCs w:val="1"/>
                <w:color w:val="auto"/>
              </w:rPr>
              <w:t>Performance</w:t>
            </w:r>
          </w:p>
        </w:tc>
        <w:tc>
          <w:tcPr>
            <w:tcW w:w="260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20"/>
                <w:szCs w:val="20"/>
                <w:b w:val="1"/>
                <w:bCs w:val="1"/>
                <w:color w:val="auto"/>
                <w:w w:val="98"/>
              </w:rPr>
              <w:t>Payout</w:t>
            </w:r>
          </w:p>
        </w:tc>
      </w:tr>
      <w:tr>
        <w:trPr>
          <w:trHeight w:val="22"/>
        </w:trPr>
        <w:tc>
          <w:tcPr>
            <w:tcW w:w="210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2600" w:type="dxa"/>
            <w:vAlign w:val="bottom"/>
            <w:tcBorders>
              <w:bottom w:val="single" w:sz="8" w:color="auto"/>
              <w:right w:val="single" w:sz="8" w:color="auto"/>
            </w:tcBorders>
          </w:tcPr>
          <w:p>
            <w:pPr>
              <w:spacing w:after="0" w:line="20" w:lineRule="exact"/>
              <w:rPr>
                <w:sz w:val="1"/>
                <w:szCs w:val="1"/>
                <w:color w:val="auto"/>
              </w:rPr>
            </w:pPr>
          </w:p>
        </w:tc>
      </w:tr>
      <w:tr>
        <w:trPr>
          <w:trHeight w:val="254"/>
        </w:trPr>
        <w:tc>
          <w:tcPr>
            <w:tcW w:w="210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20"/>
                <w:szCs w:val="20"/>
                <w:color w:val="auto"/>
              </w:rPr>
              <w:t>&lt;$80M</w:t>
            </w:r>
          </w:p>
        </w:tc>
        <w:tc>
          <w:tcPr>
            <w:tcW w:w="26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rPr>
              <w:t>0% vests</w:t>
            </w:r>
          </w:p>
        </w:tc>
      </w:tr>
      <w:tr>
        <w:trPr>
          <w:trHeight w:val="23"/>
        </w:trPr>
        <w:tc>
          <w:tcPr>
            <w:tcW w:w="2100" w:type="dxa"/>
            <w:vAlign w:val="bottom"/>
            <w:tcBorders>
              <w:left w:val="single" w:sz="8" w:color="auto"/>
              <w:bottom w:val="single" w:sz="8" w:color="auto"/>
              <w:right w:val="single" w:sz="8" w:color="auto"/>
            </w:tcBorders>
          </w:tcPr>
          <w:p>
            <w:pPr>
              <w:spacing w:after="0"/>
              <w:rPr>
                <w:sz w:val="2"/>
                <w:szCs w:val="2"/>
                <w:color w:val="auto"/>
              </w:rPr>
            </w:pPr>
          </w:p>
        </w:tc>
        <w:tc>
          <w:tcPr>
            <w:tcW w:w="2600" w:type="dxa"/>
            <w:vAlign w:val="bottom"/>
            <w:tcBorders>
              <w:bottom w:val="single" w:sz="8" w:color="auto"/>
              <w:right w:val="single" w:sz="8" w:color="auto"/>
            </w:tcBorders>
          </w:tcPr>
          <w:p>
            <w:pPr>
              <w:spacing w:after="0"/>
              <w:rPr>
                <w:sz w:val="2"/>
                <w:szCs w:val="2"/>
                <w:color w:val="auto"/>
              </w:rPr>
            </w:pPr>
          </w:p>
        </w:tc>
      </w:tr>
      <w:tr>
        <w:trPr>
          <w:trHeight w:val="254"/>
        </w:trPr>
        <w:tc>
          <w:tcPr>
            <w:tcW w:w="210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9"/>
              </w:rPr>
              <w:t>$80M</w:t>
            </w:r>
          </w:p>
        </w:tc>
        <w:tc>
          <w:tcPr>
            <w:tcW w:w="26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w w:val="97"/>
              </w:rPr>
              <w:t>80% vests</w:t>
            </w:r>
          </w:p>
        </w:tc>
      </w:tr>
      <w:tr>
        <w:trPr>
          <w:trHeight w:val="23"/>
        </w:trPr>
        <w:tc>
          <w:tcPr>
            <w:tcW w:w="2100" w:type="dxa"/>
            <w:vAlign w:val="bottom"/>
            <w:tcBorders>
              <w:left w:val="single" w:sz="8" w:color="auto"/>
              <w:bottom w:val="single" w:sz="8" w:color="auto"/>
              <w:right w:val="single" w:sz="8" w:color="auto"/>
            </w:tcBorders>
          </w:tcPr>
          <w:p>
            <w:pPr>
              <w:spacing w:after="0"/>
              <w:rPr>
                <w:sz w:val="2"/>
                <w:szCs w:val="2"/>
                <w:color w:val="auto"/>
              </w:rPr>
            </w:pPr>
          </w:p>
        </w:tc>
        <w:tc>
          <w:tcPr>
            <w:tcW w:w="2600" w:type="dxa"/>
            <w:vAlign w:val="bottom"/>
            <w:tcBorders>
              <w:bottom w:val="single" w:sz="8" w:color="auto"/>
              <w:right w:val="single" w:sz="8" w:color="auto"/>
            </w:tcBorders>
          </w:tcPr>
          <w:p>
            <w:pPr>
              <w:spacing w:after="0"/>
              <w:rPr>
                <w:sz w:val="2"/>
                <w:szCs w:val="2"/>
                <w:color w:val="auto"/>
              </w:rPr>
            </w:pPr>
          </w:p>
        </w:tc>
      </w:tr>
      <w:tr>
        <w:trPr>
          <w:trHeight w:val="254"/>
        </w:trPr>
        <w:tc>
          <w:tcPr>
            <w:tcW w:w="210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9"/>
              </w:rPr>
              <w:t>$90M</w:t>
            </w:r>
          </w:p>
        </w:tc>
        <w:tc>
          <w:tcPr>
            <w:tcW w:w="26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w w:val="98"/>
              </w:rPr>
              <w:t>100% vests</w:t>
            </w:r>
          </w:p>
        </w:tc>
      </w:tr>
      <w:tr>
        <w:trPr>
          <w:trHeight w:val="23"/>
        </w:trPr>
        <w:tc>
          <w:tcPr>
            <w:tcW w:w="2100" w:type="dxa"/>
            <w:vAlign w:val="bottom"/>
            <w:tcBorders>
              <w:left w:val="single" w:sz="8" w:color="auto"/>
              <w:bottom w:val="single" w:sz="8" w:color="auto"/>
              <w:right w:val="single" w:sz="8" w:color="auto"/>
            </w:tcBorders>
          </w:tcPr>
          <w:p>
            <w:pPr>
              <w:spacing w:after="0"/>
              <w:rPr>
                <w:sz w:val="2"/>
                <w:szCs w:val="2"/>
                <w:color w:val="auto"/>
              </w:rPr>
            </w:pPr>
          </w:p>
        </w:tc>
        <w:tc>
          <w:tcPr>
            <w:tcW w:w="2600" w:type="dxa"/>
            <w:vAlign w:val="bottom"/>
            <w:tcBorders>
              <w:bottom w:val="single" w:sz="8" w:color="auto"/>
              <w:right w:val="single" w:sz="8" w:color="auto"/>
            </w:tcBorders>
          </w:tcPr>
          <w:p>
            <w:pPr>
              <w:spacing w:after="0"/>
              <w:rPr>
                <w:sz w:val="2"/>
                <w:szCs w:val="2"/>
                <w:color w:val="auto"/>
              </w:rPr>
            </w:pPr>
          </w:p>
        </w:tc>
      </w:tr>
      <w:tr>
        <w:trPr>
          <w:trHeight w:val="254"/>
        </w:trPr>
        <w:tc>
          <w:tcPr>
            <w:tcW w:w="210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9"/>
              </w:rPr>
              <w:t>&gt;=$120M</w:t>
            </w:r>
          </w:p>
        </w:tc>
        <w:tc>
          <w:tcPr>
            <w:tcW w:w="26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w w:val="98"/>
              </w:rPr>
              <w:t>150% vests</w:t>
            </w:r>
          </w:p>
        </w:tc>
      </w:tr>
      <w:tr>
        <w:trPr>
          <w:trHeight w:val="23"/>
        </w:trPr>
        <w:tc>
          <w:tcPr>
            <w:tcW w:w="2100" w:type="dxa"/>
            <w:vAlign w:val="bottom"/>
            <w:tcBorders>
              <w:left w:val="single" w:sz="8" w:color="auto"/>
              <w:bottom w:val="single" w:sz="8" w:color="auto"/>
              <w:right w:val="single" w:sz="8" w:color="auto"/>
            </w:tcBorders>
          </w:tcPr>
          <w:p>
            <w:pPr>
              <w:spacing w:after="0"/>
              <w:rPr>
                <w:sz w:val="2"/>
                <w:szCs w:val="2"/>
                <w:color w:val="auto"/>
              </w:rPr>
            </w:pPr>
          </w:p>
        </w:tc>
        <w:tc>
          <w:tcPr>
            <w:tcW w:w="2600" w:type="dxa"/>
            <w:vAlign w:val="bottom"/>
            <w:tcBorders>
              <w:bottom w:val="single" w:sz="8" w:color="auto"/>
              <w:right w:val="single" w:sz="8" w:color="auto"/>
            </w:tcBorders>
          </w:tcPr>
          <w:p>
            <w:pPr>
              <w:spacing w:after="0"/>
              <w:rPr>
                <w:sz w:val="2"/>
                <w:szCs w:val="2"/>
                <w:color w:val="auto"/>
              </w:rPr>
            </w:pPr>
          </w:p>
        </w:tc>
      </w:tr>
    </w:tbl>
    <w:p>
      <w:pPr>
        <w:spacing w:after="0" w:line="200" w:lineRule="exact"/>
        <w:rPr>
          <w:sz w:val="20"/>
          <w:szCs w:val="20"/>
          <w:color w:val="auto"/>
        </w:rPr>
      </w:pPr>
    </w:p>
    <w:p>
      <w:pPr>
        <w:spacing w:after="0" w:line="242" w:lineRule="exact"/>
        <w:rPr>
          <w:sz w:val="20"/>
          <w:szCs w:val="20"/>
          <w:color w:val="auto"/>
        </w:rPr>
      </w:pPr>
    </w:p>
    <w:p>
      <w:pPr>
        <w:jc w:val="center"/>
        <w:ind w:right="-179"/>
        <w:spacing w:after="0"/>
        <w:rPr>
          <w:sz w:val="20"/>
          <w:szCs w:val="20"/>
          <w:color w:val="auto"/>
        </w:rPr>
      </w:pPr>
      <w:r>
        <w:rPr>
          <w:rFonts w:ascii="Arial" w:cs="Arial" w:eastAsia="Arial" w:hAnsi="Arial"/>
          <w:sz w:val="20"/>
          <w:szCs w:val="20"/>
          <w:color w:val="auto"/>
        </w:rPr>
        <w:t>Interpolated in between performance levels</w:t>
      </w:r>
    </w:p>
    <w:p>
      <w:pPr>
        <w:sectPr>
          <w:pgSz w:w="11900" w:h="16838" w:orient="portrait"/>
          <w:cols w:equalWidth="0" w:num="1">
            <w:col w:w="11060"/>
          </w:cols>
          <w:pgMar w:left="320" w:top="1440" w:right="519" w:bottom="1440" w:gutter="0" w:footer="0" w:header="0"/>
        </w:sectPr>
      </w:pPr>
    </w:p>
    <w:bookmarkStart w:id="85" w:name="page86"/>
    <w:bookmarkEnd w:id="85"/>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spacing w:after="0"/>
        <w:rPr>
          <w:sz w:val="20"/>
          <w:szCs w:val="20"/>
          <w:color w:val="auto"/>
        </w:rPr>
      </w:pPr>
      <w:r>
        <w:rPr>
          <w:rFonts w:ascii="Arial" w:cs="Arial" w:eastAsia="Arial" w:hAnsi="Arial"/>
          <w:sz w:val="18"/>
          <w:szCs w:val="18"/>
          <w:color w:val="auto"/>
        </w:rPr>
        <w:t>Appendix 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24765</wp:posOffset>
            </wp:positionV>
            <wp:extent cx="4114800" cy="644652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1">
                      <a:extLst>
                        <a:ext uri="{28A0092B-C50C-407E-A947-70E740481C1C}"/>
                      </a:extLst>
                    </a:blip>
                    <a:srcRect/>
                    <a:stretch>
                      <a:fillRect/>
                    </a:stretch>
                  </pic:blipFill>
                  <pic:spPr bwMode="auto">
                    <a:xfrm>
                      <a:off x="0" y="0"/>
                      <a:ext cx="4114800" cy="6446520"/>
                    </a:xfrm>
                    <a:prstGeom prst="rect">
                      <a:avLst/>
                    </a:prstGeom>
                    <a:noFill/>
                  </pic:spPr>
                </pic:pic>
              </a:graphicData>
            </a:graphic>
          </wp:anchor>
        </w:drawing>
      </w:r>
    </w:p>
    <w:p>
      <w:pPr>
        <w:sectPr>
          <w:pgSz w:w="11900" w:h="16838" w:orient="portrait"/>
          <w:cols w:equalWidth="0" w:num="1">
            <w:col w:w="10139"/>
          </w:cols>
          <w:pgMar w:left="320" w:top="1440" w:right="1440" w:bottom="1440" w:gutter="0" w:footer="0" w:header="0"/>
        </w:sectPr>
      </w:pPr>
    </w:p>
    <w:bookmarkStart w:id="86" w:name="page87"/>
    <w:bookmarkEnd w:id="86"/>
    <w:p>
      <w:pPr>
        <w:jc w:val="right"/>
        <w:spacing w:after="0"/>
        <w:rPr>
          <w:sz w:val="20"/>
          <w:szCs w:val="20"/>
          <w:color w:val="auto"/>
        </w:rPr>
      </w:pPr>
      <w:r>
        <w:rPr>
          <w:rFonts w:ascii="Arial" w:cs="Arial" w:eastAsia="Arial" w:hAnsi="Arial"/>
          <w:sz w:val="20"/>
          <w:szCs w:val="20"/>
          <w:b w:val="1"/>
          <w:bCs w:val="1"/>
          <w:color w:val="auto"/>
        </w:rPr>
        <w:t>Exhibit 10.20</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Compensation Arrangements for FY 2022</w:t>
      </w:r>
    </w:p>
    <w:p>
      <w:pPr>
        <w:spacing w:after="0" w:line="31"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Named Executive Officers</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Marvell Technology, Inc.</w:t>
      </w:r>
    </w:p>
    <w:p>
      <w:pPr>
        <w:spacing w:after="0" w:line="172" w:lineRule="exact"/>
        <w:rPr>
          <w:sz w:val="20"/>
          <w:szCs w:val="20"/>
          <w:color w:val="auto"/>
        </w:rPr>
      </w:pPr>
    </w:p>
    <w:p>
      <w:pPr>
        <w:ind w:right="40"/>
        <w:spacing w:after="0" w:line="255" w:lineRule="auto"/>
        <w:rPr>
          <w:sz w:val="20"/>
          <w:szCs w:val="20"/>
          <w:color w:val="auto"/>
        </w:rPr>
      </w:pPr>
      <w:r>
        <w:rPr>
          <w:rFonts w:ascii="Arial" w:cs="Arial" w:eastAsia="Arial" w:hAnsi="Arial"/>
          <w:sz w:val="20"/>
          <w:szCs w:val="20"/>
          <w:color w:val="auto"/>
        </w:rPr>
        <w:t>Note: The following summary of compensation arrangements does not include all previously-reported compensation arrangements or awards granted under previously-disclosed incentive plans. Disclosures with respect to compensation for Named Executive Officers for the 2021 fiscal year were included in the Company's definitive proxy statement for the Company's 2021 Annual Meeting of Stockholders filed with the SEC on May 28, 2021, and additional disclosures with respect to compensation for Named Executive Officers for the 2022 fiscal year will be included in the Company's definitive proxy statement for the Company's 2022 Annual Meeting of Stockholders.</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620" w:type="dxa"/>
            <w:vAlign w:val="bottom"/>
          </w:tcPr>
          <w:p>
            <w:pPr>
              <w:spacing w:after="0"/>
              <w:rPr>
                <w:sz w:val="19"/>
                <w:szCs w:val="19"/>
                <w:color w:val="auto"/>
              </w:rPr>
            </w:pPr>
          </w:p>
        </w:tc>
        <w:tc>
          <w:tcPr>
            <w:tcW w:w="490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180" w:type="dxa"/>
            <w:vAlign w:val="bottom"/>
          </w:tcPr>
          <w:p>
            <w:pPr>
              <w:jc w:val="center"/>
              <w:ind w:left="21"/>
              <w:spacing w:after="0"/>
              <w:rPr>
                <w:sz w:val="20"/>
                <w:szCs w:val="20"/>
                <w:color w:val="auto"/>
              </w:rPr>
            </w:pPr>
            <w:r>
              <w:rPr>
                <w:rFonts w:ascii="Arial" w:cs="Arial" w:eastAsia="Arial" w:hAnsi="Arial"/>
                <w:sz w:val="20"/>
                <w:szCs w:val="20"/>
                <w:i w:val="1"/>
                <w:iCs w:val="1"/>
                <w:color w:val="auto"/>
                <w:w w:val="98"/>
              </w:rPr>
              <w:t>INCENTIVE TARGET</w:t>
            </w:r>
          </w:p>
        </w:tc>
      </w:tr>
      <w:tr>
        <w:trPr>
          <w:trHeight w:val="271"/>
        </w:trPr>
        <w:tc>
          <w:tcPr>
            <w:tcW w:w="2620" w:type="dxa"/>
            <w:vAlign w:val="bottom"/>
          </w:tcPr>
          <w:p>
            <w:pPr>
              <w:ind w:left="80"/>
              <w:spacing w:after="0"/>
              <w:rPr>
                <w:sz w:val="20"/>
                <w:szCs w:val="20"/>
                <w:color w:val="auto"/>
              </w:rPr>
            </w:pPr>
            <w:r>
              <w:rPr>
                <w:rFonts w:ascii="Arial" w:cs="Arial" w:eastAsia="Arial" w:hAnsi="Arial"/>
                <w:sz w:val="20"/>
                <w:szCs w:val="20"/>
                <w:i w:val="1"/>
                <w:iCs w:val="1"/>
                <w:color w:val="auto"/>
              </w:rPr>
              <w:t>NAME</w:t>
            </w:r>
          </w:p>
        </w:tc>
        <w:tc>
          <w:tcPr>
            <w:tcW w:w="4900" w:type="dxa"/>
            <w:vAlign w:val="bottom"/>
          </w:tcPr>
          <w:p>
            <w:pPr>
              <w:ind w:left="40"/>
              <w:spacing w:after="0"/>
              <w:rPr>
                <w:sz w:val="20"/>
                <w:szCs w:val="20"/>
                <w:color w:val="auto"/>
              </w:rPr>
            </w:pPr>
            <w:r>
              <w:rPr>
                <w:rFonts w:ascii="Arial" w:cs="Arial" w:eastAsia="Arial" w:hAnsi="Arial"/>
                <w:sz w:val="20"/>
                <w:szCs w:val="20"/>
                <w:i w:val="1"/>
                <w:iCs w:val="1"/>
                <w:color w:val="auto"/>
              </w:rPr>
              <w:t>TITLE</w:t>
            </w:r>
          </w:p>
        </w:tc>
        <w:tc>
          <w:tcPr>
            <w:tcW w:w="1540" w:type="dxa"/>
            <w:vAlign w:val="bottom"/>
          </w:tcPr>
          <w:p>
            <w:pPr>
              <w:ind w:left="220"/>
              <w:spacing w:after="0"/>
              <w:rPr>
                <w:sz w:val="20"/>
                <w:szCs w:val="20"/>
                <w:color w:val="auto"/>
              </w:rPr>
            </w:pPr>
            <w:r>
              <w:rPr>
                <w:rFonts w:ascii="Arial" w:cs="Arial" w:eastAsia="Arial" w:hAnsi="Arial"/>
                <w:sz w:val="20"/>
                <w:szCs w:val="20"/>
                <w:i w:val="1"/>
                <w:iCs w:val="1"/>
                <w:color w:val="auto"/>
              </w:rPr>
              <w:t>SALARY ($)</w:t>
            </w:r>
          </w:p>
        </w:tc>
        <w:tc>
          <w:tcPr>
            <w:tcW w:w="2180" w:type="dxa"/>
            <w:vAlign w:val="bottom"/>
          </w:tcPr>
          <w:p>
            <w:pPr>
              <w:jc w:val="center"/>
              <w:ind w:left="21"/>
              <w:spacing w:after="0"/>
              <w:rPr>
                <w:sz w:val="20"/>
                <w:szCs w:val="20"/>
                <w:color w:val="auto"/>
              </w:rPr>
            </w:pPr>
            <w:r>
              <w:rPr>
                <w:rFonts w:ascii="Arial" w:cs="Arial" w:eastAsia="Arial" w:hAnsi="Arial"/>
                <w:sz w:val="20"/>
                <w:szCs w:val="20"/>
                <w:i w:val="1"/>
                <w:iCs w:val="1"/>
                <w:color w:val="auto"/>
                <w:w w:val="98"/>
              </w:rPr>
              <w:t>(% OF SALARY)</w:t>
            </w:r>
          </w:p>
        </w:tc>
      </w:tr>
      <w:tr>
        <w:trPr>
          <w:trHeight w:val="23"/>
        </w:trPr>
        <w:tc>
          <w:tcPr>
            <w:tcW w:w="2620" w:type="dxa"/>
            <w:vAlign w:val="bottom"/>
            <w:tcBorders>
              <w:bottom w:val="single" w:sz="8" w:color="7F7F7F"/>
            </w:tcBorders>
          </w:tcPr>
          <w:p>
            <w:pPr>
              <w:spacing w:after="0"/>
              <w:rPr>
                <w:sz w:val="2"/>
                <w:szCs w:val="2"/>
                <w:color w:val="auto"/>
              </w:rPr>
            </w:pPr>
          </w:p>
        </w:tc>
        <w:tc>
          <w:tcPr>
            <w:tcW w:w="4900" w:type="dxa"/>
            <w:vAlign w:val="bottom"/>
            <w:tcBorders>
              <w:bottom w:val="single" w:sz="8" w:color="7F7F7F"/>
            </w:tcBorders>
          </w:tcPr>
          <w:p>
            <w:pPr>
              <w:spacing w:after="0"/>
              <w:rPr>
                <w:sz w:val="2"/>
                <w:szCs w:val="2"/>
                <w:color w:val="auto"/>
              </w:rPr>
            </w:pPr>
          </w:p>
        </w:tc>
        <w:tc>
          <w:tcPr>
            <w:tcW w:w="1540" w:type="dxa"/>
            <w:vAlign w:val="bottom"/>
            <w:tcBorders>
              <w:bottom w:val="single" w:sz="8" w:color="7F7F7F"/>
            </w:tcBorders>
          </w:tcPr>
          <w:p>
            <w:pPr>
              <w:spacing w:after="0"/>
              <w:rPr>
                <w:sz w:val="2"/>
                <w:szCs w:val="2"/>
                <w:color w:val="auto"/>
              </w:rPr>
            </w:pPr>
          </w:p>
        </w:tc>
        <w:tc>
          <w:tcPr>
            <w:tcW w:w="2180" w:type="dxa"/>
            <w:vAlign w:val="bottom"/>
            <w:tcBorders>
              <w:bottom w:val="single" w:sz="8" w:color="7F7F7F"/>
            </w:tcBorders>
          </w:tcPr>
          <w:p>
            <w:pPr>
              <w:spacing w:after="0"/>
              <w:rPr>
                <w:sz w:val="2"/>
                <w:szCs w:val="2"/>
                <w:color w:val="auto"/>
              </w:rPr>
            </w:pPr>
          </w:p>
        </w:tc>
      </w:tr>
      <w:tr>
        <w:trPr>
          <w:trHeight w:val="271"/>
        </w:trPr>
        <w:tc>
          <w:tcPr>
            <w:tcW w:w="2620" w:type="dxa"/>
            <w:vAlign w:val="bottom"/>
            <w:tcBorders>
              <w:bottom w:val="single" w:sz="8" w:color="F2F2F2"/>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MATTHEW MURPHY</w:t>
            </w:r>
          </w:p>
        </w:tc>
        <w:tc>
          <w:tcPr>
            <w:tcW w:w="4900" w:type="dxa"/>
            <w:vAlign w:val="bottom"/>
            <w:tcBorders>
              <w:bottom w:val="single" w:sz="8" w:color="F2F2F2"/>
            </w:tcBorders>
            <w:shd w:val="clear" w:color="auto" w:fill="F2F2F2"/>
          </w:tcPr>
          <w:p>
            <w:pPr>
              <w:ind w:left="60"/>
              <w:spacing w:after="0"/>
              <w:rPr>
                <w:sz w:val="20"/>
                <w:szCs w:val="20"/>
                <w:color w:val="auto"/>
              </w:rPr>
            </w:pPr>
            <w:r>
              <w:rPr>
                <w:rFonts w:ascii="Arial" w:cs="Arial" w:eastAsia="Arial" w:hAnsi="Arial"/>
                <w:sz w:val="20"/>
                <w:szCs w:val="20"/>
                <w:color w:val="auto"/>
              </w:rPr>
              <w:t>President and Chief Executive Officer</w:t>
            </w:r>
          </w:p>
        </w:tc>
        <w:tc>
          <w:tcPr>
            <w:tcW w:w="1540" w:type="dxa"/>
            <w:vAlign w:val="bottom"/>
            <w:tcBorders>
              <w:bottom w:val="single" w:sz="8" w:color="F2F2F2"/>
            </w:tcBorders>
            <w:shd w:val="clear" w:color="auto" w:fill="F2F2F2"/>
          </w:tcPr>
          <w:p>
            <w:pPr>
              <w:jc w:val="center"/>
              <w:ind w:left="201"/>
              <w:spacing w:after="0"/>
              <w:rPr>
                <w:sz w:val="20"/>
                <w:szCs w:val="20"/>
                <w:color w:val="auto"/>
              </w:rPr>
            </w:pPr>
            <w:r>
              <w:rPr>
                <w:rFonts w:ascii="Arial" w:cs="Arial" w:eastAsia="Arial" w:hAnsi="Arial"/>
                <w:sz w:val="20"/>
                <w:szCs w:val="20"/>
                <w:color w:val="auto"/>
                <w:w w:val="98"/>
              </w:rPr>
              <w:t>1,000,000</w:t>
            </w:r>
          </w:p>
        </w:tc>
        <w:tc>
          <w:tcPr>
            <w:tcW w:w="2180" w:type="dxa"/>
            <w:vAlign w:val="bottom"/>
            <w:tcBorders>
              <w:bottom w:val="single" w:sz="8" w:color="F2F2F2"/>
            </w:tcBorders>
            <w:shd w:val="clear" w:color="auto" w:fill="F2F2F2"/>
          </w:tcPr>
          <w:p>
            <w:pPr>
              <w:jc w:val="center"/>
              <w:ind w:left="21"/>
              <w:spacing w:after="0"/>
              <w:rPr>
                <w:sz w:val="20"/>
                <w:szCs w:val="20"/>
                <w:color w:val="auto"/>
              </w:rPr>
            </w:pPr>
            <w:r>
              <w:rPr>
                <w:rFonts w:ascii="Arial" w:cs="Arial" w:eastAsia="Arial" w:hAnsi="Arial"/>
                <w:sz w:val="20"/>
                <w:szCs w:val="20"/>
                <w:color w:val="auto"/>
              </w:rPr>
              <w:t>150</w:t>
            </w:r>
          </w:p>
        </w:tc>
      </w:tr>
      <w:tr>
        <w:trPr>
          <w:trHeight w:val="274"/>
        </w:trPr>
        <w:tc>
          <w:tcPr>
            <w:tcW w:w="2620" w:type="dxa"/>
            <w:vAlign w:val="bottom"/>
            <w:tcBorders>
              <w:right w:val="single" w:sz="8" w:color="7F7F7F"/>
            </w:tcBorders>
          </w:tcPr>
          <w:p>
            <w:pPr>
              <w:ind w:left="80"/>
              <w:spacing w:after="0"/>
              <w:rPr>
                <w:sz w:val="20"/>
                <w:szCs w:val="20"/>
                <w:color w:val="auto"/>
              </w:rPr>
            </w:pPr>
            <w:r>
              <w:rPr>
                <w:rFonts w:ascii="Arial" w:cs="Arial" w:eastAsia="Arial" w:hAnsi="Arial"/>
                <w:sz w:val="20"/>
                <w:szCs w:val="20"/>
                <w:b w:val="1"/>
                <w:bCs w:val="1"/>
                <w:color w:val="auto"/>
              </w:rPr>
              <w:t>RAGHIB HUSSAIN</w:t>
            </w:r>
          </w:p>
        </w:tc>
        <w:tc>
          <w:tcPr>
            <w:tcW w:w="4900" w:type="dxa"/>
            <w:vAlign w:val="bottom"/>
          </w:tcPr>
          <w:p>
            <w:pPr>
              <w:ind w:left="60"/>
              <w:spacing w:after="0"/>
              <w:rPr>
                <w:sz w:val="20"/>
                <w:szCs w:val="20"/>
                <w:color w:val="auto"/>
              </w:rPr>
            </w:pPr>
            <w:r>
              <w:rPr>
                <w:rFonts w:ascii="Arial" w:cs="Arial" w:eastAsia="Arial" w:hAnsi="Arial"/>
                <w:sz w:val="20"/>
                <w:szCs w:val="20"/>
                <w:color w:val="auto"/>
              </w:rPr>
              <w:t>President, Products and Technologies</w:t>
            </w:r>
          </w:p>
        </w:tc>
        <w:tc>
          <w:tcPr>
            <w:tcW w:w="1540" w:type="dxa"/>
            <w:vAlign w:val="bottom"/>
          </w:tcPr>
          <w:p>
            <w:pPr>
              <w:jc w:val="center"/>
              <w:ind w:left="181"/>
              <w:spacing w:after="0"/>
              <w:rPr>
                <w:sz w:val="20"/>
                <w:szCs w:val="20"/>
                <w:color w:val="auto"/>
              </w:rPr>
            </w:pPr>
            <w:r>
              <w:rPr>
                <w:rFonts w:ascii="Arial" w:cs="Arial" w:eastAsia="Arial" w:hAnsi="Arial"/>
                <w:sz w:val="20"/>
                <w:szCs w:val="20"/>
                <w:color w:val="auto"/>
                <w:w w:val="96"/>
              </w:rPr>
              <w:t>600,000</w:t>
            </w:r>
          </w:p>
        </w:tc>
        <w:tc>
          <w:tcPr>
            <w:tcW w:w="2180" w:type="dxa"/>
            <w:vAlign w:val="bottom"/>
          </w:tcPr>
          <w:p>
            <w:pPr>
              <w:jc w:val="center"/>
              <w:ind w:left="21"/>
              <w:spacing w:after="0"/>
              <w:rPr>
                <w:sz w:val="20"/>
                <w:szCs w:val="20"/>
                <w:color w:val="auto"/>
              </w:rPr>
            </w:pPr>
            <w:r>
              <w:rPr>
                <w:rFonts w:ascii="Arial" w:cs="Arial" w:eastAsia="Arial" w:hAnsi="Arial"/>
                <w:sz w:val="20"/>
                <w:szCs w:val="20"/>
                <w:color w:val="auto"/>
              </w:rPr>
              <w:t>100</w:t>
            </w:r>
          </w:p>
        </w:tc>
      </w:tr>
      <w:tr>
        <w:trPr>
          <w:trHeight w:val="23"/>
        </w:trPr>
        <w:tc>
          <w:tcPr>
            <w:tcW w:w="2620" w:type="dxa"/>
            <w:vAlign w:val="bottom"/>
            <w:tcBorders>
              <w:right w:val="single" w:sz="8" w:color="7F7F7F"/>
            </w:tcBorders>
          </w:tcPr>
          <w:p>
            <w:pPr>
              <w:spacing w:after="0"/>
              <w:rPr>
                <w:sz w:val="2"/>
                <w:szCs w:val="2"/>
                <w:color w:val="auto"/>
              </w:rPr>
            </w:pPr>
          </w:p>
        </w:tc>
        <w:tc>
          <w:tcPr>
            <w:tcW w:w="49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2180" w:type="dxa"/>
            <w:vAlign w:val="bottom"/>
          </w:tcPr>
          <w:p>
            <w:pPr>
              <w:spacing w:after="0"/>
              <w:rPr>
                <w:sz w:val="2"/>
                <w:szCs w:val="2"/>
                <w:color w:val="auto"/>
              </w:rPr>
            </w:pPr>
          </w:p>
        </w:tc>
      </w:tr>
      <w:tr>
        <w:trPr>
          <w:trHeight w:val="277"/>
        </w:trPr>
        <w:tc>
          <w:tcPr>
            <w:tcW w:w="2620" w:type="dxa"/>
            <w:vAlign w:val="bottom"/>
            <w:tcBorders>
              <w:bottom w:val="single" w:sz="8" w:color="F2F2F2"/>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JEAN HU</w:t>
            </w:r>
          </w:p>
        </w:tc>
        <w:tc>
          <w:tcPr>
            <w:tcW w:w="4900" w:type="dxa"/>
            <w:vAlign w:val="bottom"/>
            <w:tcBorders>
              <w:bottom w:val="single" w:sz="8" w:color="F2F2F2"/>
            </w:tcBorders>
            <w:shd w:val="clear" w:color="auto" w:fill="F2F2F2"/>
          </w:tcPr>
          <w:p>
            <w:pPr>
              <w:ind w:left="60"/>
              <w:spacing w:after="0"/>
              <w:rPr>
                <w:sz w:val="20"/>
                <w:szCs w:val="20"/>
                <w:color w:val="auto"/>
              </w:rPr>
            </w:pPr>
            <w:r>
              <w:rPr>
                <w:rFonts w:ascii="Arial" w:cs="Arial" w:eastAsia="Arial" w:hAnsi="Arial"/>
                <w:sz w:val="20"/>
                <w:szCs w:val="20"/>
                <w:color w:val="auto"/>
              </w:rPr>
              <w:t>Chief Financial Officer</w:t>
            </w:r>
          </w:p>
        </w:tc>
        <w:tc>
          <w:tcPr>
            <w:tcW w:w="1540" w:type="dxa"/>
            <w:vAlign w:val="bottom"/>
            <w:tcBorders>
              <w:bottom w:val="single" w:sz="8" w:color="F2F2F2"/>
            </w:tcBorders>
            <w:shd w:val="clear" w:color="auto" w:fill="F2F2F2"/>
          </w:tcPr>
          <w:p>
            <w:pPr>
              <w:jc w:val="center"/>
              <w:ind w:left="181"/>
              <w:spacing w:after="0"/>
              <w:rPr>
                <w:sz w:val="20"/>
                <w:szCs w:val="20"/>
                <w:color w:val="auto"/>
              </w:rPr>
            </w:pPr>
            <w:r>
              <w:rPr>
                <w:rFonts w:ascii="Arial" w:cs="Arial" w:eastAsia="Arial" w:hAnsi="Arial"/>
                <w:sz w:val="20"/>
                <w:szCs w:val="20"/>
                <w:color w:val="auto"/>
                <w:w w:val="96"/>
              </w:rPr>
              <w:t>575,000</w:t>
            </w:r>
          </w:p>
        </w:tc>
        <w:tc>
          <w:tcPr>
            <w:tcW w:w="2180" w:type="dxa"/>
            <w:vAlign w:val="bottom"/>
            <w:tcBorders>
              <w:bottom w:val="single" w:sz="8" w:color="F2F2F2"/>
            </w:tcBorders>
            <w:shd w:val="clear" w:color="auto" w:fill="F2F2F2"/>
          </w:tcPr>
          <w:p>
            <w:pPr>
              <w:jc w:val="center"/>
              <w:ind w:left="21"/>
              <w:spacing w:after="0"/>
              <w:rPr>
                <w:sz w:val="20"/>
                <w:szCs w:val="20"/>
                <w:color w:val="auto"/>
              </w:rPr>
            </w:pPr>
            <w:r>
              <w:rPr>
                <w:rFonts w:ascii="Arial" w:cs="Arial" w:eastAsia="Arial" w:hAnsi="Arial"/>
                <w:sz w:val="20"/>
                <w:szCs w:val="20"/>
                <w:color w:val="auto"/>
              </w:rPr>
              <w:t>100</w:t>
            </w:r>
          </w:p>
        </w:tc>
      </w:tr>
      <w:tr>
        <w:trPr>
          <w:trHeight w:val="274"/>
        </w:trPr>
        <w:tc>
          <w:tcPr>
            <w:tcW w:w="2620" w:type="dxa"/>
            <w:vAlign w:val="bottom"/>
            <w:tcBorders>
              <w:right w:val="single" w:sz="8" w:color="7F7F7F"/>
            </w:tcBorders>
          </w:tcPr>
          <w:p>
            <w:pPr>
              <w:ind w:left="80"/>
              <w:spacing w:after="0"/>
              <w:rPr>
                <w:sz w:val="20"/>
                <w:szCs w:val="20"/>
                <w:color w:val="auto"/>
              </w:rPr>
            </w:pPr>
            <w:r>
              <w:rPr>
                <w:rFonts w:ascii="Arial" w:cs="Arial" w:eastAsia="Arial" w:hAnsi="Arial"/>
                <w:sz w:val="20"/>
                <w:szCs w:val="20"/>
                <w:b w:val="1"/>
                <w:bCs w:val="1"/>
                <w:color w:val="auto"/>
              </w:rPr>
              <w:t>MITCHELL GAYNOR</w:t>
            </w:r>
          </w:p>
        </w:tc>
        <w:tc>
          <w:tcPr>
            <w:tcW w:w="4900" w:type="dxa"/>
            <w:vAlign w:val="bottom"/>
          </w:tcPr>
          <w:p>
            <w:pPr>
              <w:ind w:left="60"/>
              <w:spacing w:after="0"/>
              <w:rPr>
                <w:sz w:val="20"/>
                <w:szCs w:val="20"/>
                <w:color w:val="auto"/>
              </w:rPr>
            </w:pPr>
            <w:r>
              <w:rPr>
                <w:rFonts w:ascii="Arial" w:cs="Arial" w:eastAsia="Arial" w:hAnsi="Arial"/>
                <w:sz w:val="20"/>
                <w:szCs w:val="20"/>
                <w:color w:val="auto"/>
              </w:rPr>
              <w:t>Chief Administration and Legal Officer and Secretary</w:t>
            </w:r>
          </w:p>
        </w:tc>
        <w:tc>
          <w:tcPr>
            <w:tcW w:w="1540" w:type="dxa"/>
            <w:vAlign w:val="bottom"/>
          </w:tcPr>
          <w:p>
            <w:pPr>
              <w:jc w:val="center"/>
              <w:ind w:left="181"/>
              <w:spacing w:after="0"/>
              <w:rPr>
                <w:sz w:val="20"/>
                <w:szCs w:val="20"/>
                <w:color w:val="auto"/>
              </w:rPr>
            </w:pPr>
            <w:r>
              <w:rPr>
                <w:rFonts w:ascii="Arial" w:cs="Arial" w:eastAsia="Arial" w:hAnsi="Arial"/>
                <w:sz w:val="20"/>
                <w:szCs w:val="20"/>
                <w:color w:val="auto"/>
                <w:w w:val="96"/>
              </w:rPr>
              <w:t>530,000</w:t>
            </w:r>
          </w:p>
        </w:tc>
        <w:tc>
          <w:tcPr>
            <w:tcW w:w="2180" w:type="dxa"/>
            <w:vAlign w:val="bottom"/>
          </w:tcPr>
          <w:p>
            <w:pPr>
              <w:jc w:val="center"/>
              <w:ind w:left="21"/>
              <w:spacing w:after="0"/>
              <w:rPr>
                <w:sz w:val="20"/>
                <w:szCs w:val="20"/>
                <w:color w:val="auto"/>
              </w:rPr>
            </w:pPr>
            <w:r>
              <w:rPr>
                <w:rFonts w:ascii="Arial" w:cs="Arial" w:eastAsia="Arial" w:hAnsi="Arial"/>
                <w:sz w:val="20"/>
                <w:szCs w:val="20"/>
                <w:color w:val="auto"/>
                <w:w w:val="98"/>
              </w:rPr>
              <w:t>90</w:t>
            </w:r>
          </w:p>
        </w:tc>
      </w:tr>
      <w:tr>
        <w:trPr>
          <w:trHeight w:val="23"/>
        </w:trPr>
        <w:tc>
          <w:tcPr>
            <w:tcW w:w="2620" w:type="dxa"/>
            <w:vAlign w:val="bottom"/>
            <w:tcBorders>
              <w:right w:val="single" w:sz="8" w:color="7F7F7F"/>
            </w:tcBorders>
          </w:tcPr>
          <w:p>
            <w:pPr>
              <w:spacing w:after="0"/>
              <w:rPr>
                <w:sz w:val="2"/>
                <w:szCs w:val="2"/>
                <w:color w:val="auto"/>
              </w:rPr>
            </w:pPr>
          </w:p>
        </w:tc>
        <w:tc>
          <w:tcPr>
            <w:tcW w:w="49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2180" w:type="dxa"/>
            <w:vAlign w:val="bottom"/>
          </w:tcPr>
          <w:p>
            <w:pPr>
              <w:spacing w:after="0"/>
              <w:rPr>
                <w:sz w:val="2"/>
                <w:szCs w:val="2"/>
                <w:color w:val="auto"/>
              </w:rPr>
            </w:pPr>
          </w:p>
        </w:tc>
      </w:tr>
      <w:tr>
        <w:trPr>
          <w:trHeight w:val="274"/>
        </w:trPr>
        <w:tc>
          <w:tcPr>
            <w:tcW w:w="2620" w:type="dxa"/>
            <w:vAlign w:val="bottom"/>
            <w:tcBorders>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DAN CHRISTMAN</w:t>
            </w:r>
          </w:p>
        </w:tc>
        <w:tc>
          <w:tcPr>
            <w:tcW w:w="4900" w:type="dxa"/>
            <w:vAlign w:val="bottom"/>
            <w:shd w:val="clear" w:color="auto" w:fill="F2F2F2"/>
          </w:tcPr>
          <w:p>
            <w:pPr>
              <w:ind w:left="60"/>
              <w:spacing w:after="0"/>
              <w:rPr>
                <w:sz w:val="20"/>
                <w:szCs w:val="20"/>
                <w:color w:val="auto"/>
              </w:rPr>
            </w:pPr>
            <w:r>
              <w:rPr>
                <w:rFonts w:ascii="Arial" w:cs="Arial" w:eastAsia="Arial" w:hAnsi="Arial"/>
                <w:sz w:val="20"/>
                <w:szCs w:val="20"/>
                <w:color w:val="auto"/>
              </w:rPr>
              <w:t>EVP, Storage Business Group</w:t>
            </w:r>
          </w:p>
        </w:tc>
        <w:tc>
          <w:tcPr>
            <w:tcW w:w="1540" w:type="dxa"/>
            <w:vAlign w:val="bottom"/>
            <w:shd w:val="clear" w:color="auto" w:fill="F2F2F2"/>
          </w:tcPr>
          <w:p>
            <w:pPr>
              <w:jc w:val="center"/>
              <w:ind w:left="181"/>
              <w:spacing w:after="0"/>
              <w:rPr>
                <w:sz w:val="20"/>
                <w:szCs w:val="20"/>
                <w:color w:val="auto"/>
              </w:rPr>
            </w:pPr>
            <w:r>
              <w:rPr>
                <w:rFonts w:ascii="Arial" w:cs="Arial" w:eastAsia="Arial" w:hAnsi="Arial"/>
                <w:sz w:val="20"/>
                <w:szCs w:val="20"/>
                <w:color w:val="auto"/>
                <w:w w:val="96"/>
              </w:rPr>
              <w:t>480,000</w:t>
            </w:r>
          </w:p>
        </w:tc>
        <w:tc>
          <w:tcPr>
            <w:tcW w:w="2180" w:type="dxa"/>
            <w:vAlign w:val="bottom"/>
            <w:shd w:val="clear" w:color="auto" w:fill="F2F2F2"/>
          </w:tcPr>
          <w:p>
            <w:pPr>
              <w:jc w:val="center"/>
              <w:ind w:left="21"/>
              <w:spacing w:after="0"/>
              <w:rPr>
                <w:sz w:val="20"/>
                <w:szCs w:val="20"/>
                <w:color w:val="auto"/>
              </w:rPr>
            </w:pPr>
            <w:r>
              <w:rPr>
                <w:rFonts w:ascii="Arial" w:cs="Arial" w:eastAsia="Arial" w:hAnsi="Arial"/>
                <w:sz w:val="20"/>
                <w:szCs w:val="20"/>
                <w:color w:val="auto"/>
                <w:w w:val="98"/>
              </w:rPr>
              <w:t>90</w:t>
            </w:r>
          </w:p>
        </w:tc>
      </w:tr>
      <w:tr>
        <w:trPr>
          <w:trHeight w:val="23"/>
        </w:trPr>
        <w:tc>
          <w:tcPr>
            <w:tcW w:w="2620" w:type="dxa"/>
            <w:vAlign w:val="bottom"/>
            <w:tcBorders>
              <w:right w:val="single" w:sz="8" w:color="7F7F7F"/>
            </w:tcBorders>
            <w:shd w:val="clear" w:color="auto" w:fill="F2F2F2"/>
          </w:tcPr>
          <w:p>
            <w:pPr>
              <w:spacing w:after="0"/>
              <w:rPr>
                <w:sz w:val="2"/>
                <w:szCs w:val="2"/>
                <w:color w:val="auto"/>
              </w:rPr>
            </w:pPr>
          </w:p>
        </w:tc>
        <w:tc>
          <w:tcPr>
            <w:tcW w:w="4900" w:type="dxa"/>
            <w:vAlign w:val="bottom"/>
            <w:shd w:val="clear" w:color="auto" w:fill="F2F2F2"/>
          </w:tcPr>
          <w:p>
            <w:pPr>
              <w:spacing w:after="0"/>
              <w:rPr>
                <w:sz w:val="2"/>
                <w:szCs w:val="2"/>
                <w:color w:val="auto"/>
              </w:rPr>
            </w:pPr>
          </w:p>
        </w:tc>
        <w:tc>
          <w:tcPr>
            <w:tcW w:w="1540" w:type="dxa"/>
            <w:vAlign w:val="bottom"/>
            <w:shd w:val="clear" w:color="auto" w:fill="F2F2F2"/>
          </w:tcPr>
          <w:p>
            <w:pPr>
              <w:spacing w:after="0"/>
              <w:rPr>
                <w:sz w:val="2"/>
                <w:szCs w:val="2"/>
                <w:color w:val="auto"/>
              </w:rPr>
            </w:pPr>
          </w:p>
        </w:tc>
        <w:tc>
          <w:tcPr>
            <w:tcW w:w="2180" w:type="dxa"/>
            <w:vAlign w:val="bottom"/>
            <w:shd w:val="clear" w:color="auto" w:fill="F2F2F2"/>
          </w:tcPr>
          <w:p>
            <w:pPr>
              <w:spacing w:after="0"/>
              <w:rPr>
                <w:sz w:val="2"/>
                <w:szCs w:val="2"/>
                <w:color w:val="auto"/>
              </w:rPr>
            </w:pPr>
          </w:p>
        </w:tc>
      </w:tr>
    </w:tbl>
    <w:p>
      <w:pPr>
        <w:spacing w:after="0" w:line="200" w:lineRule="exact"/>
        <w:rPr>
          <w:sz w:val="20"/>
          <w:szCs w:val="20"/>
          <w:color w:val="auto"/>
        </w:rPr>
      </w:pPr>
    </w:p>
    <w:p>
      <w:pPr>
        <w:spacing w:after="0" w:line="366"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Annual Incentive Plan for Fiscal Year 2022 (“AIP”)</w:t>
      </w:r>
    </w:p>
    <w:p>
      <w:pPr>
        <w:spacing w:after="0" w:line="186" w:lineRule="exact"/>
        <w:rPr>
          <w:sz w:val="20"/>
          <w:szCs w:val="20"/>
          <w:color w:val="auto"/>
        </w:rPr>
      </w:pPr>
    </w:p>
    <w:p>
      <w:pPr>
        <w:ind w:right="220"/>
        <w:spacing w:after="0" w:line="255" w:lineRule="auto"/>
        <w:rPr>
          <w:sz w:val="20"/>
          <w:szCs w:val="20"/>
          <w:color w:val="auto"/>
        </w:rPr>
      </w:pPr>
      <w:r>
        <w:rPr>
          <w:rFonts w:ascii="Arial" w:cs="Arial" w:eastAsia="Arial" w:hAnsi="Arial"/>
          <w:sz w:val="20"/>
          <w:szCs w:val="20"/>
          <w:color w:val="auto"/>
        </w:rPr>
        <w:t>The AIP is a cash incentive program that is designed to provide additional focus on the achievement of company goals, align target total cash compensation with actual Company performance, provide competitive total cash targets to attract and retain executive talent, and reward our executives for the achievement of Company goals. Under the AIP the Company’s executive officers are eligible to earn cash incentives based upon the achievement of pre-established performance goals. Total incentive opportunities will be based on achievement of semi-annual targets and will be paid annually. Incentive payouts may range between 0% and 200% of the target incentive opportunity.</w:t>
      </w:r>
    </w:p>
    <w:p>
      <w:pPr>
        <w:spacing w:after="0" w:line="127" w:lineRule="exact"/>
        <w:rPr>
          <w:sz w:val="20"/>
          <w:szCs w:val="20"/>
          <w:color w:val="auto"/>
        </w:rPr>
      </w:pPr>
    </w:p>
    <w:p>
      <w:pPr>
        <w:spacing w:after="0"/>
        <w:rPr>
          <w:sz w:val="20"/>
          <w:szCs w:val="20"/>
          <w:color w:val="auto"/>
        </w:rPr>
      </w:pPr>
      <w:r>
        <w:rPr>
          <w:rFonts w:ascii="Arial" w:cs="Arial" w:eastAsia="Arial" w:hAnsi="Arial"/>
          <w:sz w:val="20"/>
          <w:szCs w:val="20"/>
          <w:color w:val="auto"/>
        </w:rPr>
        <w:t>The AIP provides for potential payouts based on the following metrics:</w:t>
      </w:r>
    </w:p>
    <w:p>
      <w:pPr>
        <w:spacing w:after="0" w:line="162" w:lineRule="exact"/>
        <w:rPr>
          <w:sz w:val="20"/>
          <w:szCs w:val="20"/>
          <w:color w:val="auto"/>
        </w:rPr>
      </w:pPr>
    </w:p>
    <w:p>
      <w:pPr>
        <w:ind w:left="300" w:hanging="292"/>
        <w:spacing w:after="0"/>
        <w:tabs>
          <w:tab w:leader="none" w:pos="300" w:val="left"/>
        </w:tabs>
        <w:numPr>
          <w:ilvl w:val="0"/>
          <w:numId w:val="37"/>
        </w:numPr>
        <w:rPr>
          <w:rFonts w:ascii="Arial" w:cs="Arial" w:eastAsia="Arial" w:hAnsi="Arial"/>
          <w:sz w:val="20"/>
          <w:szCs w:val="20"/>
          <w:color w:val="auto"/>
        </w:rPr>
      </w:pPr>
      <w:r>
        <w:rPr>
          <w:rFonts w:ascii="Arial" w:cs="Arial" w:eastAsia="Arial" w:hAnsi="Arial"/>
          <w:sz w:val="20"/>
          <w:szCs w:val="20"/>
          <w:color w:val="auto"/>
        </w:rPr>
        <w:t>revenue (45%),</w:t>
      </w:r>
    </w:p>
    <w:p>
      <w:pPr>
        <w:spacing w:after="0" w:line="161" w:lineRule="exact"/>
        <w:rPr>
          <w:rFonts w:ascii="Arial" w:cs="Arial" w:eastAsia="Arial" w:hAnsi="Arial"/>
          <w:sz w:val="20"/>
          <w:szCs w:val="20"/>
          <w:color w:val="auto"/>
        </w:rPr>
      </w:pPr>
    </w:p>
    <w:p>
      <w:pPr>
        <w:ind w:left="300" w:hanging="292"/>
        <w:spacing w:after="0"/>
        <w:tabs>
          <w:tab w:leader="none" w:pos="300" w:val="left"/>
        </w:tabs>
        <w:numPr>
          <w:ilvl w:val="0"/>
          <w:numId w:val="37"/>
        </w:numPr>
        <w:rPr>
          <w:rFonts w:ascii="Arial" w:cs="Arial" w:eastAsia="Arial" w:hAnsi="Arial"/>
          <w:sz w:val="20"/>
          <w:szCs w:val="20"/>
          <w:color w:val="auto"/>
        </w:rPr>
      </w:pPr>
      <w:r>
        <w:rPr>
          <w:rFonts w:ascii="Arial" w:cs="Arial" w:eastAsia="Arial" w:hAnsi="Arial"/>
          <w:sz w:val="20"/>
          <w:szCs w:val="20"/>
          <w:color w:val="auto"/>
        </w:rPr>
        <w:t>non-GAAP gross margin (25%), and</w:t>
      </w:r>
    </w:p>
    <w:p>
      <w:pPr>
        <w:spacing w:after="0" w:line="148" w:lineRule="exact"/>
        <w:rPr>
          <w:rFonts w:ascii="Arial" w:cs="Arial" w:eastAsia="Arial" w:hAnsi="Arial"/>
          <w:sz w:val="20"/>
          <w:szCs w:val="20"/>
          <w:color w:val="auto"/>
        </w:rPr>
      </w:pPr>
    </w:p>
    <w:p>
      <w:pPr>
        <w:ind w:left="300" w:hanging="292"/>
        <w:spacing w:after="0"/>
        <w:tabs>
          <w:tab w:leader="none" w:pos="300" w:val="left"/>
        </w:tabs>
        <w:numPr>
          <w:ilvl w:val="0"/>
          <w:numId w:val="37"/>
        </w:numPr>
        <w:rPr>
          <w:rFonts w:ascii="Arial" w:cs="Arial" w:eastAsia="Arial" w:hAnsi="Arial"/>
          <w:sz w:val="20"/>
          <w:szCs w:val="20"/>
          <w:color w:val="auto"/>
        </w:rPr>
      </w:pPr>
      <w:r>
        <w:rPr>
          <w:rFonts w:ascii="Arial" w:cs="Arial" w:eastAsia="Arial" w:hAnsi="Arial"/>
          <w:sz w:val="20"/>
          <w:szCs w:val="20"/>
          <w:color w:val="auto"/>
        </w:rPr>
        <w:t>non-GAAP operating income margin (30%).</w:t>
      </w:r>
    </w:p>
    <w:p>
      <w:pPr>
        <w:spacing w:after="0" w:line="162" w:lineRule="exact"/>
        <w:rPr>
          <w:sz w:val="20"/>
          <w:szCs w:val="20"/>
          <w:color w:val="auto"/>
        </w:rPr>
      </w:pPr>
    </w:p>
    <w:p>
      <w:pPr>
        <w:ind w:right="180"/>
        <w:spacing w:after="0" w:line="261" w:lineRule="auto"/>
        <w:rPr>
          <w:sz w:val="20"/>
          <w:szCs w:val="20"/>
          <w:color w:val="auto"/>
        </w:rPr>
      </w:pPr>
      <w:r>
        <w:rPr>
          <w:rFonts w:ascii="Arial" w:cs="Arial" w:eastAsia="Arial" w:hAnsi="Arial"/>
          <w:sz w:val="20"/>
          <w:szCs w:val="20"/>
          <w:color w:val="auto"/>
        </w:rPr>
        <w:t>If the Company fails to achieve the threshold level for any of the above Company performance goals, no payout is awarded for that goal.</w:t>
      </w:r>
    </w:p>
    <w:p>
      <w:pPr>
        <w:sectPr>
          <w:pgSz w:w="11900" w:h="16838" w:orient="portrait"/>
          <w:cols w:equalWidth="0" w:num="1">
            <w:col w:w="11240"/>
          </w:cols>
          <w:pgMar w:left="320" w:top="1421" w:right="339" w:bottom="1440" w:gutter="0" w:footer="0" w:header="0"/>
        </w:sectPr>
      </w:pPr>
    </w:p>
    <w:bookmarkStart w:id="87" w:name="page88"/>
    <w:bookmarkEnd w:id="87"/>
    <w:p>
      <w:pPr>
        <w:spacing w:after="0" w:line="6" w:lineRule="exact"/>
        <w:rPr>
          <w:sz w:val="20"/>
          <w:szCs w:val="20"/>
          <w:color w:val="auto"/>
        </w:rPr>
      </w:pPr>
    </w:p>
    <w:p>
      <w:pPr>
        <w:spacing w:after="0" w:line="255" w:lineRule="auto"/>
        <w:rPr>
          <w:sz w:val="20"/>
          <w:szCs w:val="20"/>
          <w:color w:val="auto"/>
        </w:rPr>
      </w:pPr>
      <w:r>
        <w:rPr>
          <w:rFonts w:ascii="Arial" w:cs="Arial" w:eastAsia="Arial" w:hAnsi="Arial"/>
          <w:sz w:val="20"/>
          <w:szCs w:val="20"/>
          <w:color w:val="auto"/>
        </w:rPr>
        <w:t>Payouts for the President and Chief Executive Officer and for the Chief Financial Officer will be based solely on the above Company performance goals. Payouts for the other executive officers may be based 80% on Company performance goals and 20% on individual performance goals, provided that no overachievement on the 20% individual component will be permitted unless the Company achieves at least 100% of the Company’s performance goals. Nevertheless, in its discretion, the Executive Compensation Committee may reduce the individual component for any executive officer (and increase the component based on Company performance) if it determines doing so would be appropriate in the circumstances.</w:t>
      </w:r>
    </w:p>
    <w:p>
      <w:pPr>
        <w:spacing w:after="0" w:line="140" w:lineRule="exact"/>
        <w:rPr>
          <w:sz w:val="20"/>
          <w:szCs w:val="20"/>
          <w:color w:val="auto"/>
        </w:rPr>
      </w:pPr>
    </w:p>
    <w:p>
      <w:pPr>
        <w:ind w:right="100"/>
        <w:spacing w:after="0" w:line="261" w:lineRule="auto"/>
        <w:rPr>
          <w:sz w:val="20"/>
          <w:szCs w:val="20"/>
          <w:color w:val="auto"/>
        </w:rPr>
      </w:pPr>
      <w:r>
        <w:rPr>
          <w:rFonts w:ascii="Arial" w:cs="Arial" w:eastAsia="Arial" w:hAnsi="Arial"/>
          <w:sz w:val="20"/>
          <w:szCs w:val="20"/>
          <w:color w:val="auto"/>
        </w:rPr>
        <w:t>The Executive Compensation Committee determined that the combined application of all the metrics would make achievement difficult to meet at target and very difficult to meet at maximum payout.</w:t>
      </w:r>
    </w:p>
    <w:p>
      <w:pPr>
        <w:sectPr>
          <w:pgSz w:w="11900" w:h="16838" w:orient="portrait"/>
          <w:cols w:equalWidth="0" w:num="1">
            <w:col w:w="11160"/>
          </w:cols>
          <w:pgMar w:left="320" w:top="1440" w:right="419" w:bottom="1440" w:gutter="0" w:footer="0" w:header="0"/>
        </w:sectPr>
      </w:pPr>
    </w:p>
    <w:bookmarkStart w:id="88" w:name="page89"/>
    <w:bookmarkEnd w:id="88"/>
    <w:p>
      <w:pPr>
        <w:jc w:val="right"/>
        <w:spacing w:after="0"/>
        <w:rPr>
          <w:sz w:val="20"/>
          <w:szCs w:val="20"/>
          <w:color w:val="auto"/>
        </w:rPr>
      </w:pPr>
      <w:r>
        <w:rPr>
          <w:rFonts w:ascii="Arial" w:cs="Arial" w:eastAsia="Arial" w:hAnsi="Arial"/>
          <w:sz w:val="18"/>
          <w:szCs w:val="18"/>
          <w:b w:val="1"/>
          <w:bCs w:val="1"/>
          <w:color w:val="auto"/>
        </w:rPr>
        <w:t>Exhibit 31.1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3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3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3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4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41"/>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40"/>
        <w:spacing w:after="0"/>
        <w:tabs>
          <w:tab w:leader="none" w:pos="5380" w:val="left"/>
          <w:tab w:leader="none" w:pos="5840" w:val="left"/>
        </w:tabs>
        <w:rPr>
          <w:sz w:val="20"/>
          <w:szCs w:val="20"/>
          <w:color w:val="auto"/>
        </w:rPr>
      </w:pPr>
      <w:r>
        <w:rPr>
          <w:rFonts w:ascii="Arial" w:cs="Arial" w:eastAsia="Arial" w:hAnsi="Arial"/>
          <w:sz w:val="18"/>
          <w:szCs w:val="18"/>
          <w:color w:val="auto"/>
        </w:rPr>
        <w:t>Date: June 9,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3708400</wp:posOffset>
            </wp:positionH>
            <wp:positionV relativeFrom="paragraph">
              <wp:posOffset>31750</wp:posOffset>
            </wp:positionV>
            <wp:extent cx="34290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2">
                      <a:extLst>
                        <a:ext uri="{28A0092B-C50C-407E-A947-70E740481C1C}"/>
                      </a:extLst>
                    </a:blip>
                    <a:srcRect/>
                    <a:stretch>
                      <a:fillRect/>
                    </a:stretch>
                  </pic:blipFill>
                  <pic:spPr bwMode="auto">
                    <a:xfrm>
                      <a:off x="0" y="0"/>
                      <a:ext cx="3429000" cy="8890"/>
                    </a:xfrm>
                    <a:prstGeom prst="rect">
                      <a:avLst/>
                    </a:prstGeom>
                    <a:noFill/>
                  </pic:spPr>
                </pic:pic>
              </a:graphicData>
            </a:graphic>
          </wp:anchor>
        </w:drawing>
      </w:r>
    </w:p>
    <w:p>
      <w:pPr>
        <w:spacing w:after="0" w:line="80"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91" w:right="339" w:bottom="1440" w:gutter="0" w:footer="0" w:header="0"/>
        </w:sectPr>
      </w:pPr>
    </w:p>
    <w:bookmarkStart w:id="89" w:name="page90"/>
    <w:bookmarkEnd w:id="89"/>
    <w:p>
      <w:pPr>
        <w:jc w:val="right"/>
        <w:spacing w:after="0"/>
        <w:rPr>
          <w:sz w:val="20"/>
          <w:szCs w:val="20"/>
          <w:color w:val="auto"/>
        </w:rPr>
      </w:pPr>
      <w:r>
        <w:rPr>
          <w:rFonts w:ascii="Arial" w:cs="Arial" w:eastAsia="Arial" w:hAnsi="Arial"/>
          <w:sz w:val="18"/>
          <w:szCs w:val="18"/>
          <w:b w:val="1"/>
          <w:bCs w:val="1"/>
          <w:color w:val="auto"/>
        </w:rPr>
        <w:t>Exhibit 31.2</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4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4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4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45"/>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30" w:lineRule="exact"/>
        <w:rPr>
          <w:sz w:val="20"/>
          <w:szCs w:val="20"/>
          <w:color w:val="auto"/>
        </w:rPr>
      </w:pPr>
    </w:p>
    <w:p>
      <w:pPr>
        <w:ind w:left="40"/>
        <w:spacing w:after="0"/>
        <w:tabs>
          <w:tab w:leader="none" w:pos="5380" w:val="left"/>
          <w:tab w:leader="none" w:pos="5840" w:val="left"/>
        </w:tabs>
        <w:rPr>
          <w:sz w:val="20"/>
          <w:szCs w:val="20"/>
          <w:color w:val="auto"/>
        </w:rPr>
      </w:pPr>
      <w:r>
        <w:rPr>
          <w:rFonts w:ascii="Arial" w:cs="Arial" w:eastAsia="Arial" w:hAnsi="Arial"/>
          <w:sz w:val="18"/>
          <w:szCs w:val="18"/>
          <w:color w:val="auto"/>
        </w:rPr>
        <w:t>Date: June 9,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3708400</wp:posOffset>
            </wp:positionH>
            <wp:positionV relativeFrom="paragraph">
              <wp:posOffset>31750</wp:posOffset>
            </wp:positionV>
            <wp:extent cx="34290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3">
                      <a:extLst>
                        <a:ext uri="{28A0092B-C50C-407E-A947-70E740481C1C}"/>
                      </a:extLst>
                    </a:blip>
                    <a:srcRect/>
                    <a:stretch>
                      <a:fillRect/>
                    </a:stretch>
                  </pic:blipFill>
                  <pic:spPr bwMode="auto">
                    <a:xfrm>
                      <a:off x="0" y="0"/>
                      <a:ext cx="3429000" cy="8890"/>
                    </a:xfrm>
                    <a:prstGeom prst="rect">
                      <a:avLst/>
                    </a:prstGeom>
                    <a:noFill/>
                  </pic:spPr>
                </pic:pic>
              </a:graphicData>
            </a:graphic>
          </wp:anchor>
        </w:drawing>
      </w:r>
    </w:p>
    <w:p>
      <w:pPr>
        <w:spacing w:after="0" w:line="80"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91" w:right="339" w:bottom="1440" w:gutter="0" w:footer="0" w:header="0"/>
        </w:sectPr>
      </w:pPr>
    </w:p>
    <w:bookmarkStart w:id="90" w:name="page91"/>
    <w:bookmarkEnd w:id="90"/>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20" w:hanging="327"/>
        <w:spacing w:after="0" w:line="308" w:lineRule="auto"/>
        <w:tabs>
          <w:tab w:leader="none" w:pos="554"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1,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40"/>
        <w:spacing w:after="0"/>
        <w:tabs>
          <w:tab w:leader="none" w:pos="5380" w:val="left"/>
          <w:tab w:leader="none" w:pos="5840" w:val="left"/>
        </w:tabs>
        <w:rPr>
          <w:sz w:val="20"/>
          <w:szCs w:val="20"/>
          <w:color w:val="auto"/>
        </w:rPr>
      </w:pPr>
      <w:r>
        <w:rPr>
          <w:rFonts w:ascii="Arial" w:cs="Arial" w:eastAsia="Arial" w:hAnsi="Arial"/>
          <w:sz w:val="18"/>
          <w:szCs w:val="18"/>
          <w:color w:val="auto"/>
        </w:rPr>
        <w:t>Date: June 9,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3708400</wp:posOffset>
            </wp:positionH>
            <wp:positionV relativeFrom="paragraph">
              <wp:posOffset>31750</wp:posOffset>
            </wp:positionV>
            <wp:extent cx="3429000"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4">
                      <a:extLst>
                        <a:ext uri="{28A0092B-C50C-407E-A947-70E740481C1C}"/>
                      </a:extLst>
                    </a:blip>
                    <a:srcRect/>
                    <a:stretch>
                      <a:fillRect/>
                    </a:stretch>
                  </pic:blipFill>
                  <pic:spPr bwMode="auto">
                    <a:xfrm>
                      <a:off x="0" y="0"/>
                      <a:ext cx="3429000" cy="8255"/>
                    </a:xfrm>
                    <a:prstGeom prst="rect">
                      <a:avLst/>
                    </a:prstGeom>
                    <a:noFill/>
                  </pic:spPr>
                </pic:pic>
              </a:graphicData>
            </a:graphic>
          </wp:anchor>
        </w:drawing>
      </w:r>
    </w:p>
    <w:p>
      <w:pPr>
        <w:spacing w:after="0" w:line="93"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91" w:name="page92"/>
    <w:bookmarkEnd w:id="91"/>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120" w:hanging="327"/>
        <w:spacing w:after="0" w:line="308" w:lineRule="auto"/>
        <w:tabs>
          <w:tab w:leader="none" w:pos="554"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1,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40"/>
        <w:spacing w:after="0"/>
        <w:tabs>
          <w:tab w:leader="none" w:pos="5380" w:val="left"/>
          <w:tab w:leader="none" w:pos="5840" w:val="left"/>
        </w:tabs>
        <w:rPr>
          <w:sz w:val="20"/>
          <w:szCs w:val="20"/>
          <w:color w:val="auto"/>
        </w:rPr>
      </w:pPr>
      <w:r>
        <w:rPr>
          <w:rFonts w:ascii="Arial" w:cs="Arial" w:eastAsia="Arial" w:hAnsi="Arial"/>
          <w:sz w:val="18"/>
          <w:szCs w:val="18"/>
          <w:color w:val="auto"/>
        </w:rPr>
        <w:t>Date: June 9,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3708400</wp:posOffset>
            </wp:positionH>
            <wp:positionV relativeFrom="paragraph">
              <wp:posOffset>31750</wp:posOffset>
            </wp:positionV>
            <wp:extent cx="3429000"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5">
                      <a:extLst>
                        <a:ext uri="{28A0092B-C50C-407E-A947-70E740481C1C}"/>
                      </a:extLst>
                    </a:blip>
                    <a:srcRect/>
                    <a:stretch>
                      <a:fillRect/>
                    </a:stretch>
                  </pic:blipFill>
                  <pic:spPr bwMode="auto">
                    <a:xfrm>
                      <a:off x="0" y="0"/>
                      <a:ext cx="3429000" cy="8255"/>
                    </a:xfrm>
                    <a:prstGeom prst="rect">
                      <a:avLst/>
                    </a:prstGeom>
                    <a:noFill/>
                  </pic:spPr>
                </pic:pic>
              </a:graphicData>
            </a:graphic>
          </wp:anchor>
        </w:drawing>
      </w:r>
    </w:p>
    <w:p>
      <w:pPr>
        <w:spacing w:after="0" w:line="93"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86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A2A8D4"/>
    <w:multiLevelType w:val="hybridMultilevel"/>
    <w:lvl w:ilvl="0">
      <w:lvlJc w:val="left"/>
      <w:lvlText w:val="☒"/>
      <w:numFmt w:val="bullet"/>
      <w:start w:val="1"/>
    </w:lvl>
  </w:abstractNum>
  <w:abstractNum w:abstractNumId="1">
    <w:nsid w:val="8EDBDAB"/>
    <w:multiLevelType w:val="hybridMultilevel"/>
    <w:lvl w:ilvl="0">
      <w:lvlJc w:val="left"/>
      <w:lvlText w:val="☐"/>
      <w:numFmt w:val="bullet"/>
      <w:start w:val="1"/>
    </w:lvl>
  </w:abstractNum>
  <w:abstractNum w:abstractNumId="2">
    <w:nsid w:val="79838CB2"/>
    <w:multiLevelType w:val="hybridMultilevel"/>
    <w:lvl w:ilvl="0">
      <w:lvlJc w:val="left"/>
      <w:lvlText w:val="(%1)"/>
      <w:numFmt w:val="decimal"/>
      <w:start w:val="1"/>
    </w:lvl>
  </w:abstractNum>
  <w:abstractNum w:abstractNumId="3">
    <w:nsid w:val="4353D0CD"/>
    <w:multiLevelType w:val="hybridMultilevel"/>
    <w:lvl w:ilvl="0">
      <w:lvlJc w:val="left"/>
      <w:lvlText w:val="(%1)"/>
      <w:numFmt w:val="lowerRoman"/>
      <w:start w:val="2"/>
    </w:lvl>
  </w:abstractNum>
  <w:abstractNum w:abstractNumId="4">
    <w:nsid w:val="B03E0C6"/>
    <w:multiLevelType w:val="hybridMultilevel"/>
    <w:lvl w:ilvl="0">
      <w:lvlJc w:val="left"/>
      <w:lvlText w:val="(%1)"/>
      <w:numFmt w:val="decimal"/>
      <w:start w:val="1"/>
    </w:lvl>
  </w:abstractNum>
  <w:abstractNum w:abstractNumId="5">
    <w:nsid w:val="189A769B"/>
    <w:multiLevelType w:val="hybridMultilevel"/>
    <w:lvl w:ilvl="0">
      <w:lvlJc w:val="left"/>
      <w:lvlText w:val="*"/>
      <w:numFmt w:val="bullet"/>
      <w:start w:val="1"/>
    </w:lvl>
  </w:abstractNum>
  <w:abstractNum w:abstractNumId="6">
    <w:nsid w:val="54E49EB4"/>
    <w:multiLevelType w:val="hybridMultilevel"/>
    <w:lvl w:ilvl="0">
      <w:lvlJc w:val="left"/>
      <w:lvlText w:val="•"/>
      <w:numFmt w:val="bullet"/>
      <w:start w:val="1"/>
    </w:lvl>
  </w:abstractNum>
  <w:abstractNum w:abstractNumId="7">
    <w:nsid w:val="71F32454"/>
    <w:multiLevelType w:val="hybridMultilevel"/>
    <w:lvl w:ilvl="0">
      <w:lvlJc w:val="left"/>
      <w:lvlText w:val="•"/>
      <w:numFmt w:val="bullet"/>
      <w:start w:val="1"/>
    </w:lvl>
  </w:abstractNum>
  <w:abstractNum w:abstractNumId="8">
    <w:nsid w:val="2CA88611"/>
    <w:multiLevelType w:val="hybridMultilevel"/>
    <w:lvl w:ilvl="0">
      <w:lvlJc w:val="left"/>
      <w:lvlText w:val="(%1)"/>
      <w:numFmt w:val="decimal"/>
      <w:start w:val="1"/>
    </w:lvl>
  </w:abstractNum>
  <w:abstractNum w:abstractNumId="9">
    <w:nsid w:val="836C40E"/>
    <w:multiLevelType w:val="hybridMultilevel"/>
    <w:lvl w:ilvl="0">
      <w:lvlJc w:val="left"/>
      <w:lvlText w:val="•"/>
      <w:numFmt w:val="bullet"/>
      <w:start w:val="1"/>
    </w:lvl>
  </w:abstractNum>
  <w:abstractNum w:abstractNumId="10">
    <w:nsid w:val="2901D82"/>
    <w:multiLevelType w:val="hybridMultilevel"/>
    <w:lvl w:ilvl="0">
      <w:lvlJc w:val="left"/>
      <w:lvlText w:val="•"/>
      <w:numFmt w:val="bullet"/>
      <w:start w:val="1"/>
    </w:lvl>
  </w:abstractNum>
  <w:abstractNum w:abstractNumId="11">
    <w:nsid w:val="3A95F874"/>
    <w:multiLevelType w:val="hybridMultilevel"/>
    <w:lvl w:ilvl="0">
      <w:lvlJc w:val="left"/>
      <w:lvlText w:val="•"/>
      <w:numFmt w:val="bullet"/>
      <w:start w:val="1"/>
    </w:lvl>
  </w:abstractNum>
  <w:abstractNum w:abstractNumId="12">
    <w:nsid w:val="8138641"/>
    <w:multiLevelType w:val="hybridMultilevel"/>
    <w:lvl w:ilvl="0">
      <w:lvlJc w:val="left"/>
      <w:lvlText w:val="•"/>
      <w:numFmt w:val="bullet"/>
      <w:start w:val="1"/>
    </w:lvl>
  </w:abstractNum>
  <w:abstractNum w:abstractNumId="13">
    <w:nsid w:val="1E7FF521"/>
    <w:multiLevelType w:val="hybridMultilevel"/>
    <w:lvl w:ilvl="0">
      <w:lvlJc w:val="left"/>
      <w:lvlText w:val="•"/>
      <w:numFmt w:val="bullet"/>
      <w:start w:val="1"/>
    </w:lvl>
  </w:abstractNum>
  <w:abstractNum w:abstractNumId="14">
    <w:nsid w:val="7C3DBD3D"/>
    <w:multiLevelType w:val="hybridMultilevel"/>
    <w:lvl w:ilvl="0">
      <w:lvlJc w:val="left"/>
      <w:lvlText w:val="•"/>
      <w:numFmt w:val="bullet"/>
      <w:start w:val="1"/>
    </w:lvl>
  </w:abstractNum>
  <w:abstractNum w:abstractNumId="15">
    <w:nsid w:val="737B8DDC"/>
    <w:multiLevelType w:val="hybridMultilevel"/>
    <w:lvl w:ilvl="0">
      <w:lvlJc w:val="left"/>
      <w:lvlText w:val="•"/>
      <w:numFmt w:val="bullet"/>
      <w:start w:val="1"/>
    </w:lvl>
  </w:abstractNum>
  <w:abstractNum w:abstractNumId="16">
    <w:nsid w:val="6CEAF087"/>
    <w:multiLevelType w:val="hybridMultilevel"/>
    <w:lvl w:ilvl="0">
      <w:lvlJc w:val="left"/>
      <w:lvlText w:val="•"/>
      <w:numFmt w:val="bullet"/>
      <w:start w:val="1"/>
    </w:lvl>
  </w:abstractNum>
  <w:abstractNum w:abstractNumId="17">
    <w:nsid w:val="22221A70"/>
    <w:multiLevelType w:val="hybridMultilevel"/>
    <w:lvl w:ilvl="0">
      <w:lvlJc w:val="left"/>
      <w:lvlText w:val="•"/>
      <w:numFmt w:val="bullet"/>
      <w:start w:val="1"/>
    </w:lvl>
  </w:abstractNum>
  <w:abstractNum w:abstractNumId="18">
    <w:nsid w:val="4516DDE9"/>
    <w:multiLevelType w:val="hybridMultilevel"/>
    <w:lvl w:ilvl="0">
      <w:lvlJc w:val="left"/>
      <w:lvlText w:val="•"/>
      <w:numFmt w:val="bullet"/>
      <w:start w:val="1"/>
    </w:lvl>
  </w:abstractNum>
  <w:abstractNum w:abstractNumId="19">
    <w:nsid w:val="3006C83E"/>
    <w:multiLevelType w:val="hybridMultilevel"/>
    <w:lvl w:ilvl="0">
      <w:lvlJc w:val="left"/>
      <w:lvlText w:val="•"/>
      <w:numFmt w:val="bullet"/>
      <w:start w:val="1"/>
    </w:lvl>
  </w:abstractNum>
  <w:abstractNum w:abstractNumId="20">
    <w:nsid w:val="614FD4A1"/>
    <w:multiLevelType w:val="hybridMultilevel"/>
    <w:lvl w:ilvl="0">
      <w:lvlJc w:val="left"/>
      <w:lvlText w:val="•"/>
      <w:numFmt w:val="bullet"/>
      <w:start w:val="1"/>
    </w:lvl>
  </w:abstractNum>
  <w:abstractNum w:abstractNumId="21">
    <w:nsid w:val="419AC241"/>
    <w:multiLevelType w:val="hybridMultilevel"/>
    <w:lvl w:ilvl="0">
      <w:lvlJc w:val="left"/>
      <w:lvlText w:val="#"/>
      <w:numFmt w:val="bullet"/>
      <w:start w:val="1"/>
    </w:lvl>
  </w:abstractNum>
  <w:abstractNum w:abstractNumId="22">
    <w:nsid w:val="5577F8E1"/>
    <w:multiLevelType w:val="hybridMultilevel"/>
    <w:lvl w:ilvl="0">
      <w:lvlJc w:val="left"/>
      <w:lvlText w:val="*"/>
      <w:numFmt w:val="bullet"/>
      <w:start w:val="1"/>
    </w:lvl>
  </w:abstractNum>
  <w:abstractNum w:abstractNumId="23">
    <w:nsid w:val="440BADFC"/>
    <w:multiLevelType w:val="hybridMultilevel"/>
    <w:lvl w:ilvl="0">
      <w:lvlJc w:val="left"/>
      <w:lvlText w:val="**"/>
      <w:numFmt w:val="bullet"/>
      <w:start w:val="1"/>
    </w:lvl>
  </w:abstractNum>
  <w:abstractNum w:abstractNumId="24">
    <w:nsid w:val="5072367"/>
    <w:multiLevelType w:val="hybridMultilevel"/>
    <w:lvl w:ilvl="0">
      <w:lvlJc w:val="left"/>
      <w:lvlText w:val="•"/>
      <w:numFmt w:val="bullet"/>
      <w:start w:val="1"/>
    </w:lvl>
  </w:abstractNum>
  <w:abstractNum w:abstractNumId="25">
    <w:nsid w:val="3804823E"/>
    <w:multiLevelType w:val="hybridMultilevel"/>
    <w:lvl w:ilvl="0">
      <w:lvlJc w:val="left"/>
      <w:lvlText w:val="•"/>
      <w:numFmt w:val="bullet"/>
      <w:start w:val="1"/>
    </w:lvl>
  </w:abstractNum>
  <w:abstractNum w:abstractNumId="26">
    <w:nsid w:val="77465F01"/>
    <w:multiLevelType w:val="hybridMultilevel"/>
    <w:lvl w:ilvl="0">
      <w:lvlJc w:val="left"/>
      <w:lvlText w:val="•"/>
      <w:numFmt w:val="bullet"/>
      <w:start w:val="1"/>
    </w:lvl>
  </w:abstractNum>
  <w:abstractNum w:abstractNumId="27">
    <w:nsid w:val="7724C67E"/>
    <w:multiLevelType w:val="hybridMultilevel"/>
    <w:lvl w:ilvl="0">
      <w:lvlJc w:val="left"/>
      <w:lvlText w:val="•"/>
      <w:numFmt w:val="bullet"/>
      <w:start w:val="1"/>
    </w:lvl>
  </w:abstractNum>
  <w:abstractNum w:abstractNumId="28">
    <w:nsid w:val="5C482A97"/>
    <w:multiLevelType w:val="hybridMultilevel"/>
    <w:lvl w:ilvl="0">
      <w:lvlJc w:val="left"/>
      <w:lvlText w:val="%1."/>
      <w:numFmt w:val="decimal"/>
      <w:start w:val="1"/>
    </w:lvl>
    <w:lvl w:ilvl="1">
      <w:lvlJc w:val="left"/>
      <w:lvlText w:val="%2."/>
      <w:numFmt w:val="lowerLetter"/>
      <w:start w:val="1"/>
    </w:lvl>
  </w:abstractNum>
  <w:abstractNum w:abstractNumId="29">
    <w:nsid w:val="2463B9EA"/>
    <w:multiLevelType w:val="hybridMultilevel"/>
    <w:lvl w:ilvl="0">
      <w:lvlJc w:val="left"/>
      <w:lvlText w:val="%1."/>
      <w:numFmt w:val="decimal"/>
      <w:start w:val="2"/>
    </w:lvl>
  </w:abstractNum>
  <w:abstractNum w:abstractNumId="30">
    <w:nsid w:val="5E884ADC"/>
    <w:multiLevelType w:val="hybridMultilevel"/>
    <w:lvl w:ilvl="0">
      <w:lvlJc w:val="left"/>
      <w:lvlText w:val="•"/>
      <w:numFmt w:val="bullet"/>
      <w:start w:val="1"/>
    </w:lvl>
  </w:abstractNum>
  <w:abstractNum w:abstractNumId="31">
    <w:nsid w:val="51EAD36B"/>
    <w:multiLevelType w:val="hybridMultilevel"/>
    <w:lvl w:ilvl="0">
      <w:lvlJc w:val="left"/>
      <w:lvlText w:val="•"/>
      <w:numFmt w:val="bullet"/>
      <w:start w:val="1"/>
    </w:lvl>
  </w:abstractNum>
  <w:abstractNum w:abstractNumId="32">
    <w:nsid w:val="2D517796"/>
    <w:multiLevelType w:val="hybridMultilevel"/>
    <w:lvl w:ilvl="0">
      <w:lvlJc w:val="left"/>
      <w:lvlText w:val="•"/>
      <w:numFmt w:val="bullet"/>
      <w:start w:val="1"/>
    </w:lvl>
  </w:abstractNum>
  <w:abstractNum w:abstractNumId="33">
    <w:nsid w:val="580BD78F"/>
    <w:multiLevelType w:val="hybridMultilevel"/>
    <w:lvl w:ilvl="0">
      <w:lvlJc w:val="left"/>
      <w:lvlText w:val="•"/>
      <w:numFmt w:val="bullet"/>
      <w:start w:val="1"/>
    </w:lvl>
  </w:abstractNum>
  <w:abstractNum w:abstractNumId="34">
    <w:nsid w:val="153EA438"/>
    <w:multiLevelType w:val="hybridMultilevel"/>
    <w:lvl w:ilvl="0">
      <w:lvlJc w:val="left"/>
      <w:lvlText w:val="%1."/>
      <w:numFmt w:val="decimal"/>
      <w:start w:val="1"/>
    </w:lvl>
    <w:lvl w:ilvl="1">
      <w:lvlJc w:val="left"/>
      <w:lvlText w:val="%2."/>
      <w:numFmt w:val="lowerLetter"/>
      <w:start w:val="1"/>
    </w:lvl>
  </w:abstractNum>
  <w:abstractNum w:abstractNumId="35">
    <w:nsid w:val="3855585C"/>
    <w:multiLevelType w:val="hybridMultilevel"/>
    <w:lvl w:ilvl="0">
      <w:lvlJc w:val="left"/>
      <w:lvlText w:val="%1."/>
      <w:numFmt w:val="decimal"/>
      <w:start w:val="2"/>
    </w:lvl>
  </w:abstractNum>
  <w:abstractNum w:abstractNumId="36">
    <w:nsid w:val="70A64E2A"/>
    <w:multiLevelType w:val="hybridMultilevel"/>
    <w:lvl w:ilvl="0">
      <w:lvlJc w:val="left"/>
      <w:lvlText w:val="•"/>
      <w:numFmt w:val="bullet"/>
      <w:start w:val="1"/>
    </w:lvl>
  </w:abstractNum>
  <w:abstractNum w:abstractNumId="37">
    <w:nsid w:val="6A2342EC"/>
    <w:multiLevelType w:val="hybridMultilevel"/>
    <w:lvl w:ilvl="0">
      <w:lvlJc w:val="left"/>
      <w:lvlText w:val="%1."/>
      <w:numFmt w:val="decimal"/>
      <w:start w:val="1"/>
    </w:lvl>
  </w:abstractNum>
  <w:abstractNum w:abstractNumId="38">
    <w:nsid w:val="2A487CB0"/>
    <w:multiLevelType w:val="hybridMultilevel"/>
    <w:lvl w:ilvl="0">
      <w:lvlJc w:val="left"/>
      <w:lvlText w:val="%1)"/>
      <w:numFmt w:val="lowerLetter"/>
      <w:start w:val="1"/>
    </w:lvl>
  </w:abstractNum>
  <w:abstractNum w:abstractNumId="39">
    <w:nsid w:val="1D4ED43B"/>
    <w:multiLevelType w:val="hybridMultilevel"/>
    <w:lvl w:ilvl="0">
      <w:lvlJc w:val="left"/>
      <w:lvlText w:val="%1."/>
      <w:numFmt w:val="decimal"/>
      <w:start w:val="5"/>
    </w:lvl>
  </w:abstractNum>
  <w:abstractNum w:abstractNumId="40">
    <w:nsid w:val="725A06FB"/>
    <w:multiLevelType w:val="hybridMultilevel"/>
    <w:lvl w:ilvl="0">
      <w:lvlJc w:val="left"/>
      <w:lvlText w:val="%1)"/>
      <w:numFmt w:val="lowerLetter"/>
      <w:start w:val="1"/>
    </w:lvl>
  </w:abstractNum>
  <w:abstractNum w:abstractNumId="41">
    <w:nsid w:val="2CD89A32"/>
    <w:multiLevelType w:val="hybridMultilevel"/>
    <w:lvl w:ilvl="0">
      <w:lvlJc w:val="left"/>
      <w:lvlText w:val="%1."/>
      <w:numFmt w:val="decimal"/>
      <w:start w:val="1"/>
    </w:lvl>
  </w:abstractNum>
  <w:abstractNum w:abstractNumId="42">
    <w:nsid w:val="57E4CCAF"/>
    <w:multiLevelType w:val="hybridMultilevel"/>
    <w:lvl w:ilvl="0">
      <w:lvlJc w:val="left"/>
      <w:lvlText w:val="%1)"/>
      <w:numFmt w:val="lowerLetter"/>
      <w:start w:val="1"/>
    </w:lvl>
  </w:abstractNum>
  <w:abstractNum w:abstractNumId="43">
    <w:nsid w:val="7A6D8D3C"/>
    <w:multiLevelType w:val="hybridMultilevel"/>
    <w:lvl w:ilvl="0">
      <w:lvlJc w:val="left"/>
      <w:lvlText w:val="%1."/>
      <w:numFmt w:val="decimal"/>
      <w:start w:val="5"/>
    </w:lvl>
  </w:abstractNum>
  <w:abstractNum w:abstractNumId="44">
    <w:nsid w:val="4B588F54"/>
    <w:multiLevelType w:val="hybridMultilevel"/>
    <w:lvl w:ilvl="0">
      <w:lvlJc w:val="left"/>
      <w:lvlText w:val="%1)"/>
      <w:numFmt w:val="lowerLetter"/>
      <w:start w:val="1"/>
    </w:lvl>
  </w:abstractNum>
  <w:abstractNum w:abstractNumId="45">
    <w:nsid w:val="542289EC"/>
    <w:multiLevelType w:val="hybridMultilevel"/>
    <w:lvl w:ilvl="0">
      <w:lvlJc w:val="left"/>
      <w:lvlText w:val="(%1)"/>
      <w:numFmt w:val="lowerRoman"/>
      <w:start w:val="1"/>
    </w:lvl>
  </w:abstractNum>
  <w:abstractNum w:abstractNumId="46">
    <w:nsid w:val="6DE91B1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90" Type="http://schemas.openxmlformats.org/officeDocument/2006/relationships/image" Target="media/image71.png"/><Relationship Id="rId104" Type="http://schemas.openxmlformats.org/officeDocument/2006/relationships/image" Target="media/image72.png"/><Relationship Id="rId105" Type="http://schemas.openxmlformats.org/officeDocument/2006/relationships/image" Target="media/image73.png"/><Relationship Id="rId106" Type="http://schemas.openxmlformats.org/officeDocument/2006/relationships/image" Target="media/image74.png"/><Relationship Id="rId107" Type="http://schemas.openxmlformats.org/officeDocument/2006/relationships/image" Target="media/image75.jpeg"/><Relationship Id="rId108" Type="http://schemas.openxmlformats.org/officeDocument/2006/relationships/image" Target="media/image76.jpeg"/><Relationship Id="rId109" Type="http://schemas.openxmlformats.org/officeDocument/2006/relationships/image" Target="media/image77.png"/><Relationship Id="rId110" Type="http://schemas.openxmlformats.org/officeDocument/2006/relationships/image" Target="media/image78.png"/><Relationship Id="rId111" Type="http://schemas.openxmlformats.org/officeDocument/2006/relationships/image" Target="media/image79.jpeg"/><Relationship Id="rId112" Type="http://schemas.openxmlformats.org/officeDocument/2006/relationships/image" Target="media/image80.png"/><Relationship Id="rId113" Type="http://schemas.openxmlformats.org/officeDocument/2006/relationships/image" Target="media/image81.png"/><Relationship Id="rId114" Type="http://schemas.openxmlformats.org/officeDocument/2006/relationships/image" Target="media/image82.png"/><Relationship Id="rId115" Type="http://schemas.openxmlformats.org/officeDocument/2006/relationships/image" Target="media/image83.png"/><Relationship Id="rId78" Type="http://schemas.openxmlformats.org/officeDocument/2006/relationships/hyperlink" Target="http://www.sec.gov/Archives/edgar/data/0001058057/000119312520282762/d42915dex21.htm" TargetMode="External"/><Relationship Id="rId79" Type="http://schemas.openxmlformats.org/officeDocument/2006/relationships/hyperlink" Target="http://www.sec.gov/Archives/edgar/data/0001058057/000119312521122807/d156000dex31.htm" TargetMode="External"/><Relationship Id="rId80" Type="http://schemas.openxmlformats.org/officeDocument/2006/relationships/hyperlink" Target="http://www.sec.gov/Archives/edgar/data/0001058057/000119312521122807/d156000dex32.htm" TargetMode="External"/><Relationship Id="rId81" Type="http://schemas.openxmlformats.org/officeDocument/2006/relationships/hyperlink" Target="http://www.sec.gov/Archives/edgar/data/0001835632/000119312521123305/d282209dex41.htm" TargetMode="External"/><Relationship Id="rId82" Type="http://schemas.openxmlformats.org/officeDocument/2006/relationships/hyperlink" Target="http://www.sec.gov/Archives/edgar/data/0001835632/000119312521123305/d282209dex42.htm" TargetMode="External"/><Relationship Id="rId83" Type="http://schemas.openxmlformats.org/officeDocument/2006/relationships/hyperlink" Target="http://www.sec.gov/Archives/edgar/data/0001058057/000119312521113298/d124916dex41.htm" TargetMode="External"/><Relationship Id="rId84" Type="http://schemas.openxmlformats.org/officeDocument/2006/relationships/hyperlink" Target="http://www.sec.gov/Archives/edgar/data/0001058057/000119312521113298/d124916dex42.htm" TargetMode="External"/><Relationship Id="rId85" Type="http://schemas.openxmlformats.org/officeDocument/2006/relationships/hyperlink" Target="http://www.sec.gov/Archives/edgar/data/0001835632/000119312521150119/d168758dex42.htm" TargetMode="External"/><Relationship Id="rId86" Type="http://schemas.openxmlformats.org/officeDocument/2006/relationships/hyperlink" Target="http://www.sec.gov/Archives/edgar/data/0001058057/000119312521120469/d107622dex41.htm" TargetMode="External"/><Relationship Id="rId87" Type="http://schemas.openxmlformats.org/officeDocument/2006/relationships/hyperlink" Target="http://www.sec.gov/Archives/edgar/data/0001835632/000119312521123305/d282209dex101.htm" TargetMode="External"/><Relationship Id="rId88" Type="http://schemas.openxmlformats.org/officeDocument/2006/relationships/hyperlink" Target="http://www.sec.gov/Archives/edgar/data/0001058057/000119312520312706/d84972dex101.htm" TargetMode="External"/><Relationship Id="rId89" Type="http://schemas.openxmlformats.org/officeDocument/2006/relationships/hyperlink" Target="http://www.sec.gov/Archives/edgar/data/0001058057/000119312520312706/d84972dex102.htm" TargetMode="External"/><Relationship Id="rId91" Type="http://schemas.openxmlformats.org/officeDocument/2006/relationships/hyperlink" Target="http://www.sec.gov/Archives/edgar/data/0001058057/000119312520312706/d84972dex103.htm" TargetMode="External"/><Relationship Id="rId92" Type="http://schemas.openxmlformats.org/officeDocument/2006/relationships/hyperlink" Target="http://www.sec.gov/Archives/edgar/data/0001058057/000119312521113298/d124916dex101.htm" TargetMode="External"/><Relationship Id="rId93" Type="http://schemas.openxmlformats.org/officeDocument/2006/relationships/hyperlink" Target="http://www.sec.gov/Archives/edgar/data/0001835632/000119312521123014/d141152dex41.htm" TargetMode="External"/><Relationship Id="rId94" Type="http://schemas.openxmlformats.org/officeDocument/2006/relationships/hyperlink" Target="http://www.sec.gov/Archives/edgar/data/0001835632/000119312521123014/d141152dex42.htm" TargetMode="External"/><Relationship Id="rId95" Type="http://schemas.openxmlformats.org/officeDocument/2006/relationships/hyperlink" Target="http://www.sec.gov/Archives/edgar/data/0001835632/000119312521123014/d141152dex43.htm" TargetMode="External"/><Relationship Id="rId96" Type="http://schemas.openxmlformats.org/officeDocument/2006/relationships/hyperlink" Target="http://www.sec.gov/Archives/edgar/data/0001058057/000105805719000032/q32010q11022019exhibit101.htm" TargetMode="External"/><Relationship Id="rId97" Type="http://schemas.openxmlformats.org/officeDocument/2006/relationships/hyperlink" Target="http://www.sec.gov/Archives/edgar/data/0001058057/000105805719000032/q32010q11022019exhibit102.htm" TargetMode="External"/><Relationship Id="rId98" Type="http://schemas.openxmlformats.org/officeDocument/2006/relationships/hyperlink" Target="http://www.sec.gov/Archives/edgar/data/0001058057/000105805719000032/q32010q11022019exhibit103.htm" TargetMode="External"/><Relationship Id="rId99" Type="http://schemas.openxmlformats.org/officeDocument/2006/relationships/hyperlink" Target="http://www.sec.gov/Archives/edgar/data/0001058057/000105805719000032/q32010q11022019exhibit106.htm" TargetMode="External"/><Relationship Id="rId100" Type="http://schemas.openxmlformats.org/officeDocument/2006/relationships/hyperlink" Target="http://www.sec.gov/Archives/edgar/data/0001058057/000105805719000032/q32010q11022019exhibit105.htm" TargetMode="External"/><Relationship Id="rId101" Type="http://schemas.openxmlformats.org/officeDocument/2006/relationships/hyperlink" Target="http://www.sec.gov/Archives/edgar/data/0001058057/000105805719000032/q32010q11022019exhibit104.htm" TargetMode="External"/><Relationship Id="rId102" Type="http://schemas.openxmlformats.org/officeDocument/2006/relationships/hyperlink" Target="http://www.sec.gov/Archives/edgar/data/1160958/000143774920017155/ex_196563.htm" TargetMode="External"/><Relationship Id="rId103" Type="http://schemas.openxmlformats.org/officeDocument/2006/relationships/hyperlink" Target="http://www.sec.gov/Archives/edgar/data/1058057/000119312516705222/d240868dex10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2021-06-09T15:39:19Z</dcterms:created>
  <dcterms:modified xsi:type="dcterms:W3CDTF">2021-06-09T15:39:19Z</dcterms:modified>
</cp:coreProperties>
</file>