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16510</wp:posOffset>
            </wp:positionV>
            <wp:extent cx="6992620" cy="663765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6637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609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Hu Jean X.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64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Arial" w:cs="Arial" w:eastAsia="Arial" w:hAnsi="Arial"/>
          <w:sz w:val="20"/>
          <w:szCs w:val="20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[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15"/>
          <w:szCs w:val="15"/>
          <w:color w:val="0000FF"/>
        </w:rPr>
        <w:t>MRVL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]</w:t>
      </w:r>
    </w:p>
    <w:p>
      <w:pPr>
        <w:spacing w:after="0" w:line="31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07/15/2021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-6" w:right="620" w:firstLine="6"/>
        <w:spacing w:after="0" w:line="239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27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1" w:lineRule="exact"/>
        <w:rPr>
          <w:sz w:val="24"/>
          <w:szCs w:val="24"/>
          <w:color w:val="auto"/>
        </w:rPr>
      </w:pPr>
    </w:p>
    <w:p>
      <w:pPr>
        <w:ind w:left="79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Chief Financial Officer</w:t>
      </w:r>
    </w:p>
    <w:p>
      <w:pPr>
        <w:spacing w:after="0" w:line="31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22" w:right="359" w:bottom="609" w:gutter="0" w:footer="0" w:header="0"/>
          <w:type w:val="continuous"/>
        </w:sectPr>
      </w:pPr>
    </w:p>
    <w:p>
      <w:pPr>
        <w:spacing w:after="0" w:line="16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21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22" w:right="359" w:bottom="609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4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740" w:type="dxa"/>
            <w:vAlign w:val="bottom"/>
            <w:gridSpan w:val="4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69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4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2,460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3"/>
              </w:rPr>
              <w:t>99,713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3"/>
                <w:vertAlign w:val="superscript"/>
              </w:rPr>
              <w:t>(1)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(2)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969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55.7</w:t>
            </w: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98,744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3,866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102,610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(2)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1,833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55.7</w:t>
            </w: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100,777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3,976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104,753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(2)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1,812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55.7</w:t>
            </w: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102,941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jc w:val="center"/>
              <w:ind w:left="81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  <w:w w:val="99"/>
              </w:rPr>
              <w:t>Table II - Derivative Securities Acquired, Disposed of, or Beneficially Owned</w:t>
            </w: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jc w:val="center"/>
              <w:ind w:left="4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  <w:w w:val="99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right="42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ind w:righ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2,460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2,460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ind w:left="2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27,061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ind w:righ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3,866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3,866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ind w:left="2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11,599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(6)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right"/>
              <w:ind w:righ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3,976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3,976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ind w:righ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ind w:left="2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27,834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-2818765</wp:posOffset>
            </wp:positionV>
            <wp:extent cx="29210" cy="282384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823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Includes 572 shares acquired under the Marvell 2000 Employee Stock Purchase Plan on June 7, 2021.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Technology, Inc.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vest on 10/15/2021, 01/15/2022, 04/15/2022, 07/15/2022, 10/15/2022, 01/15/2023, 04/15/2023, 07/15/2023, 10/15/2023, 01/15/2024 and 04/15/2024.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vest on 10/15/2021, 01/15/2022 and 04/15/2022.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vest on 10/15/2021, 01/15/2022, 04/15/2022, 07/15/2022, 10/15/2022, 01/15/2023 and 04/15/2023.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tbl>
      <w:tblPr>
        <w:tblLayout w:type="fixed"/>
        <w:tblInd w:w="66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88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Jean Hu by Blair Walters as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07/19/2021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1140" w:type="dxa"/>
            <w:vAlign w:val="bottom"/>
            <w:vMerge w:val="restart"/>
          </w:tcPr>
          <w:p>
            <w:pPr>
              <w:spacing w:after="0" w:line="18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Attorney-in-Fact</w:t>
            </w:r>
          </w:p>
        </w:tc>
        <w:tc>
          <w:tcPr>
            <w:tcW w:w="1060" w:type="dxa"/>
            <w:vAlign w:val="bottom"/>
            <w:gridSpan w:val="2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114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6"/>
        </w:trPr>
        <w:tc>
          <w:tcPr>
            <w:tcW w:w="2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609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452385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2021-07-19T15:23:04Z</dcterms:created>
  <dcterms:modified xsi:type="dcterms:W3CDTF">2021-07-19T15:23:04Z</dcterms:modified>
</cp:coreProperties>
</file>