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1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6" w:lineRule="exact"/>
        <w:rPr>
          <w:sz w:val="24"/>
          <w:szCs w:val="24"/>
          <w:color w:val="auto"/>
        </w:rPr>
      </w:pPr>
    </w:p>
    <w:p>
      <w:pPr>
        <w:ind w:left="360"/>
        <w:spacing w:after="0" w:line="227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34290</wp:posOffset>
            </wp:positionH>
            <wp:positionV relativeFrom="paragraph">
              <wp:posOffset>-231775</wp:posOffset>
            </wp:positionV>
            <wp:extent cx="130810" cy="13081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" cy="130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2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3"/>
        </w:trPr>
        <w:tc>
          <w:tcPr>
            <w:tcW w:w="6300" w:type="dxa"/>
            <w:vAlign w:val="bottom"/>
          </w:tcPr>
          <w:p>
            <w:pPr>
              <w:jc w:val="center"/>
              <w:ind w:right="17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7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00" w:type="dxa"/>
            <w:vAlign w:val="bottom"/>
            <w:vMerge w:val="restart"/>
          </w:tcPr>
          <w:p>
            <w:pPr>
              <w:jc w:val="center"/>
              <w:ind w:right="176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4"/>
        </w:trPr>
        <w:tc>
          <w:tcPr>
            <w:tcW w:w="63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6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00" w:type="dxa"/>
            <w:vAlign w:val="bottom"/>
            <w:vMerge w:val="restart"/>
          </w:tcPr>
          <w:p>
            <w:pPr>
              <w:jc w:val="center"/>
              <w:ind w:right="17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7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1"/>
        </w:trPr>
        <w:tc>
          <w:tcPr>
            <w:tcW w:w="630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6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5"/>
        </w:trPr>
        <w:tc>
          <w:tcPr>
            <w:tcW w:w="63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5"/>
        </w:trPr>
        <w:tc>
          <w:tcPr>
            <w:tcW w:w="6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0"/>
        </w:trPr>
        <w:tc>
          <w:tcPr>
            <w:tcW w:w="6300" w:type="dxa"/>
            <w:vAlign w:val="bottom"/>
            <w:vMerge w:val="restart"/>
          </w:tcPr>
          <w:p>
            <w:pPr>
              <w:jc w:val="center"/>
              <w:ind w:right="17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6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63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0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5266690</wp:posOffset>
            </wp:positionH>
            <wp:positionV relativeFrom="paragraph">
              <wp:posOffset>-624205</wp:posOffset>
            </wp:positionV>
            <wp:extent cx="57785" cy="6375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" cy="637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3985895</wp:posOffset>
            </wp:positionH>
            <wp:positionV relativeFrom="paragraph">
              <wp:posOffset>-624205</wp:posOffset>
            </wp:positionV>
            <wp:extent cx="57785" cy="63754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" cy="637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-1635760</wp:posOffset>
            </wp:positionH>
            <wp:positionV relativeFrom="paragraph">
              <wp:posOffset>15240</wp:posOffset>
            </wp:positionV>
            <wp:extent cx="7046595" cy="585152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6595" cy="5851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95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60" w:space="300"/>
            <w:col w:w="8520"/>
          </w:cols>
          <w:pgMar w:left="460" w:top="221" w:right="35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Frank Edward H.</w:t>
        </w:r>
      </w:hyperlink>
    </w:p>
    <w:p>
      <w:pPr>
        <w:spacing w:after="0" w:line="301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20" w:val="left"/>
          <w:tab w:leader="none" w:pos="25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(Middle)</w:t>
      </w:r>
    </w:p>
    <w:p>
      <w:pPr>
        <w:spacing w:after="0" w:line="61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5" w:lineRule="exact"/>
        <w:rPr>
          <w:sz w:val="24"/>
          <w:szCs w:val="24"/>
          <w:color w:val="auto"/>
        </w:rPr>
      </w:pPr>
    </w:p>
    <w:p>
      <w:pPr>
        <w:spacing w:after="0"/>
        <w:rPr>
          <w:rFonts w:ascii="Arial" w:cs="Arial" w:eastAsia="Arial" w:hAnsi="Arial"/>
          <w:sz w:val="18"/>
          <w:szCs w:val="18"/>
          <w:color w:val="0000EE"/>
        </w:rPr>
      </w:pPr>
      <w:hyperlink r:id="rId13"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Marvell Technology, Inc.</w:t>
        </w:r>
        <w:r>
          <w:rPr>
            <w:rFonts w:ascii="Arial" w:cs="Arial" w:eastAsia="Arial" w:hAnsi="Arial"/>
            <w:sz w:val="18"/>
            <w:szCs w:val="18"/>
            <w:color w:val="0000EE"/>
          </w:rPr>
          <w:t xml:space="preserve"> </w:t>
        </w:r>
      </w:hyperlink>
      <w:r>
        <w:rPr>
          <w:rFonts w:ascii="Arial" w:cs="Arial" w:eastAsia="Arial" w:hAnsi="Arial"/>
          <w:sz w:val="18"/>
          <w:szCs w:val="18"/>
          <w:color w:val="000000"/>
        </w:rPr>
        <w:t>[</w:t>
      </w:r>
      <w:r>
        <w:rPr>
          <w:rFonts w:ascii="Arial" w:cs="Arial" w:eastAsia="Arial" w:hAnsi="Arial"/>
          <w:sz w:val="18"/>
          <w:szCs w:val="18"/>
          <w:color w:val="0000EE"/>
        </w:rPr>
        <w:t xml:space="preserve"> </w:t>
      </w:r>
      <w:r>
        <w:rPr>
          <w:rFonts w:ascii="Arial" w:cs="Arial" w:eastAsia="Arial" w:hAnsi="Arial"/>
          <w:sz w:val="14"/>
          <w:szCs w:val="14"/>
          <w:color w:val="0000FF"/>
        </w:rPr>
        <w:t>MRVL</w:t>
      </w:r>
      <w:r>
        <w:rPr>
          <w:rFonts w:ascii="Arial" w:cs="Arial" w:eastAsia="Arial" w:hAnsi="Arial"/>
          <w:sz w:val="18"/>
          <w:szCs w:val="18"/>
          <w:color w:val="0000EE"/>
        </w:rPr>
        <w:t xml:space="preserve"> </w:t>
      </w:r>
      <w:r>
        <w:rPr>
          <w:rFonts w:ascii="Arial" w:cs="Arial" w:eastAsia="Arial" w:hAnsi="Arial"/>
          <w:sz w:val="18"/>
          <w:szCs w:val="18"/>
          <w:color w:val="000000"/>
        </w:rPr>
        <w:t>]</w:t>
      </w:r>
    </w:p>
    <w:p>
      <w:pPr>
        <w:spacing w:after="0" w:line="308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07/16/2021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5" w:lineRule="exact"/>
        <w:rPr>
          <w:sz w:val="24"/>
          <w:szCs w:val="24"/>
          <w:color w:val="auto"/>
        </w:rPr>
      </w:pPr>
    </w:p>
    <w:p>
      <w:pPr>
        <w:ind w:left="1" w:right="640" w:hanging="1"/>
        <w:spacing w:after="0" w:line="237" w:lineRule="auto"/>
        <w:tabs>
          <w:tab w:leader="none" w:pos="144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ind w:left="201"/>
        <w:spacing w:after="0"/>
        <w:tabs>
          <w:tab w:leader="none" w:pos="501" w:val="left"/>
          <w:tab w:leader="none" w:pos="2081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Director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10% Owner</w:t>
      </w:r>
    </w:p>
    <w:p>
      <w:pPr>
        <w:spacing w:after="0" w:line="103" w:lineRule="exact"/>
        <w:rPr>
          <w:sz w:val="24"/>
          <w:szCs w:val="24"/>
          <w:color w:val="auto"/>
        </w:rPr>
      </w:pPr>
    </w:p>
    <w:p>
      <w:pPr>
        <w:jc w:val="right"/>
        <w:ind w:right="440"/>
        <w:spacing w:after="0"/>
        <w:tabs>
          <w:tab w:leader="none" w:pos="7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Officer (give title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Other (specify</w:t>
      </w:r>
    </w:p>
    <w:p>
      <w:pPr>
        <w:ind w:left="521"/>
        <w:spacing w:after="0"/>
        <w:tabs>
          <w:tab w:leader="none" w:pos="2081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below)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below)</w:t>
      </w:r>
    </w:p>
    <w:p>
      <w:pPr>
        <w:spacing w:after="0" w:line="39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180" w:space="720"/>
            <w:col w:w="3119" w:space="720"/>
            <w:col w:w="3341"/>
          </w:cols>
          <w:pgMar w:left="460" w:top="221" w:right="359" w:bottom="1440" w:gutter="0" w:footer="0" w:header="0"/>
          <w:type w:val="continuous"/>
        </w:sectPr>
      </w:pPr>
    </w:p>
    <w:p>
      <w:pPr>
        <w:spacing w:after="0" w:line="239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4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9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82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6. Individual or Joint/Group Filing (Check Applicable</w:t>
      </w:r>
    </w:p>
    <w:p>
      <w:pPr>
        <w:ind w:left="38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40"/>
        <w:spacing w:after="0" w:line="216" w:lineRule="auto"/>
        <w:tabs>
          <w:tab w:leader="none" w:pos="43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03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73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60" w:space="140"/>
            <w:col w:w="7180"/>
          </w:cols>
          <w:pgMar w:left="460" w:top="221" w:right="35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09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20" w:type="dxa"/>
            <w:vAlign w:val="bottom"/>
          </w:tcPr>
          <w:p>
            <w:pPr>
              <w:ind w:left="8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9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5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20" w:type="dxa"/>
            <w:vAlign w:val="bottom"/>
          </w:tcPr>
          <w:p>
            <w:pPr>
              <w:ind w:left="82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Transaction</w:t>
            </w:r>
          </w:p>
        </w:tc>
        <w:tc>
          <w:tcPr>
            <w:tcW w:w="1920" w:type="dxa"/>
            <w:vAlign w:val="bottom"/>
            <w:gridSpan w:val="3"/>
          </w:tcPr>
          <w:p>
            <w:pPr>
              <w:ind w:left="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</w:tcPr>
          <w:p>
            <w:pPr>
              <w:ind w:left="10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20" w:type="dxa"/>
            <w:vAlign w:val="bottom"/>
          </w:tcPr>
          <w:p>
            <w:pPr>
              <w:ind w:left="8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</w:tcPr>
          <w:p>
            <w:pPr>
              <w:ind w:left="10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</w:tcPr>
          <w:p>
            <w:pPr>
              <w:ind w:left="10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5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  <w:vMerge w:val="restart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520" w:type="dxa"/>
            <w:vAlign w:val="bottom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jc w:val="right"/>
              <w:ind w:right="20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5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5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5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820" w:type="dxa"/>
            <w:vAlign w:val="bottom"/>
          </w:tcPr>
          <w:p>
            <w:pPr>
              <w:jc w:val="right"/>
              <w:ind w:right="9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07/16/2021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4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6,651</w:t>
            </w:r>
          </w:p>
        </w:tc>
        <w:tc>
          <w:tcPr>
            <w:tcW w:w="520" w:type="dxa"/>
            <w:vAlign w:val="bottom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660" w:type="dxa"/>
            <w:vAlign w:val="bottom"/>
          </w:tcPr>
          <w:p>
            <w:pPr>
              <w:jc w:val="right"/>
              <w:ind w:right="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12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16,429</w:t>
            </w:r>
          </w:p>
        </w:tc>
        <w:tc>
          <w:tcPr>
            <w:tcW w:w="94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5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8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5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8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14,747</w:t>
            </w:r>
          </w:p>
        </w:tc>
        <w:tc>
          <w:tcPr>
            <w:tcW w:w="940" w:type="dxa"/>
            <w:vAlign w:val="bottom"/>
          </w:tcPr>
          <w:p>
            <w:pPr>
              <w:ind w:lef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vertAlign w:val="superscript"/>
              </w:rPr>
              <w:t>(1)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5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8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5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8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14,747</w:t>
            </w:r>
          </w:p>
        </w:tc>
        <w:tc>
          <w:tcPr>
            <w:tcW w:w="940" w:type="dxa"/>
            <w:vAlign w:val="bottom"/>
          </w:tcPr>
          <w:p>
            <w:pPr>
              <w:ind w:lef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vertAlign w:val="superscript"/>
              </w:rPr>
              <w:t>(2)</w:t>
            </w: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60" w:lineRule="exact"/>
        <w:rPr>
          <w:sz w:val="24"/>
          <w:szCs w:val="24"/>
          <w:color w:val="auto"/>
        </w:rPr>
      </w:pPr>
    </w:p>
    <w:p>
      <w:pPr>
        <w:jc w:val="center"/>
        <w:ind w:righ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II - Derivative Securities Acquired, Disposed of, or Beneficially Owned</w:t>
      </w:r>
    </w:p>
    <w:p>
      <w:pPr>
        <w:spacing w:after="0" w:line="17" w:lineRule="exact"/>
        <w:rPr>
          <w:sz w:val="24"/>
          <w:szCs w:val="24"/>
          <w:color w:val="auto"/>
        </w:rPr>
      </w:pPr>
    </w:p>
    <w:p>
      <w:pPr>
        <w:jc w:val="center"/>
        <w:ind w:righ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97" w:lineRule="exact"/>
        <w:rPr>
          <w:sz w:val="24"/>
          <w:szCs w:val="24"/>
          <w:color w:val="auto"/>
        </w:rPr>
      </w:pPr>
    </w:p>
    <w:tbl>
      <w:tblPr>
        <w:tblLayout w:type="fixed"/>
        <w:tblInd w:w="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 of</w:t>
            </w: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2"/>
              </w:rPr>
              <w:t>7. Title and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Amount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 (A)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2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Disposed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3"/>
        </w:trPr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  <w:vMerge w:val="restart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Expiration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3"/>
        </w:trPr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4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</w:t>
            </w:r>
          </w:p>
        </w:tc>
        <w:tc>
          <w:tcPr>
            <w:tcW w:w="4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9"/>
        </w:trPr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(4)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6,651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4"/>
        </w:trPr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vMerge w:val="restart"/>
          </w:tcPr>
          <w:p>
            <w:pPr>
              <w:jc w:val="right"/>
              <w:ind w:right="18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07/16/2021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16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20" w:type="dxa"/>
            <w:vAlign w:val="bottom"/>
            <w:vMerge w:val="restart"/>
          </w:tcPr>
          <w:p>
            <w:pPr>
              <w:ind w:left="6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6,651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920" w:type="dxa"/>
            <w:vAlign w:val="bottom"/>
            <w:vMerge w:val="restart"/>
          </w:tcPr>
          <w:p>
            <w:pPr>
              <w:jc w:val="right"/>
              <w:ind w:right="361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32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5"/>
        </w:trPr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(5)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4,354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4"/>
        </w:trPr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vMerge w:val="restart"/>
          </w:tcPr>
          <w:p>
            <w:pPr>
              <w:jc w:val="right"/>
              <w:ind w:right="18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07/16/2021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16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</w:t>
            </w:r>
          </w:p>
        </w:tc>
        <w:tc>
          <w:tcPr>
            <w:tcW w:w="440" w:type="dxa"/>
            <w:vAlign w:val="bottom"/>
            <w:vMerge w:val="restart"/>
          </w:tcPr>
          <w:p>
            <w:pPr>
              <w:ind w:left="8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4,354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920" w:type="dxa"/>
            <w:vAlign w:val="bottom"/>
            <w:vMerge w:val="restart"/>
          </w:tcPr>
          <w:p>
            <w:pPr>
              <w:jc w:val="right"/>
              <w:ind w:right="261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4,354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32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5"/>
        </w:trPr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87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1" w:lineRule="exact"/>
        <w:rPr>
          <w:sz w:val="24"/>
          <w:szCs w:val="24"/>
          <w:color w:val="auto"/>
        </w:rPr>
      </w:pPr>
    </w:p>
    <w:p>
      <w:pPr>
        <w:ind w:left="160" w:hanging="119"/>
        <w:spacing w:after="0"/>
        <w:tabs>
          <w:tab w:leader="none" w:pos="16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Held in the Naomi Mantor Frank 2015 Heritage Trust. This is a trust of which the Reporting Person is the trustee, for the benefit of a member of his immediate family.</w:t>
      </w:r>
    </w:p>
    <w:p>
      <w:pPr>
        <w:spacing w:after="0" w:line="43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19"/>
        <w:spacing w:after="0"/>
        <w:tabs>
          <w:tab w:leader="none" w:pos="16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Held in the Whitton Anne Frank 2015 Heritage Trust. This is a trust of which the Reporting Person is the trustee, for the benefit of a member of his immediate family.</w:t>
      </w:r>
    </w:p>
    <w:p>
      <w:pPr>
        <w:spacing w:after="0" w:line="43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19"/>
        <w:spacing w:after="0"/>
        <w:tabs>
          <w:tab w:leader="none" w:pos="16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restricted stock unit represents a contingent right to receive one Marvell Technology, Inc. ("Marvell") common share upon vesting.</w:t>
      </w:r>
    </w:p>
    <w:p>
      <w:pPr>
        <w:spacing w:after="0" w:line="43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19"/>
        <w:spacing w:after="0"/>
        <w:tabs>
          <w:tab w:leader="none" w:pos="16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These RSUs vested as to 100% of the shares on July 16, 2021.</w:t>
      </w:r>
    </w:p>
    <w:p>
      <w:pPr>
        <w:spacing w:after="0" w:line="43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19"/>
        <w:spacing w:after="0"/>
        <w:tabs>
          <w:tab w:leader="none" w:pos="16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Vests 100% of shares on the earlier of the next annual shareholder meeting of Marvell or the one year anniversary of the restricted stock unit grant.</w:t>
      </w:r>
    </w:p>
    <w:p>
      <w:pPr>
        <w:spacing w:after="0" w:line="35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ind w:left="6600"/>
        <w:spacing w:after="0" w:line="223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 xml:space="preserve">Edward Frank by Blair Walters  </w:t>
      </w:r>
      <w:r>
        <w:rPr>
          <w:rFonts w:ascii="Arial" w:cs="Arial" w:eastAsia="Arial" w:hAnsi="Arial"/>
          <w:sz w:val="33"/>
          <w:szCs w:val="33"/>
          <w:color w:val="0000FF"/>
          <w:vertAlign w:val="subscript"/>
        </w:rPr>
        <w:t>07/20/2021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-26670</wp:posOffset>
            </wp:positionV>
            <wp:extent cx="1322705" cy="825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270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as Attorney-in-Fact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-20955</wp:posOffset>
            </wp:positionV>
            <wp:extent cx="828040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04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5583555</wp:posOffset>
            </wp:positionH>
            <wp:positionV relativeFrom="paragraph">
              <wp:posOffset>-86360</wp:posOffset>
            </wp:positionV>
            <wp:extent cx="483235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23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6" w:lineRule="exact"/>
        <w:rPr>
          <w:sz w:val="24"/>
          <w:szCs w:val="24"/>
          <w:color w:val="auto"/>
        </w:rPr>
      </w:pPr>
    </w:p>
    <w:p>
      <w:pPr>
        <w:ind w:left="6600"/>
        <w:spacing w:after="0"/>
        <w:tabs>
          <w:tab w:leader="none" w:pos="87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Date</w:t>
      </w:r>
    </w:p>
    <w:p>
      <w:pPr>
        <w:spacing w:after="0" w:line="43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29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3" w:lineRule="exact"/>
        <w:rPr>
          <w:sz w:val="24"/>
          <w:szCs w:val="24"/>
          <w:color w:val="auto"/>
        </w:rPr>
      </w:pPr>
    </w:p>
    <w:p>
      <w:pPr>
        <w:jc w:val="both"/>
        <w:ind w:left="40" w:right="3620" w:firstLine="1"/>
        <w:spacing w:after="0" w:line="333" w:lineRule="auto"/>
        <w:tabs>
          <w:tab w:leader="none" w:pos="176" w:val="left"/>
        </w:tabs>
        <w:numPr>
          <w:ilvl w:val="0"/>
          <w:numId w:val="3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21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%1."/>
      <w:numFmt w:val="decimal"/>
      <w:start w:val="5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2" Type="http://schemas.openxmlformats.org/officeDocument/2006/relationships/hyperlink" Target="http://www.sec.gov/cgi-bin/browse-edgar?action=getcompany&amp;CIK=0001589827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2021-07-20T16:49:15Z</dcterms:created>
  <dcterms:modified xsi:type="dcterms:W3CDTF">2021-07-20T16:49:15Z</dcterms:modified>
</cp:coreProperties>
</file>