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ind w:left="360"/>
        <w:spacing w:after="0" w:line="22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34290</wp:posOffset>
            </wp:positionH>
            <wp:positionV relativeFrom="paragraph">
              <wp:posOffset>-231775</wp:posOffset>
            </wp:positionV>
            <wp:extent cx="130810" cy="130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5266690</wp:posOffset>
            </wp:positionH>
            <wp:positionV relativeFrom="paragraph">
              <wp:posOffset>-624205</wp:posOffset>
            </wp:positionV>
            <wp:extent cx="57785" cy="637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3985895</wp:posOffset>
            </wp:positionH>
            <wp:positionV relativeFrom="paragraph">
              <wp:posOffset>-624205</wp:posOffset>
            </wp:positionV>
            <wp:extent cx="57785" cy="637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15240</wp:posOffset>
            </wp:positionV>
            <wp:extent cx="6993890" cy="49053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890" cy="490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Knight Marachel</w:t>
        </w:r>
      </w:hyperlink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8"/>
          <w:szCs w:val="18"/>
          <w:color w:val="0000EE"/>
        </w:rPr>
      </w:pPr>
      <w:hyperlink r:id="rId1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>[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r>
        <w:rPr>
          <w:rFonts w:ascii="Arial" w:cs="Arial" w:eastAsia="Arial" w:hAnsi="Arial"/>
          <w:sz w:val="18"/>
          <w:szCs w:val="18"/>
          <w:color w:val="000000"/>
        </w:rPr>
        <w:t>]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07/16/2021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1" w:right="640" w:hanging="1"/>
        <w:spacing w:after="0" w:line="237" w:lineRule="auto"/>
        <w:tabs>
          <w:tab w:leader="none" w:pos="14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1"/>
        <w:spacing w:after="0"/>
        <w:tabs>
          <w:tab w:leader="none" w:pos="501" w:val="left"/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21"/>
        <w:spacing w:after="0"/>
        <w:tabs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19" w:space="720"/>
            <w:col w:w="3341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39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4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16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7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40"/>
            <w:col w:w="7180"/>
          </w:cols>
          <w:pgMar w:left="460" w:top="221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1"/>
              </w:rPr>
              <w:t>Transaction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07/16/2021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6,431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6,431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0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6,431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07/16/2021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6,431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81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4,354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07/16/2021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-2190750</wp:posOffset>
            </wp:positionV>
            <wp:extent cx="29210" cy="21958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9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("Marvell") common share upon vesting.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July 16, 2021.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Vests 100% of shares on the earlier of the next annual shareholder meeting of Marvell or the one year anniversary of the restricted stock unit grant.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Marachel Knight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-12065</wp:posOffset>
            </wp:positionV>
            <wp:extent cx="10928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-1905</wp:posOffset>
            </wp:positionV>
            <wp:extent cx="117538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5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07/20/2021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-3810</wp:posOffset>
            </wp:positionH>
            <wp:positionV relativeFrom="paragraph">
              <wp:posOffset>1905</wp:posOffset>
            </wp:positionV>
            <wp:extent cx="48323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60" w:space="340"/>
            <w:col w:w="2280"/>
          </w:cols>
          <w:pgMar w:left="460" w:top="221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jc w:val="both"/>
        <w:ind w:left="40" w:right="3620" w:firstLine="1"/>
        <w:spacing w:after="0" w:line="333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1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19836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2021-07-20T17:27:40Z</dcterms:created>
  <dcterms:modified xsi:type="dcterms:W3CDTF">2021-07-20T17:27:40Z</dcterms:modified>
</cp:coreProperties>
</file>