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United States securities and exchange commission logo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306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January 19, 2021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Mitchell Gaynor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Chief Administration and Legal Officer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1000 N. West Street, Suite 1200</w:t>
      </w:r>
    </w:p>
    <w:p>
      <w:pPr>
        <w:ind w:left="74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Wilmington, Delaware 19801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Re: Marvell Technology,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Inc.</w:t>
      </w:r>
    </w:p>
    <w:p>
      <w:pPr>
        <w:ind w:left="63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Registration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 on Form S-4</w:t>
      </w:r>
    </w:p>
    <w:p>
      <w:pPr>
        <w:ind w:left="632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Filed December 22,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2020</w:t>
      </w: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 No. 333-251606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Dear Mr. Gaynor: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2659" w:firstLine="1474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 have reviewed your registration statement and have the following comments. In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20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some of our comments, we may ask you to provide us with information so we may better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understand your disclosure.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2439" w:firstLine="1474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respond to this letter by amending your registration statement and providing the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9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requested information. If you do not believe our comments apply to your facts and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8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circumstances or do not believe an amendment is appropriate, please tell us why in your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response.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After reviewing any amendment to your registration statement and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the information you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provide in response to these comments, we may have additional comments.</w:t>
      </w: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Registration Statement on Form S-4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Summary, page 18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320"/>
        <w:spacing w:after="0"/>
        <w:tabs>
          <w:tab w:leader="none" w:pos="58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1.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8"/>
          <w:szCs w:val="18"/>
          <w:color w:val="auto"/>
        </w:rPr>
        <w:t>We note the use of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defined terms such Inphi Acquisition Proposal and Inphi Acquisition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59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Inquiry on pages 30-32,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and the cross reference to other sections of the document. Please</w:t>
      </w:r>
    </w:p>
    <w:p>
      <w:pPr>
        <w:ind w:left="590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briefly explain in the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Summary section the meaning of these terms.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HoldCo may be unable to realize anticipated cost synergies, page 41</w:t>
      </w:r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ind w:left="320"/>
        <w:spacing w:after="0"/>
        <w:tabs>
          <w:tab w:leader="none" w:pos="58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2.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6"/>
          <w:szCs w:val="16"/>
          <w:color w:val="auto"/>
        </w:rPr>
        <w:t>Please elaborate on the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nature of the synergies and quantify them if possible. Please also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59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quantify, if practical,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the substantial costs involved in the mergers.</w:t>
      </w:r>
    </w:p>
    <w:p>
      <w:pPr>
        <w:ind w:left="1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Mitchell Gaynor</w:t>
      </w:r>
    </w:p>
    <w:p>
      <w:pPr>
        <w:spacing w:after="0"/>
        <w:tabs>
          <w:tab w:leader="none" w:pos="1140" w:val="left"/>
          <w:tab w:leader="none" w:pos="304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FirstName</w:t>
        <w:tab/>
        <w:t>LastNameMitchell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6"/>
          <w:szCs w:val="16"/>
          <w:color w:val="auto"/>
        </w:rPr>
        <w:t>Gaynor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</w:t>
      </w:r>
    </w:p>
    <w:p>
      <w:pPr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Comapany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January 19,NameMarvell</w:t>
      </w:r>
    </w:p>
    <w:p>
      <w:pPr>
        <w:ind w:left="1280"/>
        <w:spacing w:after="0"/>
        <w:tabs>
          <w:tab w:leader="none" w:pos="262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2021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8"/>
          <w:szCs w:val="18"/>
          <w:color w:val="auto"/>
        </w:rPr>
        <w:t>Technology, Inc.</w:t>
      </w:r>
    </w:p>
    <w:p>
      <w:pPr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January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Page 2 19, 2021 Page 2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FirstName LastName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right="2759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The HoldCo Charter provides that the Court of Chancery of the State of Delaware, page 47</w:t>
      </w:r>
    </w:p>
    <w:p>
      <w:pPr>
        <w:spacing w:after="0" w:line="208" w:lineRule="exact"/>
        <w:rPr>
          <w:sz w:val="24"/>
          <w:szCs w:val="24"/>
          <w:color w:val="auto"/>
        </w:rPr>
      </w:pPr>
    </w:p>
    <w:p>
      <w:pPr>
        <w:ind w:right="1919" w:firstLine="8"/>
        <w:spacing w:after="0" w:line="235" w:lineRule="auto"/>
        <w:tabs>
          <w:tab w:leader="none" w:pos="948" w:val="left"/>
        </w:tabs>
        <w:numPr>
          <w:ilvl w:val="0"/>
          <w:numId w:val="1"/>
        </w:numPr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 note that your disclosure that your exclusive forum provision does not apply to actions</w:t>
      </w:r>
    </w:p>
    <w:p>
      <w:pPr>
        <w:spacing w:after="0" w:line="5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1819" w:firstLine="948"/>
        <w:spacing w:after="0" w:line="235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arising under the Exchange Act. Please ensure that the exclusive forum provision in the</w:t>
      </w:r>
    </w:p>
    <w:p>
      <w:pPr>
        <w:spacing w:after="0" w:line="5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2439" w:firstLine="948"/>
        <w:spacing w:after="0" w:line="235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governing documents states this clearly, or tell us how you will inform investors in future</w:t>
      </w:r>
    </w:p>
    <w:p>
      <w:pPr>
        <w:spacing w:after="0" w:line="5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1819" w:firstLine="948"/>
        <w:spacing w:after="0" w:line="235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filings that the provision does not apply to any actions arising under the Exchange Act.</w:t>
      </w:r>
    </w:p>
    <w:p>
      <w:pPr>
        <w:sectPr>
          <w:pgSz w:w="11900" w:h="16847" w:orient="portrait"/>
          <w:cols w:equalWidth="0" w:num="1">
            <w:col w:w="10139"/>
          </w:cols>
          <w:pgMar w:left="320" w:top="244" w:right="1440" w:bottom="0" w:gutter="0" w:footer="0" w:header="0"/>
        </w:sectPr>
      </w:pPr>
    </w:p>
    <w:bookmarkStart w:id="1" w:name="page2"/>
    <w:bookmarkEnd w:id="1"/>
    <w:p>
      <w:pPr>
        <w:ind w:right="2239" w:firstLine="948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 also note your exclusive forum provision designates the federal district courts of the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right="2119" w:firstLine="948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United States of America as the forum for any complaint asserting a cause of action under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right="2439" w:firstLine="948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the Securities Act. Please state that there is uncertainty as to whether a court would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right="1819" w:firstLine="948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enforce such provision. In that regard, we note that Section 22 of the Securities Act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right="1919" w:firstLine="948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creates concurrent jurisdiction for federal and state courts over all suits brought to enforce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right="2019" w:firstLine="948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any duty or liability created by the Securities Act or the rules and regulations thereunder.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right="2019" w:firstLine="948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ensure that the scope of your provision described on pages 47 and 204 are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right="1819" w:firstLine="948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consistent with Article XI of your amended and restated certificate of incorporation.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Background of the Mergers, page 88</w:t>
      </w:r>
    </w:p>
    <w:p>
      <w:pPr>
        <w:spacing w:after="0" w:line="207" w:lineRule="exact"/>
        <w:rPr>
          <w:sz w:val="20"/>
          <w:szCs w:val="20"/>
          <w:color w:val="auto"/>
        </w:rPr>
      </w:pPr>
    </w:p>
    <w:p>
      <w:pPr>
        <w:ind w:right="1819" w:firstLine="8"/>
        <w:spacing w:after="0" w:line="235" w:lineRule="auto"/>
        <w:tabs>
          <w:tab w:leader="none" w:pos="948" w:val="left"/>
        </w:tabs>
        <w:numPr>
          <w:ilvl w:val="0"/>
          <w:numId w:val="2"/>
        </w:numPr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revise to disclose in greater detail the negotiations regarding the amount of the</w:t>
      </w:r>
    </w:p>
    <w:p>
      <w:pPr>
        <w:spacing w:after="0" w:line="1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left="960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termination fees.</w:t>
      </w:r>
    </w:p>
    <w:p>
      <w:pPr>
        <w:spacing w:after="0" w:line="4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1819" w:firstLine="8"/>
        <w:spacing w:after="0" w:line="235" w:lineRule="auto"/>
        <w:tabs>
          <w:tab w:leader="none" w:pos="948" w:val="left"/>
        </w:tabs>
        <w:numPr>
          <w:ilvl w:val="0"/>
          <w:numId w:val="2"/>
        </w:numPr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 note throughout this section that you reference potential synergies discussed at various</w:t>
      </w:r>
    </w:p>
    <w:p>
      <w:pPr>
        <w:spacing w:after="0" w:line="5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2239" w:firstLine="948"/>
        <w:spacing w:after="0" w:line="235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meetings. Please revise your disclosure throughout to describe the particular synergies that</w:t>
      </w:r>
    </w:p>
    <w:p>
      <w:pPr>
        <w:spacing w:after="0" w:line="5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2019" w:firstLine="948"/>
        <w:spacing w:after="0" w:line="235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were discussed at each meeting, including identifying the particular synergies and benefits</w:t>
      </w:r>
    </w:p>
    <w:p>
      <w:pPr>
        <w:spacing w:after="0" w:line="1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left="960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and quantifying them as appropriate.</w:t>
      </w:r>
    </w:p>
    <w:p>
      <w:pPr>
        <w:spacing w:after="0" w:line="4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2439" w:firstLine="8"/>
        <w:spacing w:after="0" w:line="235" w:lineRule="auto"/>
        <w:tabs>
          <w:tab w:leader="none" w:pos="948" w:val="left"/>
        </w:tabs>
        <w:numPr>
          <w:ilvl w:val="0"/>
          <w:numId w:val="2"/>
        </w:numPr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expand your disclosure regarding Inphi's discussions with unsolicited third party,</w:t>
      </w:r>
    </w:p>
    <w:p>
      <w:pPr>
        <w:spacing w:after="0" w:line="5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2019" w:firstLine="948"/>
        <w:spacing w:after="0" w:line="235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the three additional parties contacted by Qatalyst Partners in 2019, and the third party</w:t>
      </w:r>
    </w:p>
    <w:p>
      <w:pPr>
        <w:spacing w:after="0" w:line="5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2439" w:firstLine="948"/>
        <w:spacing w:after="0" w:line="235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contacted by Dr. Tamer in 2020. Please expand your disclosure to discuss in greater detail</w:t>
      </w:r>
    </w:p>
    <w:p>
      <w:pPr>
        <w:spacing w:after="0" w:line="5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2439" w:firstLine="948"/>
        <w:spacing w:after="0" w:line="235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these other potential parties, including their size and material attributes, and the reasons</w:t>
      </w:r>
    </w:p>
    <w:p>
      <w:pPr>
        <w:spacing w:after="0" w:line="1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left="960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they were not pursued.</w:t>
      </w:r>
    </w:p>
    <w:p>
      <w:pPr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Litigation Related to the Mergers, page 147</w:t>
      </w:r>
    </w:p>
    <w:p>
      <w:pPr>
        <w:spacing w:after="0" w:line="207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1919" w:firstLine="8"/>
        <w:spacing w:after="0" w:line="235" w:lineRule="auto"/>
        <w:tabs>
          <w:tab w:leader="none" w:pos="948" w:val="left"/>
        </w:tabs>
        <w:numPr>
          <w:ilvl w:val="0"/>
          <w:numId w:val="2"/>
        </w:numPr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 note that a complaint has been filed against Inphi in the Southern District of New</w:t>
      </w:r>
    </w:p>
    <w:p>
      <w:pPr>
        <w:spacing w:after="0" w:line="5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2339" w:firstLine="948"/>
        <w:spacing w:after="0" w:line="235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York. Please revise your disclosure to describe any litigation in connection with the</w:t>
      </w:r>
    </w:p>
    <w:p>
      <w:pPr>
        <w:spacing w:after="0" w:line="1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left="960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Mergers.</w:t>
      </w:r>
    </w:p>
    <w:p>
      <w:pPr>
        <w:spacing w:after="0" w:line="4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2019" w:firstLine="842"/>
        <w:spacing w:after="0" w:line="235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 remind you that the company and its management are responsible for the accuracy</w:t>
      </w:r>
    </w:p>
    <w:p>
      <w:pPr>
        <w:spacing w:after="0" w:line="5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ind w:right="1819"/>
        <w:spacing w:after="0" w:line="235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and adequacy of their disclosures, notwithstanding any review, comments, action or absence of</w:t>
      </w:r>
    </w:p>
    <w:p>
      <w:pPr>
        <w:spacing w:after="0" w:line="1" w:lineRule="exact"/>
        <w:rPr>
          <w:rFonts w:ascii="Courier New" w:cs="Courier New" w:eastAsia="Courier New" w:hAnsi="Courier New"/>
          <w:sz w:val="18"/>
          <w:szCs w:val="18"/>
          <w:color w:val="auto"/>
        </w:rPr>
      </w:pPr>
    </w:p>
    <w:p>
      <w:pPr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action by the staff.</w:t>
      </w:r>
    </w:p>
    <w:p>
      <w:pPr>
        <w:spacing w:after="0" w:line="207" w:lineRule="exact"/>
        <w:rPr>
          <w:sz w:val="20"/>
          <w:szCs w:val="20"/>
          <w:color w:val="auto"/>
        </w:rPr>
      </w:pPr>
    </w:p>
    <w:p>
      <w:pPr>
        <w:ind w:right="20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Refer to Rules 460 and 461 regarding requests for acceleration. Please allow adequate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time for us to review any amendment prior to the requested effective date of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the registration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statement.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Mitchell Gaynor</w:t>
      </w:r>
    </w:p>
    <w:p>
      <w:pPr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January 19, 2021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Page 3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right="19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You may contact Eiko Yaoita Pyles, Staff Accountant, at 202-551-3587 or Jean Yu, Staff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right="2239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Accountant, at 202-551-3305 if you have questions regarding comments on the financial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statements and related matters. Please contact Asia Timmons-Pierce, Special</w: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2"/>
        </w:trPr>
        <w:tc>
          <w:tcPr>
            <w:tcW w:w="122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Counsel, at</w:t>
            </w:r>
          </w:p>
        </w:tc>
        <w:tc>
          <w:tcPr>
            <w:tcW w:w="3740" w:type="dxa"/>
            <w:vAlign w:val="bottom"/>
          </w:tcPr>
          <w:p>
            <w:pPr>
              <w:ind w:left="6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202-</w:t>
            </w:r>
          </w:p>
        </w:tc>
        <w:tc>
          <w:tcPr>
            <w:tcW w:w="2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122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551-3754 or</w:t>
            </w:r>
          </w:p>
        </w:tc>
        <w:tc>
          <w:tcPr>
            <w:tcW w:w="6060" w:type="dxa"/>
            <w:vAlign w:val="bottom"/>
            <w:gridSpan w:val="2"/>
          </w:tcPr>
          <w:p>
            <w:pPr>
              <w:ind w:left="6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  <w:w w:val="97"/>
              </w:rPr>
              <w:t>Anne Parker, Office Chief, at 202-551-3611 with any other</w:t>
            </w:r>
          </w:p>
        </w:tc>
      </w:tr>
      <w:tr>
        <w:trPr>
          <w:trHeight w:val="203"/>
        </w:trPr>
        <w:tc>
          <w:tcPr>
            <w:tcW w:w="122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questions.</w:t>
            </w:r>
          </w:p>
        </w:tc>
        <w:tc>
          <w:tcPr>
            <w:tcW w:w="3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810"/>
        </w:trPr>
        <w:tc>
          <w:tcPr>
            <w:tcW w:w="4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FirstName LastNameMitchell Gaynor</w:t>
            </w:r>
          </w:p>
        </w:tc>
        <w:tc>
          <w:tcPr>
            <w:tcW w:w="2320" w:type="dxa"/>
            <w:vAlign w:val="bottom"/>
          </w:tcPr>
          <w:p>
            <w:pPr>
              <w:ind w:left="10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Sincerely,</w:t>
            </w:r>
          </w:p>
        </w:tc>
      </w:tr>
      <w:tr>
        <w:trPr>
          <w:trHeight w:val="203"/>
        </w:trPr>
        <w:tc>
          <w:tcPr>
            <w:tcW w:w="4960" w:type="dxa"/>
            <w:vAlign w:val="bottom"/>
            <w:gridSpan w:val="2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Comapany NameMarvell Technology, Inc.</w:t>
            </w:r>
          </w:p>
        </w:tc>
        <w:tc>
          <w:tcPr>
            <w:tcW w:w="2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320" w:type="dxa"/>
            <w:vAlign w:val="bottom"/>
          </w:tcPr>
          <w:p>
            <w:pPr>
              <w:ind w:left="106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Division of</w:t>
            </w:r>
          </w:p>
        </w:tc>
      </w:tr>
      <w:tr>
        <w:trPr>
          <w:trHeight w:val="203"/>
        </w:trPr>
        <w:tc>
          <w:tcPr>
            <w:tcW w:w="122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Corporation</w:t>
            </w:r>
          </w:p>
        </w:tc>
        <w:tc>
          <w:tcPr>
            <w:tcW w:w="3740" w:type="dxa"/>
            <w:vAlign w:val="bottom"/>
          </w:tcPr>
          <w:p>
            <w:pPr>
              <w:ind w:left="6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Finance</w:t>
            </w:r>
          </w:p>
        </w:tc>
        <w:tc>
          <w:tcPr>
            <w:tcW w:w="2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2"/>
        </w:trPr>
        <w:tc>
          <w:tcPr>
            <w:tcW w:w="122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January 19,</w:t>
            </w:r>
          </w:p>
        </w:tc>
        <w:tc>
          <w:tcPr>
            <w:tcW w:w="3740" w:type="dxa"/>
            <w:vAlign w:val="bottom"/>
          </w:tcPr>
          <w:p>
            <w:pPr>
              <w:ind w:left="6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2021 Page 3</w:t>
            </w:r>
          </w:p>
        </w:tc>
        <w:tc>
          <w:tcPr>
            <w:tcW w:w="2320" w:type="dxa"/>
            <w:vAlign w:val="bottom"/>
          </w:tcPr>
          <w:p>
            <w:pPr>
              <w:ind w:left="106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Office of</w:t>
            </w:r>
          </w:p>
        </w:tc>
      </w:tr>
      <w:tr>
        <w:trPr>
          <w:trHeight w:val="203"/>
        </w:trPr>
        <w:tc>
          <w:tcPr>
            <w:tcW w:w="4960" w:type="dxa"/>
            <w:vAlign w:val="bottom"/>
            <w:gridSpan w:val="2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Manufacturing</w:t>
            </w:r>
          </w:p>
        </w:tc>
        <w:tc>
          <w:tcPr>
            <w:tcW w:w="2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4960" w:type="dxa"/>
            <w:vAlign w:val="bottom"/>
            <w:gridSpan w:val="2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FirstName LastName</w:t>
            </w:r>
          </w:p>
        </w:tc>
        <w:tc>
          <w:tcPr>
            <w:tcW w:w="2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10139"/>
      </w:cols>
      <w:pgMar w:left="320" w:top="142" w:right="1440" w:bottom="341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fixed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3"/>
    </w:lvl>
  </w:abstractNum>
  <w:abstractNum w:abstractNumId="1">
    <w:nsid w:val="66334873"/>
    <w:multiLevelType w:val="hybridMultilevel"/>
    <w:lvl w:ilvl="0">
      <w:lvlJc w:val="left"/>
      <w:lvlText w:val="%1."/>
      <w:numFmt w:val="decimal"/>
      <w:start w:val="4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2021-08-15T20:48:53Z</dcterms:created>
  <dcterms:modified xsi:type="dcterms:W3CDTF">2021-08-15T20:48:53Z</dcterms:modified>
</cp:coreProperties>
</file>