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7484"/>
        <w:spacing w:after="0"/>
        <w:rPr>
          <w:sz w:val="20"/>
          <w:szCs w:val="20"/>
          <w:color w:val="auto"/>
        </w:rPr>
      </w:pPr>
      <w:r>
        <w:rPr>
          <w:rFonts w:ascii="Arial" w:cs="Arial" w:eastAsia="Arial" w:hAnsi="Arial"/>
          <w:sz w:val="18"/>
          <w:szCs w:val="18"/>
          <w:color w:val="auto"/>
        </w:rPr>
        <w:t>Hogan Lovells US LLP</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0</wp:posOffset>
            </wp:positionH>
            <wp:positionV relativeFrom="paragraph">
              <wp:posOffset>-121920</wp:posOffset>
            </wp:positionV>
            <wp:extent cx="805815" cy="8058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805815" cy="805815"/>
                    </a:xfrm>
                    <a:prstGeom prst="rect">
                      <a:avLst/>
                    </a:prstGeom>
                    <a:noFill/>
                  </pic:spPr>
                </pic:pic>
              </a:graphicData>
            </a:graphic>
          </wp:anchor>
        </w:drawing>
      </w:r>
    </w:p>
    <w:p>
      <w:pPr>
        <w:spacing w:after="0" w:line="3" w:lineRule="exact"/>
        <w:rPr>
          <w:sz w:val="24"/>
          <w:szCs w:val="24"/>
          <w:color w:val="auto"/>
        </w:rPr>
      </w:pPr>
    </w:p>
    <w:p>
      <w:pPr>
        <w:ind w:left="7484"/>
        <w:spacing w:after="0"/>
        <w:rPr>
          <w:sz w:val="20"/>
          <w:szCs w:val="20"/>
          <w:color w:val="auto"/>
        </w:rPr>
      </w:pPr>
      <w:r>
        <w:rPr>
          <w:rFonts w:ascii="Arial" w:cs="Arial" w:eastAsia="Arial" w:hAnsi="Arial"/>
          <w:sz w:val="18"/>
          <w:szCs w:val="18"/>
          <w:color w:val="auto"/>
        </w:rPr>
        <w:t>390 Madison Avenue</w:t>
      </w:r>
    </w:p>
    <w:p>
      <w:pPr>
        <w:spacing w:after="0" w:line="9" w:lineRule="exact"/>
        <w:rPr>
          <w:sz w:val="24"/>
          <w:szCs w:val="24"/>
          <w:color w:val="auto"/>
        </w:rPr>
      </w:pPr>
    </w:p>
    <w:p>
      <w:pPr>
        <w:ind w:left="7484"/>
        <w:spacing w:after="0"/>
        <w:rPr>
          <w:sz w:val="20"/>
          <w:szCs w:val="20"/>
          <w:color w:val="auto"/>
        </w:rPr>
      </w:pPr>
      <w:r>
        <w:rPr>
          <w:rFonts w:ascii="Arial" w:cs="Arial" w:eastAsia="Arial" w:hAnsi="Arial"/>
          <w:sz w:val="18"/>
          <w:szCs w:val="18"/>
          <w:color w:val="auto"/>
        </w:rPr>
        <w:t>New York, NY 10017</w:t>
      </w:r>
    </w:p>
    <w:p>
      <w:pPr>
        <w:spacing w:after="0" w:line="9" w:lineRule="exact"/>
        <w:rPr>
          <w:sz w:val="24"/>
          <w:szCs w:val="24"/>
          <w:color w:val="auto"/>
        </w:rPr>
      </w:pPr>
    </w:p>
    <w:p>
      <w:pPr>
        <w:ind w:left="7484"/>
        <w:spacing w:after="0"/>
        <w:rPr>
          <w:sz w:val="20"/>
          <w:szCs w:val="20"/>
          <w:color w:val="auto"/>
        </w:rPr>
      </w:pPr>
      <w:r>
        <w:rPr>
          <w:rFonts w:ascii="Arial" w:cs="Arial" w:eastAsia="Arial" w:hAnsi="Arial"/>
          <w:sz w:val="18"/>
          <w:szCs w:val="18"/>
          <w:color w:val="auto"/>
        </w:rPr>
        <w:t>T +1 212 918 3000</w:t>
      </w:r>
    </w:p>
    <w:p>
      <w:pPr>
        <w:spacing w:after="0" w:line="9" w:lineRule="exact"/>
        <w:rPr>
          <w:sz w:val="24"/>
          <w:szCs w:val="24"/>
          <w:color w:val="auto"/>
        </w:rPr>
      </w:pPr>
    </w:p>
    <w:p>
      <w:pPr>
        <w:ind w:left="7484"/>
        <w:spacing w:after="0"/>
        <w:rPr>
          <w:sz w:val="20"/>
          <w:szCs w:val="20"/>
          <w:color w:val="auto"/>
        </w:rPr>
      </w:pPr>
      <w:r>
        <w:rPr>
          <w:rFonts w:ascii="Arial" w:cs="Arial" w:eastAsia="Arial" w:hAnsi="Arial"/>
          <w:sz w:val="18"/>
          <w:szCs w:val="18"/>
          <w:color w:val="auto"/>
        </w:rPr>
        <w:t>F +1 212 918 3100</w:t>
      </w:r>
    </w:p>
    <w:p>
      <w:pPr>
        <w:spacing w:after="0" w:line="9" w:lineRule="exact"/>
        <w:rPr>
          <w:sz w:val="24"/>
          <w:szCs w:val="24"/>
          <w:color w:val="auto"/>
        </w:rPr>
      </w:pPr>
    </w:p>
    <w:p>
      <w:pPr>
        <w:ind w:left="7484"/>
        <w:spacing w:after="0"/>
        <w:rPr>
          <w:sz w:val="20"/>
          <w:szCs w:val="20"/>
          <w:color w:val="auto"/>
        </w:rPr>
      </w:pPr>
      <w:r>
        <w:rPr>
          <w:rFonts w:ascii="Arial" w:cs="Arial" w:eastAsia="Arial" w:hAnsi="Arial"/>
          <w:sz w:val="18"/>
          <w:szCs w:val="18"/>
          <w:color w:val="auto"/>
        </w:rPr>
        <w:t>www.hoganlovells.com</w:t>
      </w:r>
    </w:p>
    <w:p>
      <w:pPr>
        <w:spacing w:after="0" w:line="332" w:lineRule="exact"/>
        <w:rPr>
          <w:sz w:val="24"/>
          <w:szCs w:val="24"/>
          <w:color w:val="auto"/>
        </w:rPr>
      </w:pPr>
    </w:p>
    <w:p>
      <w:pPr>
        <w:ind w:left="4"/>
        <w:spacing w:after="0"/>
        <w:rPr>
          <w:sz w:val="20"/>
          <w:szCs w:val="20"/>
          <w:color w:val="auto"/>
        </w:rPr>
      </w:pPr>
      <w:r>
        <w:rPr>
          <w:rFonts w:ascii="Arial" w:cs="Arial" w:eastAsia="Arial" w:hAnsi="Arial"/>
          <w:sz w:val="18"/>
          <w:szCs w:val="18"/>
          <w:color w:val="auto"/>
        </w:rPr>
        <w:t>February 26, 2021</w:t>
      </w:r>
    </w:p>
    <w:p>
      <w:pPr>
        <w:spacing w:after="0" w:line="117" w:lineRule="exact"/>
        <w:rPr>
          <w:sz w:val="24"/>
          <w:szCs w:val="24"/>
          <w:color w:val="auto"/>
        </w:rPr>
      </w:pPr>
    </w:p>
    <w:p>
      <w:pPr>
        <w:ind w:left="4"/>
        <w:spacing w:after="0"/>
        <w:rPr>
          <w:sz w:val="20"/>
          <w:szCs w:val="20"/>
          <w:color w:val="auto"/>
        </w:rPr>
      </w:pPr>
      <w:r>
        <w:rPr>
          <w:rFonts w:ascii="Arial" w:cs="Arial" w:eastAsia="Arial" w:hAnsi="Arial"/>
          <w:sz w:val="18"/>
          <w:szCs w:val="18"/>
          <w:b w:val="1"/>
          <w:bCs w:val="1"/>
          <w:i w:val="1"/>
          <w:iCs w:val="1"/>
          <w:color w:val="auto"/>
        </w:rPr>
        <w:t>CORRESPONDENCE FILED VIA EDGAR</w:t>
      </w:r>
    </w:p>
    <w:p>
      <w:pPr>
        <w:spacing w:after="0" w:line="225" w:lineRule="exact"/>
        <w:rPr>
          <w:sz w:val="24"/>
          <w:szCs w:val="24"/>
          <w:color w:val="auto"/>
        </w:rPr>
      </w:pPr>
    </w:p>
    <w:p>
      <w:pPr>
        <w:ind w:left="4"/>
        <w:spacing w:after="0"/>
        <w:rPr>
          <w:sz w:val="20"/>
          <w:szCs w:val="20"/>
          <w:color w:val="auto"/>
        </w:rPr>
      </w:pPr>
      <w:r>
        <w:rPr>
          <w:rFonts w:ascii="Arial" w:cs="Arial" w:eastAsia="Arial" w:hAnsi="Arial"/>
          <w:sz w:val="18"/>
          <w:szCs w:val="18"/>
          <w:color w:val="auto"/>
        </w:rPr>
        <w:t>Anne Parker, Office Chief</w:t>
      </w:r>
    </w:p>
    <w:p>
      <w:pPr>
        <w:spacing w:after="0" w:line="23" w:lineRule="exact"/>
        <w:rPr>
          <w:sz w:val="24"/>
          <w:szCs w:val="24"/>
          <w:color w:val="auto"/>
        </w:rPr>
      </w:pPr>
    </w:p>
    <w:p>
      <w:pPr>
        <w:ind w:left="4"/>
        <w:spacing w:after="0"/>
        <w:rPr>
          <w:sz w:val="20"/>
          <w:szCs w:val="20"/>
          <w:color w:val="auto"/>
        </w:rPr>
      </w:pPr>
      <w:r>
        <w:rPr>
          <w:rFonts w:ascii="Arial" w:cs="Arial" w:eastAsia="Arial" w:hAnsi="Arial"/>
          <w:sz w:val="18"/>
          <w:szCs w:val="18"/>
          <w:color w:val="auto"/>
        </w:rPr>
        <w:t>Office of Manufacturing</w:t>
      </w:r>
    </w:p>
    <w:p>
      <w:pPr>
        <w:spacing w:after="0" w:line="9" w:lineRule="exact"/>
        <w:rPr>
          <w:sz w:val="24"/>
          <w:szCs w:val="24"/>
          <w:color w:val="auto"/>
        </w:rPr>
      </w:pPr>
    </w:p>
    <w:p>
      <w:pPr>
        <w:ind w:left="4"/>
        <w:spacing w:after="0"/>
        <w:rPr>
          <w:sz w:val="20"/>
          <w:szCs w:val="20"/>
          <w:color w:val="auto"/>
        </w:rPr>
      </w:pPr>
      <w:r>
        <w:rPr>
          <w:rFonts w:ascii="Arial" w:cs="Arial" w:eastAsia="Arial" w:hAnsi="Arial"/>
          <w:sz w:val="18"/>
          <w:szCs w:val="18"/>
          <w:color w:val="auto"/>
        </w:rPr>
        <w:t>Division of Corporation Finance</w:t>
      </w:r>
    </w:p>
    <w:p>
      <w:pPr>
        <w:spacing w:after="0" w:line="9" w:lineRule="exact"/>
        <w:rPr>
          <w:sz w:val="24"/>
          <w:szCs w:val="24"/>
          <w:color w:val="auto"/>
        </w:rPr>
      </w:pPr>
    </w:p>
    <w:p>
      <w:pPr>
        <w:ind w:left="4"/>
        <w:spacing w:after="0"/>
        <w:rPr>
          <w:sz w:val="20"/>
          <w:szCs w:val="20"/>
          <w:color w:val="auto"/>
        </w:rPr>
      </w:pPr>
      <w:r>
        <w:rPr>
          <w:rFonts w:ascii="Arial" w:cs="Arial" w:eastAsia="Arial" w:hAnsi="Arial"/>
          <w:sz w:val="18"/>
          <w:szCs w:val="18"/>
          <w:color w:val="auto"/>
        </w:rPr>
        <w:t>U.S. Securities and Exchange Commission</w:t>
      </w:r>
    </w:p>
    <w:p>
      <w:pPr>
        <w:spacing w:after="0" w:line="9" w:lineRule="exact"/>
        <w:rPr>
          <w:sz w:val="24"/>
          <w:szCs w:val="24"/>
          <w:color w:val="auto"/>
        </w:rPr>
      </w:pPr>
    </w:p>
    <w:p>
      <w:pPr>
        <w:ind w:left="4"/>
        <w:spacing w:after="0"/>
        <w:rPr>
          <w:sz w:val="20"/>
          <w:szCs w:val="20"/>
          <w:color w:val="auto"/>
        </w:rPr>
      </w:pPr>
      <w:r>
        <w:rPr>
          <w:rFonts w:ascii="Arial" w:cs="Arial" w:eastAsia="Arial" w:hAnsi="Arial"/>
          <w:sz w:val="18"/>
          <w:szCs w:val="18"/>
          <w:color w:val="auto"/>
        </w:rPr>
        <w:t>100 F Street, N.E.</w:t>
      </w:r>
    </w:p>
    <w:p>
      <w:pPr>
        <w:spacing w:after="0" w:line="9" w:lineRule="exact"/>
        <w:rPr>
          <w:sz w:val="24"/>
          <w:szCs w:val="24"/>
          <w:color w:val="auto"/>
        </w:rPr>
      </w:pPr>
    </w:p>
    <w:p>
      <w:pPr>
        <w:ind w:left="4"/>
        <w:spacing w:after="0"/>
        <w:rPr>
          <w:sz w:val="20"/>
          <w:szCs w:val="20"/>
          <w:color w:val="auto"/>
        </w:rPr>
      </w:pPr>
      <w:r>
        <w:rPr>
          <w:rFonts w:ascii="Arial" w:cs="Arial" w:eastAsia="Arial" w:hAnsi="Arial"/>
          <w:sz w:val="18"/>
          <w:szCs w:val="18"/>
          <w:color w:val="auto"/>
        </w:rPr>
        <w:t>Washington, DC 20549</w:t>
      </w:r>
    </w:p>
    <w:p>
      <w:pPr>
        <w:spacing w:after="0" w:line="234" w:lineRule="exact"/>
        <w:rPr>
          <w:sz w:val="24"/>
          <w:szCs w:val="24"/>
          <w:color w:val="auto"/>
        </w:rPr>
      </w:pPr>
    </w:p>
    <w:p>
      <w:pPr>
        <w:ind w:left="424"/>
        <w:spacing w:after="0"/>
        <w:tabs>
          <w:tab w:leader="none" w:pos="944" w:val="left"/>
        </w:tabs>
        <w:rPr>
          <w:sz w:val="20"/>
          <w:szCs w:val="20"/>
          <w:color w:val="auto"/>
        </w:rPr>
      </w:pPr>
      <w:r>
        <w:rPr>
          <w:rFonts w:ascii="Arial" w:cs="Arial" w:eastAsia="Arial" w:hAnsi="Arial"/>
          <w:sz w:val="18"/>
          <w:szCs w:val="18"/>
          <w:b w:val="1"/>
          <w:bCs w:val="1"/>
          <w:color w:val="auto"/>
        </w:rPr>
        <w:t>Re:</w:t>
      </w:r>
      <w:r>
        <w:rPr>
          <w:sz w:val="20"/>
          <w:szCs w:val="20"/>
          <w:color w:val="auto"/>
        </w:rPr>
        <w:tab/>
      </w:r>
      <w:r>
        <w:rPr>
          <w:rFonts w:ascii="Arial" w:cs="Arial" w:eastAsia="Arial" w:hAnsi="Arial"/>
          <w:sz w:val="18"/>
          <w:szCs w:val="18"/>
          <w:b w:val="1"/>
          <w:bCs w:val="1"/>
          <w:color w:val="auto"/>
        </w:rPr>
        <w:t>Marvell Technology, Inc.</w:t>
      </w:r>
    </w:p>
    <w:p>
      <w:pPr>
        <w:spacing w:after="0" w:line="27" w:lineRule="exact"/>
        <w:rPr>
          <w:sz w:val="24"/>
          <w:szCs w:val="24"/>
          <w:color w:val="auto"/>
        </w:rPr>
      </w:pPr>
    </w:p>
    <w:p>
      <w:pPr>
        <w:ind w:left="964"/>
        <w:spacing w:after="0"/>
        <w:rPr>
          <w:sz w:val="20"/>
          <w:szCs w:val="20"/>
          <w:color w:val="auto"/>
        </w:rPr>
      </w:pPr>
      <w:r>
        <w:rPr>
          <w:rFonts w:ascii="Arial" w:cs="Arial" w:eastAsia="Arial" w:hAnsi="Arial"/>
          <w:sz w:val="18"/>
          <w:szCs w:val="18"/>
          <w:b w:val="1"/>
          <w:bCs w:val="1"/>
          <w:color w:val="auto"/>
        </w:rPr>
        <w:t>Amendment No. 1 to Registration Statement on Form S-4</w:t>
      </w:r>
    </w:p>
    <w:p>
      <w:pPr>
        <w:spacing w:after="0" w:line="9" w:lineRule="exact"/>
        <w:rPr>
          <w:sz w:val="24"/>
          <w:szCs w:val="24"/>
          <w:color w:val="auto"/>
        </w:rPr>
      </w:pPr>
    </w:p>
    <w:p>
      <w:pPr>
        <w:ind w:left="964"/>
        <w:spacing w:after="0"/>
        <w:rPr>
          <w:sz w:val="20"/>
          <w:szCs w:val="20"/>
          <w:color w:val="auto"/>
        </w:rPr>
      </w:pPr>
      <w:r>
        <w:rPr>
          <w:rFonts w:ascii="Arial" w:cs="Arial" w:eastAsia="Arial" w:hAnsi="Arial"/>
          <w:sz w:val="18"/>
          <w:szCs w:val="18"/>
          <w:b w:val="1"/>
          <w:bCs w:val="1"/>
          <w:color w:val="auto"/>
        </w:rPr>
        <w:t>Filed February 3, 2021</w:t>
      </w:r>
    </w:p>
    <w:p>
      <w:pPr>
        <w:spacing w:after="0" w:line="9" w:lineRule="exact"/>
        <w:rPr>
          <w:sz w:val="24"/>
          <w:szCs w:val="24"/>
          <w:color w:val="auto"/>
        </w:rPr>
      </w:pPr>
    </w:p>
    <w:p>
      <w:pPr>
        <w:ind w:left="964"/>
        <w:spacing w:after="0"/>
        <w:rPr>
          <w:sz w:val="20"/>
          <w:szCs w:val="20"/>
          <w:color w:val="auto"/>
        </w:rPr>
      </w:pPr>
      <w:r>
        <w:rPr>
          <w:rFonts w:ascii="Arial" w:cs="Arial" w:eastAsia="Arial" w:hAnsi="Arial"/>
          <w:sz w:val="18"/>
          <w:szCs w:val="18"/>
          <w:b w:val="1"/>
          <w:bCs w:val="1"/>
          <w:color w:val="auto"/>
        </w:rPr>
        <w:t>File No. 333-251606</w:t>
      </w:r>
    </w:p>
    <w:p>
      <w:pPr>
        <w:spacing w:after="0" w:line="211" w:lineRule="exact"/>
        <w:rPr>
          <w:sz w:val="24"/>
          <w:szCs w:val="24"/>
          <w:color w:val="auto"/>
        </w:rPr>
      </w:pPr>
    </w:p>
    <w:p>
      <w:pPr>
        <w:ind w:left="4"/>
        <w:spacing w:after="0"/>
        <w:rPr>
          <w:sz w:val="20"/>
          <w:szCs w:val="20"/>
          <w:color w:val="auto"/>
        </w:rPr>
      </w:pPr>
      <w:r>
        <w:rPr>
          <w:rFonts w:ascii="Arial" w:cs="Arial" w:eastAsia="Arial" w:hAnsi="Arial"/>
          <w:sz w:val="18"/>
          <w:szCs w:val="18"/>
          <w:color w:val="auto"/>
        </w:rPr>
        <w:t>Dear Ms. Parker:</w:t>
      </w:r>
    </w:p>
    <w:p>
      <w:pPr>
        <w:spacing w:after="0" w:line="113" w:lineRule="exact"/>
        <w:rPr>
          <w:sz w:val="24"/>
          <w:szCs w:val="24"/>
          <w:color w:val="auto"/>
        </w:rPr>
      </w:pPr>
    </w:p>
    <w:p>
      <w:pPr>
        <w:ind w:left="4" w:right="160"/>
        <w:spacing w:after="0" w:line="261" w:lineRule="auto"/>
        <w:rPr>
          <w:sz w:val="20"/>
          <w:szCs w:val="20"/>
          <w:color w:val="auto"/>
        </w:rPr>
      </w:pPr>
      <w:r>
        <w:rPr>
          <w:rFonts w:ascii="Arial" w:cs="Arial" w:eastAsia="Arial" w:hAnsi="Arial"/>
          <w:sz w:val="18"/>
          <w:szCs w:val="18"/>
          <w:color w:val="auto"/>
        </w:rPr>
        <w:t>On behalf of Marvell Technology, Inc. (the “</w:t>
      </w:r>
      <w:r>
        <w:rPr>
          <w:rFonts w:ascii="Arial" w:cs="Arial" w:eastAsia="Arial" w:hAnsi="Arial"/>
          <w:sz w:val="18"/>
          <w:szCs w:val="18"/>
          <w:b w:val="1"/>
          <w:bCs w:val="1"/>
          <w:color w:val="auto"/>
        </w:rPr>
        <w:t>Company</w:t>
      </w:r>
      <w:r>
        <w:rPr>
          <w:rFonts w:ascii="Arial" w:cs="Arial" w:eastAsia="Arial" w:hAnsi="Arial"/>
          <w:sz w:val="18"/>
          <w:szCs w:val="18"/>
          <w:color w:val="auto"/>
        </w:rPr>
        <w:t>”), we are submitting a response to the comment of the staff (the “</w:t>
      </w:r>
      <w:r>
        <w:rPr>
          <w:rFonts w:ascii="Arial" w:cs="Arial" w:eastAsia="Arial" w:hAnsi="Arial"/>
          <w:sz w:val="18"/>
          <w:szCs w:val="18"/>
          <w:b w:val="1"/>
          <w:bCs w:val="1"/>
          <w:color w:val="auto"/>
        </w:rPr>
        <w:t>Staff</w:t>
      </w:r>
      <w:r>
        <w:rPr>
          <w:rFonts w:ascii="Arial" w:cs="Arial" w:eastAsia="Arial" w:hAnsi="Arial"/>
          <w:sz w:val="18"/>
          <w:szCs w:val="18"/>
          <w:color w:val="auto"/>
        </w:rPr>
        <w:t>”) of the U.S. Securities and Exchange Commission (the “</w:t>
      </w:r>
      <w:r>
        <w:rPr>
          <w:rFonts w:ascii="Arial" w:cs="Arial" w:eastAsia="Arial" w:hAnsi="Arial"/>
          <w:sz w:val="18"/>
          <w:szCs w:val="18"/>
          <w:b w:val="1"/>
          <w:bCs w:val="1"/>
          <w:color w:val="auto"/>
        </w:rPr>
        <w:t>Commission</w:t>
      </w:r>
      <w:r>
        <w:rPr>
          <w:rFonts w:ascii="Arial" w:cs="Arial" w:eastAsia="Arial" w:hAnsi="Arial"/>
          <w:sz w:val="18"/>
          <w:szCs w:val="18"/>
          <w:color w:val="auto"/>
        </w:rPr>
        <w:t>”) set forth in your letter dated February 17, 2021 (the “</w:t>
      </w:r>
      <w:r>
        <w:rPr>
          <w:rFonts w:ascii="Arial" w:cs="Arial" w:eastAsia="Arial" w:hAnsi="Arial"/>
          <w:sz w:val="18"/>
          <w:szCs w:val="18"/>
          <w:b w:val="1"/>
          <w:bCs w:val="1"/>
          <w:color w:val="auto"/>
        </w:rPr>
        <w:t>Comment Letter</w:t>
      </w:r>
      <w:r>
        <w:rPr>
          <w:rFonts w:ascii="Arial" w:cs="Arial" w:eastAsia="Arial" w:hAnsi="Arial"/>
          <w:sz w:val="18"/>
          <w:szCs w:val="18"/>
          <w:color w:val="auto"/>
        </w:rPr>
        <w:t>”) related to the above-noted Amendment No. 1 to Registration Statement on Form S-4 (the “</w:t>
      </w:r>
      <w:r>
        <w:rPr>
          <w:rFonts w:ascii="Arial" w:cs="Arial" w:eastAsia="Arial" w:hAnsi="Arial"/>
          <w:sz w:val="18"/>
          <w:szCs w:val="18"/>
          <w:b w:val="1"/>
          <w:bCs w:val="1"/>
          <w:color w:val="auto"/>
        </w:rPr>
        <w:t>Registration Statement</w:t>
      </w:r>
      <w:r>
        <w:rPr>
          <w:rFonts w:ascii="Arial" w:cs="Arial" w:eastAsia="Arial" w:hAnsi="Arial"/>
          <w:sz w:val="18"/>
          <w:szCs w:val="18"/>
          <w:color w:val="auto"/>
        </w:rPr>
        <w:t>”) filed by the Company with the Commission on February 3, 2021.</w:t>
      </w:r>
    </w:p>
    <w:p>
      <w:pPr>
        <w:spacing w:after="0" w:line="180" w:lineRule="exact"/>
        <w:rPr>
          <w:sz w:val="24"/>
          <w:szCs w:val="24"/>
          <w:color w:val="auto"/>
        </w:rPr>
      </w:pPr>
    </w:p>
    <w:p>
      <w:pPr>
        <w:ind w:left="4" w:right="280"/>
        <w:spacing w:after="0" w:line="282" w:lineRule="auto"/>
        <w:rPr>
          <w:sz w:val="20"/>
          <w:szCs w:val="20"/>
          <w:color w:val="auto"/>
        </w:rPr>
      </w:pPr>
      <w:r>
        <w:rPr>
          <w:rFonts w:ascii="Arial" w:cs="Arial" w:eastAsia="Arial" w:hAnsi="Arial"/>
          <w:sz w:val="18"/>
          <w:szCs w:val="18"/>
          <w:color w:val="auto"/>
        </w:rPr>
        <w:t>This response letter is being submitted to the Staff via EDGAR and Amendment No. 2 (“</w:t>
      </w:r>
      <w:r>
        <w:rPr>
          <w:rFonts w:ascii="Arial" w:cs="Arial" w:eastAsia="Arial" w:hAnsi="Arial"/>
          <w:sz w:val="18"/>
          <w:szCs w:val="18"/>
          <w:b w:val="1"/>
          <w:bCs w:val="1"/>
          <w:color w:val="auto"/>
        </w:rPr>
        <w:t>Amendment No. 2</w:t>
      </w:r>
      <w:r>
        <w:rPr>
          <w:rFonts w:ascii="Arial" w:cs="Arial" w:eastAsia="Arial" w:hAnsi="Arial"/>
          <w:sz w:val="18"/>
          <w:szCs w:val="18"/>
          <w:color w:val="auto"/>
        </w:rPr>
        <w:t>”) to the Registration Statement is being filed electronically via EDGAR today.</w:t>
      </w:r>
    </w:p>
    <w:p>
      <w:pPr>
        <w:spacing w:after="0" w:line="166" w:lineRule="exact"/>
        <w:rPr>
          <w:sz w:val="24"/>
          <w:szCs w:val="24"/>
          <w:color w:val="auto"/>
        </w:rPr>
      </w:pPr>
    </w:p>
    <w:p>
      <w:pPr>
        <w:ind w:left="4"/>
        <w:spacing w:after="0"/>
        <w:rPr>
          <w:sz w:val="20"/>
          <w:szCs w:val="20"/>
          <w:color w:val="auto"/>
        </w:rPr>
      </w:pPr>
      <w:r>
        <w:rPr>
          <w:rFonts w:ascii="Arial" w:cs="Arial" w:eastAsia="Arial" w:hAnsi="Arial"/>
          <w:sz w:val="18"/>
          <w:szCs w:val="18"/>
          <w:color w:val="auto"/>
        </w:rPr>
        <w:t>For your convenience, the Staff’s comment is reproduced in its entirety in italics below and is followed by the response of the Company.</w:t>
      </w:r>
    </w:p>
    <w:p>
      <w:pPr>
        <w:spacing w:after="0" w:line="333" w:lineRule="exact"/>
        <w:rPr>
          <w:sz w:val="24"/>
          <w:szCs w:val="24"/>
          <w:color w:val="auto"/>
        </w:rPr>
      </w:pPr>
    </w:p>
    <w:p>
      <w:pPr>
        <w:ind w:left="4"/>
        <w:spacing w:after="0"/>
        <w:rPr>
          <w:sz w:val="20"/>
          <w:szCs w:val="20"/>
          <w:color w:val="auto"/>
        </w:rPr>
      </w:pPr>
      <w:r>
        <w:rPr>
          <w:rFonts w:ascii="Arial" w:cs="Arial" w:eastAsia="Arial" w:hAnsi="Arial"/>
          <w:sz w:val="18"/>
          <w:szCs w:val="18"/>
          <w:u w:val="single" w:color="auto"/>
          <w:color w:val="auto"/>
        </w:rPr>
        <w:t>Amendment No. 1 to Registration Statement on Form S-4</w:t>
      </w:r>
    </w:p>
    <w:p>
      <w:pPr>
        <w:spacing w:after="0" w:line="117" w:lineRule="exact"/>
        <w:rPr>
          <w:sz w:val="24"/>
          <w:szCs w:val="24"/>
          <w:color w:val="auto"/>
        </w:rPr>
      </w:pPr>
    </w:p>
    <w:p>
      <w:pPr>
        <w:ind w:left="4"/>
        <w:spacing w:after="0"/>
        <w:rPr>
          <w:sz w:val="20"/>
          <w:szCs w:val="20"/>
          <w:color w:val="auto"/>
        </w:rPr>
      </w:pPr>
      <w:r>
        <w:rPr>
          <w:rFonts w:ascii="Arial" w:cs="Arial" w:eastAsia="Arial" w:hAnsi="Arial"/>
          <w:sz w:val="18"/>
          <w:szCs w:val="18"/>
          <w:u w:val="single" w:color="auto"/>
          <w:color w:val="auto"/>
        </w:rPr>
        <w:t>General</w:t>
      </w:r>
    </w:p>
    <w:p>
      <w:pPr>
        <w:spacing w:after="0" w:line="131" w:lineRule="exact"/>
        <w:rPr>
          <w:sz w:val="24"/>
          <w:szCs w:val="24"/>
          <w:color w:val="auto"/>
        </w:rPr>
      </w:pPr>
    </w:p>
    <w:p>
      <w:pPr>
        <w:ind w:left="424" w:hanging="424"/>
        <w:spacing w:after="0"/>
        <w:tabs>
          <w:tab w:leader="none" w:pos="424" w:val="left"/>
        </w:tabs>
        <w:numPr>
          <w:ilvl w:val="0"/>
          <w:numId w:val="1"/>
        </w:numPr>
        <w:rPr>
          <w:rFonts w:ascii="Arial" w:cs="Arial" w:eastAsia="Arial" w:hAnsi="Arial"/>
          <w:sz w:val="18"/>
          <w:szCs w:val="18"/>
          <w:color w:val="auto"/>
        </w:rPr>
      </w:pPr>
      <w:r>
        <w:rPr>
          <w:rFonts w:ascii="Arial" w:cs="Arial" w:eastAsia="Arial" w:hAnsi="Arial"/>
          <w:sz w:val="18"/>
          <w:szCs w:val="18"/>
          <w:i w:val="1"/>
          <w:iCs w:val="1"/>
          <w:color w:val="auto"/>
        </w:rPr>
        <w:t>Please revise to update the Item 403 disclosure to a more recent date.</w:t>
      </w:r>
    </w:p>
    <w:p>
      <w:pPr>
        <w:spacing w:after="0" w:line="221" w:lineRule="exact"/>
        <w:rPr>
          <w:rFonts w:ascii="Arial" w:cs="Arial" w:eastAsia="Arial" w:hAnsi="Arial"/>
          <w:sz w:val="18"/>
          <w:szCs w:val="18"/>
          <w:color w:val="auto"/>
        </w:rPr>
      </w:pPr>
    </w:p>
    <w:p>
      <w:pPr>
        <w:ind w:left="444"/>
        <w:spacing w:after="0"/>
        <w:rPr>
          <w:rFonts w:ascii="Arial" w:cs="Arial" w:eastAsia="Arial" w:hAnsi="Arial"/>
          <w:sz w:val="18"/>
          <w:szCs w:val="18"/>
          <w:color w:val="auto"/>
        </w:rPr>
      </w:pPr>
      <w:r>
        <w:rPr>
          <w:rFonts w:ascii="Arial" w:cs="Arial" w:eastAsia="Arial" w:hAnsi="Arial"/>
          <w:sz w:val="18"/>
          <w:szCs w:val="18"/>
          <w:b w:val="1"/>
          <w:bCs w:val="1"/>
          <w:color w:val="auto"/>
        </w:rPr>
        <w:t xml:space="preserve">Response: </w:t>
      </w:r>
      <w:r>
        <w:rPr>
          <w:rFonts w:ascii="Arial" w:cs="Arial" w:eastAsia="Arial" w:hAnsi="Arial"/>
          <w:sz w:val="18"/>
          <w:szCs w:val="18"/>
          <w:color w:val="auto"/>
        </w:rPr>
        <w:t>In response to the Staff’s comment, the Company has revised the disclosure on pages 204 to 208 of Amendment No. 2.</w:t>
      </w:r>
    </w:p>
    <w:p>
      <w:pPr>
        <w:spacing w:after="0" w:line="229" w:lineRule="exact"/>
        <w:rPr>
          <w:sz w:val="24"/>
          <w:szCs w:val="24"/>
          <w:color w:val="auto"/>
        </w:rPr>
      </w:pPr>
    </w:p>
    <w:p>
      <w:pPr>
        <w:jc w:val="center"/>
        <w:ind w:right="-43"/>
        <w:spacing w:after="0"/>
        <w:rPr>
          <w:sz w:val="20"/>
          <w:szCs w:val="20"/>
          <w:color w:val="auto"/>
        </w:rPr>
      </w:pPr>
      <w:r>
        <w:rPr>
          <w:rFonts w:ascii="Arial" w:cs="Arial" w:eastAsia="Arial" w:hAnsi="Arial"/>
          <w:sz w:val="18"/>
          <w:szCs w:val="18"/>
          <w:color w:val="auto"/>
        </w:rPr>
        <w:t>* * * * *</w:t>
      </w:r>
    </w:p>
    <w:p>
      <w:pPr>
        <w:spacing w:after="0" w:line="221" w:lineRule="exact"/>
        <w:rPr>
          <w:sz w:val="24"/>
          <w:szCs w:val="24"/>
          <w:color w:val="auto"/>
        </w:rPr>
      </w:pPr>
    </w:p>
    <w:p>
      <w:pPr>
        <w:ind w:left="4"/>
        <w:spacing w:after="0" w:line="251" w:lineRule="auto"/>
        <w:rPr>
          <w:sz w:val="20"/>
          <w:szCs w:val="20"/>
          <w:color w:val="auto"/>
        </w:rPr>
      </w:pPr>
      <w:r>
        <w:rPr>
          <w:rFonts w:ascii="Arial" w:cs="Arial" w:eastAsia="Arial" w:hAnsi="Arial"/>
          <w:sz w:val="13"/>
          <w:szCs w:val="13"/>
          <w:color w:val="auto"/>
        </w:rPr>
        <w:t>Hogan Lovells US LLP is a limited liability partnership registered in the District of Columbia. “Hogan Lovells” is an international legal practice that includes Hogan Lovells US LLP and Hogan Lovells International LLP, with offices in: Alicante Amsterdam Baltimore Beijing Birmingham Boston Brussels Colorado Springs Denver Dubai Dusseldorf Frankfurt Hamburg Hanoi Ho Chi Minh City Hong Kong Houston Johannesburg London Los Angeles Luxembourg Madrid Mexico City Miami Milan Minneapolis Monterrey Moscow Munich New York Northern Virginia Paris Perth Philadelphia Rome San Francisco São Paulo Shanghai Silicon Valley Singapore Sydney Tokyo Warsaw Washington, D.C. Associated Offices: Budapest Jakarta Riyadh Shanghai FTZ Ulaanbaatar Zagreb. Business Service Centers: Johannesburg Louisville. Legal Services Center: Berlin. For more information see www.hoganlovells.com</w:t>
      </w:r>
    </w:p>
    <w:p>
      <w:pPr>
        <w:sectPr>
          <w:pgSz w:w="11900" w:h="16838" w:orient="portrait"/>
          <w:cols w:equalWidth="0" w:num="1">
            <w:col w:w="10984"/>
          </w:cols>
          <w:pgMar w:left="436" w:top="233" w:right="479" w:bottom="1440" w:gutter="0" w:footer="0" w:header="0"/>
        </w:sectPr>
      </w:pPr>
    </w:p>
    <w:bookmarkStart w:id="1" w:name="page2"/>
    <w:bookmarkEnd w:id="1"/>
    <w:p>
      <w:pPr>
        <w:ind w:left="4"/>
        <w:spacing w:after="0"/>
        <w:tabs>
          <w:tab w:leader="none" w:pos="5584" w:val="left"/>
          <w:tab w:leader="none" w:pos="9664"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Marvell Technology, Inc.</w:t>
      </w:r>
      <w:r>
        <w:rPr>
          <w:sz w:val="20"/>
          <w:szCs w:val="20"/>
          <w:color w:val="auto"/>
        </w:rPr>
        <w:tab/>
      </w:r>
      <w:r>
        <w:rPr>
          <w:rFonts w:ascii="Arial" w:cs="Arial" w:eastAsia="Arial" w:hAnsi="Arial"/>
          <w:sz w:val="18"/>
          <w:szCs w:val="18"/>
          <w:color w:val="auto"/>
        </w:rPr>
        <w:t>- 2 -</w:t>
      </w:r>
      <w:r>
        <w:rPr>
          <w:sz w:val="20"/>
          <w:szCs w:val="20"/>
          <w:color w:val="auto"/>
        </w:rPr>
        <w:tab/>
      </w:r>
      <w:r>
        <w:rPr>
          <w:rFonts w:ascii="Arial" w:cs="Arial" w:eastAsia="Arial" w:hAnsi="Arial"/>
          <w:sz w:val="16"/>
          <w:szCs w:val="16"/>
          <w:color w:val="auto"/>
        </w:rPr>
        <w:t>February 26, 2021</w:t>
      </w:r>
    </w:p>
    <w:p>
      <w:pPr>
        <w:spacing w:after="0" w:line="225" w:lineRule="exact"/>
        <w:rPr>
          <w:sz w:val="20"/>
          <w:szCs w:val="20"/>
          <w:color w:val="auto"/>
        </w:rPr>
      </w:pPr>
    </w:p>
    <w:p>
      <w:pPr>
        <w:ind w:left="4" w:right="240"/>
        <w:spacing w:after="0" w:line="277" w:lineRule="auto"/>
        <w:rPr>
          <w:sz w:val="20"/>
          <w:szCs w:val="20"/>
          <w:color w:val="auto"/>
        </w:rPr>
      </w:pPr>
      <w:r>
        <w:rPr>
          <w:rFonts w:ascii="Arial" w:cs="Arial" w:eastAsia="Arial" w:hAnsi="Arial"/>
          <w:sz w:val="18"/>
          <w:szCs w:val="18"/>
          <w:color w:val="auto"/>
        </w:rPr>
        <w:t>Thank you for your consideration of the foregoing. Please contact me at (212) 918-3599 or lillian.tsu@hoganlovells.com if you have any questions or need any additional information.</w:t>
      </w:r>
    </w:p>
    <w:p>
      <w:pPr>
        <w:spacing w:after="0" w:line="170" w:lineRule="exact"/>
        <w:rPr>
          <w:sz w:val="20"/>
          <w:szCs w:val="20"/>
          <w:color w:val="auto"/>
        </w:rPr>
      </w:pPr>
    </w:p>
    <w:p>
      <w:pPr>
        <w:ind w:left="4"/>
        <w:spacing w:after="0"/>
        <w:rPr>
          <w:sz w:val="20"/>
          <w:szCs w:val="20"/>
          <w:color w:val="auto"/>
        </w:rPr>
      </w:pPr>
      <w:r>
        <w:rPr>
          <w:rFonts w:ascii="Arial" w:cs="Arial" w:eastAsia="Arial" w:hAnsi="Arial"/>
          <w:sz w:val="18"/>
          <w:szCs w:val="18"/>
          <w:color w:val="auto"/>
        </w:rPr>
        <w:t>Sincerely,</w:t>
      </w:r>
    </w:p>
    <w:p>
      <w:pPr>
        <w:spacing w:after="0" w:line="225" w:lineRule="exact"/>
        <w:rPr>
          <w:sz w:val="20"/>
          <w:szCs w:val="20"/>
          <w:color w:val="auto"/>
        </w:rPr>
      </w:pPr>
    </w:p>
    <w:p>
      <w:pPr>
        <w:ind w:left="4"/>
        <w:spacing w:after="0"/>
        <w:rPr>
          <w:sz w:val="20"/>
          <w:szCs w:val="20"/>
          <w:color w:val="auto"/>
        </w:rPr>
      </w:pPr>
      <w:r>
        <w:rPr>
          <w:rFonts w:ascii="Arial" w:cs="Arial" w:eastAsia="Arial" w:hAnsi="Arial"/>
          <w:sz w:val="18"/>
          <w:szCs w:val="18"/>
          <w:color w:val="auto"/>
        </w:rPr>
        <w:t>/s/ Lillian Tsu</w:t>
      </w:r>
    </w:p>
    <w:p>
      <w:pPr>
        <w:spacing w:after="0" w:line="225" w:lineRule="exact"/>
        <w:rPr>
          <w:sz w:val="20"/>
          <w:szCs w:val="20"/>
          <w:color w:val="auto"/>
        </w:rPr>
      </w:pPr>
    </w:p>
    <w:p>
      <w:pPr>
        <w:ind w:left="4"/>
        <w:spacing w:after="0"/>
        <w:rPr>
          <w:sz w:val="20"/>
          <w:szCs w:val="20"/>
          <w:color w:val="auto"/>
        </w:rPr>
      </w:pPr>
      <w:r>
        <w:rPr>
          <w:rFonts w:ascii="Arial" w:cs="Arial" w:eastAsia="Arial" w:hAnsi="Arial"/>
          <w:sz w:val="18"/>
          <w:szCs w:val="18"/>
          <w:color w:val="auto"/>
        </w:rPr>
        <w:t>Lillian Tsu</w:t>
      </w:r>
    </w:p>
    <w:p>
      <w:pPr>
        <w:spacing w:after="0" w:line="23" w:lineRule="exact"/>
        <w:rPr>
          <w:sz w:val="20"/>
          <w:szCs w:val="20"/>
          <w:color w:val="auto"/>
        </w:rPr>
      </w:pPr>
    </w:p>
    <w:p>
      <w:pPr>
        <w:ind w:left="4"/>
        <w:spacing w:after="0"/>
        <w:rPr>
          <w:sz w:val="20"/>
          <w:szCs w:val="20"/>
          <w:color w:val="auto"/>
        </w:rPr>
      </w:pPr>
      <w:r>
        <w:rPr>
          <w:rFonts w:ascii="Arial" w:cs="Arial" w:eastAsia="Arial" w:hAnsi="Arial"/>
          <w:sz w:val="18"/>
          <w:szCs w:val="18"/>
          <w:color w:val="auto"/>
        </w:rPr>
        <w:t>Partner</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Hogan Lovells US LLP</w:t>
      </w:r>
    </w:p>
    <w:p>
      <w:pPr>
        <w:spacing w:after="0" w:line="238" w:lineRule="exact"/>
        <w:rPr>
          <w:sz w:val="20"/>
          <w:szCs w:val="20"/>
          <w:color w:val="auto"/>
        </w:rPr>
      </w:pPr>
    </w:p>
    <w:p>
      <w:pPr>
        <w:ind w:left="444" w:right="7200" w:hanging="444"/>
        <w:spacing w:after="0" w:line="311" w:lineRule="auto"/>
        <w:tabs>
          <w:tab w:leader="none" w:pos="436" w:val="left"/>
        </w:tabs>
        <w:numPr>
          <w:ilvl w:val="0"/>
          <w:numId w:val="2"/>
        </w:numPr>
        <w:rPr>
          <w:rFonts w:ascii="Arial" w:cs="Arial" w:eastAsia="Arial" w:hAnsi="Arial"/>
          <w:sz w:val="16"/>
          <w:szCs w:val="16"/>
          <w:color w:val="auto"/>
        </w:rPr>
      </w:pPr>
      <w:r>
        <w:rPr>
          <w:rFonts w:ascii="Arial" w:cs="Arial" w:eastAsia="Arial" w:hAnsi="Arial"/>
          <w:sz w:val="16"/>
          <w:szCs w:val="16"/>
          <w:color w:val="auto"/>
        </w:rPr>
        <w:t>Mitchell L. Gaynor, Marvell Technology, Inc. Richard E. Climan, Hogan Lovells US LLP Christopher R. Moore, Hogan Lovells US LLP</w:t>
      </w:r>
    </w:p>
    <w:sectPr>
      <w:pgSz w:w="11900" w:h="16838" w:orient="portrait"/>
      <w:cols w:equalWidth="0" w:num="1">
        <w:col w:w="11024"/>
      </w:cols>
      <w:pgMar w:left="436" w:top="274"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1:"/>
      <w:numFmt w:val="lowerLetter"/>
      <w:start w:val="29"/>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2021-08-15T20:52:23Z</dcterms:created>
  <dcterms:modified xsi:type="dcterms:W3CDTF">2021-08-15T20:52:23Z</dcterms:modified>
</cp:coreProperties>
</file>