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16510</wp:posOffset>
            </wp:positionV>
            <wp:extent cx="6992620" cy="50692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5069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Nguyen Loi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4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Arial" w:cs="Arial" w:eastAsia="Arial" w:hAnsi="Arial"/>
          <w:sz w:val="20"/>
          <w:szCs w:val="20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[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15"/>
          <w:szCs w:val="15"/>
          <w:color w:val="0000FF"/>
        </w:rPr>
        <w:t>MRVL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]</w:t>
      </w:r>
    </w:p>
    <w:p>
      <w:pPr>
        <w:spacing w:after="0" w:line="31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08/15/2021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-6" w:right="620" w:firstLine="6"/>
        <w:spacing w:after="0" w:line="239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7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77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EVP, Optical &amp; CC Grp</w:t>
      </w:r>
    </w:p>
    <w:p>
      <w:pPr>
        <w:spacing w:after="0" w:line="31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16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21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22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08/15/2021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1,729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214,722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08/15/2021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F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79"/>
              </w:rPr>
              <w:t>858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79"/>
                <w:vertAlign w:val="superscript"/>
              </w:rPr>
              <w:t>(1)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60.39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213,864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1,729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2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08/15/2021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1,729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2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19,028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-2108835</wp:posOffset>
            </wp:positionV>
            <wp:extent cx="29210" cy="21139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13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11/15/2021, 02/15/2022, 05/15/2022, 08/15/2022, 11/15/2022, 02/15/2023, 05/15/2023, 08/15/2023, 11/15/2023, 02/15/2024, and 05/15/2024.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66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/s/ Loi Nguyen, by Blair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08/17/2021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64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200" w:type="dxa"/>
            <w:vAlign w:val="bottom"/>
            <w:gridSpan w:val="3"/>
            <w:vMerge w:val="restart"/>
          </w:tcPr>
          <w:p>
            <w:pPr>
              <w:spacing w:after="0" w:line="18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Walters as attorney-in-fact</w:t>
            </w: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780" w:type="dxa"/>
            <w:vAlign w:val="bottom"/>
            <w:gridSpan w:val="2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6"/>
        </w:trPr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857110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2021-08-17T17:32:46Z</dcterms:created>
  <dcterms:modified xsi:type="dcterms:W3CDTF">2021-08-17T17:32:46Z</dcterms:modified>
</cp:coreProperties>
</file>