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1"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206375</wp:posOffset>
            </wp:positionH>
            <wp:positionV relativeFrom="page">
              <wp:posOffset>806450</wp:posOffset>
            </wp:positionV>
            <wp:extent cx="713613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6130" cy="8255"/>
                    </a:xfrm>
                    <a:prstGeom prst="rect">
                      <a:avLst/>
                    </a:prstGeom>
                    <a:noFill/>
                  </pic:spPr>
                </pic:pic>
              </a:graphicData>
            </a:graphic>
          </wp:anchor>
        </w:drawing>
        <w:drawing>
          <wp:anchor simplePos="0" relativeHeight="251657728" behindDoc="1" locked="0" layoutInCell="0" allowOverlap="1">
            <wp:simplePos x="0" y="0"/>
            <wp:positionH relativeFrom="page">
              <wp:posOffset>206375</wp:posOffset>
            </wp:positionH>
            <wp:positionV relativeFrom="page">
              <wp:posOffset>773430</wp:posOffset>
            </wp:positionV>
            <wp:extent cx="713613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6130" cy="825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28"/>
          <w:szCs w:val="28"/>
          <w:b w:val="1"/>
          <w:bCs w:val="1"/>
          <w:color w:val="auto"/>
        </w:rPr>
        <w:t>UNITED STATES</w:t>
      </w:r>
    </w:p>
    <w:p>
      <w:pPr>
        <w:spacing w:after="0" w:line="125" w:lineRule="exact"/>
        <w:rPr>
          <w:sz w:val="24"/>
          <w:szCs w:val="24"/>
          <w:color w:val="auto"/>
        </w:rPr>
      </w:pPr>
    </w:p>
    <w:p>
      <w:pPr>
        <w:jc w:val="center"/>
        <w:spacing w:after="0"/>
        <w:rPr>
          <w:sz w:val="20"/>
          <w:szCs w:val="20"/>
          <w:color w:val="auto"/>
        </w:rPr>
      </w:pPr>
      <w:r>
        <w:rPr>
          <w:rFonts w:ascii="Arial" w:cs="Arial" w:eastAsia="Arial" w:hAnsi="Arial"/>
          <w:sz w:val="28"/>
          <w:szCs w:val="28"/>
          <w:b w:val="1"/>
          <w:bCs w:val="1"/>
          <w:color w:val="auto"/>
        </w:rPr>
        <w:t>SECURITIES AND EXCHANGE COMMISSION</w:t>
      </w:r>
    </w:p>
    <w:p>
      <w:pPr>
        <w:spacing w:after="0" w:line="77"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Washington, D.C. 20549</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94" w:lineRule="exact"/>
        <w:rPr>
          <w:sz w:val="24"/>
          <w:szCs w:val="24"/>
          <w:color w:val="auto"/>
        </w:rPr>
      </w:pPr>
    </w:p>
    <w:p>
      <w:pPr>
        <w:jc w:val="center"/>
        <w:spacing w:after="0"/>
        <w:rPr>
          <w:sz w:val="20"/>
          <w:szCs w:val="20"/>
          <w:color w:val="auto"/>
        </w:rPr>
      </w:pPr>
      <w:r>
        <w:rPr>
          <w:rFonts w:ascii="Arial" w:cs="Arial" w:eastAsia="Arial" w:hAnsi="Arial"/>
          <w:sz w:val="28"/>
          <w:szCs w:val="28"/>
          <w:b w:val="1"/>
          <w:bCs w:val="1"/>
          <w:color w:val="auto"/>
        </w:rPr>
        <w:t>FORM 8-K</w:t>
      </w:r>
    </w:p>
    <w:p>
      <w:pPr>
        <w:spacing w:after="0" w:line="79"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99" w:lineRule="exact"/>
        <w:rPr>
          <w:sz w:val="24"/>
          <w:szCs w:val="24"/>
          <w:color w:val="auto"/>
        </w:rPr>
      </w:pPr>
    </w:p>
    <w:p>
      <w:pPr>
        <w:ind w:left="4640"/>
        <w:spacing w:after="0"/>
        <w:rPr>
          <w:sz w:val="20"/>
          <w:szCs w:val="20"/>
          <w:color w:val="auto"/>
        </w:rPr>
      </w:pPr>
      <w:r>
        <w:rPr>
          <w:rFonts w:ascii="Arial" w:cs="Arial" w:eastAsia="Arial" w:hAnsi="Arial"/>
          <w:sz w:val="21"/>
          <w:szCs w:val="21"/>
          <w:b w:val="1"/>
          <w:bCs w:val="1"/>
          <w:color w:val="auto"/>
        </w:rPr>
        <w:t>CURRENT REPORT</w:t>
      </w:r>
    </w:p>
    <w:p>
      <w:pPr>
        <w:spacing w:after="0" w:line="219" w:lineRule="exact"/>
        <w:rPr>
          <w:sz w:val="24"/>
          <w:szCs w:val="24"/>
          <w:color w:val="auto"/>
        </w:rPr>
      </w:pPr>
    </w:p>
    <w:p>
      <w:pPr>
        <w:ind w:left="3940"/>
        <w:spacing w:after="0"/>
        <w:rPr>
          <w:sz w:val="20"/>
          <w:szCs w:val="20"/>
          <w:color w:val="auto"/>
        </w:rPr>
      </w:pPr>
      <w:r>
        <w:rPr>
          <w:rFonts w:ascii="Arial" w:cs="Arial" w:eastAsia="Arial" w:hAnsi="Arial"/>
          <w:sz w:val="21"/>
          <w:szCs w:val="21"/>
          <w:b w:val="1"/>
          <w:bCs w:val="1"/>
          <w:color w:val="auto"/>
        </w:rPr>
        <w:t>Pursuant to Section 13 or 15(d) of the</w:t>
      </w:r>
    </w:p>
    <w:p>
      <w:pPr>
        <w:spacing w:after="0" w:line="61"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Securities Exchange Act of 1934</w:t>
      </w:r>
    </w:p>
    <w:p>
      <w:pPr>
        <w:spacing w:after="0" w:line="297" w:lineRule="exact"/>
        <w:rPr>
          <w:sz w:val="24"/>
          <w:szCs w:val="24"/>
          <w:color w:val="auto"/>
        </w:rPr>
      </w:pPr>
    </w:p>
    <w:p>
      <w:pPr>
        <w:ind w:left="4180"/>
        <w:spacing w:after="0"/>
        <w:rPr>
          <w:sz w:val="20"/>
          <w:szCs w:val="20"/>
          <w:color w:val="auto"/>
        </w:rPr>
      </w:pPr>
      <w:r>
        <w:rPr>
          <w:rFonts w:ascii="Arial" w:cs="Arial" w:eastAsia="Arial" w:hAnsi="Arial"/>
          <w:sz w:val="21"/>
          <w:szCs w:val="21"/>
          <w:b w:val="1"/>
          <w:bCs w:val="1"/>
          <w:color w:val="auto"/>
        </w:rPr>
        <w:t>Date of Report: August 26, 2021</w:t>
      </w:r>
    </w:p>
    <w:p>
      <w:pPr>
        <w:spacing w:after="0" w:line="61" w:lineRule="exact"/>
        <w:rPr>
          <w:sz w:val="24"/>
          <w:szCs w:val="24"/>
          <w:color w:val="auto"/>
        </w:rPr>
      </w:pPr>
    </w:p>
    <w:p>
      <w:pPr>
        <w:ind w:left="4200"/>
        <w:spacing w:after="0"/>
        <w:rPr>
          <w:sz w:val="20"/>
          <w:szCs w:val="20"/>
          <w:color w:val="auto"/>
        </w:rPr>
      </w:pPr>
      <w:r>
        <w:rPr>
          <w:rFonts w:ascii="Arial" w:cs="Arial" w:eastAsia="Arial" w:hAnsi="Arial"/>
          <w:sz w:val="21"/>
          <w:szCs w:val="21"/>
          <w:b w:val="1"/>
          <w:bCs w:val="1"/>
          <w:color w:val="auto"/>
        </w:rPr>
        <w:t>(Date of earliest event reported)</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2490470</wp:posOffset>
            </wp:positionH>
            <wp:positionV relativeFrom="paragraph">
              <wp:posOffset>18415</wp:posOffset>
            </wp:positionV>
            <wp:extent cx="2169795"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169795" cy="6261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INC.</w:t>
      </w:r>
    </w:p>
    <w:p>
      <w:pPr>
        <w:spacing w:after="0" w:line="75" w:lineRule="exact"/>
        <w:rPr>
          <w:sz w:val="24"/>
          <w:szCs w:val="24"/>
          <w:color w:val="auto"/>
        </w:rPr>
      </w:pPr>
    </w:p>
    <w:tbl>
      <w:tblPr>
        <w:tblLayout w:type="fixed"/>
        <w:tblInd w:w="960" w:type="dxa"/>
        <w:tblCellMar>
          <w:top w:w="0" w:type="dxa"/>
          <w:left w:w="0" w:type="dxa"/>
          <w:bottom w:w="0" w:type="dxa"/>
          <w:right w:w="0" w:type="dxa"/>
        </w:tblCellMar>
      </w:tblPr>
      <w:tr>
        <w:trPr>
          <w:trHeight w:val="228"/>
        </w:trPr>
        <w:tc>
          <w:tcPr>
            <w:tcW w:w="2240" w:type="dxa"/>
            <w:vAlign w:val="bottom"/>
          </w:tcPr>
          <w:p>
            <w:pPr>
              <w:spacing w:after="0"/>
              <w:rPr>
                <w:sz w:val="19"/>
                <w:szCs w:val="19"/>
                <w:color w:val="auto"/>
              </w:rPr>
            </w:pPr>
          </w:p>
        </w:tc>
        <w:tc>
          <w:tcPr>
            <w:tcW w:w="4760" w:type="dxa"/>
            <w:vAlign w:val="bottom"/>
          </w:tcPr>
          <w:p>
            <w:pPr>
              <w:jc w:val="center"/>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2420" w:type="dxa"/>
            <w:vAlign w:val="bottom"/>
          </w:tcPr>
          <w:p>
            <w:pPr>
              <w:spacing w:after="0"/>
              <w:rPr>
                <w:sz w:val="19"/>
                <w:szCs w:val="19"/>
                <w:color w:val="auto"/>
              </w:rPr>
            </w:pPr>
          </w:p>
        </w:tc>
      </w:tr>
      <w:tr>
        <w:trPr>
          <w:trHeight w:val="250"/>
        </w:trPr>
        <w:tc>
          <w:tcPr>
            <w:tcW w:w="2240" w:type="dxa"/>
            <w:vAlign w:val="bottom"/>
          </w:tcPr>
          <w:p>
            <w:pPr>
              <w:spacing w:after="0"/>
              <w:rPr>
                <w:sz w:val="21"/>
                <w:szCs w:val="21"/>
                <w:color w:val="auto"/>
              </w:rPr>
            </w:pPr>
          </w:p>
        </w:tc>
        <w:tc>
          <w:tcPr>
            <w:tcW w:w="4760" w:type="dxa"/>
            <w:vAlign w:val="bottom"/>
          </w:tcPr>
          <w:p>
            <w:pPr>
              <w:jc w:val="center"/>
              <w:ind w:left="58"/>
              <w:spacing w:after="0"/>
              <w:rPr>
                <w:sz w:val="20"/>
                <w:szCs w:val="20"/>
                <w:color w:val="auto"/>
              </w:rPr>
            </w:pPr>
            <w:r>
              <w:rPr>
                <w:rFonts w:ascii="Arial" w:cs="Arial" w:eastAsia="Arial" w:hAnsi="Arial"/>
                <w:sz w:val="18"/>
                <w:szCs w:val="18"/>
                <w:color w:val="auto"/>
                <w:w w:val="87"/>
              </w:rPr>
              <w:t>_________________________</w:t>
            </w:r>
          </w:p>
        </w:tc>
        <w:tc>
          <w:tcPr>
            <w:tcW w:w="2420" w:type="dxa"/>
            <w:vAlign w:val="bottom"/>
          </w:tcPr>
          <w:p>
            <w:pPr>
              <w:spacing w:after="0"/>
              <w:rPr>
                <w:sz w:val="21"/>
                <w:szCs w:val="21"/>
                <w:color w:val="auto"/>
              </w:rPr>
            </w:pPr>
          </w:p>
        </w:tc>
      </w:tr>
      <w:tr>
        <w:trPr>
          <w:trHeight w:val="263"/>
        </w:trPr>
        <w:tc>
          <w:tcPr>
            <w:tcW w:w="2240" w:type="dxa"/>
            <w:vAlign w:val="bottom"/>
          </w:tcPr>
          <w:p>
            <w:pPr>
              <w:jc w:val="center"/>
              <w:ind w:right="424"/>
              <w:spacing w:after="0"/>
              <w:rPr>
                <w:sz w:val="20"/>
                <w:szCs w:val="20"/>
                <w:color w:val="auto"/>
              </w:rPr>
            </w:pPr>
            <w:r>
              <w:rPr>
                <w:rFonts w:ascii="Arial" w:cs="Arial" w:eastAsia="Arial" w:hAnsi="Arial"/>
                <w:sz w:val="18"/>
                <w:szCs w:val="18"/>
                <w:b w:val="1"/>
                <w:bCs w:val="1"/>
                <w:color w:val="auto"/>
                <w:w w:val="88"/>
              </w:rPr>
              <w:t>Delaware</w:t>
            </w:r>
          </w:p>
        </w:tc>
        <w:tc>
          <w:tcPr>
            <w:tcW w:w="4760" w:type="dxa"/>
            <w:vAlign w:val="bottom"/>
          </w:tcPr>
          <w:p>
            <w:pPr>
              <w:jc w:val="right"/>
              <w:ind w:right="1998"/>
              <w:spacing w:after="0"/>
              <w:rPr>
                <w:sz w:val="20"/>
                <w:szCs w:val="20"/>
                <w:color w:val="auto"/>
              </w:rPr>
            </w:pPr>
            <w:r>
              <w:rPr>
                <w:rFonts w:ascii="Arial" w:cs="Arial" w:eastAsia="Arial" w:hAnsi="Arial"/>
                <w:sz w:val="18"/>
                <w:szCs w:val="18"/>
                <w:b w:val="1"/>
                <w:bCs w:val="1"/>
                <w:color w:val="auto"/>
              </w:rPr>
              <w:t>0-30877</w:t>
            </w:r>
          </w:p>
        </w:tc>
        <w:tc>
          <w:tcPr>
            <w:tcW w:w="2420" w:type="dxa"/>
            <w:vAlign w:val="bottom"/>
          </w:tcPr>
          <w:p>
            <w:pPr>
              <w:jc w:val="right"/>
              <w:ind w:right="501"/>
              <w:spacing w:after="0"/>
              <w:rPr>
                <w:sz w:val="20"/>
                <w:szCs w:val="20"/>
                <w:color w:val="auto"/>
              </w:rPr>
            </w:pPr>
            <w:r>
              <w:rPr>
                <w:rFonts w:ascii="Arial" w:cs="Arial" w:eastAsia="Arial" w:hAnsi="Arial"/>
                <w:sz w:val="18"/>
                <w:szCs w:val="18"/>
                <w:b w:val="1"/>
                <w:bCs w:val="1"/>
                <w:color w:val="auto"/>
              </w:rPr>
              <w:t>85-3971597</w:t>
            </w:r>
          </w:p>
        </w:tc>
      </w:tr>
      <w:tr>
        <w:trPr>
          <w:trHeight w:val="211"/>
        </w:trPr>
        <w:tc>
          <w:tcPr>
            <w:tcW w:w="2240" w:type="dxa"/>
            <w:vAlign w:val="bottom"/>
          </w:tcPr>
          <w:p>
            <w:pPr>
              <w:jc w:val="center"/>
              <w:ind w:right="424"/>
              <w:spacing w:after="0"/>
              <w:rPr>
                <w:sz w:val="20"/>
                <w:szCs w:val="20"/>
                <w:color w:val="auto"/>
              </w:rPr>
            </w:pPr>
            <w:r>
              <w:rPr>
                <w:rFonts w:ascii="Arial" w:cs="Arial" w:eastAsia="Arial" w:hAnsi="Arial"/>
                <w:sz w:val="14"/>
                <w:szCs w:val="14"/>
                <w:b w:val="1"/>
                <w:bCs w:val="1"/>
                <w:color w:val="auto"/>
                <w:w w:val="90"/>
              </w:rPr>
              <w:t>(State or other jurisdiction of</w:t>
            </w:r>
          </w:p>
        </w:tc>
        <w:tc>
          <w:tcPr>
            <w:tcW w:w="4760" w:type="dxa"/>
            <w:vAlign w:val="bottom"/>
          </w:tcPr>
          <w:p>
            <w:pPr>
              <w:jc w:val="center"/>
              <w:spacing w:after="0"/>
              <w:rPr>
                <w:sz w:val="20"/>
                <w:szCs w:val="20"/>
                <w:color w:val="auto"/>
              </w:rPr>
            </w:pPr>
            <w:r>
              <w:rPr>
                <w:rFonts w:ascii="Arial" w:cs="Arial" w:eastAsia="Arial" w:hAnsi="Arial"/>
                <w:sz w:val="14"/>
                <w:szCs w:val="14"/>
                <w:b w:val="1"/>
                <w:bCs w:val="1"/>
                <w:color w:val="auto"/>
                <w:w w:val="90"/>
              </w:rPr>
              <w:t>(Commission File Number)</w:t>
            </w:r>
          </w:p>
        </w:tc>
        <w:tc>
          <w:tcPr>
            <w:tcW w:w="2420" w:type="dxa"/>
            <w:vAlign w:val="bottom"/>
          </w:tcPr>
          <w:p>
            <w:pPr>
              <w:jc w:val="center"/>
              <w:ind w:left="321"/>
              <w:spacing w:after="0"/>
              <w:rPr>
                <w:sz w:val="20"/>
                <w:szCs w:val="20"/>
                <w:color w:val="auto"/>
              </w:rPr>
            </w:pPr>
            <w:r>
              <w:rPr>
                <w:rFonts w:ascii="Arial" w:cs="Arial" w:eastAsia="Arial" w:hAnsi="Arial"/>
                <w:sz w:val="14"/>
                <w:szCs w:val="14"/>
                <w:b w:val="1"/>
                <w:bCs w:val="1"/>
                <w:color w:val="auto"/>
                <w:w w:val="92"/>
              </w:rPr>
              <w:t>(IRS Employer Identification No.)</w:t>
            </w:r>
          </w:p>
        </w:tc>
      </w:tr>
      <w:tr>
        <w:trPr>
          <w:trHeight w:val="183"/>
        </w:trPr>
        <w:tc>
          <w:tcPr>
            <w:tcW w:w="2240" w:type="dxa"/>
            <w:vAlign w:val="bottom"/>
          </w:tcPr>
          <w:p>
            <w:pPr>
              <w:jc w:val="center"/>
              <w:ind w:right="444"/>
              <w:spacing w:after="0"/>
              <w:rPr>
                <w:sz w:val="20"/>
                <w:szCs w:val="20"/>
                <w:color w:val="auto"/>
              </w:rPr>
            </w:pPr>
            <w:r>
              <w:rPr>
                <w:rFonts w:ascii="Arial" w:cs="Arial" w:eastAsia="Arial" w:hAnsi="Arial"/>
                <w:sz w:val="14"/>
                <w:szCs w:val="14"/>
                <w:b w:val="1"/>
                <w:bCs w:val="1"/>
                <w:color w:val="auto"/>
                <w:w w:val="92"/>
              </w:rPr>
              <w:t>incorporation)</w:t>
            </w:r>
          </w:p>
        </w:tc>
        <w:tc>
          <w:tcPr>
            <w:tcW w:w="4760" w:type="dxa"/>
            <w:vAlign w:val="bottom"/>
          </w:tcPr>
          <w:p>
            <w:pPr>
              <w:spacing w:after="0"/>
              <w:rPr>
                <w:sz w:val="15"/>
                <w:szCs w:val="15"/>
                <w:color w:val="auto"/>
              </w:rPr>
            </w:pPr>
          </w:p>
        </w:tc>
        <w:tc>
          <w:tcPr>
            <w:tcW w:w="2420" w:type="dxa"/>
            <w:vAlign w:val="bottom"/>
          </w:tcPr>
          <w:p>
            <w:pPr>
              <w:spacing w:after="0"/>
              <w:rPr>
                <w:sz w:val="15"/>
                <w:szCs w:val="15"/>
                <w:color w:val="auto"/>
              </w:rPr>
            </w:pPr>
          </w:p>
        </w:tc>
      </w:tr>
      <w:tr>
        <w:trPr>
          <w:trHeight w:val="666"/>
        </w:trPr>
        <w:tc>
          <w:tcPr>
            <w:tcW w:w="2240" w:type="dxa"/>
            <w:vAlign w:val="bottom"/>
          </w:tcPr>
          <w:p>
            <w:pPr>
              <w:spacing w:after="0"/>
              <w:rPr>
                <w:sz w:val="24"/>
                <w:szCs w:val="24"/>
                <w:color w:val="auto"/>
              </w:rPr>
            </w:pPr>
          </w:p>
        </w:tc>
        <w:tc>
          <w:tcPr>
            <w:tcW w:w="4760" w:type="dxa"/>
            <w:vAlign w:val="bottom"/>
          </w:tcPr>
          <w:p>
            <w:pPr>
              <w:jc w:val="center"/>
              <w:spacing w:after="0"/>
              <w:rPr>
                <w:sz w:val="20"/>
                <w:szCs w:val="20"/>
                <w:color w:val="auto"/>
              </w:rPr>
            </w:pPr>
            <w:r>
              <w:rPr>
                <w:rFonts w:ascii="Arial" w:cs="Arial" w:eastAsia="Arial" w:hAnsi="Arial"/>
                <w:sz w:val="18"/>
                <w:szCs w:val="18"/>
                <w:b w:val="1"/>
                <w:bCs w:val="1"/>
                <w:color w:val="auto"/>
                <w:w w:val="87"/>
              </w:rPr>
              <w:t>1000 N. West Street, Suite 1200</w:t>
            </w:r>
          </w:p>
        </w:tc>
        <w:tc>
          <w:tcPr>
            <w:tcW w:w="2420" w:type="dxa"/>
            <w:vAlign w:val="bottom"/>
          </w:tcPr>
          <w:p>
            <w:pPr>
              <w:spacing w:after="0"/>
              <w:rPr>
                <w:sz w:val="24"/>
                <w:szCs w:val="24"/>
                <w:color w:val="auto"/>
              </w:rPr>
            </w:pPr>
          </w:p>
        </w:tc>
      </w:tr>
      <w:tr>
        <w:trPr>
          <w:trHeight w:val="228"/>
        </w:trPr>
        <w:tc>
          <w:tcPr>
            <w:tcW w:w="2240" w:type="dxa"/>
            <w:vAlign w:val="bottom"/>
          </w:tcPr>
          <w:p>
            <w:pPr>
              <w:spacing w:after="0"/>
              <w:rPr>
                <w:sz w:val="19"/>
                <w:szCs w:val="19"/>
                <w:color w:val="auto"/>
              </w:rPr>
            </w:pPr>
          </w:p>
        </w:tc>
        <w:tc>
          <w:tcPr>
            <w:tcW w:w="4760" w:type="dxa"/>
            <w:vAlign w:val="bottom"/>
          </w:tcPr>
          <w:p>
            <w:pPr>
              <w:jc w:val="center"/>
              <w:spacing w:after="0"/>
              <w:rPr>
                <w:sz w:val="20"/>
                <w:szCs w:val="20"/>
                <w:color w:val="auto"/>
              </w:rPr>
            </w:pPr>
            <w:r>
              <w:rPr>
                <w:rFonts w:ascii="Arial" w:cs="Arial" w:eastAsia="Arial" w:hAnsi="Arial"/>
                <w:sz w:val="18"/>
                <w:szCs w:val="18"/>
                <w:b w:val="1"/>
                <w:bCs w:val="1"/>
                <w:color w:val="auto"/>
                <w:w w:val="89"/>
              </w:rPr>
              <w:t>Wilmington, Delaware 19801</w:t>
            </w:r>
          </w:p>
        </w:tc>
        <w:tc>
          <w:tcPr>
            <w:tcW w:w="2420" w:type="dxa"/>
            <w:vAlign w:val="bottom"/>
          </w:tcPr>
          <w:p>
            <w:pPr>
              <w:spacing w:after="0"/>
              <w:rPr>
                <w:sz w:val="19"/>
                <w:szCs w:val="19"/>
                <w:color w:val="auto"/>
              </w:rPr>
            </w:pPr>
          </w:p>
        </w:tc>
      </w:tr>
      <w:tr>
        <w:trPr>
          <w:trHeight w:val="187"/>
        </w:trPr>
        <w:tc>
          <w:tcPr>
            <w:tcW w:w="2240" w:type="dxa"/>
            <w:vAlign w:val="bottom"/>
          </w:tcPr>
          <w:p>
            <w:pPr>
              <w:spacing w:after="0"/>
              <w:rPr>
                <w:sz w:val="16"/>
                <w:szCs w:val="16"/>
                <w:color w:val="auto"/>
              </w:rPr>
            </w:pPr>
          </w:p>
        </w:tc>
        <w:tc>
          <w:tcPr>
            <w:tcW w:w="4760" w:type="dxa"/>
            <w:vAlign w:val="bottom"/>
          </w:tcPr>
          <w:p>
            <w:pPr>
              <w:jc w:val="center"/>
              <w:ind w:left="18"/>
              <w:spacing w:after="0"/>
              <w:rPr>
                <w:sz w:val="20"/>
                <w:szCs w:val="20"/>
                <w:color w:val="auto"/>
              </w:rPr>
            </w:pPr>
            <w:r>
              <w:rPr>
                <w:rFonts w:ascii="Arial" w:cs="Arial" w:eastAsia="Arial" w:hAnsi="Arial"/>
                <w:sz w:val="14"/>
                <w:szCs w:val="14"/>
                <w:b w:val="1"/>
                <w:bCs w:val="1"/>
                <w:color w:val="auto"/>
                <w:w w:val="89"/>
              </w:rPr>
              <w:t>(Address of principal executive offices, including Zip Code)</w:t>
            </w:r>
          </w:p>
        </w:tc>
        <w:tc>
          <w:tcPr>
            <w:tcW w:w="2420" w:type="dxa"/>
            <w:vAlign w:val="bottom"/>
          </w:tcPr>
          <w:p>
            <w:pPr>
              <w:spacing w:after="0"/>
              <w:rPr>
                <w:sz w:val="16"/>
                <w:szCs w:val="16"/>
                <w:color w:val="auto"/>
              </w:rPr>
            </w:pPr>
          </w:p>
        </w:tc>
      </w:tr>
      <w:tr>
        <w:trPr>
          <w:trHeight w:val="404"/>
        </w:trPr>
        <w:tc>
          <w:tcPr>
            <w:tcW w:w="2240" w:type="dxa"/>
            <w:vAlign w:val="bottom"/>
          </w:tcPr>
          <w:p>
            <w:pPr>
              <w:spacing w:after="0"/>
              <w:rPr>
                <w:sz w:val="24"/>
                <w:szCs w:val="24"/>
                <w:color w:val="auto"/>
              </w:rPr>
            </w:pPr>
          </w:p>
        </w:tc>
        <w:tc>
          <w:tcPr>
            <w:tcW w:w="4760" w:type="dxa"/>
            <w:vAlign w:val="bottom"/>
          </w:tcPr>
          <w:p>
            <w:pPr>
              <w:jc w:val="right"/>
              <w:ind w:right="1698"/>
              <w:spacing w:after="0"/>
              <w:rPr>
                <w:sz w:val="20"/>
                <w:szCs w:val="20"/>
                <w:color w:val="auto"/>
              </w:rPr>
            </w:pPr>
            <w:r>
              <w:rPr>
                <w:rFonts w:ascii="Arial" w:cs="Arial" w:eastAsia="Arial" w:hAnsi="Arial"/>
                <w:sz w:val="18"/>
                <w:szCs w:val="18"/>
                <w:b w:val="1"/>
                <w:bCs w:val="1"/>
                <w:color w:val="auto"/>
              </w:rPr>
              <w:t>(302) 295-4840</w:t>
            </w:r>
          </w:p>
        </w:tc>
        <w:tc>
          <w:tcPr>
            <w:tcW w:w="2420" w:type="dxa"/>
            <w:vAlign w:val="bottom"/>
          </w:tcPr>
          <w:p>
            <w:pPr>
              <w:spacing w:after="0"/>
              <w:rPr>
                <w:sz w:val="24"/>
                <w:szCs w:val="24"/>
                <w:color w:val="auto"/>
              </w:rPr>
            </w:pPr>
          </w:p>
        </w:tc>
      </w:tr>
      <w:tr>
        <w:trPr>
          <w:trHeight w:val="200"/>
        </w:trPr>
        <w:tc>
          <w:tcPr>
            <w:tcW w:w="2240" w:type="dxa"/>
            <w:vAlign w:val="bottom"/>
          </w:tcPr>
          <w:p>
            <w:pPr>
              <w:spacing w:after="0"/>
              <w:rPr>
                <w:sz w:val="17"/>
                <w:szCs w:val="17"/>
                <w:color w:val="auto"/>
              </w:rPr>
            </w:pPr>
          </w:p>
        </w:tc>
        <w:tc>
          <w:tcPr>
            <w:tcW w:w="4760" w:type="dxa"/>
            <w:vAlign w:val="bottom"/>
          </w:tcPr>
          <w:p>
            <w:pPr>
              <w:jc w:val="center"/>
              <w:spacing w:after="0"/>
              <w:rPr>
                <w:sz w:val="20"/>
                <w:szCs w:val="20"/>
                <w:color w:val="auto"/>
              </w:rPr>
            </w:pPr>
            <w:r>
              <w:rPr>
                <w:rFonts w:ascii="Arial" w:cs="Arial" w:eastAsia="Arial" w:hAnsi="Arial"/>
                <w:sz w:val="14"/>
                <w:szCs w:val="14"/>
                <w:b w:val="1"/>
                <w:bCs w:val="1"/>
                <w:color w:val="auto"/>
                <w:w w:val="89"/>
              </w:rPr>
              <w:t>(Registrant’s telephone number, including area code)</w:t>
            </w:r>
          </w:p>
        </w:tc>
        <w:tc>
          <w:tcPr>
            <w:tcW w:w="2420" w:type="dxa"/>
            <w:vAlign w:val="bottom"/>
          </w:tcPr>
          <w:p>
            <w:pPr>
              <w:spacing w:after="0"/>
              <w:rPr>
                <w:sz w:val="17"/>
                <w:szCs w:val="17"/>
                <w:color w:val="auto"/>
              </w:rPr>
            </w:pPr>
          </w:p>
        </w:tc>
      </w:tr>
      <w:tr>
        <w:trPr>
          <w:trHeight w:val="247"/>
        </w:trPr>
        <w:tc>
          <w:tcPr>
            <w:tcW w:w="2240" w:type="dxa"/>
            <w:vAlign w:val="bottom"/>
          </w:tcPr>
          <w:p>
            <w:pPr>
              <w:spacing w:after="0"/>
              <w:rPr>
                <w:sz w:val="21"/>
                <w:szCs w:val="21"/>
                <w:color w:val="auto"/>
              </w:rPr>
            </w:pPr>
          </w:p>
        </w:tc>
        <w:tc>
          <w:tcPr>
            <w:tcW w:w="4760" w:type="dxa"/>
            <w:vAlign w:val="bottom"/>
          </w:tcPr>
          <w:p>
            <w:pPr>
              <w:jc w:val="right"/>
              <w:ind w:right="1158"/>
              <w:spacing w:after="0"/>
              <w:rPr>
                <w:sz w:val="20"/>
                <w:szCs w:val="20"/>
                <w:color w:val="auto"/>
              </w:rPr>
            </w:pPr>
            <w:r>
              <w:rPr>
                <w:rFonts w:ascii="Arial" w:cs="Arial" w:eastAsia="Arial" w:hAnsi="Arial"/>
                <w:sz w:val="18"/>
                <w:szCs w:val="18"/>
                <w:color w:val="auto"/>
              </w:rPr>
              <w:t>_________________________</w:t>
            </w:r>
          </w:p>
        </w:tc>
        <w:tc>
          <w:tcPr>
            <w:tcW w:w="2420" w:type="dxa"/>
            <w:vAlign w:val="bottom"/>
          </w:tcPr>
          <w:p>
            <w:pPr>
              <w:spacing w:after="0"/>
              <w:rPr>
                <w:sz w:val="21"/>
                <w:szCs w:val="21"/>
                <w:color w:val="auto"/>
              </w:rPr>
            </w:pPr>
          </w:p>
        </w:tc>
      </w:tr>
    </w:tbl>
    <w:p>
      <w:pPr>
        <w:spacing w:after="0" w:line="185" w:lineRule="exact"/>
        <w:rPr>
          <w:sz w:val="24"/>
          <w:szCs w:val="24"/>
          <w:color w:val="auto"/>
        </w:rPr>
      </w:pPr>
    </w:p>
    <w:p>
      <w:pPr>
        <w:ind w:right="240"/>
        <w:spacing w:after="0" w:line="27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33" w:lineRule="exact"/>
        <w:rPr>
          <w:sz w:val="24"/>
          <w:szCs w:val="24"/>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92" w:lineRule="exact"/>
        <w:rPr>
          <w:rFonts w:ascii="MS PGothic" w:cs="MS PGothic" w:eastAsia="MS PGothic" w:hAnsi="MS PGothic"/>
          <w:sz w:val="18"/>
          <w:szCs w:val="18"/>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74" w:lineRule="exact"/>
        <w:rPr>
          <w:rFonts w:ascii="MS PGothic" w:cs="MS PGothic" w:eastAsia="MS PGothic" w:hAnsi="MS PGothic"/>
          <w:sz w:val="18"/>
          <w:szCs w:val="18"/>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74" w:lineRule="exact"/>
        <w:rPr>
          <w:rFonts w:ascii="MS PGothic" w:cs="MS PGothic" w:eastAsia="MS PGothic" w:hAnsi="MS PGothic"/>
          <w:sz w:val="18"/>
          <w:szCs w:val="18"/>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74"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34" w:lineRule="exact"/>
        <w:rPr>
          <w:sz w:val="24"/>
          <w:szCs w:val="24"/>
          <w:color w:val="auto"/>
        </w:rPr>
      </w:pPr>
    </w:p>
    <w:p>
      <w:pPr>
        <w:spacing w:after="0" w:line="207" w:lineRule="exact"/>
        <w:tabs>
          <w:tab w:leader="none" w:pos="6680" w:val="left"/>
          <w:tab w:leader="none" w:pos="878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4"/>
          <w:szCs w:val="14"/>
          <w:color w:val="auto"/>
        </w:rPr>
        <w:t>☐</w:t>
      </w:r>
    </w:p>
    <w:p>
      <w:pPr>
        <w:spacing w:after="0" w:line="127" w:lineRule="exact"/>
        <w:rPr>
          <w:sz w:val="24"/>
          <w:szCs w:val="24"/>
          <w:color w:val="auto"/>
        </w:rPr>
      </w:pPr>
    </w:p>
    <w:p>
      <w:pPr>
        <w:ind w:right="280"/>
        <w:spacing w:after="0" w:line="226"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87"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42"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3"/>
              </w:rPr>
              <w:t>Trading</w:t>
            </w: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86"/>
              </w:rPr>
              <w:t>Name of each exchange</w:t>
            </w:r>
          </w:p>
        </w:tc>
      </w:tr>
      <w:tr>
        <w:trPr>
          <w:trHeight w:val="214"/>
        </w:trPr>
        <w:tc>
          <w:tcPr>
            <w:tcW w:w="3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7"/>
              </w:rPr>
              <w:t>Title of each class</w:t>
            </w:r>
          </w:p>
        </w:tc>
        <w:tc>
          <w:tcPr>
            <w:tcW w:w="3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Symbol(s)</w:t>
            </w: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89"/>
              </w:rPr>
              <w:t>on which registered</w:t>
            </w:r>
          </w:p>
        </w:tc>
      </w:tr>
      <w:tr>
        <w:trPr>
          <w:trHeight w:val="227"/>
        </w:trPr>
        <w:tc>
          <w:tcPr>
            <w:tcW w:w="36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6"/>
              </w:rPr>
              <w:t>Common Shares</w:t>
            </w:r>
          </w:p>
        </w:tc>
        <w:tc>
          <w:tcPr>
            <w:tcW w:w="140" w:type="dxa"/>
            <w:vAlign w:val="bottom"/>
          </w:tcPr>
          <w:p>
            <w:pPr>
              <w:spacing w:after="0"/>
              <w:rPr>
                <w:sz w:val="19"/>
                <w:szCs w:val="19"/>
                <w:color w:val="auto"/>
              </w:rPr>
            </w:pPr>
          </w:p>
        </w:tc>
        <w:tc>
          <w:tcPr>
            <w:tcW w:w="368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40" w:type="dxa"/>
            <w:vAlign w:val="bottom"/>
          </w:tcPr>
          <w:p>
            <w:pPr>
              <w:spacing w:after="0"/>
              <w:rPr>
                <w:sz w:val="19"/>
                <w:szCs w:val="19"/>
                <w:color w:val="auto"/>
              </w:rPr>
            </w:pPr>
          </w:p>
        </w:tc>
        <w:tc>
          <w:tcPr>
            <w:tcW w:w="36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1"/>
              </w:rPr>
              <w:t>The Nasdaq Stock Market, LLC</w:t>
            </w:r>
          </w:p>
        </w:tc>
      </w:tr>
      <w:tr>
        <w:trPr>
          <w:trHeight w:val="232"/>
        </w:trPr>
        <w:tc>
          <w:tcPr>
            <w:tcW w:w="366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368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3620" w:type="dxa"/>
            <w:vAlign w:val="bottom"/>
            <w:tcBorders>
              <w:bottom w:val="single" w:sz="8" w:color="auto"/>
            </w:tcBorders>
          </w:tcPr>
          <w:p>
            <w:pPr>
              <w:spacing w:after="0"/>
              <w:rPr>
                <w:sz w:val="20"/>
                <w:szCs w:val="20"/>
                <w:color w:val="auto"/>
              </w:rPr>
            </w:pPr>
          </w:p>
        </w:tc>
      </w:tr>
      <w:tr>
        <w:trPr>
          <w:trHeight w:val="33"/>
        </w:trPr>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20" w:type="dxa"/>
            <w:vAlign w:val="bottom"/>
            <w:tcBorders>
              <w:bottom w:val="single" w:sz="8" w:color="auto"/>
            </w:tcBorders>
          </w:tcPr>
          <w:p>
            <w:pPr>
              <w:spacing w:after="0"/>
              <w:rPr>
                <w:sz w:val="2"/>
                <w:szCs w:val="2"/>
                <w:color w:val="auto"/>
              </w:rPr>
            </w:pPr>
          </w:p>
        </w:tc>
      </w:tr>
    </w:tbl>
    <w:p>
      <w:pPr>
        <w:spacing w:after="0" w:line="200" w:lineRule="exact"/>
        <w:rPr>
          <w:sz w:val="24"/>
          <w:szCs w:val="24"/>
          <w:color w:val="auto"/>
        </w:rPr>
      </w:pPr>
    </w:p>
    <w:p>
      <w:pPr>
        <w:sectPr>
          <w:pgSz w:w="11900" w:h="16838" w:orient="portrait"/>
          <w:cols w:equalWidth="0" w:num="1">
            <w:col w:w="11240"/>
          </w:cols>
          <w:pgMar w:left="320" w:top="1440" w:right="339" w:bottom="10" w:gutter="0" w:footer="0" w:header="0"/>
        </w:sectPr>
      </w:pPr>
    </w:p>
    <w:p>
      <w:pPr>
        <w:spacing w:after="0" w:line="200" w:lineRule="exact"/>
        <w:rPr>
          <w:sz w:val="24"/>
          <w:szCs w:val="24"/>
          <w:color w:val="auto"/>
        </w:rPr>
      </w:pPr>
    </w:p>
    <w:p>
      <w:pPr>
        <w:spacing w:after="0" w:line="305"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Item 2.02 Results of Operations and Financial Condition.</w:t>
      </w:r>
    </w:p>
    <w:p>
      <w:pPr>
        <w:sectPr>
          <w:pgSz w:w="11900" w:h="16838" w:orient="portrait"/>
          <w:cols w:equalWidth="0" w:num="1">
            <w:col w:w="11240"/>
          </w:cols>
          <w:pgMar w:left="320" w:top="1440" w:right="339" w:bottom="10" w:gutter="0" w:footer="0" w:header="0"/>
          <w:type w:val="continuous"/>
        </w:sectPr>
      </w:pPr>
    </w:p>
    <w:bookmarkStart w:id="1" w:name="page2"/>
    <w:bookmarkEnd w:id="1"/>
    <w:p>
      <w:pPr>
        <w:ind w:right="80" w:firstLine="631"/>
        <w:spacing w:after="0" w:line="290"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62" w:lineRule="exact"/>
        <w:rPr>
          <w:sz w:val="20"/>
          <w:szCs w:val="20"/>
          <w:color w:val="auto"/>
        </w:rPr>
      </w:pPr>
    </w:p>
    <w:p>
      <w:pPr>
        <w:ind w:right="220" w:firstLine="631"/>
        <w:spacing w:after="0" w:line="261" w:lineRule="auto"/>
        <w:rPr>
          <w:sz w:val="20"/>
          <w:szCs w:val="20"/>
          <w:color w:val="auto"/>
        </w:rPr>
      </w:pPr>
      <w:r>
        <w:rPr>
          <w:rFonts w:ascii="Arial" w:cs="Arial" w:eastAsia="Arial" w:hAnsi="Arial"/>
          <w:sz w:val="18"/>
          <w:szCs w:val="18"/>
          <w:color w:val="auto"/>
        </w:rPr>
        <w:t>On August 26, 2021, Marvell Technology, Inc. (“Marvell”) issued a press release reporting its financial results for the second quarter of fiscal 2022 ended July 31, 2021. A copy of the press release is furnished herewith as Exhibit 99.1.</w:t>
      </w:r>
    </w:p>
    <w:p>
      <w:pPr>
        <w:spacing w:after="0" w:line="207" w:lineRule="exact"/>
        <w:rPr>
          <w:sz w:val="20"/>
          <w:szCs w:val="20"/>
          <w:color w:val="auto"/>
        </w:rPr>
      </w:pPr>
    </w:p>
    <w:p>
      <w:pPr>
        <w:ind w:firstLine="631"/>
        <w:spacing w:after="0" w:line="249" w:lineRule="auto"/>
        <w:rPr>
          <w:sz w:val="20"/>
          <w:szCs w:val="20"/>
          <w:color w:val="auto"/>
        </w:rPr>
      </w:pPr>
      <w:r>
        <w:rPr>
          <w:rFonts w:ascii="Arial" w:cs="Arial" w:eastAsia="Arial" w:hAnsi="Arial"/>
          <w:sz w:val="18"/>
          <w:szCs w:val="18"/>
          <w:color w:val="auto"/>
        </w:rPr>
        <w:t xml:space="preserve">Marvell will conduct a conference call on Thursday, August 26, 2021 at 1:45 p.m. Pacific Time to discuss results for the second quarter of fiscal 2022. Interested parties may join the conference call by dialing 1-888-317-6003 or 1-412-317-6061, passcode </w:t>
      </w:r>
      <w:r>
        <w:rPr>
          <w:rFonts w:ascii="Arial" w:cs="Arial" w:eastAsia="Arial" w:hAnsi="Arial"/>
          <w:sz w:val="18"/>
          <w:szCs w:val="18"/>
          <w:b w:val="1"/>
          <w:bCs w:val="1"/>
          <w:color w:val="auto"/>
        </w:rPr>
        <w:t>6573871</w:t>
      </w:r>
      <w:r>
        <w:rPr>
          <w:rFonts w:ascii="Arial" w:cs="Arial" w:eastAsia="Arial" w:hAnsi="Arial"/>
          <w:sz w:val="18"/>
          <w:szCs w:val="18"/>
          <w:color w:val="auto"/>
        </w:rPr>
        <w:t xml:space="preserve"> The call will be webcast and can be accessed at the Marvell Investor Relations website at http://investor.marvell.com/. A replay of the call can be accessed by dialing 1-877-344-7529 or 1-412-317-0088, passcode </w:t>
      </w:r>
      <w:r>
        <w:rPr>
          <w:rFonts w:ascii="Arial" w:cs="Arial" w:eastAsia="Arial" w:hAnsi="Arial"/>
          <w:sz w:val="18"/>
          <w:szCs w:val="18"/>
          <w:b w:val="1"/>
          <w:bCs w:val="1"/>
          <w:color w:val="auto"/>
        </w:rPr>
        <w:t>10159336</w:t>
      </w:r>
      <w:r>
        <w:rPr>
          <w:rFonts w:ascii="Arial" w:cs="Arial" w:eastAsia="Arial" w:hAnsi="Arial"/>
          <w:sz w:val="18"/>
          <w:szCs w:val="18"/>
          <w:color w:val="auto"/>
        </w:rPr>
        <w:t xml:space="preserve"> until Thursday, September 2, 2021.</w:t>
      </w:r>
    </w:p>
    <w:p>
      <w:pPr>
        <w:spacing w:after="0" w:line="21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220" w:lineRule="exact"/>
        <w:rPr>
          <w:sz w:val="20"/>
          <w:szCs w:val="20"/>
          <w:color w:val="auto"/>
        </w:rPr>
      </w:pPr>
    </w:p>
    <w:p>
      <w:pPr>
        <w:ind w:left="640"/>
        <w:spacing w:after="0"/>
        <w:tabs>
          <w:tab w:leader="none" w:pos="100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14" w:lineRule="exact"/>
        <w:rPr>
          <w:sz w:val="20"/>
          <w:szCs w:val="20"/>
          <w:color w:val="auto"/>
        </w:rPr>
      </w:pPr>
    </w:p>
    <w:p>
      <w:pPr>
        <w:ind w:left="1260"/>
        <w:spacing w:after="0"/>
        <w:tabs>
          <w:tab w:leader="none" w:pos="1720" w:val="left"/>
        </w:tabs>
        <w:rPr>
          <w:rFonts w:ascii="Arial" w:cs="Arial" w:eastAsia="Arial" w:hAnsi="Arial"/>
          <w:sz w:val="15"/>
          <w:szCs w:val="15"/>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FF"/>
          </w:rPr>
          <w:t>Press Release dated August 26, 2021, titled “Marvell Technology, Inc. Reports Second Quarter of Fiscal Year 2022 Financial Results”</w:t>
        </w:r>
      </w:hyperlink>
    </w:p>
    <w:p>
      <w:pPr>
        <w:spacing w:after="0" w:line="15" w:lineRule="exact"/>
        <w:rPr>
          <w:sz w:val="20"/>
          <w:szCs w:val="20"/>
          <w:color w:val="auto"/>
        </w:rPr>
      </w:pPr>
    </w:p>
    <w:p>
      <w:pPr>
        <w:ind w:left="1260"/>
        <w:spacing w:after="0"/>
        <w:tabs>
          <w:tab w:leader="none" w:pos="16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648970</wp:posOffset>
            </wp:positionV>
            <wp:extent cx="716153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61530" cy="41910"/>
                    </a:xfrm>
                    <a:prstGeom prst="rect">
                      <a:avLst/>
                    </a:prstGeom>
                    <a:noFill/>
                  </pic:spPr>
                </pic:pic>
              </a:graphicData>
            </a:graphic>
          </wp:anchor>
        </w:drawing>
      </w:r>
    </w:p>
    <w:p>
      <w:pPr>
        <w:sectPr>
          <w:pgSz w:w="11900" w:h="16838" w:orient="portrait"/>
          <w:cols w:equalWidth="0" w:num="1">
            <w:col w:w="11180"/>
          </w:cols>
          <w:pgMar w:left="320" w:top="127" w:right="399" w:bottom="1440" w:gutter="0" w:footer="0" w:header="0"/>
        </w:sectPr>
      </w:pPr>
    </w:p>
    <w:bookmarkStart w:id="2" w:name="page3"/>
    <w:bookmarkEnd w:id="2"/>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46" w:lineRule="exact"/>
        <w:rPr>
          <w:sz w:val="20"/>
          <w:szCs w:val="20"/>
          <w:color w:val="auto"/>
        </w:rPr>
      </w:pPr>
    </w:p>
    <w:p>
      <w:pPr>
        <w:ind w:firstLine="631"/>
        <w:spacing w:after="0" w:line="261"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20" w:lineRule="exact"/>
        <w:rPr>
          <w:sz w:val="20"/>
          <w:szCs w:val="20"/>
          <w:color w:val="auto"/>
        </w:rPr>
      </w:pPr>
    </w:p>
    <w:p>
      <w:pPr>
        <w:ind w:left="7000"/>
        <w:spacing w:after="0"/>
        <w:rPr>
          <w:sz w:val="20"/>
          <w:szCs w:val="20"/>
          <w:color w:val="auto"/>
        </w:rPr>
      </w:pPr>
      <w:r>
        <w:rPr>
          <w:rFonts w:ascii="Arial" w:cs="Arial" w:eastAsia="Arial" w:hAnsi="Arial"/>
          <w:sz w:val="18"/>
          <w:szCs w:val="18"/>
          <w:color w:val="auto"/>
        </w:rPr>
        <w:t>MARVELL TECHNOLOGY, INC.</w:t>
      </w:r>
    </w:p>
    <w:p>
      <w:pPr>
        <w:spacing w:after="0" w:line="279" w:lineRule="exact"/>
        <w:rPr>
          <w:sz w:val="20"/>
          <w:szCs w:val="20"/>
          <w:color w:val="auto"/>
        </w:rPr>
      </w:pPr>
    </w:p>
    <w:p>
      <w:pPr>
        <w:ind w:left="1760"/>
        <w:spacing w:after="0"/>
        <w:tabs>
          <w:tab w:leader="none" w:pos="6980" w:val="left"/>
          <w:tab w:leader="none" w:pos="7900" w:val="left"/>
        </w:tabs>
        <w:rPr>
          <w:sz w:val="20"/>
          <w:szCs w:val="20"/>
          <w:color w:val="auto"/>
        </w:rPr>
      </w:pPr>
      <w:r>
        <w:rPr>
          <w:rFonts w:ascii="Arial" w:cs="Arial" w:eastAsia="Arial" w:hAnsi="Arial"/>
          <w:sz w:val="18"/>
          <w:szCs w:val="18"/>
          <w:color w:val="auto"/>
        </w:rPr>
        <w:t>Date: August 26,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4627245</wp:posOffset>
            </wp:positionH>
            <wp:positionV relativeFrom="paragraph">
              <wp:posOffset>10160</wp:posOffset>
            </wp:positionV>
            <wp:extent cx="22199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19960" cy="8255"/>
                    </a:xfrm>
                    <a:prstGeom prst="rect">
                      <a:avLst/>
                    </a:prstGeom>
                    <a:noFill/>
                  </pic:spPr>
                </pic:pic>
              </a:graphicData>
            </a:graphic>
          </wp:anchor>
        </w:drawing>
      </w:r>
    </w:p>
    <w:p>
      <w:pPr>
        <w:spacing w:after="0" w:line="4" w:lineRule="exact"/>
        <w:rPr>
          <w:sz w:val="20"/>
          <w:szCs w:val="20"/>
          <w:color w:val="auto"/>
        </w:rPr>
      </w:pPr>
    </w:p>
    <w:p>
      <w:pPr>
        <w:ind w:left="7920"/>
        <w:spacing w:after="0"/>
        <w:rPr>
          <w:sz w:val="20"/>
          <w:szCs w:val="20"/>
          <w:color w:val="auto"/>
        </w:rPr>
      </w:pPr>
      <w:r>
        <w:rPr>
          <w:rFonts w:ascii="Arial" w:cs="Arial" w:eastAsia="Arial" w:hAnsi="Arial"/>
          <w:sz w:val="18"/>
          <w:szCs w:val="18"/>
          <w:b w:val="1"/>
          <w:bCs w:val="1"/>
          <w:color w:val="auto"/>
        </w:rPr>
        <w:t>Jean Hu</w:t>
      </w:r>
    </w:p>
    <w:p>
      <w:pPr>
        <w:spacing w:after="0" w:line="22" w:lineRule="exact"/>
        <w:rPr>
          <w:sz w:val="20"/>
          <w:szCs w:val="20"/>
          <w:color w:val="auto"/>
        </w:rPr>
      </w:pPr>
    </w:p>
    <w:p>
      <w:pPr>
        <w:ind w:left="79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080"/>
          </w:cols>
          <w:pgMar w:left="320" w:top="989" w:right="4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5678805</wp:posOffset>
            </wp:positionH>
            <wp:positionV relativeFrom="paragraph">
              <wp:posOffset>172085</wp:posOffset>
            </wp:positionV>
            <wp:extent cx="1460500" cy="4425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0500" cy="442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Reports Second Quarter of Fiscal Year 2022</w:t>
      </w:r>
    </w:p>
    <w:p>
      <w:pPr>
        <w:spacing w:after="0" w:line="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08" w:lineRule="exact"/>
        <w:rPr>
          <w:sz w:val="20"/>
          <w:szCs w:val="20"/>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Q2 Net Revenue: $1.076 billion, grew by 48% year-on-year</w:t>
      </w:r>
    </w:p>
    <w:p>
      <w:pPr>
        <w:spacing w:after="0" w:line="15"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Q2 Gross Margin: 34.6% GAAP gross margin; 64.8% non-GAAP gross margin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Q2 Diluted income (loss) per share: $(0.34) GAAP diluted loss per share; $0.34 non-GAAP diluted income per share</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Cash and cash equivalents: $560 million</w:t>
      </w:r>
    </w:p>
    <w:p>
      <w:pPr>
        <w:spacing w:after="0" w:line="222" w:lineRule="exact"/>
        <w:rPr>
          <w:sz w:val="20"/>
          <w:szCs w:val="20"/>
          <w:color w:val="auto"/>
        </w:rPr>
      </w:pPr>
    </w:p>
    <w:p>
      <w:pPr>
        <w:ind w:right="440"/>
        <w:spacing w:after="0" w:line="253" w:lineRule="auto"/>
        <w:rPr>
          <w:sz w:val="20"/>
          <w:szCs w:val="20"/>
          <w:color w:val="auto"/>
        </w:rPr>
      </w:pPr>
      <w:r>
        <w:rPr>
          <w:rFonts w:ascii="Arial" w:cs="Arial" w:eastAsia="Arial" w:hAnsi="Arial"/>
          <w:sz w:val="18"/>
          <w:szCs w:val="18"/>
          <w:b w:val="1"/>
          <w:bCs w:val="1"/>
          <w:color w:val="auto"/>
        </w:rPr>
        <w:t xml:space="preserve">Santa Clara, Calif. (August 26, 2021) </w:t>
      </w:r>
      <w:r>
        <w:rPr>
          <w:rFonts w:ascii="Arial" w:cs="Arial" w:eastAsia="Arial" w:hAnsi="Arial"/>
          <w:sz w:val="18"/>
          <w:szCs w:val="18"/>
          <w:color w:val="auto"/>
        </w:rPr>
        <w:t>- Marvell Technology, Inc. (NASDAQ: MRVL), a leader in infrastructure semiconductor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second quarter of fiscal year 2022.</w:t>
      </w:r>
    </w:p>
    <w:p>
      <w:pPr>
        <w:spacing w:after="0" w:line="200" w:lineRule="exact"/>
        <w:rPr>
          <w:sz w:val="20"/>
          <w:szCs w:val="20"/>
          <w:color w:val="auto"/>
        </w:rPr>
      </w:pPr>
    </w:p>
    <w:p>
      <w:pPr>
        <w:ind w:right="300"/>
        <w:spacing w:after="0" w:line="282" w:lineRule="auto"/>
        <w:rPr>
          <w:sz w:val="20"/>
          <w:szCs w:val="20"/>
          <w:color w:val="auto"/>
        </w:rPr>
      </w:pPr>
      <w:r>
        <w:rPr>
          <w:rFonts w:ascii="Arial" w:cs="Arial" w:eastAsia="Arial" w:hAnsi="Arial"/>
          <w:sz w:val="16"/>
          <w:szCs w:val="16"/>
          <w:color w:val="auto"/>
        </w:rPr>
        <w:t>Net revenue for the second quarter of fiscal 2022 was $1.076 billion, which exceeded the midpoint of the Company's guidance provided on June 7, 2021. GAAP net loss for the second quarter of fiscal 2022 was $(276) million, or $(0.34) per diluted share. Non-GAAP net income for the second quarter of fiscal 2022 was $284 million, or $0.34 per diluted share. Cash flow from operations for the second quarter was $222 million.</w:t>
      </w:r>
    </w:p>
    <w:p>
      <w:pPr>
        <w:spacing w:after="0" w:line="166" w:lineRule="exact"/>
        <w:rPr>
          <w:sz w:val="20"/>
          <w:szCs w:val="20"/>
          <w:color w:val="auto"/>
        </w:rPr>
      </w:pPr>
    </w:p>
    <w:p>
      <w:pPr>
        <w:ind w:right="40"/>
        <w:spacing w:after="0" w:line="249" w:lineRule="auto"/>
        <w:rPr>
          <w:sz w:val="20"/>
          <w:szCs w:val="20"/>
          <w:color w:val="auto"/>
        </w:rPr>
      </w:pPr>
      <w:r>
        <w:rPr>
          <w:rFonts w:ascii="Arial" w:cs="Arial" w:eastAsia="Arial" w:hAnsi="Arial"/>
          <w:sz w:val="16"/>
          <w:szCs w:val="16"/>
          <w:color w:val="auto"/>
        </w:rPr>
        <w:t>“Marvell delivered record revenue of $1.076 billion in the fiscal second quarter, above the midpoint of guidance, growing 29 percent sequentially and 48 percent year over year. Growth was driven by the data center, which now represents Marvell’s largest end market at 40 percent of total revenue, benefiting from our growing momentum in the fast-growing cloud infrastructure market,” said Matt Murphy, Marvell’s President and CEO. “I am pleased that stand-alone Marvell and the acquired Inphi businesses both contributed to our strong year-over-year revenue growth. We expect year-over-year revenue growth will accelerate in the third quarter, led by substantial contributions from the cloud data center market. In addition, we expect our 5G business to continue to grow with strong sequential revenue growth in the third quarter, and a significant step up projected in the fourth quarter.”</w:t>
      </w:r>
    </w:p>
    <w:p>
      <w:pPr>
        <w:spacing w:after="0" w:line="195" w:lineRule="exact"/>
        <w:rPr>
          <w:sz w:val="20"/>
          <w:szCs w:val="20"/>
          <w:color w:val="auto"/>
        </w:rPr>
      </w:pPr>
    </w:p>
    <w:p>
      <w:pPr>
        <w:ind w:right="140"/>
        <w:spacing w:after="0" w:line="252" w:lineRule="auto"/>
        <w:rPr>
          <w:sz w:val="20"/>
          <w:szCs w:val="20"/>
          <w:color w:val="auto"/>
        </w:rPr>
      </w:pPr>
      <w:r>
        <w:rPr>
          <w:rFonts w:ascii="Arial" w:cs="Arial" w:eastAsia="Arial" w:hAnsi="Arial"/>
          <w:sz w:val="16"/>
          <w:szCs w:val="16"/>
          <w:color w:val="auto"/>
        </w:rPr>
        <w:t>Historically, the Company reported revenue from three product groups: networking, storage and other. Beginning with the second quarter of fiscal 2022, the Company is changing its reporting to present revenue from five end markets: data center, carrier infrastructure, enterprise networking, consumer, and automotive/industrial. The company believes this presentation provides a better understanding of its business. For transition purposes, in this press release, the Company is reporting revenue from both product groups and end markets, including providing historical revenue data from end markets for prior periods. Starting with the third quarter of fiscal 2022, the Company expects to no longer report revenue by product group.</w:t>
      </w:r>
    </w:p>
    <w:p>
      <w:pPr>
        <w:spacing w:after="0" w:line="204" w:lineRule="exact"/>
        <w:rPr>
          <w:sz w:val="20"/>
          <w:szCs w:val="20"/>
          <w:color w:val="auto"/>
        </w:rPr>
      </w:pPr>
    </w:p>
    <w:p>
      <w:pPr>
        <w:ind w:right="140"/>
        <w:spacing w:after="0" w:line="235" w:lineRule="auto"/>
        <w:rPr>
          <w:sz w:val="20"/>
          <w:szCs w:val="20"/>
          <w:color w:val="auto"/>
        </w:rPr>
      </w:pPr>
      <w:r>
        <w:rPr>
          <w:rFonts w:ascii="Arial" w:cs="Arial" w:eastAsia="Arial" w:hAnsi="Arial"/>
          <w:sz w:val="18"/>
          <w:szCs w:val="18"/>
          <w:color w:val="auto"/>
        </w:rPr>
        <w:t>We categorize revenue from our five end markets by using a number of data points, including the type of customer purchasing the product, the function of our product being sold, and our knowledge of the end customer product or application into which our product will be incorporated. The categorization of products by end market is inherently subjective and can vary over time, both as a result of continued improvements in our ability to understand the final usage of our products, as well as changes in how our customers utilize our products.</w:t>
      </w:r>
    </w:p>
    <w:p>
      <w:pPr>
        <w:spacing w:after="0" w:line="215" w:lineRule="exact"/>
        <w:rPr>
          <w:sz w:val="20"/>
          <w:szCs w:val="20"/>
          <w:color w:val="auto"/>
        </w:rPr>
      </w:pPr>
    </w:p>
    <w:p>
      <w:pPr>
        <w:ind w:right="120"/>
        <w:spacing w:after="0" w:line="238" w:lineRule="auto"/>
        <w:rPr>
          <w:sz w:val="20"/>
          <w:szCs w:val="20"/>
          <w:color w:val="auto"/>
        </w:rPr>
      </w:pPr>
      <w:r>
        <w:rPr>
          <w:rFonts w:ascii="Arial" w:cs="Arial" w:eastAsia="Arial" w:hAnsi="Arial"/>
          <w:sz w:val="18"/>
          <w:szCs w:val="18"/>
          <w:color w:val="auto"/>
        </w:rPr>
        <w:t>Subsequent to quarter end, on August 3, 2021, the Company announced the execution of a definitive agreement to acquire Innovium, Inc. in an all-stock transaction. The transaction is expected to close by the end of calendar 2021, subject to the satisfaction of customary closing conditions, including approval by Innovium’s stockholders and applicable regulatory approvals.</w:t>
      </w:r>
    </w:p>
    <w:p>
      <w:pPr>
        <w:sectPr>
          <w:pgSz w:w="11900" w:h="16838" w:orient="portrait"/>
          <w:cols w:equalWidth="0" w:num="1">
            <w:col w:w="11240"/>
          </w:cols>
          <w:pgMar w:left="320" w:top="371"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color w:val="auto"/>
        </w:rPr>
        <w:t>The financial outlook for the third quarter of fiscal 2022 includes expected results of Inphi for the full quarter.</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Third Quarter of Fiscal 2022 Financial Outlook</w:t>
      </w:r>
    </w:p>
    <w:p>
      <w:pPr>
        <w:spacing w:after="0" w:line="114" w:lineRule="exact"/>
        <w:rPr>
          <w:sz w:val="20"/>
          <w:szCs w:val="20"/>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Net revenue is expected to be $1.145 billion +/- 3%.</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46.3% to 48.3%.</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64% to 65%.</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$584 million to $594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$365 million to $370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Basic weighted average shares outstanding are expected to be 824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Diluted weighted average shares outstanding are expected to be 841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loss per share is expected to be $(0.10) +/- $0.04 per share.</w:t>
      </w: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$0.38 +/- $0.03 per share.</w:t>
      </w:r>
    </w:p>
    <w:p>
      <w:pPr>
        <w:spacing w:after="0" w:line="213"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377"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Conference Call</w:t>
      </w:r>
    </w:p>
    <w:p>
      <w:pPr>
        <w:spacing w:after="0" w:line="233" w:lineRule="exact"/>
        <w:rPr>
          <w:sz w:val="20"/>
          <w:szCs w:val="20"/>
          <w:color w:val="auto"/>
        </w:rPr>
      </w:pPr>
    </w:p>
    <w:p>
      <w:pPr>
        <w:ind w:right="80"/>
        <w:spacing w:after="0" w:line="235" w:lineRule="auto"/>
        <w:rPr>
          <w:sz w:val="20"/>
          <w:szCs w:val="20"/>
          <w:color w:val="auto"/>
        </w:rPr>
      </w:pPr>
      <w:r>
        <w:rPr>
          <w:rFonts w:ascii="Arial" w:cs="Arial" w:eastAsia="Arial" w:hAnsi="Arial"/>
          <w:sz w:val="18"/>
          <w:szCs w:val="18"/>
          <w:color w:val="auto"/>
        </w:rPr>
        <w:t>Marvell will conduct a conference call on Thursday, August 26, 2021 at 1:45 p.m. Pacific Time to discuss results for the second quarter of fiscal 2022. Interested parties may join the conference call by dialing 1-888-317-6003 or 1-412-317-6061, passcode 6573871. The call will be webcast and can be accessed at the Marvell Investor Relations website at http://investor.marvell.com/. A replay of the call can be accessed by dialing 1-877-344-7529 or 1-412-317-0088, passcode 10159336 until Thursday, September 2, 2021.</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33" w:lineRule="exact"/>
        <w:rPr>
          <w:sz w:val="20"/>
          <w:szCs w:val="20"/>
          <w:color w:val="auto"/>
        </w:rPr>
      </w:pPr>
    </w:p>
    <w:p>
      <w:pPr>
        <w:spacing w:after="0" w:line="273"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adjustment associated with acquisition,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188" w:lineRule="exact"/>
        <w:rPr>
          <w:sz w:val="20"/>
          <w:szCs w:val="20"/>
          <w:color w:val="auto"/>
        </w:rPr>
      </w:pPr>
    </w:p>
    <w:p>
      <w:pPr>
        <w:ind w:right="20"/>
        <w:spacing w:after="0" w:line="233"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second quarter of fiscal 2022, a non-GAAP tax rate of 5.0% has been applied to the non-GAAP financial results.</w:t>
      </w:r>
    </w:p>
    <w:p>
      <w:pPr>
        <w:spacing w:after="0" w:line="214" w:lineRule="exact"/>
        <w:rPr>
          <w:sz w:val="20"/>
          <w:szCs w:val="20"/>
          <w:color w:val="auto"/>
        </w:rPr>
      </w:pPr>
    </w:p>
    <w:p>
      <w:pPr>
        <w:ind w:right="180"/>
        <w:spacing w:after="0" w:line="267"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91" w:lineRule="exact"/>
        <w:rPr>
          <w:sz w:val="20"/>
          <w:szCs w:val="20"/>
          <w:color w:val="auto"/>
        </w:rPr>
      </w:pPr>
    </w:p>
    <w:p>
      <w:pPr>
        <w:spacing w:after="0" w:line="246" w:lineRule="auto"/>
        <w:rPr>
          <w:sz w:val="20"/>
          <w:szCs w:val="20"/>
          <w:color w:val="auto"/>
        </w:rPr>
      </w:pPr>
      <w:r>
        <w:rPr>
          <w:rFonts w:ascii="Arial" w:cs="Arial" w:eastAsia="Arial" w:hAnsi="Arial"/>
          <w:sz w:val="18"/>
          <w:szCs w:val="18"/>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207" w:lineRule="exact"/>
        <w:rPr>
          <w:sz w:val="20"/>
          <w:szCs w:val="20"/>
          <w:color w:val="auto"/>
        </w:rPr>
      </w:pP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ind w:left="640" w:hanging="319"/>
        <w:spacing w:after="0" w:line="228" w:lineRule="auto"/>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ind w:left="640" w:right="120" w:hanging="319"/>
        <w:spacing w:after="0" w:line="234" w:lineRule="auto"/>
        <w:tabs>
          <w:tab w:leader="none" w:pos="636"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95" w:lineRule="exact"/>
        <w:rPr>
          <w:sz w:val="20"/>
          <w:szCs w:val="20"/>
          <w:color w:val="auto"/>
        </w:rPr>
      </w:pPr>
    </w:p>
    <w:p>
      <w:pPr>
        <w:ind w:right="140"/>
        <w:spacing w:after="0" w:line="282"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52" w:right="3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67" w:lineRule="exact"/>
        <w:rPr>
          <w:sz w:val="20"/>
          <w:szCs w:val="20"/>
          <w:color w:val="auto"/>
        </w:rPr>
      </w:pPr>
    </w:p>
    <w:p>
      <w:pPr>
        <w:spacing w:after="0" w:line="241"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failure to realize the anticipated benefits of the transaction with Inphi Corporation on a timely basis or at all, including as a result of our ability to successfully integrate the businesses of Marvell and Inphi or due to unexpected costs, liabilities, delays or other factors impacting the semiconductor industry; the risk that disruptions from the transaction with Inphi will harm our business, including current plans and operations; our ability to retain and hire key Inphi personnel; potential adverse reactions or changes to business relationships resulting from the transaction with Inphi; risks associated with third party contracts containing consent and/or other provisions that may be triggered by the transaction with Inphi; risks related to the impact of the COVID-19 pandemic which have impacted, and may continue to impact our business, workforce and operations, the transportation and manufacturing of our products, and the operations of our customers, distributors, vendors, suppliers, and partners; increased disruption and volatility in the capital markets and credit markets as a result of COVID-19, which could adversely affect our liquidity and capital resources; the impact of COVID-19, or other future pandemics, on the U.S. and global economies; disruptions caused by COVID-19 resulting in worker absenteeism, quarantines and restrictions on our employees' ability to work, innovate, collaborate, and travel; the effects that the current credit and market conditions caused by, or resulting from, COVID-19 could have on the liquidity and financial condition of us and our customers and suppliers, including any impact on the ability to meet contractual obligations; supply chain disruptions or component shortages that may impact the production of our products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and testing of our products;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market our 5G products to Tier 1 infrastructure customers; the stockholder dilution and other effects on us from, and our ability to complete (on a timely basis or at all) and realize the anticipated benefits of, announced acquisitions, divestitures and investments, such as our announced acquisition of Innovium; cancellations, rescheduling or deferrals of significant customer orders or shipments, as well as the ability of our customers to manage inventory; our ability to estimate customer demand and future sales accurately;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the risk of downturns in the semiconductor industry; risks related to our debt obligations; the outcome of pending or future litigation and legal and regulatory proceedings;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decreases in gross margin and results of operations in the future due to a number of factors; our ability to accurately categorize our products by end markets; our ability to scale our operations in response to changes in demand for existing or new products and services; risks associated with acquisition and consolidation activity in the semiconductor industry; our ability to protect our intellectual property; our maintenance of an effective system of internal controls; severe financial hardship or bankruptcy of one or more of our major customers;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40"/>
          </w:cols>
          <w:pgMar w:left="320" w:top="437" w:right="3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About Marvell</w:t>
      </w:r>
    </w:p>
    <w:p>
      <w:pPr>
        <w:spacing w:after="0" w:line="233" w:lineRule="exact"/>
        <w:rPr>
          <w:sz w:val="20"/>
          <w:szCs w:val="20"/>
          <w:color w:val="auto"/>
        </w:rPr>
      </w:pPr>
    </w:p>
    <w:p>
      <w:pPr>
        <w:spacing w:after="0" w:line="273"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9"/>
          <w:szCs w:val="9"/>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752" w:right="39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Inc.</w:t>
      </w: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2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380" w:type="dxa"/>
            <w:vAlign w:val="bottom"/>
            <w:tcBorders>
              <w:bottom w:val="single" w:sz="8" w:color="auto"/>
            </w:tcBorders>
            <w:gridSpan w:val="4"/>
          </w:tcPr>
          <w:p>
            <w:pPr>
              <w:jc w:val="right"/>
              <w:ind w:right="674"/>
              <w:spacing w:after="0"/>
              <w:rPr>
                <w:sz w:val="20"/>
                <w:szCs w:val="20"/>
                <w:color w:val="auto"/>
              </w:rPr>
            </w:pPr>
            <w:r>
              <w:rPr>
                <w:rFonts w:ascii="Arial" w:cs="Arial" w:eastAsia="Arial" w:hAnsi="Arial"/>
                <w:sz w:val="14"/>
                <w:szCs w:val="14"/>
                <w:b w:val="1"/>
                <w:bCs w:val="1"/>
                <w:color w:val="auto"/>
              </w:rPr>
              <w:t>Six Months Ended</w:t>
            </w:r>
          </w:p>
        </w:tc>
      </w:tr>
      <w:tr>
        <w:trPr>
          <w:trHeight w:val="130"/>
        </w:trPr>
        <w:tc>
          <w:tcPr>
            <w:tcW w:w="4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00" w:type="dxa"/>
            <w:vAlign w:val="bottom"/>
            <w:gridSpan w:val="2"/>
          </w:tcPr>
          <w:p>
            <w:pPr>
              <w:ind w:left="160"/>
              <w:spacing w:after="0" w:line="130"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160" w:type="dxa"/>
            <w:vAlign w:val="bottom"/>
            <w:gridSpan w:val="2"/>
          </w:tcPr>
          <w:p>
            <w:pPr>
              <w:ind w:left="160"/>
              <w:spacing w:after="0" w:line="130" w:lineRule="exact"/>
              <w:rPr>
                <w:sz w:val="20"/>
                <w:szCs w:val="20"/>
                <w:color w:val="auto"/>
              </w:rPr>
            </w:pPr>
            <w:r>
              <w:rPr>
                <w:rFonts w:ascii="Arial" w:cs="Arial" w:eastAsia="Arial" w:hAnsi="Arial"/>
                <w:sz w:val="14"/>
                <w:szCs w:val="14"/>
                <w:b w:val="1"/>
                <w:bCs w:val="1"/>
                <w:color w:val="auto"/>
              </w:rPr>
              <w:t>May 1,</w:t>
            </w:r>
          </w:p>
        </w:tc>
        <w:tc>
          <w:tcPr>
            <w:tcW w:w="240" w:type="dxa"/>
            <w:vAlign w:val="bottom"/>
          </w:tcPr>
          <w:p>
            <w:pPr>
              <w:spacing w:after="0"/>
              <w:rPr>
                <w:sz w:val="11"/>
                <w:szCs w:val="11"/>
                <w:color w:val="auto"/>
              </w:rPr>
            </w:pPr>
          </w:p>
        </w:tc>
        <w:tc>
          <w:tcPr>
            <w:tcW w:w="1080" w:type="dxa"/>
            <w:vAlign w:val="bottom"/>
          </w:tcPr>
          <w:p>
            <w:pPr>
              <w:jc w:val="right"/>
              <w:ind w:right="294"/>
              <w:spacing w:after="0" w:line="130" w:lineRule="exact"/>
              <w:rPr>
                <w:sz w:val="20"/>
                <w:szCs w:val="20"/>
                <w:color w:val="auto"/>
              </w:rPr>
            </w:pPr>
            <w:r>
              <w:rPr>
                <w:rFonts w:ascii="Arial" w:cs="Arial" w:eastAsia="Arial" w:hAnsi="Arial"/>
                <w:sz w:val="14"/>
                <w:szCs w:val="14"/>
                <w:b w:val="1"/>
                <w:bCs w:val="1"/>
                <w:color w:val="auto"/>
              </w:rPr>
              <w:t>August 1,</w:t>
            </w:r>
          </w:p>
        </w:tc>
        <w:tc>
          <w:tcPr>
            <w:tcW w:w="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40" w:type="dxa"/>
            <w:vAlign w:val="bottom"/>
            <w:gridSpan w:val="2"/>
          </w:tcPr>
          <w:p>
            <w:pPr>
              <w:ind w:left="140"/>
              <w:spacing w:after="0" w:line="130" w:lineRule="exact"/>
              <w:rPr>
                <w:sz w:val="20"/>
                <w:szCs w:val="20"/>
                <w:color w:val="auto"/>
              </w:rPr>
            </w:pPr>
            <w:r>
              <w:rPr>
                <w:rFonts w:ascii="Arial" w:cs="Arial" w:eastAsia="Arial" w:hAnsi="Arial"/>
                <w:sz w:val="14"/>
                <w:szCs w:val="14"/>
                <w:b w:val="1"/>
                <w:bCs w:val="1"/>
                <w:color w:val="auto"/>
              </w:rPr>
              <w:t>July 31,</w:t>
            </w:r>
          </w:p>
        </w:tc>
        <w:tc>
          <w:tcPr>
            <w:tcW w:w="220" w:type="dxa"/>
            <w:vAlign w:val="bottom"/>
          </w:tcPr>
          <w:p>
            <w:pPr>
              <w:spacing w:after="0"/>
              <w:rPr>
                <w:sz w:val="11"/>
                <w:szCs w:val="11"/>
                <w:color w:val="auto"/>
              </w:rPr>
            </w:pPr>
          </w:p>
        </w:tc>
        <w:tc>
          <w:tcPr>
            <w:tcW w:w="1020" w:type="dxa"/>
            <w:vAlign w:val="bottom"/>
          </w:tcPr>
          <w:p>
            <w:pPr>
              <w:jc w:val="right"/>
              <w:ind w:right="254"/>
              <w:spacing w:after="0" w:line="130" w:lineRule="exact"/>
              <w:rPr>
                <w:sz w:val="20"/>
                <w:szCs w:val="20"/>
                <w:color w:val="auto"/>
              </w:rPr>
            </w:pPr>
            <w:r>
              <w:rPr>
                <w:rFonts w:ascii="Arial" w:cs="Arial" w:eastAsia="Arial" w:hAnsi="Arial"/>
                <w:sz w:val="14"/>
                <w:szCs w:val="14"/>
                <w:b w:val="1"/>
                <w:bCs w:val="1"/>
                <w:color w:val="auto"/>
              </w:rPr>
              <w:t>August 1,</w:t>
            </w:r>
          </w:p>
        </w:tc>
      </w:tr>
      <w:tr>
        <w:trPr>
          <w:trHeight w:val="183"/>
        </w:trPr>
        <w:tc>
          <w:tcPr>
            <w:tcW w:w="426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08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2020</w:t>
            </w:r>
          </w:p>
        </w:tc>
        <w:tc>
          <w:tcPr>
            <w:tcW w:w="140" w:type="dxa"/>
            <w:vAlign w:val="bottom"/>
            <w:tcBorders>
              <w:bottom w:val="single" w:sz="8" w:color="CCEEFF"/>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right"/>
              <w:ind w:right="375"/>
              <w:spacing w:after="0"/>
              <w:rPr>
                <w:sz w:val="20"/>
                <w:szCs w:val="20"/>
                <w:color w:val="auto"/>
              </w:rPr>
            </w:pPr>
            <w:r>
              <w:rPr>
                <w:rFonts w:ascii="Arial" w:cs="Arial" w:eastAsia="Arial" w:hAnsi="Arial"/>
                <w:sz w:val="14"/>
                <w:szCs w:val="14"/>
                <w:b w:val="1"/>
                <w:bCs w:val="1"/>
                <w:color w:val="auto"/>
              </w:rPr>
              <w:t>2021</w:t>
            </w:r>
          </w:p>
        </w:tc>
        <w:tc>
          <w:tcPr>
            <w:tcW w:w="16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2020</w:t>
            </w:r>
          </w:p>
        </w:tc>
      </w:tr>
      <w:tr>
        <w:trPr>
          <w:trHeight w:val="217"/>
        </w:trPr>
        <w:tc>
          <w:tcPr>
            <w:tcW w:w="426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1,075,881</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832,279</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1,908,160</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1,420,938</w:t>
            </w:r>
          </w:p>
        </w:tc>
      </w:tr>
      <w:tr>
        <w:trPr>
          <w:trHeight w:val="223"/>
        </w:trPr>
        <w:tc>
          <w:tcPr>
            <w:tcW w:w="426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Cost of goods sold</w:t>
            </w:r>
          </w:p>
        </w:tc>
        <w:tc>
          <w:tcPr>
            <w:tcW w:w="26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704,051</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414,138</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368,041</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1,118,189</w:t>
            </w:r>
          </w:p>
        </w:tc>
        <w:tc>
          <w:tcPr>
            <w:tcW w:w="16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734,780</w:t>
            </w:r>
          </w:p>
        </w:tc>
      </w:tr>
      <w:tr>
        <w:trPr>
          <w:trHeight w:val="217"/>
        </w:trPr>
        <w:tc>
          <w:tcPr>
            <w:tcW w:w="426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Gross profit</w:t>
            </w:r>
          </w:p>
        </w:tc>
        <w:tc>
          <w:tcPr>
            <w:tcW w:w="26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371,830</w:t>
            </w:r>
          </w:p>
        </w:tc>
        <w:tc>
          <w:tcPr>
            <w:tcW w:w="14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418,141</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359,256</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789,971</w:t>
            </w:r>
          </w:p>
        </w:tc>
        <w:tc>
          <w:tcPr>
            <w:tcW w:w="16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686,158</w:t>
            </w:r>
          </w:p>
        </w:tc>
      </w:tr>
      <w:tr>
        <w:trPr>
          <w:trHeight w:val="243"/>
        </w:trPr>
        <w:tc>
          <w:tcPr>
            <w:tcW w:w="4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spacing w:after="0"/>
              <w:rPr>
                <w:sz w:val="21"/>
                <w:szCs w:val="21"/>
                <w:color w:val="auto"/>
              </w:rPr>
            </w:pPr>
          </w:p>
        </w:tc>
      </w:tr>
      <w:tr>
        <w:trPr>
          <w:trHeight w:val="223"/>
        </w:trPr>
        <w:tc>
          <w:tcPr>
            <w:tcW w:w="4260" w:type="dxa"/>
            <w:vAlign w:val="bottom"/>
            <w:shd w:val="clear" w:color="auto" w:fill="CCEEFF"/>
          </w:tcPr>
          <w:p>
            <w:pPr>
              <w:ind w:left="60"/>
              <w:spacing w:after="0"/>
              <w:rPr>
                <w:sz w:val="20"/>
                <w:szCs w:val="20"/>
                <w:color w:val="auto"/>
              </w:rPr>
            </w:pPr>
            <w:r>
              <w:rPr>
                <w:rFonts w:ascii="Arial" w:cs="Arial" w:eastAsia="Arial" w:hAnsi="Arial"/>
                <w:sz w:val="18"/>
                <w:szCs w:val="18"/>
                <w:color w:val="auto"/>
              </w:rPr>
              <w:t>Operating expenses:</w:t>
            </w:r>
          </w:p>
        </w:tc>
        <w:tc>
          <w:tcPr>
            <w:tcW w:w="26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r>
      <w:tr>
        <w:trPr>
          <w:trHeight w:val="223"/>
        </w:trPr>
        <w:tc>
          <w:tcPr>
            <w:tcW w:w="4260" w:type="dxa"/>
            <w:vAlign w:val="bottom"/>
          </w:tcPr>
          <w:p>
            <w:pPr>
              <w:ind w:left="500"/>
              <w:spacing w:after="0"/>
              <w:rPr>
                <w:sz w:val="20"/>
                <w:szCs w:val="20"/>
                <w:color w:val="auto"/>
              </w:rPr>
            </w:pPr>
            <w:r>
              <w:rPr>
                <w:rFonts w:ascii="Arial" w:cs="Arial" w:eastAsia="Arial" w:hAnsi="Arial"/>
                <w:sz w:val="18"/>
                <w:szCs w:val="18"/>
                <w:color w:val="auto"/>
              </w:rPr>
              <w:t>Research and development</w:t>
            </w:r>
          </w:p>
        </w:tc>
        <w:tc>
          <w:tcPr>
            <w:tcW w:w="26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367,043</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286,100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277,139</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653,143</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556,723</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Selling, general and administrative</w:t>
            </w:r>
          </w:p>
        </w:tc>
        <w:tc>
          <w:tcPr>
            <w:tcW w:w="26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259,161</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201,466</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112,794</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460,627</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234,821</w:t>
            </w:r>
          </w:p>
        </w:tc>
      </w:tr>
      <w:tr>
        <w:trPr>
          <w:trHeight w:val="223"/>
        </w:trPr>
        <w:tc>
          <w:tcPr>
            <w:tcW w:w="4260" w:type="dxa"/>
            <w:vAlign w:val="bottom"/>
            <w:tcBorders>
              <w:bottom w:val="single" w:sz="8" w:color="CCEEFF"/>
            </w:tcBorders>
          </w:tcPr>
          <w:p>
            <w:pPr>
              <w:ind w:left="500"/>
              <w:spacing w:after="0"/>
              <w:rPr>
                <w:sz w:val="20"/>
                <w:szCs w:val="20"/>
                <w:color w:val="auto"/>
              </w:rPr>
            </w:pPr>
            <w:r>
              <w:rPr>
                <w:rFonts w:ascii="Arial" w:cs="Arial" w:eastAsia="Arial" w:hAnsi="Arial"/>
                <w:sz w:val="18"/>
                <w:szCs w:val="18"/>
                <w:color w:val="auto"/>
              </w:rPr>
              <w:t>Restructuring related charges</w:t>
            </w:r>
          </w:p>
        </w:tc>
        <w:tc>
          <w:tcPr>
            <w:tcW w:w="26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12,294</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12,886</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120,590</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25,180</w:t>
            </w:r>
          </w:p>
        </w:tc>
        <w:tc>
          <w:tcPr>
            <w:tcW w:w="16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141,877</w:t>
            </w:r>
          </w:p>
        </w:tc>
      </w:tr>
      <w:tr>
        <w:trPr>
          <w:trHeight w:val="217"/>
        </w:trPr>
        <w:tc>
          <w:tcPr>
            <w:tcW w:w="4260" w:type="dxa"/>
            <w:vAlign w:val="bottom"/>
            <w:shd w:val="clear" w:color="auto" w:fill="CCEEFF"/>
          </w:tcPr>
          <w:p>
            <w:pPr>
              <w:ind w:left="920"/>
              <w:spacing w:after="0" w:line="203" w:lineRule="exact"/>
              <w:rPr>
                <w:sz w:val="20"/>
                <w:szCs w:val="20"/>
                <w:color w:val="auto"/>
              </w:rPr>
            </w:pPr>
            <w:r>
              <w:rPr>
                <w:rFonts w:ascii="Arial" w:cs="Arial" w:eastAsia="Arial" w:hAnsi="Arial"/>
                <w:sz w:val="18"/>
                <w:szCs w:val="18"/>
                <w:color w:val="auto"/>
              </w:rPr>
              <w:t>Total operating expenses</w:t>
            </w:r>
          </w:p>
        </w:tc>
        <w:tc>
          <w:tcPr>
            <w:tcW w:w="26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638,498</w:t>
            </w:r>
          </w:p>
        </w:tc>
        <w:tc>
          <w:tcPr>
            <w:tcW w:w="14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500,452</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510,523</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1,138,950</w:t>
            </w:r>
          </w:p>
        </w:tc>
        <w:tc>
          <w:tcPr>
            <w:tcW w:w="16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933,421</w:t>
            </w:r>
          </w:p>
        </w:tc>
      </w:tr>
      <w:tr>
        <w:trPr>
          <w:trHeight w:val="216"/>
        </w:trPr>
        <w:tc>
          <w:tcPr>
            <w:tcW w:w="4260" w:type="dxa"/>
            <w:vAlign w:val="bottom"/>
          </w:tcPr>
          <w:p>
            <w:pPr>
              <w:ind w:left="60"/>
              <w:spacing w:after="0"/>
              <w:rPr>
                <w:sz w:val="20"/>
                <w:szCs w:val="20"/>
                <w:color w:val="auto"/>
              </w:rPr>
            </w:pPr>
            <w:r>
              <w:rPr>
                <w:rFonts w:ascii="Arial" w:cs="Arial" w:eastAsia="Arial" w:hAnsi="Arial"/>
                <w:sz w:val="18"/>
                <w:szCs w:val="18"/>
                <w:color w:val="auto"/>
              </w:rPr>
              <w:t>Operating loss</w:t>
            </w:r>
          </w:p>
        </w:tc>
        <w:tc>
          <w:tcPr>
            <w:tcW w:w="26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(266,668)</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(82,311)</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(151,267)</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(348,979)</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(247,263)</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Interest income</w:t>
            </w:r>
          </w:p>
        </w:tc>
        <w:tc>
          <w:tcPr>
            <w:tcW w:w="26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372</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1,635</w:t>
            </w:r>
          </w:p>
        </w:tc>
      </w:tr>
      <w:tr>
        <w:trPr>
          <w:trHeight w:val="223"/>
        </w:trPr>
        <w:tc>
          <w:tcPr>
            <w:tcW w:w="4260" w:type="dxa"/>
            <w:vAlign w:val="bottom"/>
          </w:tcPr>
          <w:p>
            <w:pPr>
              <w:ind w:left="500"/>
              <w:spacing w:after="0"/>
              <w:rPr>
                <w:sz w:val="20"/>
                <w:szCs w:val="20"/>
                <w:color w:val="auto"/>
              </w:rPr>
            </w:pPr>
            <w:r>
              <w:rPr>
                <w:rFonts w:ascii="Arial" w:cs="Arial" w:eastAsia="Arial" w:hAnsi="Arial"/>
                <w:sz w:val="18"/>
                <w:szCs w:val="18"/>
                <w:color w:val="auto"/>
              </w:rPr>
              <w:t>Interest expense</w:t>
            </w:r>
          </w:p>
        </w:tc>
        <w:tc>
          <w:tcPr>
            <w:tcW w:w="26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(33,814)</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(35,141)</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(15,635)</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(68,955)</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(32,465)</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Other income (loss), net</w:t>
            </w:r>
          </w:p>
        </w:tc>
        <w:tc>
          <w:tcPr>
            <w:tcW w:w="26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(1,654)</w:t>
            </w:r>
          </w:p>
        </w:tc>
        <w:tc>
          <w:tcPr>
            <w:tcW w:w="1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1,223</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(440)</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w:t>
            </w:r>
          </w:p>
        </w:tc>
        <w:tc>
          <w:tcPr>
            <w:tcW w:w="16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3,314</w:t>
            </w:r>
          </w:p>
        </w:tc>
      </w:tr>
      <w:tr>
        <w:trPr>
          <w:trHeight w:val="216"/>
        </w:trPr>
        <w:tc>
          <w:tcPr>
            <w:tcW w:w="4260" w:type="dxa"/>
            <w:vAlign w:val="bottom"/>
            <w:tcBorders>
              <w:bottom w:val="single" w:sz="8" w:color="CCEEFF"/>
            </w:tcBorders>
          </w:tcPr>
          <w:p>
            <w:pPr>
              <w:ind w:left="920"/>
              <w:spacing w:after="0" w:line="203" w:lineRule="exact"/>
              <w:rPr>
                <w:sz w:val="20"/>
                <w:szCs w:val="20"/>
                <w:color w:val="auto"/>
              </w:rPr>
            </w:pPr>
            <w:r>
              <w:rPr>
                <w:rFonts w:ascii="Arial" w:cs="Arial" w:eastAsia="Arial" w:hAnsi="Arial"/>
                <w:sz w:val="18"/>
                <w:szCs w:val="18"/>
                <w:color w:val="auto"/>
              </w:rPr>
              <w:t>Interest and other income (loss), net</w:t>
            </w:r>
          </w:p>
        </w:tc>
        <w:tc>
          <w:tcPr>
            <w:tcW w:w="26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(35,318)</w:t>
            </w:r>
          </w:p>
        </w:tc>
        <w:tc>
          <w:tcPr>
            <w:tcW w:w="14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(33,696)</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(15,498)</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(69,014)</w:t>
            </w:r>
          </w:p>
        </w:tc>
        <w:tc>
          <w:tcPr>
            <w:tcW w:w="16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(27,516)</w:t>
            </w:r>
          </w:p>
        </w:tc>
      </w:tr>
      <w:tr>
        <w:trPr>
          <w:trHeight w:val="217"/>
        </w:trPr>
        <w:tc>
          <w:tcPr>
            <w:tcW w:w="4260" w:type="dxa"/>
            <w:vAlign w:val="bottom"/>
            <w:shd w:val="clear" w:color="auto" w:fill="CCEEFF"/>
          </w:tcPr>
          <w:p>
            <w:pPr>
              <w:ind w:left="60"/>
              <w:spacing w:after="0"/>
              <w:rPr>
                <w:sz w:val="20"/>
                <w:szCs w:val="20"/>
                <w:color w:val="auto"/>
              </w:rPr>
            </w:pPr>
            <w:r>
              <w:rPr>
                <w:rFonts w:ascii="Arial" w:cs="Arial" w:eastAsia="Arial" w:hAnsi="Arial"/>
                <w:sz w:val="18"/>
                <w:szCs w:val="18"/>
                <w:color w:val="auto"/>
              </w:rPr>
              <w:t>Loss before income taxes</w:t>
            </w:r>
          </w:p>
        </w:tc>
        <w:tc>
          <w:tcPr>
            <w:tcW w:w="26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(301,986)</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(116,007)</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(166,765)</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(417,993)</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(274,779)</w:t>
            </w:r>
          </w:p>
        </w:tc>
      </w:tr>
      <w:tr>
        <w:trPr>
          <w:trHeight w:val="223"/>
        </w:trPr>
        <w:tc>
          <w:tcPr>
            <w:tcW w:w="426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Benefit for income taxes</w:t>
            </w:r>
          </w:p>
        </w:tc>
        <w:tc>
          <w:tcPr>
            <w:tcW w:w="26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(25,558)</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(27,765)</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(8,872)</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(53,323)</w:t>
            </w:r>
          </w:p>
        </w:tc>
        <w:tc>
          <w:tcPr>
            <w:tcW w:w="16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(3,853)</w:t>
            </w:r>
          </w:p>
        </w:tc>
      </w:tr>
      <w:tr>
        <w:trPr>
          <w:trHeight w:val="217"/>
        </w:trPr>
        <w:tc>
          <w:tcPr>
            <w:tcW w:w="426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Net loss</w:t>
            </w: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(276,428)</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(157,893)</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(364,670)</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(270,926)</w:t>
            </w:r>
          </w:p>
        </w:tc>
      </w:tr>
      <w:tr>
        <w:trPr>
          <w:trHeight w:val="250"/>
        </w:trPr>
        <w:tc>
          <w:tcPr>
            <w:tcW w:w="4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tcPr>
          <w:p>
            <w:pPr>
              <w:spacing w:after="0"/>
              <w:rPr>
                <w:sz w:val="21"/>
                <w:szCs w:val="21"/>
                <w:color w:val="auto"/>
              </w:rPr>
            </w:pPr>
          </w:p>
        </w:tc>
      </w:tr>
      <w:tr>
        <w:trPr>
          <w:trHeight w:val="222"/>
        </w:trPr>
        <w:tc>
          <w:tcPr>
            <w:tcW w:w="4260" w:type="dxa"/>
            <w:vAlign w:val="bottom"/>
            <w:tcBorders>
              <w:bottom w:val="single" w:sz="8" w:color="CCEEFF"/>
            </w:tcBorders>
            <w:shd w:val="clear" w:color="auto" w:fill="CCEEFF"/>
          </w:tcPr>
          <w:p>
            <w:pPr>
              <w:ind w:left="60"/>
              <w:spacing w:after="0" w:line="197" w:lineRule="exact"/>
              <w:rPr>
                <w:sz w:val="20"/>
                <w:szCs w:val="20"/>
                <w:color w:val="auto"/>
              </w:rPr>
            </w:pPr>
            <w:r>
              <w:rPr>
                <w:rFonts w:ascii="Arial" w:cs="Arial" w:eastAsia="Arial" w:hAnsi="Arial"/>
                <w:sz w:val="18"/>
                <w:szCs w:val="18"/>
                <w:color w:val="auto"/>
              </w:rPr>
              <w:t>Net loss per share — basic:</w:t>
            </w:r>
          </w:p>
        </w:tc>
        <w:tc>
          <w:tcPr>
            <w:tcW w:w="260" w:type="dxa"/>
            <w:vAlign w:val="bottom"/>
            <w:tcBorders>
              <w:bottom w:val="single" w:sz="8" w:color="auto"/>
            </w:tcBorders>
            <w:shd w:val="clear" w:color="auto" w:fill="CCEEFF"/>
          </w:tcPr>
          <w:p>
            <w:pPr>
              <w:jc w:val="right"/>
              <w:ind w:right="72"/>
              <w:spacing w:after="0" w:line="197"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(0.34)</w:t>
            </w:r>
          </w:p>
        </w:tc>
        <w:tc>
          <w:tcPr>
            <w:tcW w:w="14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ind w:left="20"/>
              <w:spacing w:after="0" w:line="197" w:lineRule="exact"/>
              <w:rPr>
                <w:sz w:val="20"/>
                <w:szCs w:val="20"/>
                <w:color w:val="auto"/>
              </w:rPr>
            </w:pPr>
            <w:r>
              <w:rPr>
                <w:rFonts w:ascii="Arial" w:cs="Arial" w:eastAsia="Arial" w:hAnsi="Arial"/>
                <w:sz w:val="18"/>
                <w:szCs w:val="18"/>
                <w:color w:val="auto"/>
              </w:rPr>
              <w:t>$</w:t>
            </w:r>
          </w:p>
        </w:tc>
        <w:tc>
          <w:tcPr>
            <w:tcW w:w="102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(0.13)</w:t>
            </w:r>
          </w:p>
        </w:tc>
        <w:tc>
          <w:tcPr>
            <w:tcW w:w="14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32"/>
              <w:spacing w:after="0" w:line="197" w:lineRule="exact"/>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(0.24)</w:t>
            </w:r>
          </w:p>
        </w:tc>
        <w:tc>
          <w:tcPr>
            <w:tcW w:w="14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32"/>
              <w:spacing w:after="0" w:line="197" w:lineRule="exact"/>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(0.48)</w:t>
            </w:r>
          </w:p>
        </w:tc>
        <w:tc>
          <w:tcPr>
            <w:tcW w:w="16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ind w:right="32"/>
              <w:spacing w:after="0" w:line="197" w:lineRule="exact"/>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(0.41)</w:t>
            </w:r>
          </w:p>
        </w:tc>
      </w:tr>
      <w:tr>
        <w:trPr>
          <w:trHeight w:val="20"/>
        </w:trPr>
        <w:tc>
          <w:tcPr>
            <w:tcW w:w="4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r>
      <w:tr>
        <w:trPr>
          <w:trHeight w:val="196"/>
        </w:trPr>
        <w:tc>
          <w:tcPr>
            <w:tcW w:w="42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r>
      <w:tr>
        <w:trPr>
          <w:trHeight w:val="222"/>
        </w:trPr>
        <w:tc>
          <w:tcPr>
            <w:tcW w:w="4260" w:type="dxa"/>
            <w:vAlign w:val="bottom"/>
            <w:tcBorders>
              <w:bottom w:val="single" w:sz="8" w:color="CCEEFF"/>
            </w:tcBorders>
            <w:shd w:val="clear" w:color="auto" w:fill="CCEEFF"/>
          </w:tcPr>
          <w:p>
            <w:pPr>
              <w:ind w:left="60"/>
              <w:spacing w:after="0" w:line="197" w:lineRule="exact"/>
              <w:rPr>
                <w:sz w:val="20"/>
                <w:szCs w:val="20"/>
                <w:color w:val="auto"/>
              </w:rPr>
            </w:pPr>
            <w:r>
              <w:rPr>
                <w:rFonts w:ascii="Arial" w:cs="Arial" w:eastAsia="Arial" w:hAnsi="Arial"/>
                <w:sz w:val="18"/>
                <w:szCs w:val="18"/>
                <w:color w:val="auto"/>
              </w:rPr>
              <w:t>Net loss per share — diluted:</w:t>
            </w:r>
          </w:p>
        </w:tc>
        <w:tc>
          <w:tcPr>
            <w:tcW w:w="260" w:type="dxa"/>
            <w:vAlign w:val="bottom"/>
            <w:tcBorders>
              <w:bottom w:val="single" w:sz="8" w:color="auto"/>
            </w:tcBorders>
            <w:shd w:val="clear" w:color="auto" w:fill="CCEEFF"/>
          </w:tcPr>
          <w:p>
            <w:pPr>
              <w:jc w:val="right"/>
              <w:ind w:right="72"/>
              <w:spacing w:after="0" w:line="197"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(0.34)</w:t>
            </w:r>
          </w:p>
        </w:tc>
        <w:tc>
          <w:tcPr>
            <w:tcW w:w="14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ind w:left="20"/>
              <w:spacing w:after="0" w:line="197" w:lineRule="exact"/>
              <w:rPr>
                <w:sz w:val="20"/>
                <w:szCs w:val="20"/>
                <w:color w:val="auto"/>
              </w:rPr>
            </w:pPr>
            <w:r>
              <w:rPr>
                <w:rFonts w:ascii="Arial" w:cs="Arial" w:eastAsia="Arial" w:hAnsi="Arial"/>
                <w:sz w:val="18"/>
                <w:szCs w:val="18"/>
                <w:color w:val="auto"/>
              </w:rPr>
              <w:t>$</w:t>
            </w:r>
          </w:p>
        </w:tc>
        <w:tc>
          <w:tcPr>
            <w:tcW w:w="102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(0.13)</w:t>
            </w:r>
          </w:p>
        </w:tc>
        <w:tc>
          <w:tcPr>
            <w:tcW w:w="14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32"/>
              <w:spacing w:after="0" w:line="197" w:lineRule="exact"/>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(0.24)</w:t>
            </w:r>
          </w:p>
        </w:tc>
        <w:tc>
          <w:tcPr>
            <w:tcW w:w="14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32"/>
              <w:spacing w:after="0" w:line="197" w:lineRule="exact"/>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(0.48)</w:t>
            </w:r>
          </w:p>
        </w:tc>
        <w:tc>
          <w:tcPr>
            <w:tcW w:w="16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ind w:right="32"/>
              <w:spacing w:after="0" w:line="197" w:lineRule="exact"/>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(0.41)</w:t>
            </w:r>
          </w:p>
        </w:tc>
      </w:tr>
      <w:tr>
        <w:trPr>
          <w:trHeight w:val="20"/>
        </w:trPr>
        <w:tc>
          <w:tcPr>
            <w:tcW w:w="4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r>
      <w:tr>
        <w:trPr>
          <w:trHeight w:val="196"/>
        </w:trPr>
        <w:tc>
          <w:tcPr>
            <w:tcW w:w="42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r>
      <w:tr>
        <w:trPr>
          <w:trHeight w:val="223"/>
        </w:trPr>
        <w:tc>
          <w:tcPr>
            <w:tcW w:w="4260" w:type="dxa"/>
            <w:vAlign w:val="bottom"/>
            <w:shd w:val="clear" w:color="auto" w:fill="CCEEFF"/>
          </w:tcPr>
          <w:p>
            <w:pPr>
              <w:ind w:left="60"/>
              <w:spacing w:after="0"/>
              <w:rPr>
                <w:sz w:val="20"/>
                <w:szCs w:val="20"/>
                <w:color w:val="auto"/>
              </w:rPr>
            </w:pPr>
            <w:r>
              <w:rPr>
                <w:rFonts w:ascii="Arial" w:cs="Arial" w:eastAsia="Arial" w:hAnsi="Arial"/>
                <w:sz w:val="18"/>
                <w:szCs w:val="18"/>
                <w:color w:val="auto"/>
              </w:rPr>
              <w:t>Weighted average shares:</w:t>
            </w:r>
          </w:p>
        </w:tc>
        <w:tc>
          <w:tcPr>
            <w:tcW w:w="26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r>
      <w:tr>
        <w:trPr>
          <w:trHeight w:val="223"/>
        </w:trPr>
        <w:tc>
          <w:tcPr>
            <w:tcW w:w="4260" w:type="dxa"/>
            <w:vAlign w:val="bottom"/>
          </w:tcPr>
          <w:p>
            <w:pPr>
              <w:ind w:left="500"/>
              <w:spacing w:after="0"/>
              <w:rPr>
                <w:sz w:val="20"/>
                <w:szCs w:val="20"/>
                <w:color w:val="auto"/>
              </w:rPr>
            </w:pPr>
            <w:r>
              <w:rPr>
                <w:rFonts w:ascii="Arial" w:cs="Arial" w:eastAsia="Arial" w:hAnsi="Arial"/>
                <w:sz w:val="18"/>
                <w:szCs w:val="18"/>
                <w:color w:val="auto"/>
              </w:rPr>
              <w:t>Basic</w:t>
            </w:r>
          </w:p>
        </w:tc>
        <w:tc>
          <w:tcPr>
            <w:tcW w:w="26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821,062</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693,378</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667,574</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757,205</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665,541</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Diluted</w:t>
            </w:r>
          </w:p>
        </w:tc>
        <w:tc>
          <w:tcPr>
            <w:tcW w:w="26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821,062</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693,378</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667,574</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757,205</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665,541</w:t>
            </w:r>
          </w:p>
        </w:tc>
      </w:tr>
    </w:tbl>
    <w:p>
      <w:pPr>
        <w:sectPr>
          <w:pgSz w:w="11900" w:h="16838" w:orient="portrait"/>
          <w:cols w:equalWidth="0" w:num="1">
            <w:col w:w="11240"/>
          </w:cols>
          <w:pgMar w:left="320" w:top="752" w:right="339" w:bottom="1440" w:gutter="0" w:footer="0" w:header="0"/>
        </w:sectPr>
      </w:pPr>
    </w:p>
    <w:bookmarkStart w:id="9" w:name="page10"/>
    <w:bookmarkEnd w:id="9"/>
    <w:p>
      <w:pPr>
        <w:jc w:val="center"/>
        <w:ind w:right="20"/>
        <w:spacing w:after="0"/>
        <w:rPr>
          <w:sz w:val="20"/>
          <w:szCs w:val="20"/>
          <w:color w:val="auto"/>
        </w:rPr>
      </w:pPr>
      <w:r>
        <w:rPr>
          <w:rFonts w:ascii="Arial" w:cs="Arial" w:eastAsia="Arial" w:hAnsi="Arial"/>
          <w:sz w:val="18"/>
          <w:szCs w:val="18"/>
          <w:b w:val="1"/>
          <w:bCs w:val="1"/>
          <w:color w:val="auto"/>
        </w:rPr>
        <w:t>Marvell Technology, Inc.</w:t>
      </w: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jc w:val="center"/>
        <w:ind w:right="20"/>
        <w:spacing w:after="0"/>
        <w:rPr>
          <w:sz w:val="20"/>
          <w:szCs w:val="20"/>
          <w:color w:val="auto"/>
        </w:rPr>
      </w:pPr>
      <w:r>
        <w:rPr>
          <w:rFonts w:ascii="Arial" w:cs="Arial" w:eastAsia="Arial" w:hAnsi="Arial"/>
          <w:sz w:val="18"/>
          <w:szCs w:val="18"/>
          <w:b w:val="1"/>
          <w:bCs w:val="1"/>
          <w:color w:val="auto"/>
        </w:rPr>
        <w:t>(In thousands)</w:t>
      </w:r>
    </w:p>
    <w:tbl>
      <w:tblPr>
        <w:tblLayout w:type="fixed"/>
        <w:tblInd w:w="0" w:type="dxa"/>
        <w:tblCellMar>
          <w:top w:w="0" w:type="dxa"/>
          <w:left w:w="0" w:type="dxa"/>
          <w:bottom w:w="0" w:type="dxa"/>
          <w:right w:w="0" w:type="dxa"/>
        </w:tblCellMar>
      </w:tblPr>
      <w:tr>
        <w:trPr>
          <w:trHeight w:val="146"/>
        </w:trPr>
        <w:tc>
          <w:tcPr>
            <w:tcW w:w="7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500" w:type="dxa"/>
            <w:vAlign w:val="bottom"/>
            <w:gridSpan w:val="2"/>
          </w:tcPr>
          <w:p>
            <w:pPr>
              <w:ind w:left="240"/>
              <w:spacing w:after="0" w:line="147"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2"/>
                <w:szCs w:val="12"/>
                <w:color w:val="auto"/>
              </w:rPr>
            </w:pPr>
          </w:p>
        </w:tc>
        <w:tc>
          <w:tcPr>
            <w:tcW w:w="1320" w:type="dxa"/>
            <w:vAlign w:val="bottom"/>
          </w:tcPr>
          <w:p>
            <w:pPr>
              <w:jc w:val="right"/>
              <w:ind w:right="354"/>
              <w:spacing w:after="0" w:line="147" w:lineRule="exact"/>
              <w:rPr>
                <w:sz w:val="20"/>
                <w:szCs w:val="20"/>
                <w:color w:val="auto"/>
              </w:rPr>
            </w:pPr>
            <w:r>
              <w:rPr>
                <w:rFonts w:ascii="Arial" w:cs="Arial" w:eastAsia="Arial" w:hAnsi="Arial"/>
                <w:sz w:val="14"/>
                <w:szCs w:val="14"/>
                <w:b w:val="1"/>
                <w:bCs w:val="1"/>
                <w:color w:val="auto"/>
              </w:rPr>
              <w:t>January 30,</w:t>
            </w:r>
          </w:p>
        </w:tc>
      </w:tr>
      <w:tr>
        <w:trPr>
          <w:trHeight w:val="183"/>
        </w:trPr>
        <w:tc>
          <w:tcPr>
            <w:tcW w:w="7760" w:type="dxa"/>
            <w:vAlign w:val="bottom"/>
            <w:tcBorders>
              <w:bottom w:val="single" w:sz="8" w:color="CCEEFF"/>
            </w:tcBorders>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128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2021</w:t>
            </w:r>
          </w:p>
        </w:tc>
        <w:tc>
          <w:tcPr>
            <w:tcW w:w="22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32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2021</w:t>
            </w:r>
          </w:p>
        </w:tc>
      </w:tr>
      <w:tr>
        <w:trPr>
          <w:trHeight w:val="204"/>
        </w:trPr>
        <w:tc>
          <w:tcPr>
            <w:tcW w:w="7760" w:type="dxa"/>
            <w:vAlign w:val="bottom"/>
            <w:shd w:val="clear" w:color="auto" w:fill="CCEEFF"/>
          </w:tcPr>
          <w:p>
            <w:pPr>
              <w:ind w:left="200"/>
              <w:spacing w:after="0" w:line="204" w:lineRule="exact"/>
              <w:rPr>
                <w:sz w:val="20"/>
                <w:szCs w:val="20"/>
                <w:color w:val="auto"/>
              </w:rPr>
            </w:pPr>
            <w:r>
              <w:rPr>
                <w:rFonts w:ascii="Arial" w:cs="Arial" w:eastAsia="Arial" w:hAnsi="Arial"/>
                <w:sz w:val="18"/>
                <w:szCs w:val="18"/>
                <w:b w:val="1"/>
                <w:bCs w:val="1"/>
                <w:color w:val="auto"/>
              </w:rPr>
              <w:t>Assets</w:t>
            </w:r>
          </w:p>
        </w:tc>
        <w:tc>
          <w:tcPr>
            <w:tcW w:w="32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Current assets:</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Cash and cash equivalents</w:t>
            </w:r>
          </w:p>
        </w:tc>
        <w:tc>
          <w:tcPr>
            <w:tcW w:w="3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559,617</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Accounts receivable,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785,611</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536,668</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459,532</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103,717</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r>
      <w:tr>
        <w:trPr>
          <w:trHeight w:val="217"/>
        </w:trPr>
        <w:tc>
          <w:tcPr>
            <w:tcW w:w="7760" w:type="dxa"/>
            <w:vAlign w:val="bottom"/>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current assets</w:t>
            </w:r>
          </w:p>
        </w:tc>
        <w:tc>
          <w:tcPr>
            <w:tcW w:w="3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1,908,477</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Property and equipment,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433,091</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326,125</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Goodwill</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10,976,443</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Acquired intangible assets,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6,285,388</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2,270,700</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tax assets</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517,123</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r>
      <w:tr>
        <w:trPr>
          <w:trHeight w:val="223"/>
        </w:trPr>
        <w:tc>
          <w:tcPr>
            <w:tcW w:w="776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Other non-current assets</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718,110</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42"/>
        </w:trPr>
        <w:tc>
          <w:tcPr>
            <w:tcW w:w="7760" w:type="dxa"/>
            <w:vAlign w:val="bottom"/>
            <w:tcBorders>
              <w:bottom w:val="single" w:sz="8" w:color="CCEEFF"/>
            </w:tcBorders>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assets</w:t>
            </w:r>
          </w:p>
        </w:tc>
        <w:tc>
          <w:tcPr>
            <w:tcW w:w="32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20,838,632</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r>
        <w:trPr>
          <w:trHeight w:val="157"/>
        </w:trPr>
        <w:tc>
          <w:tcPr>
            <w:tcW w:w="7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tcPr>
          <w:p>
            <w:pPr>
              <w:spacing w:after="0"/>
              <w:rPr>
                <w:sz w:val="13"/>
                <w:szCs w:val="13"/>
                <w:color w:val="auto"/>
              </w:rPr>
            </w:pPr>
          </w:p>
        </w:tc>
      </w:tr>
      <w:tr>
        <w:trPr>
          <w:trHeight w:val="223"/>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b w:val="1"/>
                <w:bCs w:val="1"/>
                <w:color w:val="auto"/>
              </w:rPr>
              <w:t>Liabilities and Stockholders’ Equity</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Current liabilities:</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Accounts payable</w:t>
            </w:r>
          </w:p>
        </w:tc>
        <w:tc>
          <w:tcPr>
            <w:tcW w:w="3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370,502</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Accrued liabilities</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519,214</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435,616</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Accrued employee compensation</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153,327</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Short-term debt</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41,390</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199,641</w:t>
            </w:r>
          </w:p>
        </w:tc>
      </w:tr>
      <w:tr>
        <w:trPr>
          <w:trHeight w:val="217"/>
        </w:trPr>
        <w:tc>
          <w:tcPr>
            <w:tcW w:w="7760" w:type="dxa"/>
            <w:vAlign w:val="bottom"/>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current liabilities</w:t>
            </w:r>
          </w:p>
        </w:tc>
        <w:tc>
          <w:tcPr>
            <w:tcW w:w="3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1,084,433</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1,077,097</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Long-term debt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4,662,844</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993,170</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Other non-current liabilities</w:t>
            </w:r>
          </w:p>
        </w:tc>
        <w:tc>
          <w:tcPr>
            <w:tcW w:w="320" w:type="dxa"/>
            <w:vAlign w:val="bottom"/>
            <w:tcBorders>
              <w:bottom w:val="single" w:sz="8" w:color="auto"/>
            </w:tcBorders>
            <w:shd w:val="clear" w:color="auto" w:fill="CCEEFF"/>
          </w:tcPr>
          <w:p>
            <w:pPr>
              <w:spacing w:after="0"/>
              <w:rPr>
                <w:sz w:val="19"/>
                <w:szCs w:val="19"/>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350,158</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16"/>
        </w:trPr>
        <w:tc>
          <w:tcPr>
            <w:tcW w:w="7760" w:type="dxa"/>
            <w:vAlign w:val="bottom"/>
            <w:tcBorders>
              <w:bottom w:val="single" w:sz="8" w:color="CCEEFF"/>
            </w:tcBorders>
          </w:tcPr>
          <w:p>
            <w:pPr>
              <w:ind w:left="1060"/>
              <w:spacing w:after="0" w:line="203" w:lineRule="exact"/>
              <w:rPr>
                <w:sz w:val="20"/>
                <w:szCs w:val="20"/>
                <w:color w:val="auto"/>
              </w:rPr>
            </w:pPr>
            <w:r>
              <w:rPr>
                <w:rFonts w:ascii="Arial" w:cs="Arial" w:eastAsia="Arial" w:hAnsi="Arial"/>
                <w:sz w:val="18"/>
                <w:szCs w:val="18"/>
                <w:color w:val="auto"/>
              </w:rPr>
              <w:t>Total liabilities</w:t>
            </w:r>
          </w:p>
        </w:tc>
        <w:tc>
          <w:tcPr>
            <w:tcW w:w="32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6,097,435</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r>
      <w:tr>
        <w:trPr>
          <w:trHeight w:val="191"/>
        </w:trPr>
        <w:tc>
          <w:tcPr>
            <w:tcW w:w="7760" w:type="dxa"/>
            <w:vAlign w:val="bottom"/>
            <w:shd w:val="clear" w:color="auto" w:fill="CCEEFF"/>
          </w:tcPr>
          <w:p>
            <w:pPr>
              <w:spacing w:after="0"/>
              <w:rPr>
                <w:sz w:val="16"/>
                <w:szCs w:val="16"/>
                <w:color w:val="auto"/>
              </w:rPr>
            </w:pPr>
          </w:p>
        </w:tc>
        <w:tc>
          <w:tcPr>
            <w:tcW w:w="320" w:type="dxa"/>
            <w:vAlign w:val="bottom"/>
            <w:shd w:val="clear" w:color="auto" w:fill="CCEEFF"/>
          </w:tcPr>
          <w:p>
            <w:pPr>
              <w:spacing w:after="0"/>
              <w:rPr>
                <w:sz w:val="16"/>
                <w:szCs w:val="16"/>
                <w:color w:val="auto"/>
              </w:rPr>
            </w:pPr>
          </w:p>
        </w:tc>
        <w:tc>
          <w:tcPr>
            <w:tcW w:w="128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320" w:type="dxa"/>
            <w:vAlign w:val="bottom"/>
            <w:shd w:val="clear" w:color="auto" w:fill="CCEEFF"/>
          </w:tcPr>
          <w:p>
            <w:pPr>
              <w:spacing w:after="0"/>
              <w:rPr>
                <w:sz w:val="16"/>
                <w:szCs w:val="16"/>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Stockholders’ equity:</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Common stock</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1,646</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Additional paid-in capital</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13,090,669</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6,331,013</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Retained earnings</w:t>
            </w:r>
          </w:p>
        </w:tc>
        <w:tc>
          <w:tcPr>
            <w:tcW w:w="320" w:type="dxa"/>
            <w:vAlign w:val="bottom"/>
            <w:tcBorders>
              <w:bottom w:val="single" w:sz="8" w:color="auto"/>
            </w:tcBorders>
            <w:shd w:val="clear" w:color="auto" w:fill="CCEEFF"/>
          </w:tcPr>
          <w:p>
            <w:pPr>
              <w:spacing w:after="0"/>
              <w:rPr>
                <w:sz w:val="19"/>
                <w:szCs w:val="19"/>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1,648,882</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r>
      <w:tr>
        <w:trPr>
          <w:trHeight w:val="216"/>
        </w:trPr>
        <w:tc>
          <w:tcPr>
            <w:tcW w:w="7760" w:type="dxa"/>
            <w:vAlign w:val="bottom"/>
            <w:tcBorders>
              <w:bottom w:val="single" w:sz="8" w:color="CCEEFF"/>
            </w:tcBorders>
          </w:tcPr>
          <w:p>
            <w:pPr>
              <w:ind w:left="1060"/>
              <w:spacing w:after="0" w:line="203" w:lineRule="exact"/>
              <w:rPr>
                <w:sz w:val="20"/>
                <w:szCs w:val="20"/>
                <w:color w:val="auto"/>
              </w:rPr>
            </w:pPr>
            <w:r>
              <w:rPr>
                <w:rFonts w:ascii="Arial" w:cs="Arial" w:eastAsia="Arial" w:hAnsi="Arial"/>
                <w:sz w:val="18"/>
                <w:szCs w:val="18"/>
                <w:color w:val="auto"/>
              </w:rPr>
              <w:t>Total stockholders’ equity</w:t>
            </w:r>
          </w:p>
        </w:tc>
        <w:tc>
          <w:tcPr>
            <w:tcW w:w="32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14,741,197</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r>
      <w:tr>
        <w:trPr>
          <w:trHeight w:val="242"/>
        </w:trPr>
        <w:tc>
          <w:tcPr>
            <w:tcW w:w="7760" w:type="dxa"/>
            <w:vAlign w:val="bottom"/>
            <w:tcBorders>
              <w:bottom w:val="single" w:sz="8" w:color="CCEEFF"/>
            </w:tcBorders>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liabilities and stockholders’ equity</w:t>
            </w:r>
          </w:p>
        </w:tc>
        <w:tc>
          <w:tcPr>
            <w:tcW w:w="32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20,838,632</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752" w:right="35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6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200" w:type="dxa"/>
            <w:vAlign w:val="bottom"/>
            <w:gridSpan w:val="5"/>
          </w:tcPr>
          <w:p>
            <w:pPr>
              <w:ind w:left="30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6"/>
                <w:szCs w:val="16"/>
                <w:color w:val="auto"/>
              </w:rPr>
            </w:pPr>
          </w:p>
        </w:tc>
        <w:tc>
          <w:tcPr>
            <w:tcW w:w="2120" w:type="dxa"/>
            <w:vAlign w:val="bottom"/>
            <w:gridSpan w:val="4"/>
          </w:tcPr>
          <w:p>
            <w:pPr>
              <w:jc w:val="right"/>
              <w:ind w:right="513"/>
              <w:spacing w:after="0"/>
              <w:rPr>
                <w:sz w:val="20"/>
                <w:szCs w:val="20"/>
                <w:color w:val="auto"/>
              </w:rPr>
            </w:pPr>
            <w:r>
              <w:rPr>
                <w:rFonts w:ascii="Arial" w:cs="Arial" w:eastAsia="Arial" w:hAnsi="Arial"/>
                <w:sz w:val="14"/>
                <w:szCs w:val="14"/>
                <w:b w:val="1"/>
                <w:bCs w:val="1"/>
                <w:color w:val="auto"/>
              </w:rPr>
              <w:t>Six Months Ended</w:t>
            </w:r>
          </w:p>
        </w:tc>
      </w:tr>
      <w:tr>
        <w:trPr>
          <w:trHeight w:val="130"/>
        </w:trPr>
        <w:tc>
          <w:tcPr>
            <w:tcW w:w="652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gridSpan w:val="2"/>
          </w:tcPr>
          <w:p>
            <w:pPr>
              <w:ind w:left="100"/>
              <w:spacing w:after="0" w:line="130" w:lineRule="exact"/>
              <w:rPr>
                <w:sz w:val="20"/>
                <w:szCs w:val="20"/>
                <w:color w:val="auto"/>
              </w:rPr>
            </w:pPr>
            <w:r>
              <w:rPr>
                <w:rFonts w:ascii="Arial" w:cs="Arial" w:eastAsia="Arial" w:hAnsi="Arial"/>
                <w:sz w:val="14"/>
                <w:szCs w:val="14"/>
                <w:b w:val="1"/>
                <w:bCs w:val="1"/>
                <w:color w:val="auto"/>
              </w:rPr>
              <w:t>July 31,</w:t>
            </w:r>
          </w:p>
        </w:tc>
        <w:tc>
          <w:tcPr>
            <w:tcW w:w="18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jc w:val="right"/>
              <w:ind w:right="173"/>
              <w:spacing w:after="0" w:line="130" w:lineRule="exact"/>
              <w:rPr>
                <w:sz w:val="20"/>
                <w:szCs w:val="20"/>
                <w:color w:val="auto"/>
              </w:rPr>
            </w:pPr>
            <w:r>
              <w:rPr>
                <w:rFonts w:ascii="Arial" w:cs="Arial" w:eastAsia="Arial" w:hAnsi="Arial"/>
                <w:sz w:val="14"/>
                <w:szCs w:val="14"/>
                <w:b w:val="1"/>
                <w:bCs w:val="1"/>
                <w:color w:val="auto"/>
                <w:w w:val="97"/>
              </w:rPr>
              <w:t>August 1,</w:t>
            </w:r>
          </w:p>
        </w:tc>
        <w:tc>
          <w:tcPr>
            <w:tcW w:w="12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ind w:left="140"/>
              <w:spacing w:after="0" w:line="130" w:lineRule="exact"/>
              <w:rPr>
                <w:sz w:val="20"/>
                <w:szCs w:val="20"/>
                <w:color w:val="auto"/>
              </w:rPr>
            </w:pPr>
            <w:r>
              <w:rPr>
                <w:rFonts w:ascii="Arial" w:cs="Arial" w:eastAsia="Arial" w:hAnsi="Arial"/>
                <w:sz w:val="14"/>
                <w:szCs w:val="14"/>
                <w:b w:val="1"/>
                <w:bCs w:val="1"/>
                <w:color w:val="auto"/>
              </w:rPr>
              <w:t>July 31,</w:t>
            </w:r>
          </w:p>
        </w:tc>
        <w:tc>
          <w:tcPr>
            <w:tcW w:w="18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tcPr>
          <w:p>
            <w:pPr>
              <w:jc w:val="right"/>
              <w:ind w:right="173"/>
              <w:spacing w:after="0" w:line="130" w:lineRule="exact"/>
              <w:rPr>
                <w:sz w:val="20"/>
                <w:szCs w:val="20"/>
                <w:color w:val="auto"/>
              </w:rPr>
            </w:pPr>
            <w:r>
              <w:rPr>
                <w:rFonts w:ascii="Arial" w:cs="Arial" w:eastAsia="Arial" w:hAnsi="Arial"/>
                <w:sz w:val="14"/>
                <w:szCs w:val="14"/>
                <w:b w:val="1"/>
                <w:bCs w:val="1"/>
                <w:color w:val="auto"/>
                <w:w w:val="97"/>
              </w:rPr>
              <w:t>August 1,</w:t>
            </w:r>
          </w:p>
        </w:tc>
      </w:tr>
      <w:tr>
        <w:trPr>
          <w:trHeight w:val="183"/>
        </w:trPr>
        <w:tc>
          <w:tcPr>
            <w:tcW w:w="652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860" w:type="dxa"/>
            <w:vAlign w:val="bottom"/>
            <w:tcBorders>
              <w:bottom w:val="single" w:sz="8" w:color="auto"/>
            </w:tcBorders>
          </w:tcPr>
          <w:p>
            <w:pPr>
              <w:jc w:val="right"/>
              <w:ind w:right="29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90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90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90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2020</w:t>
            </w:r>
          </w:p>
        </w:tc>
      </w:tr>
      <w:tr>
        <w:trPr>
          <w:trHeight w:val="204"/>
        </w:trPr>
        <w:tc>
          <w:tcPr>
            <w:tcW w:w="6520" w:type="dxa"/>
            <w:vAlign w:val="bottom"/>
            <w:shd w:val="clear" w:color="auto" w:fill="CCEEFF"/>
          </w:tcPr>
          <w:p>
            <w:pPr>
              <w:ind w:left="220"/>
              <w:spacing w:after="0" w:line="204" w:lineRule="exact"/>
              <w:rPr>
                <w:sz w:val="20"/>
                <w:szCs w:val="20"/>
                <w:color w:val="auto"/>
              </w:rPr>
            </w:pPr>
            <w:r>
              <w:rPr>
                <w:rFonts w:ascii="Arial" w:cs="Arial" w:eastAsia="Arial" w:hAnsi="Arial"/>
                <w:sz w:val="18"/>
                <w:szCs w:val="18"/>
                <w:b w:val="1"/>
                <w:bCs w:val="1"/>
                <w:color w:val="auto"/>
              </w:rPr>
              <w:t>Cash flows from operating activities:</w:t>
            </w:r>
          </w:p>
        </w:tc>
        <w:tc>
          <w:tcPr>
            <w:tcW w:w="2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r>
      <w:tr>
        <w:trPr>
          <w:trHeight w:val="223"/>
        </w:trPr>
        <w:tc>
          <w:tcPr>
            <w:tcW w:w="6520" w:type="dxa"/>
            <w:vAlign w:val="bottom"/>
          </w:tcPr>
          <w:p>
            <w:pPr>
              <w:ind w:left="220"/>
              <w:spacing w:after="0"/>
              <w:rPr>
                <w:sz w:val="20"/>
                <w:szCs w:val="20"/>
                <w:color w:val="auto"/>
              </w:rPr>
            </w:pPr>
            <w:r>
              <w:rPr>
                <w:rFonts w:ascii="Arial" w:cs="Arial" w:eastAsia="Arial" w:hAnsi="Arial"/>
                <w:sz w:val="18"/>
                <w:szCs w:val="18"/>
                <w:color w:val="auto"/>
              </w:rPr>
              <w:t>Net loss</w:t>
            </w: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(276,428)</w:t>
            </w:r>
          </w:p>
        </w:tc>
        <w:tc>
          <w:tcPr>
            <w:tcW w:w="14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(157,893)</w:t>
            </w:r>
          </w:p>
        </w:tc>
        <w:tc>
          <w:tcPr>
            <w:tcW w:w="12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(364,670)</w:t>
            </w:r>
          </w:p>
        </w:tc>
        <w:tc>
          <w:tcPr>
            <w:tcW w:w="14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(270,926)</w:t>
            </w:r>
          </w:p>
        </w:tc>
      </w:tr>
      <w:tr>
        <w:trPr>
          <w:trHeight w:val="224"/>
        </w:trPr>
        <w:tc>
          <w:tcPr>
            <w:tcW w:w="65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66,248</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51,605</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118,085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102,088</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114,105</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62,586</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206,832</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122,273</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276,672</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111,579</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405,311</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224,501</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w w:val="97"/>
              </w:rPr>
              <w:t>Amortization of inventory fair value adjustment associated with acquisitions</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155,840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169,560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17,284</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1,776</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114,723</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4,156</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117,546</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expense, net</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32,941</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6,282</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61,870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14,910</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Deferred income taxes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(29,005)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(2,816)</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(51,586)</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(444)</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Changes in assets and liabilities, net of acquisition:</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spacing w:after="0"/>
              <w:rPr>
                <w:sz w:val="19"/>
                <w:szCs w:val="19"/>
                <w:color w:val="auto"/>
              </w:rPr>
            </w:pPr>
          </w:p>
        </w:tc>
      </w:tr>
      <w:tr>
        <w:trPr>
          <w:trHeight w:val="223"/>
        </w:trPr>
        <w:tc>
          <w:tcPr>
            <w:tcW w:w="6520" w:type="dxa"/>
            <w:vAlign w:val="bottom"/>
          </w:tcPr>
          <w:p>
            <w:pPr>
              <w:ind w:left="1080"/>
              <w:spacing w:after="0"/>
              <w:rPr>
                <w:sz w:val="20"/>
                <w:szCs w:val="20"/>
                <w:color w:val="auto"/>
              </w:rPr>
            </w:pPr>
            <w:r>
              <w:rPr>
                <w:rFonts w:ascii="Arial" w:cs="Arial" w:eastAsia="Arial" w:hAnsi="Arial"/>
                <w:sz w:val="18"/>
                <w:szCs w:val="18"/>
                <w:color w:val="auto"/>
              </w:rPr>
              <w:t>Accounts receivable</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(91,216)</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(14,782)</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(149,215)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8,804</w:t>
            </w:r>
          </w:p>
        </w:tc>
      </w:tr>
      <w:tr>
        <w:trPr>
          <w:trHeight w:val="224"/>
        </w:trPr>
        <w:tc>
          <w:tcPr>
            <w:tcW w:w="65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Inventories</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(69,038)</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(82,287)</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35,801</w:t>
            </w:r>
          </w:p>
        </w:tc>
      </w:tr>
      <w:tr>
        <w:trPr>
          <w:trHeight w:val="223"/>
        </w:trPr>
        <w:tc>
          <w:tcPr>
            <w:tcW w:w="6520" w:type="dxa"/>
            <w:vAlign w:val="bottom"/>
          </w:tcPr>
          <w:p>
            <w:pPr>
              <w:ind w:left="1080"/>
              <w:spacing w:after="0"/>
              <w:rPr>
                <w:sz w:val="20"/>
                <w:szCs w:val="20"/>
                <w:color w:val="auto"/>
              </w:rPr>
            </w:pPr>
            <w:r>
              <w:rPr>
                <w:rFonts w:ascii="Arial" w:cs="Arial" w:eastAsia="Arial" w:hAnsi="Arial"/>
                <w:sz w:val="18"/>
                <w:szCs w:val="18"/>
                <w:color w:val="auto"/>
              </w:rPr>
              <w:t>Prepaid expenses and other assets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(50,603)</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3,679</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(46,190)</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(3,015)</w:t>
            </w:r>
          </w:p>
        </w:tc>
      </w:tr>
      <w:tr>
        <w:trPr>
          <w:trHeight w:val="224"/>
        </w:trPr>
        <w:tc>
          <w:tcPr>
            <w:tcW w:w="65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Accounts payable</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52,197</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33,204</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588</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29,647</w:t>
            </w:r>
          </w:p>
        </w:tc>
      </w:tr>
      <w:tr>
        <w:trPr>
          <w:trHeight w:val="223"/>
        </w:trPr>
        <w:tc>
          <w:tcPr>
            <w:tcW w:w="6520" w:type="dxa"/>
            <w:vAlign w:val="bottom"/>
          </w:tcPr>
          <w:p>
            <w:pPr>
              <w:ind w:left="1080"/>
              <w:spacing w:after="0"/>
              <w:rPr>
                <w:sz w:val="20"/>
                <w:szCs w:val="20"/>
                <w:color w:val="auto"/>
              </w:rPr>
            </w:pPr>
            <w:r>
              <w:rPr>
                <w:rFonts w:ascii="Arial" w:cs="Arial" w:eastAsia="Arial" w:hAnsi="Arial"/>
                <w:sz w:val="18"/>
                <w:szCs w:val="18"/>
                <w:color w:val="auto"/>
              </w:rPr>
              <w:t>Accrued liabilities and other non-current liabilities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39,234</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10,732</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(7,765)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21,528</w:t>
            </w:r>
          </w:p>
        </w:tc>
      </w:tr>
      <w:tr>
        <w:trPr>
          <w:trHeight w:val="224"/>
        </w:trPr>
        <w:tc>
          <w:tcPr>
            <w:tcW w:w="65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auto"/>
            </w:tcBorders>
            <w:shd w:val="clear" w:color="auto" w:fill="CCEEFF"/>
          </w:tcPr>
          <w:p>
            <w:pPr>
              <w:spacing w:after="0"/>
              <w:rPr>
                <w:sz w:val="19"/>
                <w:szCs w:val="19"/>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(616)</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6,964</w:t>
            </w:r>
          </w:p>
        </w:tc>
        <w:tc>
          <w:tcPr>
            <w:tcW w:w="1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(56,309)</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(18,539)</w:t>
            </w:r>
          </w:p>
        </w:tc>
      </w:tr>
      <w:tr>
        <w:trPr>
          <w:trHeight w:val="216"/>
        </w:trPr>
        <w:tc>
          <w:tcPr>
            <w:tcW w:w="6520" w:type="dxa"/>
            <w:vAlign w:val="bottom"/>
            <w:tcBorders>
              <w:bottom w:val="single" w:sz="8" w:color="CCEEFF"/>
            </w:tcBorders>
          </w:tcPr>
          <w:p>
            <w:pPr>
              <w:ind w:left="1480"/>
              <w:spacing w:after="0" w:line="203" w:lineRule="exact"/>
              <w:rPr>
                <w:sz w:val="20"/>
                <w:szCs w:val="20"/>
                <w:color w:val="auto"/>
              </w:rPr>
            </w:pPr>
            <w:r>
              <w:rPr>
                <w:rFonts w:ascii="Arial" w:cs="Arial" w:eastAsia="Arial" w:hAnsi="Arial"/>
                <w:sz w:val="18"/>
                <w:szCs w:val="18"/>
                <w:color w:val="auto"/>
              </w:rPr>
              <w:t>Net cash provided by operating activities</w:t>
            </w:r>
          </w:p>
        </w:tc>
        <w:tc>
          <w:tcPr>
            <w:tcW w:w="20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222,107</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225,830</w:t>
            </w:r>
          </w:p>
        </w:tc>
        <w:tc>
          <w:tcPr>
            <w:tcW w:w="12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208,380</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401,458</w:t>
            </w:r>
          </w:p>
        </w:tc>
      </w:tr>
      <w:tr>
        <w:trPr>
          <w:trHeight w:val="204"/>
        </w:trPr>
        <w:tc>
          <w:tcPr>
            <w:tcW w:w="6520" w:type="dxa"/>
            <w:vAlign w:val="bottom"/>
            <w:shd w:val="clear" w:color="auto" w:fill="CCEEFF"/>
          </w:tcPr>
          <w:p>
            <w:pPr>
              <w:ind w:left="220"/>
              <w:spacing w:after="0" w:line="204" w:lineRule="exact"/>
              <w:rPr>
                <w:sz w:val="20"/>
                <w:szCs w:val="20"/>
                <w:color w:val="auto"/>
              </w:rPr>
            </w:pPr>
            <w:r>
              <w:rPr>
                <w:rFonts w:ascii="Arial" w:cs="Arial" w:eastAsia="Arial" w:hAnsi="Arial"/>
                <w:sz w:val="18"/>
                <w:szCs w:val="18"/>
                <w:b w:val="1"/>
                <w:bCs w:val="1"/>
                <w:color w:val="auto"/>
              </w:rPr>
              <w:t>Cash flows from investing activities:</w:t>
            </w:r>
          </w:p>
        </w:tc>
        <w:tc>
          <w:tcPr>
            <w:tcW w:w="2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Purchases of technology licenses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(3,197)</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(3,080)</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(6,640)</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(6,764)</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Purchases of property and equipment</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(32,235)</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(17,540)</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(53,679)</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(52,883)</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Cash payment for acquisition, net of cash and cash equivalents acquired</w:t>
            </w:r>
          </w:p>
        </w:tc>
        <w:tc>
          <w:tcPr>
            <w:tcW w:w="200" w:type="dxa"/>
            <w:vAlign w:val="bottom"/>
          </w:tcPr>
          <w:p>
            <w:pPr>
              <w:spacing w:after="0"/>
              <w:rPr>
                <w:sz w:val="19"/>
                <w:szCs w:val="19"/>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w w:val="93"/>
              </w:rPr>
              <w:t>(3,600,165)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net</w:t>
            </w:r>
          </w:p>
        </w:tc>
        <w:tc>
          <w:tcPr>
            <w:tcW w:w="200" w:type="dxa"/>
            <w:vAlign w:val="bottom"/>
            <w:tcBorders>
              <w:bottom w:val="single" w:sz="8" w:color="auto"/>
            </w:tcBorders>
            <w:shd w:val="clear" w:color="auto" w:fill="CCEEFF"/>
          </w:tcPr>
          <w:p>
            <w:pPr>
              <w:spacing w:after="0"/>
              <w:rPr>
                <w:sz w:val="19"/>
                <w:szCs w:val="19"/>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(2,851)</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1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(2,404)</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699</w:t>
            </w:r>
          </w:p>
        </w:tc>
      </w:tr>
      <w:tr>
        <w:trPr>
          <w:trHeight w:val="216"/>
        </w:trPr>
        <w:tc>
          <w:tcPr>
            <w:tcW w:w="6520" w:type="dxa"/>
            <w:vAlign w:val="bottom"/>
            <w:tcBorders>
              <w:bottom w:val="single" w:sz="8" w:color="CCEEFF"/>
            </w:tcBorders>
          </w:tcPr>
          <w:p>
            <w:pPr>
              <w:ind w:left="1480"/>
              <w:spacing w:after="0" w:line="203" w:lineRule="exact"/>
              <w:rPr>
                <w:sz w:val="20"/>
                <w:szCs w:val="20"/>
                <w:color w:val="auto"/>
              </w:rPr>
            </w:pPr>
            <w:r>
              <w:rPr>
                <w:rFonts w:ascii="Arial" w:cs="Arial" w:eastAsia="Arial" w:hAnsi="Arial"/>
                <w:sz w:val="18"/>
                <w:szCs w:val="18"/>
                <w:color w:val="auto"/>
              </w:rPr>
              <w:t>Net cash used in investing activities</w:t>
            </w:r>
          </w:p>
        </w:tc>
        <w:tc>
          <w:tcPr>
            <w:tcW w:w="20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(38,283)</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(20,586)</w:t>
            </w:r>
          </w:p>
        </w:tc>
        <w:tc>
          <w:tcPr>
            <w:tcW w:w="12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3"/>
              </w:rPr>
              <w:t>(3,662,888)</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(58,948)</w:t>
            </w:r>
          </w:p>
        </w:tc>
      </w:tr>
      <w:tr>
        <w:trPr>
          <w:trHeight w:val="204"/>
        </w:trPr>
        <w:tc>
          <w:tcPr>
            <w:tcW w:w="6520" w:type="dxa"/>
            <w:vAlign w:val="bottom"/>
            <w:shd w:val="clear" w:color="auto" w:fill="CCEEFF"/>
          </w:tcPr>
          <w:p>
            <w:pPr>
              <w:ind w:left="220"/>
              <w:spacing w:after="0" w:line="204" w:lineRule="exact"/>
              <w:rPr>
                <w:sz w:val="20"/>
                <w:szCs w:val="20"/>
                <w:color w:val="auto"/>
              </w:rPr>
            </w:pPr>
            <w:r>
              <w:rPr>
                <w:rFonts w:ascii="Arial" w:cs="Arial" w:eastAsia="Arial" w:hAnsi="Arial"/>
                <w:sz w:val="18"/>
                <w:szCs w:val="18"/>
                <w:b w:val="1"/>
                <w:bCs w:val="1"/>
                <w:color w:val="auto"/>
              </w:rPr>
              <w:t>Cash flows from financing activities:</w:t>
            </w:r>
          </w:p>
        </w:tc>
        <w:tc>
          <w:tcPr>
            <w:tcW w:w="2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Repurchases of common stock</w:t>
            </w:r>
          </w:p>
        </w:tc>
        <w:tc>
          <w:tcPr>
            <w:tcW w:w="200" w:type="dxa"/>
            <w:vAlign w:val="bottom"/>
          </w:tcPr>
          <w:p>
            <w:pPr>
              <w:spacing w:after="0"/>
              <w:rPr>
                <w:sz w:val="19"/>
                <w:szCs w:val="19"/>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(25,202)</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Proceeds from employee stock plans</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39,807</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42,776</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40,356</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48,234</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(42,975)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(25,213)</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(116,150)</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(56,714)</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Dividend payments to stockholders</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(49,332)</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(40,119)</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(89,889)</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(79,882)</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(23,175)</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(18,702)</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(67,307)</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(42,509)</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Proceeds from issuance of debt</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75,000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3,806,096</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Principal payments of debt</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(75,000)</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(275,000)</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Payment for repurchases and settlement of convertible notes</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(109,812)</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(180,891)</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Proceeds from capped calls</w:t>
            </w:r>
          </w:p>
        </w:tc>
        <w:tc>
          <w:tcPr>
            <w:tcW w:w="2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49,132</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160,286</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Payment of equity and debt financing costs</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(10,364)</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(11,843)</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Other, net</w:t>
            </w:r>
          </w:p>
        </w:tc>
        <w:tc>
          <w:tcPr>
            <w:tcW w:w="200" w:type="dxa"/>
            <w:vAlign w:val="bottom"/>
          </w:tcPr>
          <w:p>
            <w:pPr>
              <w:spacing w:after="0"/>
              <w:rPr>
                <w:sz w:val="19"/>
                <w:szCs w:val="19"/>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(2,507)</w:t>
            </w:r>
          </w:p>
        </w:tc>
      </w:tr>
      <w:tr>
        <w:trPr>
          <w:trHeight w:val="217"/>
        </w:trPr>
        <w:tc>
          <w:tcPr>
            <w:tcW w:w="6520" w:type="dxa"/>
            <w:vAlign w:val="bottom"/>
            <w:tcBorders>
              <w:top w:val="single" w:sz="8" w:color="CCEEFF"/>
            </w:tcBorders>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provided by (used in) financing activities</w:t>
            </w: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(146,719)</w:t>
            </w:r>
          </w:p>
        </w:tc>
        <w:tc>
          <w:tcPr>
            <w:tcW w:w="1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(41,258)</w:t>
            </w: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3,265,658</w:t>
            </w:r>
          </w:p>
        </w:tc>
        <w:tc>
          <w:tcPr>
            <w:tcW w:w="1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(158,580)</w:t>
            </w:r>
          </w:p>
        </w:tc>
      </w:tr>
      <w:tr>
        <w:trPr>
          <w:trHeight w:val="216"/>
        </w:trPr>
        <w:tc>
          <w:tcPr>
            <w:tcW w:w="6520" w:type="dxa"/>
            <w:vAlign w:val="bottom"/>
          </w:tcPr>
          <w:p>
            <w:pPr>
              <w:ind w:left="60"/>
              <w:spacing w:after="0" w:line="203" w:lineRule="exact"/>
              <w:rPr>
                <w:sz w:val="20"/>
                <w:szCs w:val="20"/>
                <w:color w:val="auto"/>
              </w:rPr>
            </w:pPr>
            <w:r>
              <w:rPr>
                <w:rFonts w:ascii="Arial" w:cs="Arial" w:eastAsia="Arial" w:hAnsi="Arial"/>
                <w:sz w:val="18"/>
                <w:szCs w:val="18"/>
                <w:color w:val="auto"/>
              </w:rPr>
              <w:t>Net increase (decrease) in cash and cash equivalents</w:t>
            </w:r>
          </w:p>
        </w:tc>
        <w:tc>
          <w:tcPr>
            <w:tcW w:w="2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37,105</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163,986</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(188,850)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183,930</w:t>
            </w:r>
          </w:p>
        </w:tc>
      </w:tr>
      <w:tr>
        <w:trPr>
          <w:trHeight w:val="224"/>
        </w:trPr>
        <w:tc>
          <w:tcPr>
            <w:tcW w:w="6520" w:type="dxa"/>
            <w:vAlign w:val="bottom"/>
            <w:shd w:val="clear" w:color="auto" w:fill="CCEEFF"/>
          </w:tcPr>
          <w:p>
            <w:pPr>
              <w:ind w:left="60"/>
              <w:spacing w:after="0"/>
              <w:rPr>
                <w:sz w:val="20"/>
                <w:szCs w:val="20"/>
                <w:color w:val="auto"/>
              </w:rPr>
            </w:pPr>
            <w:r>
              <w:rPr>
                <w:rFonts w:ascii="Arial" w:cs="Arial" w:eastAsia="Arial" w:hAnsi="Arial"/>
                <w:sz w:val="18"/>
                <w:szCs w:val="18"/>
                <w:color w:val="auto"/>
              </w:rPr>
              <w:t>Cash and cash equivalents at beginning of period</w:t>
            </w:r>
          </w:p>
        </w:tc>
        <w:tc>
          <w:tcPr>
            <w:tcW w:w="200" w:type="dxa"/>
            <w:vAlign w:val="bottom"/>
            <w:tcBorders>
              <w:bottom w:val="single" w:sz="8" w:color="auto"/>
            </w:tcBorders>
            <w:shd w:val="clear" w:color="auto" w:fill="CCEEFF"/>
          </w:tcPr>
          <w:p>
            <w:pPr>
              <w:spacing w:after="0"/>
              <w:rPr>
                <w:sz w:val="19"/>
                <w:szCs w:val="19"/>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522,512</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667,548</w:t>
            </w:r>
          </w:p>
        </w:tc>
        <w:tc>
          <w:tcPr>
            <w:tcW w:w="1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647,604</w:t>
            </w:r>
          </w:p>
        </w:tc>
      </w:tr>
      <w:tr>
        <w:trPr>
          <w:trHeight w:val="216"/>
        </w:trPr>
        <w:tc>
          <w:tcPr>
            <w:tcW w:w="6520" w:type="dxa"/>
            <w:vAlign w:val="bottom"/>
          </w:tcPr>
          <w:p>
            <w:pPr>
              <w:ind w:left="60"/>
              <w:spacing w:after="0" w:line="203" w:lineRule="exact"/>
              <w:rPr>
                <w:sz w:val="20"/>
                <w:szCs w:val="20"/>
                <w:color w:val="auto"/>
              </w:rPr>
            </w:pPr>
            <w:r>
              <w:rPr>
                <w:rFonts w:ascii="Arial" w:cs="Arial" w:eastAsia="Arial" w:hAnsi="Arial"/>
                <w:sz w:val="18"/>
                <w:szCs w:val="18"/>
                <w:color w:val="auto"/>
              </w:rPr>
              <w:t>Cash and cash equivalents at end of period</w:t>
            </w:r>
          </w:p>
        </w:tc>
        <w:tc>
          <w:tcPr>
            <w:tcW w:w="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559,617</w:t>
            </w:r>
          </w:p>
        </w:tc>
        <w:tc>
          <w:tcPr>
            <w:tcW w:w="14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831,534</w:t>
            </w:r>
          </w:p>
        </w:tc>
        <w:tc>
          <w:tcPr>
            <w:tcW w:w="12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559,617</w:t>
            </w:r>
          </w:p>
        </w:tc>
        <w:tc>
          <w:tcPr>
            <w:tcW w:w="14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831,534</w:t>
            </w:r>
          </w:p>
        </w:tc>
      </w:tr>
      <w:tr>
        <w:trPr>
          <w:trHeight w:val="20"/>
        </w:trPr>
        <w:tc>
          <w:tcPr>
            <w:tcW w:w="65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220"/>
          </w:cols>
          <w:pgMar w:left="320" w:top="805" w:right="35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4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2"/>
              </w:rPr>
              <w:t>Three Months Ended</w:t>
            </w:r>
          </w:p>
        </w:tc>
        <w:tc>
          <w:tcPr>
            <w:tcW w:w="22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4"/>
          </w:tcPr>
          <w:p>
            <w:pPr>
              <w:jc w:val="right"/>
              <w:ind w:right="714"/>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30"/>
        </w:trPr>
        <w:tc>
          <w:tcPr>
            <w:tcW w:w="4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jc w:val="right"/>
              <w:ind w:right="274"/>
              <w:spacing w:after="0" w:line="130" w:lineRule="exact"/>
              <w:rPr>
                <w:sz w:val="20"/>
                <w:szCs w:val="20"/>
                <w:color w:val="auto"/>
              </w:rPr>
            </w:pPr>
            <w:r>
              <w:rPr>
                <w:rFonts w:ascii="Arial" w:cs="Arial" w:eastAsia="Arial" w:hAnsi="Arial"/>
                <w:sz w:val="14"/>
                <w:szCs w:val="14"/>
                <w:b w:val="1"/>
                <w:bCs w:val="1"/>
                <w:color w:val="auto"/>
              </w:rPr>
              <w:t>July 31,</w:t>
            </w:r>
          </w:p>
        </w:tc>
        <w:tc>
          <w:tcPr>
            <w:tcW w:w="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gridSpan w:val="2"/>
          </w:tcPr>
          <w:p>
            <w:pPr>
              <w:jc w:val="center"/>
              <w:ind w:right="360"/>
              <w:spacing w:after="0" w:line="130" w:lineRule="exact"/>
              <w:rPr>
                <w:sz w:val="20"/>
                <w:szCs w:val="20"/>
                <w:color w:val="auto"/>
              </w:rPr>
            </w:pPr>
            <w:r>
              <w:rPr>
                <w:rFonts w:ascii="Arial" w:cs="Arial" w:eastAsia="Arial" w:hAnsi="Arial"/>
                <w:sz w:val="14"/>
                <w:szCs w:val="14"/>
                <w:b w:val="1"/>
                <w:bCs w:val="1"/>
                <w:color w:val="auto"/>
                <w:w w:val="93"/>
              </w:rPr>
              <w:t>May 1,</w:t>
            </w:r>
          </w:p>
        </w:tc>
        <w:tc>
          <w:tcPr>
            <w:tcW w:w="220" w:type="dxa"/>
            <w:vAlign w:val="bottom"/>
          </w:tcPr>
          <w:p>
            <w:pPr>
              <w:spacing w:after="0"/>
              <w:rPr>
                <w:sz w:val="11"/>
                <w:szCs w:val="11"/>
                <w:color w:val="auto"/>
              </w:rPr>
            </w:pPr>
          </w:p>
        </w:tc>
        <w:tc>
          <w:tcPr>
            <w:tcW w:w="1020" w:type="dxa"/>
            <w:vAlign w:val="bottom"/>
          </w:tcPr>
          <w:p>
            <w:pPr>
              <w:jc w:val="right"/>
              <w:ind w:right="254"/>
              <w:spacing w:after="0" w:line="130"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80" w:type="dxa"/>
            <w:vAlign w:val="bottom"/>
            <w:gridSpan w:val="2"/>
          </w:tcPr>
          <w:p>
            <w:pPr>
              <w:ind w:left="180"/>
              <w:spacing w:after="0" w:line="130" w:lineRule="exact"/>
              <w:rPr>
                <w:sz w:val="20"/>
                <w:szCs w:val="20"/>
                <w:color w:val="auto"/>
              </w:rPr>
            </w:pPr>
            <w:r>
              <w:rPr>
                <w:rFonts w:ascii="Arial" w:cs="Arial" w:eastAsia="Arial" w:hAnsi="Arial"/>
                <w:sz w:val="14"/>
                <w:szCs w:val="14"/>
                <w:b w:val="1"/>
                <w:bCs w:val="1"/>
                <w:color w:val="auto"/>
              </w:rPr>
              <w:t>July 31,</w:t>
            </w:r>
          </w:p>
        </w:tc>
        <w:tc>
          <w:tcPr>
            <w:tcW w:w="220" w:type="dxa"/>
            <w:vAlign w:val="bottom"/>
          </w:tcPr>
          <w:p>
            <w:pPr>
              <w:spacing w:after="0"/>
              <w:rPr>
                <w:sz w:val="11"/>
                <w:szCs w:val="11"/>
                <w:color w:val="auto"/>
              </w:rPr>
            </w:pPr>
          </w:p>
        </w:tc>
        <w:tc>
          <w:tcPr>
            <w:tcW w:w="1040" w:type="dxa"/>
            <w:vAlign w:val="bottom"/>
          </w:tcPr>
          <w:p>
            <w:pPr>
              <w:jc w:val="right"/>
              <w:ind w:right="254"/>
              <w:spacing w:after="0" w:line="130" w:lineRule="exact"/>
              <w:rPr>
                <w:sz w:val="20"/>
                <w:szCs w:val="20"/>
                <w:color w:val="auto"/>
              </w:rPr>
            </w:pPr>
            <w:r>
              <w:rPr>
                <w:rFonts w:ascii="Arial" w:cs="Arial" w:eastAsia="Arial" w:hAnsi="Arial"/>
                <w:sz w:val="14"/>
                <w:szCs w:val="14"/>
                <w:b w:val="1"/>
                <w:bCs w:val="1"/>
                <w:color w:val="auto"/>
              </w:rPr>
              <w:t>August 1,</w:t>
            </w:r>
          </w:p>
        </w:tc>
        <w:tc>
          <w:tcPr>
            <w:tcW w:w="0" w:type="dxa"/>
            <w:vAlign w:val="bottom"/>
          </w:tcPr>
          <w:p>
            <w:pPr>
              <w:spacing w:after="0"/>
              <w:rPr>
                <w:sz w:val="1"/>
                <w:szCs w:val="1"/>
                <w:color w:val="auto"/>
              </w:rPr>
            </w:pPr>
          </w:p>
        </w:tc>
      </w:tr>
      <w:tr>
        <w:trPr>
          <w:trHeight w:val="183"/>
        </w:trPr>
        <w:tc>
          <w:tcPr>
            <w:tcW w:w="4480" w:type="dxa"/>
            <w:vAlign w:val="bottom"/>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right"/>
              <w:ind w:right="374"/>
              <w:spacing w:after="0"/>
              <w:rPr>
                <w:sz w:val="20"/>
                <w:szCs w:val="20"/>
                <w:color w:val="auto"/>
              </w:rPr>
            </w:pPr>
            <w:r>
              <w:rPr>
                <w:rFonts w:ascii="Arial" w:cs="Arial" w:eastAsia="Arial" w:hAnsi="Arial"/>
                <w:sz w:val="14"/>
                <w:szCs w:val="14"/>
                <w:b w:val="1"/>
                <w:bCs w:val="1"/>
                <w:color w:val="auto"/>
              </w:rPr>
              <w:t>2021</w:t>
            </w:r>
          </w:p>
        </w:tc>
        <w:tc>
          <w:tcPr>
            <w:tcW w:w="140" w:type="dxa"/>
            <w:vAlign w:val="bottom"/>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0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2021</w:t>
            </w:r>
          </w:p>
        </w:tc>
        <w:tc>
          <w:tcPr>
            <w:tcW w:w="12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080" w:type="dxa"/>
            <w:vAlign w:val="bottom"/>
            <w:tcBorders>
              <w:bottom w:val="single" w:sz="8" w:color="auto"/>
            </w:tcBorders>
          </w:tcPr>
          <w:p>
            <w:pPr>
              <w:jc w:val="right"/>
              <w:ind w:right="43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73"/>
        </w:trPr>
        <w:tc>
          <w:tcPr>
            <w:tcW w:w="4480" w:type="dxa"/>
            <w:vAlign w:val="bottom"/>
          </w:tcPr>
          <w:p>
            <w:pPr>
              <w:spacing w:after="0"/>
              <w:rPr>
                <w:sz w:val="6"/>
                <w:szCs w:val="6"/>
                <w:color w:val="auto"/>
              </w:rPr>
            </w:pPr>
          </w:p>
        </w:tc>
        <w:tc>
          <w:tcPr>
            <w:tcW w:w="240" w:type="dxa"/>
            <w:vAlign w:val="bottom"/>
          </w:tcPr>
          <w:p>
            <w:pPr>
              <w:spacing w:after="0"/>
              <w:rPr>
                <w:sz w:val="6"/>
                <w:szCs w:val="6"/>
                <w:color w:val="auto"/>
              </w:rPr>
            </w:pPr>
          </w:p>
        </w:tc>
        <w:tc>
          <w:tcPr>
            <w:tcW w:w="980" w:type="dxa"/>
            <w:vAlign w:val="bottom"/>
          </w:tcPr>
          <w:p>
            <w:pPr>
              <w:spacing w:after="0"/>
              <w:rPr>
                <w:sz w:val="6"/>
                <w:szCs w:val="6"/>
                <w:color w:val="auto"/>
              </w:rPr>
            </w:pPr>
          </w:p>
        </w:tc>
        <w:tc>
          <w:tcPr>
            <w:tcW w:w="140" w:type="dxa"/>
            <w:vAlign w:val="bottom"/>
          </w:tcPr>
          <w:p>
            <w:pPr>
              <w:spacing w:after="0"/>
              <w:rPr>
                <w:sz w:val="6"/>
                <w:szCs w:val="6"/>
                <w:color w:val="auto"/>
              </w:rPr>
            </w:pPr>
          </w:p>
        </w:tc>
        <w:tc>
          <w:tcPr>
            <w:tcW w:w="24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3"/>
        </w:trPr>
        <w:tc>
          <w:tcPr>
            <w:tcW w:w="4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gross profit:</w:t>
            </w:r>
          </w:p>
        </w:tc>
        <w:tc>
          <w:tcPr>
            <w:tcW w:w="2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371,830</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418,141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359,256</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789,971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686,158</w:t>
            </w:r>
          </w:p>
        </w:tc>
        <w:tc>
          <w:tcPr>
            <w:tcW w:w="0" w:type="dxa"/>
            <w:vAlign w:val="bottom"/>
          </w:tcPr>
          <w:p>
            <w:pPr>
              <w:spacing w:after="0"/>
              <w:rPr>
                <w:sz w:val="1"/>
                <w:szCs w:val="1"/>
                <w:color w:val="auto"/>
              </w:rPr>
            </w:pPr>
          </w:p>
        </w:tc>
      </w:tr>
      <w:tr>
        <w:trPr>
          <w:trHeight w:val="223"/>
        </w:trPr>
        <w:tc>
          <w:tcPr>
            <w:tcW w:w="448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4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2,665</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9,803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4,082</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12,468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7,620</w:t>
            </w:r>
          </w:p>
        </w:tc>
        <w:tc>
          <w:tcPr>
            <w:tcW w:w="0" w:type="dxa"/>
            <w:vAlign w:val="bottom"/>
          </w:tcPr>
          <w:p>
            <w:pPr>
              <w:spacing w:after="0"/>
              <w:rPr>
                <w:sz w:val="1"/>
                <w:szCs w:val="1"/>
                <w:color w:val="auto"/>
              </w:rPr>
            </w:pPr>
          </w:p>
        </w:tc>
      </w:tr>
      <w:tr>
        <w:trPr>
          <w:trHeight w:val="223"/>
        </w:trPr>
        <w:tc>
          <w:tcPr>
            <w:tcW w:w="448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40" w:type="dxa"/>
            <w:vAlign w:val="bottom"/>
          </w:tcPr>
          <w:p>
            <w:pPr>
              <w:spacing w:after="0"/>
              <w:rPr>
                <w:sz w:val="19"/>
                <w:szCs w:val="19"/>
                <w:color w:val="auto"/>
              </w:rPr>
            </w:pPr>
          </w:p>
        </w:tc>
        <w:tc>
          <w:tcPr>
            <w:tcW w:w="980" w:type="dxa"/>
            <w:vAlign w:val="bottom"/>
          </w:tcPr>
          <w:p>
            <w:pPr>
              <w:jc w:val="right"/>
              <w:ind w:right="114"/>
              <w:spacing w:after="0"/>
              <w:rPr>
                <w:sz w:val="20"/>
                <w:szCs w:val="20"/>
                <w:color w:val="auto"/>
              </w:rPr>
            </w:pPr>
            <w:r>
              <w:rPr>
                <w:rFonts w:ascii="Arial" w:cs="Arial" w:eastAsia="Arial" w:hAnsi="Arial"/>
                <w:sz w:val="18"/>
                <w:szCs w:val="18"/>
                <w:color w:val="auto"/>
              </w:rPr>
              <w:t>167,253</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134"/>
              <w:spacing w:after="0"/>
              <w:rPr>
                <w:sz w:val="20"/>
                <w:szCs w:val="20"/>
                <w:color w:val="auto"/>
              </w:rPr>
            </w:pPr>
            <w:r>
              <w:rPr>
                <w:rFonts w:ascii="Arial" w:cs="Arial" w:eastAsia="Arial" w:hAnsi="Arial"/>
                <w:sz w:val="18"/>
                <w:szCs w:val="18"/>
                <w:color w:val="auto"/>
              </w:rPr>
              <w:t>93,812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ind w:right="134"/>
              <w:spacing w:after="0"/>
              <w:rPr>
                <w:sz w:val="20"/>
                <w:szCs w:val="20"/>
                <w:color w:val="auto"/>
              </w:rPr>
            </w:pPr>
            <w:r>
              <w:rPr>
                <w:rFonts w:ascii="Arial" w:cs="Arial" w:eastAsia="Arial" w:hAnsi="Arial"/>
                <w:sz w:val="18"/>
                <w:szCs w:val="18"/>
                <w:color w:val="auto"/>
              </w:rPr>
              <w:t>85,225</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tcPr>
          <w:p>
            <w:pPr>
              <w:jc w:val="right"/>
              <w:ind w:right="135"/>
              <w:spacing w:after="0"/>
              <w:rPr>
                <w:sz w:val="20"/>
                <w:szCs w:val="20"/>
                <w:color w:val="auto"/>
              </w:rPr>
            </w:pPr>
            <w:r>
              <w:rPr>
                <w:rFonts w:ascii="Arial" w:cs="Arial" w:eastAsia="Arial" w:hAnsi="Arial"/>
                <w:sz w:val="18"/>
                <w:szCs w:val="18"/>
                <w:color w:val="auto"/>
              </w:rPr>
              <w:t>261,065</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171,792</w:t>
            </w:r>
          </w:p>
        </w:tc>
        <w:tc>
          <w:tcPr>
            <w:tcW w:w="0" w:type="dxa"/>
            <w:vAlign w:val="bottom"/>
          </w:tcPr>
          <w:p>
            <w:pPr>
              <w:spacing w:after="0"/>
              <w:rPr>
                <w:sz w:val="1"/>
                <w:szCs w:val="1"/>
                <w:color w:val="auto"/>
              </w:rPr>
            </w:pPr>
          </w:p>
        </w:tc>
      </w:tr>
      <w:tr>
        <w:trPr>
          <w:trHeight w:val="224"/>
        </w:trPr>
        <w:tc>
          <w:tcPr>
            <w:tcW w:w="4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2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rPr>
              <w:t>155,840</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13,723</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11,630</w:t>
            </w:r>
          </w:p>
        </w:tc>
        <w:tc>
          <w:tcPr>
            <w:tcW w:w="10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ind w:right="135"/>
              <w:spacing w:after="0"/>
              <w:rPr>
                <w:sz w:val="20"/>
                <w:szCs w:val="20"/>
                <w:color w:val="auto"/>
              </w:rPr>
            </w:pPr>
            <w:r>
              <w:rPr>
                <w:rFonts w:ascii="Arial" w:cs="Arial" w:eastAsia="Arial" w:hAnsi="Arial"/>
                <w:sz w:val="18"/>
                <w:szCs w:val="18"/>
                <w:color w:val="auto"/>
              </w:rPr>
              <w:t>169,563</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30,192</w:t>
            </w:r>
          </w:p>
        </w:tc>
        <w:tc>
          <w:tcPr>
            <w:tcW w:w="0" w:type="dxa"/>
            <w:vAlign w:val="bottom"/>
          </w:tcPr>
          <w:p>
            <w:pPr>
              <w:spacing w:after="0"/>
              <w:rPr>
                <w:sz w:val="1"/>
                <w:szCs w:val="1"/>
                <w:color w:val="auto"/>
              </w:rPr>
            </w:pPr>
          </w:p>
        </w:tc>
      </w:tr>
      <w:tr>
        <w:trPr>
          <w:trHeight w:val="216"/>
        </w:trPr>
        <w:tc>
          <w:tcPr>
            <w:tcW w:w="448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2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ind w:right="114"/>
              <w:spacing w:after="0"/>
              <w:rPr>
                <w:sz w:val="20"/>
                <w:szCs w:val="20"/>
                <w:color w:val="auto"/>
              </w:rPr>
            </w:pPr>
            <w:r>
              <w:rPr>
                <w:rFonts w:ascii="Arial" w:cs="Arial" w:eastAsia="Arial" w:hAnsi="Arial"/>
                <w:sz w:val="18"/>
                <w:szCs w:val="18"/>
                <w:color w:val="auto"/>
              </w:rPr>
              <w:t>325,758</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117,338</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100,937</w:t>
            </w:r>
          </w:p>
        </w:tc>
        <w:tc>
          <w:tcPr>
            <w:tcW w:w="10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ind w:right="135"/>
              <w:spacing w:after="0"/>
              <w:rPr>
                <w:sz w:val="20"/>
                <w:szCs w:val="20"/>
                <w:color w:val="auto"/>
              </w:rPr>
            </w:pPr>
            <w:r>
              <w:rPr>
                <w:rFonts w:ascii="Arial" w:cs="Arial" w:eastAsia="Arial" w:hAnsi="Arial"/>
                <w:sz w:val="18"/>
                <w:szCs w:val="18"/>
                <w:color w:val="auto"/>
              </w:rPr>
              <w:t>443,096</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209,604</w:t>
            </w:r>
          </w:p>
        </w:tc>
        <w:tc>
          <w:tcPr>
            <w:tcW w:w="0" w:type="dxa"/>
            <w:vAlign w:val="bottom"/>
          </w:tcPr>
          <w:p>
            <w:pPr>
              <w:spacing w:after="0"/>
              <w:rPr>
                <w:sz w:val="1"/>
                <w:szCs w:val="1"/>
                <w:color w:val="auto"/>
              </w:rPr>
            </w:pPr>
          </w:p>
        </w:tc>
      </w:tr>
      <w:tr>
        <w:trPr>
          <w:trHeight w:val="237"/>
        </w:trPr>
        <w:tc>
          <w:tcPr>
            <w:tcW w:w="448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Non-GAAP gross profit</w:t>
            </w:r>
          </w:p>
        </w:tc>
        <w:tc>
          <w:tcPr>
            <w:tcW w:w="2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697,588</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535,479</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460,193</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1,233,067</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895,762</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4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24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34.6 %</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50.2 %</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49.4 %</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spacing w:after="0"/>
              <w:rPr>
                <w:sz w:val="21"/>
                <w:szCs w:val="21"/>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41.4 %</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48.3 %</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480" w:type="dxa"/>
            <w:vAlign w:val="bottom"/>
            <w:vMerge w:val="continue"/>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9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64.8 %</w:t>
            </w:r>
          </w:p>
        </w:tc>
        <w:tc>
          <w:tcPr>
            <w:tcW w:w="14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64.3 %</w:t>
            </w:r>
          </w:p>
        </w:tc>
        <w:tc>
          <w:tcPr>
            <w:tcW w:w="12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63.3 %</w:t>
            </w:r>
          </w:p>
        </w:tc>
        <w:tc>
          <w:tcPr>
            <w:tcW w:w="10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0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64.6 %</w:t>
            </w:r>
          </w:p>
        </w:tc>
        <w:tc>
          <w:tcPr>
            <w:tcW w:w="10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63.0 %</w:t>
            </w:r>
          </w:p>
        </w:tc>
        <w:tc>
          <w:tcPr>
            <w:tcW w:w="0" w:type="dxa"/>
            <w:vAlign w:val="bottom"/>
          </w:tcPr>
          <w:p>
            <w:pPr>
              <w:spacing w:after="0"/>
              <w:rPr>
                <w:sz w:val="1"/>
                <w:szCs w:val="1"/>
                <w:color w:val="auto"/>
              </w:rPr>
            </w:pPr>
          </w:p>
        </w:tc>
      </w:tr>
      <w:tr>
        <w:trPr>
          <w:trHeight w:val="20"/>
        </w:trPr>
        <w:tc>
          <w:tcPr>
            <w:tcW w:w="448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4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4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48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60" w:type="dxa"/>
            <w:vAlign w:val="bottom"/>
            <w:shd w:val="clear" w:color="auto" w:fill="CCEEFF"/>
          </w:tcPr>
          <w:p>
            <w:pPr>
              <w:spacing w:after="0"/>
              <w:rPr>
                <w:sz w:val="22"/>
                <w:szCs w:val="22"/>
                <w:color w:val="auto"/>
              </w:rPr>
            </w:pPr>
          </w:p>
        </w:tc>
        <w:tc>
          <w:tcPr>
            <w:tcW w:w="10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48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240" w:type="dxa"/>
            <w:vAlign w:val="bottom"/>
          </w:tcPr>
          <w:p>
            <w:pPr>
              <w:jc w:val="right"/>
              <w:ind w:right="3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14"/>
              <w:spacing w:after="0"/>
              <w:rPr>
                <w:sz w:val="20"/>
                <w:szCs w:val="20"/>
                <w:color w:val="auto"/>
              </w:rPr>
            </w:pPr>
            <w:r>
              <w:rPr>
                <w:rFonts w:ascii="Arial" w:cs="Arial" w:eastAsia="Arial" w:hAnsi="Arial"/>
                <w:sz w:val="18"/>
                <w:szCs w:val="18"/>
                <w:color w:val="auto"/>
              </w:rPr>
              <w:t>638,498</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Pr>
          <w:p>
            <w:pPr>
              <w:jc w:val="right"/>
              <w:ind w:right="134"/>
              <w:spacing w:after="0"/>
              <w:rPr>
                <w:sz w:val="20"/>
                <w:szCs w:val="20"/>
                <w:color w:val="auto"/>
              </w:rPr>
            </w:pPr>
            <w:r>
              <w:rPr>
                <w:rFonts w:ascii="Arial" w:cs="Arial" w:eastAsia="Arial" w:hAnsi="Arial"/>
                <w:sz w:val="18"/>
                <w:szCs w:val="18"/>
                <w:color w:val="auto"/>
              </w:rPr>
              <w:t>500,452</w:t>
            </w:r>
          </w:p>
        </w:tc>
        <w:tc>
          <w:tcPr>
            <w:tcW w:w="120" w:type="dxa"/>
            <w:vAlign w:val="bottom"/>
          </w:tcPr>
          <w:p>
            <w:pPr>
              <w:spacing w:after="0"/>
              <w:rPr>
                <w:sz w:val="19"/>
                <w:szCs w:val="19"/>
                <w:color w:val="auto"/>
              </w:rPr>
            </w:pPr>
          </w:p>
        </w:tc>
        <w:tc>
          <w:tcPr>
            <w:tcW w:w="220" w:type="dxa"/>
            <w:vAlign w:val="bottom"/>
          </w:tcPr>
          <w:p>
            <w:pPr>
              <w:jc w:val="right"/>
              <w:ind w:right="12"/>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ind w:right="134"/>
              <w:spacing w:after="0"/>
              <w:rPr>
                <w:sz w:val="20"/>
                <w:szCs w:val="20"/>
                <w:color w:val="auto"/>
              </w:rPr>
            </w:pPr>
            <w:r>
              <w:rPr>
                <w:rFonts w:ascii="Arial" w:cs="Arial" w:eastAsia="Arial" w:hAnsi="Arial"/>
                <w:sz w:val="18"/>
                <w:szCs w:val="18"/>
                <w:color w:val="auto"/>
              </w:rPr>
              <w:t>510,523</w:t>
            </w:r>
          </w:p>
        </w:tc>
        <w:tc>
          <w:tcPr>
            <w:tcW w:w="100" w:type="dxa"/>
            <w:vAlign w:val="bottom"/>
          </w:tcPr>
          <w:p>
            <w:pPr>
              <w:spacing w:after="0"/>
              <w:rPr>
                <w:sz w:val="19"/>
                <w:szCs w:val="19"/>
                <w:color w:val="auto"/>
              </w:rPr>
            </w:pPr>
          </w:p>
        </w:tc>
        <w:tc>
          <w:tcPr>
            <w:tcW w:w="260" w:type="dxa"/>
            <w:vAlign w:val="bottom"/>
          </w:tcPr>
          <w:p>
            <w:pPr>
              <w:jc w:val="right"/>
              <w:ind w:right="52"/>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35"/>
              <w:spacing w:after="0"/>
              <w:rPr>
                <w:sz w:val="20"/>
                <w:szCs w:val="20"/>
                <w:color w:val="auto"/>
              </w:rPr>
            </w:pPr>
            <w:r>
              <w:rPr>
                <w:rFonts w:ascii="Arial" w:cs="Arial" w:eastAsia="Arial" w:hAnsi="Arial"/>
                <w:sz w:val="18"/>
                <w:szCs w:val="18"/>
                <w:color w:val="auto"/>
              </w:rPr>
              <w:t>1,138,950</w:t>
            </w:r>
          </w:p>
        </w:tc>
        <w:tc>
          <w:tcPr>
            <w:tcW w:w="100" w:type="dxa"/>
            <w:vAlign w:val="bottom"/>
          </w:tcPr>
          <w:p>
            <w:pPr>
              <w:spacing w:after="0"/>
              <w:rPr>
                <w:sz w:val="19"/>
                <w:szCs w:val="19"/>
                <w:color w:val="auto"/>
              </w:rPr>
            </w:pPr>
          </w:p>
        </w:tc>
        <w:tc>
          <w:tcPr>
            <w:tcW w:w="220" w:type="dxa"/>
            <w:vAlign w:val="bottom"/>
          </w:tcPr>
          <w:p>
            <w:pPr>
              <w:jc w:val="right"/>
              <w:ind w:right="32"/>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933,421</w:t>
            </w:r>
          </w:p>
        </w:tc>
        <w:tc>
          <w:tcPr>
            <w:tcW w:w="0" w:type="dxa"/>
            <w:vAlign w:val="bottom"/>
          </w:tcPr>
          <w:p>
            <w:pPr>
              <w:spacing w:after="0"/>
              <w:rPr>
                <w:sz w:val="1"/>
                <w:szCs w:val="1"/>
                <w:color w:val="auto"/>
              </w:rPr>
            </w:pPr>
          </w:p>
        </w:tc>
      </w:tr>
      <w:tr>
        <w:trPr>
          <w:trHeight w:val="224"/>
        </w:trPr>
        <w:tc>
          <w:tcPr>
            <w:tcW w:w="4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480" w:type="dxa"/>
            <w:vAlign w:val="bottom"/>
          </w:tcPr>
          <w:p>
            <w:pPr>
              <w:ind w:left="660"/>
              <w:spacing w:after="0"/>
              <w:rPr>
                <w:sz w:val="20"/>
                <w:szCs w:val="20"/>
                <w:color w:val="auto"/>
              </w:rPr>
            </w:pPr>
            <w:r>
              <w:rPr>
                <w:rFonts w:ascii="Arial" w:cs="Arial" w:eastAsia="Arial" w:hAnsi="Arial"/>
                <w:sz w:val="18"/>
                <w:szCs w:val="18"/>
                <w:color w:val="auto"/>
              </w:rPr>
              <w:t>Share-based compensation</w:t>
            </w:r>
          </w:p>
        </w:tc>
        <w:tc>
          <w:tcPr>
            <w:tcW w:w="24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Arial" w:cs="Arial" w:eastAsia="Arial" w:hAnsi="Arial"/>
                <w:sz w:val="18"/>
                <w:szCs w:val="18"/>
                <w:color w:val="auto"/>
              </w:rPr>
              <w:t>(111,440)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94"/>
              <w:spacing w:after="0"/>
              <w:rPr>
                <w:sz w:val="20"/>
                <w:szCs w:val="20"/>
                <w:color w:val="auto"/>
              </w:rPr>
            </w:pPr>
            <w:r>
              <w:rPr>
                <w:rFonts w:ascii="Arial" w:cs="Arial" w:eastAsia="Arial" w:hAnsi="Arial"/>
                <w:sz w:val="18"/>
                <w:szCs w:val="18"/>
                <w:color w:val="auto"/>
              </w:rPr>
              <w:t>(99,790)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ind w:right="74"/>
              <w:spacing w:after="0"/>
              <w:rPr>
                <w:sz w:val="20"/>
                <w:szCs w:val="20"/>
                <w:color w:val="auto"/>
              </w:rPr>
            </w:pPr>
            <w:r>
              <w:rPr>
                <w:rFonts w:ascii="Arial" w:cs="Arial" w:eastAsia="Arial" w:hAnsi="Arial"/>
                <w:sz w:val="18"/>
                <w:szCs w:val="18"/>
                <w:color w:val="auto"/>
              </w:rPr>
              <w:t>(58,504)</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tcPr>
          <w:p>
            <w:pPr>
              <w:jc w:val="right"/>
              <w:ind w:right="95"/>
              <w:spacing w:after="0"/>
              <w:rPr>
                <w:sz w:val="20"/>
                <w:szCs w:val="20"/>
                <w:color w:val="auto"/>
              </w:rPr>
            </w:pPr>
            <w:r>
              <w:rPr>
                <w:rFonts w:ascii="Arial" w:cs="Arial" w:eastAsia="Arial" w:hAnsi="Arial"/>
                <w:sz w:val="18"/>
                <w:szCs w:val="18"/>
                <w:color w:val="auto"/>
              </w:rPr>
              <w:t>(211,230)</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(114,653)</w:t>
            </w:r>
          </w:p>
        </w:tc>
        <w:tc>
          <w:tcPr>
            <w:tcW w:w="0" w:type="dxa"/>
            <w:vAlign w:val="bottom"/>
          </w:tcPr>
          <w:p>
            <w:pPr>
              <w:spacing w:after="0"/>
              <w:rPr>
                <w:sz w:val="1"/>
                <w:szCs w:val="1"/>
                <w:color w:val="auto"/>
              </w:rPr>
            </w:pPr>
          </w:p>
        </w:tc>
      </w:tr>
      <w:tr>
        <w:trPr>
          <w:trHeight w:val="224"/>
        </w:trPr>
        <w:tc>
          <w:tcPr>
            <w:tcW w:w="4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(12,294)</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(12,886)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(120,590)</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jc w:val="right"/>
              <w:ind w:right="95"/>
              <w:spacing w:after="0"/>
              <w:rPr>
                <w:sz w:val="20"/>
                <w:szCs w:val="20"/>
                <w:color w:val="auto"/>
              </w:rPr>
            </w:pPr>
            <w:r>
              <w:rPr>
                <w:rFonts w:ascii="Arial" w:cs="Arial" w:eastAsia="Arial" w:hAnsi="Arial"/>
                <w:sz w:val="18"/>
                <w:szCs w:val="18"/>
                <w:color w:val="auto"/>
              </w:rPr>
              <w:t>(25,180)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(141,877)</w:t>
            </w:r>
          </w:p>
        </w:tc>
        <w:tc>
          <w:tcPr>
            <w:tcW w:w="0" w:type="dxa"/>
            <w:vAlign w:val="bottom"/>
          </w:tcPr>
          <w:p>
            <w:pPr>
              <w:spacing w:after="0"/>
              <w:rPr>
                <w:sz w:val="1"/>
                <w:szCs w:val="1"/>
                <w:color w:val="auto"/>
              </w:rPr>
            </w:pPr>
          </w:p>
        </w:tc>
      </w:tr>
      <w:tr>
        <w:trPr>
          <w:trHeight w:val="223"/>
        </w:trPr>
        <w:tc>
          <w:tcPr>
            <w:tcW w:w="448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4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Arial" w:cs="Arial" w:eastAsia="Arial" w:hAnsi="Arial"/>
                <w:sz w:val="18"/>
                <w:szCs w:val="18"/>
                <w:color w:val="auto"/>
              </w:rPr>
              <w:t>(109,419)</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94"/>
              <w:spacing w:after="0"/>
              <w:rPr>
                <w:sz w:val="20"/>
                <w:szCs w:val="20"/>
                <w:color w:val="auto"/>
              </w:rPr>
            </w:pPr>
            <w:r>
              <w:rPr>
                <w:rFonts w:ascii="Arial" w:cs="Arial" w:eastAsia="Arial" w:hAnsi="Arial"/>
                <w:sz w:val="18"/>
                <w:szCs w:val="18"/>
                <w:color w:val="auto"/>
              </w:rPr>
              <w:t>(34,827)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ind w:right="74"/>
              <w:spacing w:after="0"/>
              <w:rPr>
                <w:sz w:val="20"/>
                <w:szCs w:val="20"/>
                <w:color w:val="auto"/>
              </w:rPr>
            </w:pPr>
            <w:r>
              <w:rPr>
                <w:rFonts w:ascii="Arial" w:cs="Arial" w:eastAsia="Arial" w:hAnsi="Arial"/>
                <w:sz w:val="18"/>
                <w:szCs w:val="18"/>
                <w:color w:val="auto"/>
              </w:rPr>
              <w:t>(26,354)</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tcPr>
          <w:p>
            <w:pPr>
              <w:jc w:val="right"/>
              <w:ind w:right="95"/>
              <w:spacing w:after="0"/>
              <w:rPr>
                <w:sz w:val="20"/>
                <w:szCs w:val="20"/>
                <w:color w:val="auto"/>
              </w:rPr>
            </w:pPr>
            <w:r>
              <w:rPr>
                <w:rFonts w:ascii="Arial" w:cs="Arial" w:eastAsia="Arial" w:hAnsi="Arial"/>
                <w:sz w:val="18"/>
                <w:szCs w:val="18"/>
                <w:color w:val="auto"/>
              </w:rPr>
              <w:t>(144,246)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(52,709)</w:t>
            </w:r>
          </w:p>
        </w:tc>
        <w:tc>
          <w:tcPr>
            <w:tcW w:w="0" w:type="dxa"/>
            <w:vAlign w:val="bottom"/>
          </w:tcPr>
          <w:p>
            <w:pPr>
              <w:spacing w:after="0"/>
              <w:rPr>
                <w:sz w:val="1"/>
                <w:szCs w:val="1"/>
                <w:color w:val="auto"/>
              </w:rPr>
            </w:pPr>
          </w:p>
        </w:tc>
      </w:tr>
      <w:tr>
        <w:trPr>
          <w:trHeight w:val="224"/>
        </w:trPr>
        <w:tc>
          <w:tcPr>
            <w:tcW w:w="4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2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(38,948)</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(46,684)</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(8,125)</w:t>
            </w:r>
          </w:p>
        </w:tc>
        <w:tc>
          <w:tcPr>
            <w:tcW w:w="10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ind w:right="95"/>
              <w:spacing w:after="0"/>
              <w:rPr>
                <w:sz w:val="20"/>
                <w:szCs w:val="20"/>
                <w:color w:val="auto"/>
              </w:rPr>
            </w:pPr>
            <w:r>
              <w:rPr>
                <w:rFonts w:ascii="Arial" w:cs="Arial" w:eastAsia="Arial" w:hAnsi="Arial"/>
                <w:sz w:val="18"/>
                <w:szCs w:val="18"/>
                <w:color w:val="auto"/>
              </w:rPr>
              <w:t>(85,632)</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(27,528)</w:t>
            </w:r>
          </w:p>
        </w:tc>
        <w:tc>
          <w:tcPr>
            <w:tcW w:w="0" w:type="dxa"/>
            <w:vAlign w:val="bottom"/>
          </w:tcPr>
          <w:p>
            <w:pPr>
              <w:spacing w:after="0"/>
              <w:rPr>
                <w:sz w:val="1"/>
                <w:szCs w:val="1"/>
                <w:color w:val="auto"/>
              </w:rPr>
            </w:pPr>
          </w:p>
        </w:tc>
      </w:tr>
      <w:tr>
        <w:trPr>
          <w:trHeight w:val="216"/>
        </w:trPr>
        <w:tc>
          <w:tcPr>
            <w:tcW w:w="448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2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(272,101)</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(194,187)</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(213,573)</w:t>
            </w:r>
          </w:p>
        </w:tc>
        <w:tc>
          <w:tcPr>
            <w:tcW w:w="10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ind w:right="95"/>
              <w:spacing w:after="0"/>
              <w:rPr>
                <w:sz w:val="20"/>
                <w:szCs w:val="20"/>
                <w:color w:val="auto"/>
              </w:rPr>
            </w:pPr>
            <w:r>
              <w:rPr>
                <w:rFonts w:ascii="Arial" w:cs="Arial" w:eastAsia="Arial" w:hAnsi="Arial"/>
                <w:sz w:val="18"/>
                <w:szCs w:val="18"/>
                <w:color w:val="auto"/>
              </w:rPr>
              <w:t>(466,288)</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(336,767)</w:t>
            </w:r>
          </w:p>
        </w:tc>
        <w:tc>
          <w:tcPr>
            <w:tcW w:w="0" w:type="dxa"/>
            <w:vAlign w:val="bottom"/>
          </w:tcPr>
          <w:p>
            <w:pPr>
              <w:spacing w:after="0"/>
              <w:rPr>
                <w:sz w:val="1"/>
                <w:szCs w:val="1"/>
                <w:color w:val="auto"/>
              </w:rPr>
            </w:pPr>
          </w:p>
        </w:tc>
      </w:tr>
      <w:tr>
        <w:trPr>
          <w:trHeight w:val="237"/>
        </w:trPr>
        <w:tc>
          <w:tcPr>
            <w:tcW w:w="448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non-GAAP operating expenses</w:t>
            </w:r>
          </w:p>
        </w:tc>
        <w:tc>
          <w:tcPr>
            <w:tcW w:w="24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366,397</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306,265</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296,950</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672,662</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596,654</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448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60" w:type="dxa"/>
            <w:vAlign w:val="bottom"/>
            <w:shd w:val="clear" w:color="auto" w:fill="CCEEFF"/>
          </w:tcPr>
          <w:p>
            <w:pPr>
              <w:spacing w:after="0"/>
              <w:rPr>
                <w:sz w:val="22"/>
                <w:szCs w:val="22"/>
                <w:color w:val="auto"/>
              </w:rPr>
            </w:pPr>
          </w:p>
        </w:tc>
        <w:tc>
          <w:tcPr>
            <w:tcW w:w="10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4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operating margin</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0" w:type="dxa"/>
            <w:vAlign w:val="bottom"/>
          </w:tcPr>
          <w:p>
            <w:pPr>
              <w:spacing w:after="0"/>
              <w:rPr>
                <w:sz w:val="1"/>
                <w:szCs w:val="1"/>
                <w:color w:val="auto"/>
              </w:rPr>
            </w:pPr>
          </w:p>
        </w:tc>
      </w:tr>
      <w:tr>
        <w:trPr>
          <w:trHeight w:val="223"/>
        </w:trPr>
        <w:tc>
          <w:tcPr>
            <w:tcW w:w="448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14.5 %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1.6 %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1.6 %</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8.9 %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24"/>
        </w:trPr>
        <w:tc>
          <w:tcPr>
            <w:tcW w:w="4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8.6 %</w:t>
            </w:r>
          </w:p>
        </w:tc>
        <w:tc>
          <w:tcPr>
            <w:tcW w:w="0" w:type="dxa"/>
            <w:vAlign w:val="bottom"/>
          </w:tcPr>
          <w:p>
            <w:pPr>
              <w:spacing w:after="0"/>
              <w:rPr>
                <w:sz w:val="1"/>
                <w:szCs w:val="1"/>
                <w:color w:val="auto"/>
              </w:rPr>
            </w:pPr>
          </w:p>
        </w:tc>
      </w:tr>
      <w:tr>
        <w:trPr>
          <w:trHeight w:val="223"/>
        </w:trPr>
        <w:tc>
          <w:tcPr>
            <w:tcW w:w="448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1.5 %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16.6 %</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1.3 %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24"/>
        </w:trPr>
        <w:tc>
          <w:tcPr>
            <w:tcW w:w="4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15.8 %</w:t>
            </w:r>
          </w:p>
        </w:tc>
        <w:tc>
          <w:tcPr>
            <w:tcW w:w="0" w:type="dxa"/>
            <w:vAlign w:val="bottom"/>
          </w:tcPr>
          <w:p>
            <w:pPr>
              <w:spacing w:after="0"/>
              <w:rPr>
                <w:sz w:val="1"/>
                <w:szCs w:val="1"/>
                <w:color w:val="auto"/>
              </w:rPr>
            </w:pPr>
          </w:p>
        </w:tc>
      </w:tr>
      <w:tr>
        <w:trPr>
          <w:trHeight w:val="223"/>
        </w:trPr>
        <w:tc>
          <w:tcPr>
            <w:tcW w:w="448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operating expenses (c)</w:t>
            </w: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3.7 %</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5.6 %</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1.1 %</w:t>
            </w:r>
          </w:p>
        </w:tc>
        <w:tc>
          <w:tcPr>
            <w:tcW w:w="10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42"/>
        </w:trPr>
        <w:tc>
          <w:tcPr>
            <w:tcW w:w="4480" w:type="dxa"/>
            <w:vAlign w:val="bottom"/>
            <w:tcBorders>
              <w:bottom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Non-GAAP operating margin</w:t>
            </w:r>
          </w:p>
        </w:tc>
        <w:tc>
          <w:tcPr>
            <w:tcW w:w="240" w:type="dxa"/>
            <w:vAlign w:val="bottom"/>
            <w:tcBorders>
              <w:bottom w:val="single" w:sz="8" w:color="auto"/>
            </w:tcBorders>
            <w:shd w:val="clear" w:color="auto" w:fill="CCEEFF"/>
          </w:tcPr>
          <w:p>
            <w:pPr>
              <w:spacing w:after="0"/>
              <w:rPr>
                <w:sz w:val="20"/>
                <w:szCs w:val="20"/>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30.8 %</w:t>
            </w:r>
          </w:p>
        </w:tc>
        <w:tc>
          <w:tcPr>
            <w:tcW w:w="14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spacing w:after="0"/>
              <w:rPr>
                <w:sz w:val="20"/>
                <w:szCs w:val="20"/>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27.5 %</w:t>
            </w:r>
          </w:p>
        </w:tc>
        <w:tc>
          <w:tcPr>
            <w:tcW w:w="1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spacing w:after="0"/>
              <w:rPr>
                <w:sz w:val="20"/>
                <w:szCs w:val="20"/>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22.4 %</w:t>
            </w:r>
          </w:p>
        </w:tc>
        <w:tc>
          <w:tcPr>
            <w:tcW w:w="1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spacing w:after="0"/>
              <w:rPr>
                <w:sz w:val="20"/>
                <w:szCs w:val="20"/>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29.4 %</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spacing w:after="0"/>
              <w:rPr>
                <w:sz w:val="20"/>
                <w:szCs w:val="20"/>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21.1 %</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791" w:right="3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9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42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0"/>
              </w:rPr>
              <w:t>Three Months Ended</w:t>
            </w:r>
          </w:p>
        </w:tc>
        <w:tc>
          <w:tcPr>
            <w:tcW w:w="1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280" w:type="dxa"/>
            <w:vAlign w:val="bottom"/>
            <w:tcBorders>
              <w:bottom w:val="single" w:sz="8" w:color="auto"/>
            </w:tcBorders>
            <w:gridSpan w:val="4"/>
          </w:tcPr>
          <w:p>
            <w:pPr>
              <w:jc w:val="right"/>
              <w:ind w:right="614"/>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30"/>
        </w:trPr>
        <w:tc>
          <w:tcPr>
            <w:tcW w:w="49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20" w:type="dxa"/>
            <w:vAlign w:val="bottom"/>
          </w:tcPr>
          <w:p>
            <w:pPr>
              <w:jc w:val="right"/>
              <w:ind w:right="254"/>
              <w:spacing w:after="0" w:line="130" w:lineRule="exact"/>
              <w:rPr>
                <w:sz w:val="20"/>
                <w:szCs w:val="20"/>
                <w:color w:val="auto"/>
              </w:rPr>
            </w:pPr>
            <w:r>
              <w:rPr>
                <w:rFonts w:ascii="Arial" w:cs="Arial" w:eastAsia="Arial" w:hAnsi="Arial"/>
                <w:sz w:val="14"/>
                <w:szCs w:val="14"/>
                <w:b w:val="1"/>
                <w:bCs w:val="1"/>
                <w:color w:val="auto"/>
              </w:rPr>
              <w:t>July 31,</w:t>
            </w:r>
          </w:p>
        </w:tc>
        <w:tc>
          <w:tcPr>
            <w:tcW w:w="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40" w:type="dxa"/>
            <w:vAlign w:val="bottom"/>
            <w:gridSpan w:val="2"/>
          </w:tcPr>
          <w:p>
            <w:pPr>
              <w:jc w:val="center"/>
              <w:ind w:right="380"/>
              <w:spacing w:after="0" w:line="130" w:lineRule="exact"/>
              <w:rPr>
                <w:sz w:val="20"/>
                <w:szCs w:val="20"/>
                <w:color w:val="auto"/>
              </w:rPr>
            </w:pPr>
            <w:r>
              <w:rPr>
                <w:rFonts w:ascii="Arial" w:cs="Arial" w:eastAsia="Arial" w:hAnsi="Arial"/>
                <w:sz w:val="14"/>
                <w:szCs w:val="14"/>
                <w:b w:val="1"/>
                <w:bCs w:val="1"/>
                <w:color w:val="auto"/>
                <w:w w:val="98"/>
              </w:rPr>
              <w:t>May 1,</w:t>
            </w:r>
          </w:p>
        </w:tc>
        <w:tc>
          <w:tcPr>
            <w:tcW w:w="180" w:type="dxa"/>
            <w:vAlign w:val="bottom"/>
          </w:tcPr>
          <w:p>
            <w:pPr>
              <w:spacing w:after="0"/>
              <w:rPr>
                <w:sz w:val="11"/>
                <w:szCs w:val="11"/>
                <w:color w:val="auto"/>
              </w:rPr>
            </w:pPr>
          </w:p>
        </w:tc>
        <w:tc>
          <w:tcPr>
            <w:tcW w:w="96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00" w:type="dxa"/>
            <w:vAlign w:val="bottom"/>
            <w:gridSpan w:val="2"/>
          </w:tcPr>
          <w:p>
            <w:pPr>
              <w:ind w:left="140"/>
              <w:spacing w:after="0" w:line="130" w:lineRule="exact"/>
              <w:rPr>
                <w:sz w:val="20"/>
                <w:szCs w:val="20"/>
                <w:color w:val="auto"/>
              </w:rPr>
            </w:pPr>
            <w:r>
              <w:rPr>
                <w:rFonts w:ascii="Arial" w:cs="Arial" w:eastAsia="Arial" w:hAnsi="Arial"/>
                <w:sz w:val="14"/>
                <w:szCs w:val="14"/>
                <w:b w:val="1"/>
                <w:bCs w:val="1"/>
                <w:color w:val="auto"/>
              </w:rPr>
              <w:t>July 31,</w:t>
            </w:r>
          </w:p>
        </w:tc>
        <w:tc>
          <w:tcPr>
            <w:tcW w:w="200" w:type="dxa"/>
            <w:vAlign w:val="bottom"/>
          </w:tcPr>
          <w:p>
            <w:pPr>
              <w:spacing w:after="0"/>
              <w:rPr>
                <w:sz w:val="11"/>
                <w:szCs w:val="11"/>
                <w:color w:val="auto"/>
              </w:rPr>
            </w:pPr>
          </w:p>
        </w:tc>
        <w:tc>
          <w:tcPr>
            <w:tcW w:w="98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rPr>
              <w:t>August 1,</w:t>
            </w:r>
          </w:p>
        </w:tc>
        <w:tc>
          <w:tcPr>
            <w:tcW w:w="0" w:type="dxa"/>
            <w:vAlign w:val="bottom"/>
          </w:tcPr>
          <w:p>
            <w:pPr>
              <w:spacing w:after="0"/>
              <w:rPr>
                <w:sz w:val="1"/>
                <w:szCs w:val="1"/>
                <w:color w:val="auto"/>
              </w:rPr>
            </w:pPr>
          </w:p>
        </w:tc>
      </w:tr>
      <w:tr>
        <w:trPr>
          <w:trHeight w:val="183"/>
        </w:trPr>
        <w:tc>
          <w:tcPr>
            <w:tcW w:w="492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920" w:type="dxa"/>
            <w:vAlign w:val="bottom"/>
            <w:tcBorders>
              <w:bottom w:val="single" w:sz="8" w:color="auto"/>
            </w:tcBorders>
          </w:tcPr>
          <w:p>
            <w:pPr>
              <w:jc w:val="right"/>
              <w:ind w:right="334"/>
              <w:spacing w:after="0"/>
              <w:rPr>
                <w:sz w:val="20"/>
                <w:szCs w:val="20"/>
                <w:color w:val="auto"/>
              </w:rPr>
            </w:pPr>
            <w:r>
              <w:rPr>
                <w:rFonts w:ascii="Arial" w:cs="Arial" w:eastAsia="Arial" w:hAnsi="Arial"/>
                <w:sz w:val="14"/>
                <w:szCs w:val="14"/>
                <w:b w:val="1"/>
                <w:bCs w:val="1"/>
                <w:color w:val="auto"/>
              </w:rPr>
              <w:t>2021</w:t>
            </w:r>
          </w:p>
        </w:tc>
        <w:tc>
          <w:tcPr>
            <w:tcW w:w="140" w:type="dxa"/>
            <w:vAlign w:val="bottom"/>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900" w:type="dxa"/>
            <w:vAlign w:val="bottom"/>
            <w:tcBorders>
              <w:bottom w:val="single" w:sz="8" w:color="auto"/>
            </w:tcBorders>
          </w:tcPr>
          <w:p>
            <w:pPr>
              <w:jc w:val="center"/>
              <w:ind w:right="174"/>
              <w:spacing w:after="0"/>
              <w:rPr>
                <w:sz w:val="20"/>
                <w:szCs w:val="20"/>
                <w:color w:val="auto"/>
              </w:rPr>
            </w:pPr>
            <w:r>
              <w:rPr>
                <w:rFonts w:ascii="Arial" w:cs="Arial" w:eastAsia="Arial" w:hAnsi="Arial"/>
                <w:sz w:val="14"/>
                <w:szCs w:val="14"/>
                <w:b w:val="1"/>
                <w:bCs w:val="1"/>
                <w:color w:val="auto"/>
                <w:w w:val="89"/>
              </w:rPr>
              <w:t>2021</w:t>
            </w:r>
          </w:p>
        </w:tc>
        <w:tc>
          <w:tcPr>
            <w:tcW w:w="14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960" w:type="dxa"/>
            <w:vAlign w:val="bottom"/>
            <w:tcBorders>
              <w:bottom w:val="single" w:sz="8" w:color="auto"/>
            </w:tcBorders>
          </w:tcPr>
          <w:p>
            <w:pPr>
              <w:jc w:val="right"/>
              <w:ind w:right="35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000" w:type="dxa"/>
            <w:vAlign w:val="bottom"/>
            <w:tcBorders>
              <w:bottom w:val="single" w:sz="8" w:color="auto"/>
            </w:tcBorders>
          </w:tcPr>
          <w:p>
            <w:pPr>
              <w:jc w:val="right"/>
              <w:ind w:right="39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right"/>
              <w:ind w:right="354"/>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73"/>
        </w:trPr>
        <w:tc>
          <w:tcPr>
            <w:tcW w:w="4920" w:type="dxa"/>
            <w:vAlign w:val="bottom"/>
          </w:tcPr>
          <w:p>
            <w:pPr>
              <w:spacing w:after="0"/>
              <w:rPr>
                <w:sz w:val="6"/>
                <w:szCs w:val="6"/>
                <w:color w:val="auto"/>
              </w:rPr>
            </w:pPr>
          </w:p>
        </w:tc>
        <w:tc>
          <w:tcPr>
            <w:tcW w:w="220" w:type="dxa"/>
            <w:vAlign w:val="bottom"/>
          </w:tcPr>
          <w:p>
            <w:pPr>
              <w:spacing w:after="0"/>
              <w:rPr>
                <w:sz w:val="6"/>
                <w:szCs w:val="6"/>
                <w:color w:val="auto"/>
              </w:rPr>
            </w:pPr>
          </w:p>
        </w:tc>
        <w:tc>
          <w:tcPr>
            <w:tcW w:w="9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40" w:type="dxa"/>
            <w:vAlign w:val="bottom"/>
          </w:tcPr>
          <w:p>
            <w:pPr>
              <w:spacing w:after="0"/>
              <w:rPr>
                <w:sz w:val="6"/>
                <w:szCs w:val="6"/>
                <w:color w:val="auto"/>
              </w:rPr>
            </w:pPr>
          </w:p>
        </w:tc>
        <w:tc>
          <w:tcPr>
            <w:tcW w:w="900" w:type="dxa"/>
            <w:vAlign w:val="bottom"/>
          </w:tcPr>
          <w:p>
            <w:pPr>
              <w:spacing w:after="0"/>
              <w:rPr>
                <w:sz w:val="6"/>
                <w:szCs w:val="6"/>
                <w:color w:val="auto"/>
              </w:rPr>
            </w:pPr>
          </w:p>
        </w:tc>
        <w:tc>
          <w:tcPr>
            <w:tcW w:w="140" w:type="dxa"/>
            <w:vAlign w:val="bottom"/>
          </w:tcPr>
          <w:p>
            <w:pPr>
              <w:spacing w:after="0"/>
              <w:rPr>
                <w:sz w:val="6"/>
                <w:szCs w:val="6"/>
                <w:color w:val="auto"/>
              </w:rPr>
            </w:pPr>
          </w:p>
        </w:tc>
        <w:tc>
          <w:tcPr>
            <w:tcW w:w="180" w:type="dxa"/>
            <w:vAlign w:val="bottom"/>
          </w:tcPr>
          <w:p>
            <w:pPr>
              <w:spacing w:after="0"/>
              <w:rPr>
                <w:sz w:val="6"/>
                <w:szCs w:val="6"/>
                <w:color w:val="auto"/>
              </w:rPr>
            </w:pPr>
          </w:p>
        </w:tc>
        <w:tc>
          <w:tcPr>
            <w:tcW w:w="960" w:type="dxa"/>
            <w:vAlign w:val="bottom"/>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0" w:type="dxa"/>
            <w:vAlign w:val="bottom"/>
          </w:tcPr>
          <w:p>
            <w:pPr>
              <w:spacing w:after="0"/>
              <w:rPr>
                <w:sz w:val="6"/>
                <w:szCs w:val="6"/>
                <w:color w:val="auto"/>
              </w:rPr>
            </w:pPr>
          </w:p>
        </w:tc>
        <w:tc>
          <w:tcPr>
            <w:tcW w:w="9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3"/>
        </w:trPr>
        <w:tc>
          <w:tcPr>
            <w:tcW w:w="49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(35,318)</w:t>
            </w:r>
          </w:p>
        </w:tc>
        <w:tc>
          <w:tcPr>
            <w:tcW w:w="38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(33,696)</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(15,498)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(69,014)</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(27,516)</w:t>
            </w:r>
          </w:p>
        </w:tc>
        <w:tc>
          <w:tcPr>
            <w:tcW w:w="0" w:type="dxa"/>
            <w:vAlign w:val="bottom"/>
          </w:tcPr>
          <w:p>
            <w:pPr>
              <w:spacing w:after="0"/>
              <w:rPr>
                <w:sz w:val="1"/>
                <w:szCs w:val="1"/>
                <w:color w:val="auto"/>
              </w:rPr>
            </w:pPr>
          </w:p>
        </w:tc>
      </w:tr>
      <w:tr>
        <w:trPr>
          <w:trHeight w:val="223"/>
        </w:trPr>
        <w:tc>
          <w:tcPr>
            <w:tcW w:w="49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49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Debt issuance related costs and other (d)</w:t>
            </w: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3,022</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16,901</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19,923</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0" w:type="dxa"/>
            <w:vAlign w:val="bottom"/>
          </w:tcPr>
          <w:p>
            <w:pPr>
              <w:spacing w:after="0"/>
              <w:rPr>
                <w:sz w:val="1"/>
                <w:szCs w:val="1"/>
                <w:color w:val="auto"/>
              </w:rPr>
            </w:pPr>
          </w:p>
        </w:tc>
      </w:tr>
      <w:tr>
        <w:trPr>
          <w:trHeight w:val="216"/>
        </w:trPr>
        <w:tc>
          <w:tcPr>
            <w:tcW w:w="492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2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3,022</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16,901</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19,923</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434</w:t>
            </w:r>
          </w:p>
        </w:tc>
        <w:tc>
          <w:tcPr>
            <w:tcW w:w="0" w:type="dxa"/>
            <w:vAlign w:val="bottom"/>
          </w:tcPr>
          <w:p>
            <w:pPr>
              <w:spacing w:after="0"/>
              <w:rPr>
                <w:sz w:val="1"/>
                <w:szCs w:val="1"/>
                <w:color w:val="auto"/>
              </w:rPr>
            </w:pPr>
          </w:p>
        </w:tc>
      </w:tr>
      <w:tr>
        <w:trPr>
          <w:trHeight w:val="237"/>
        </w:trPr>
        <w:tc>
          <w:tcPr>
            <w:tcW w:w="492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non-GAAP interest and other income (loss), net</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(32,296)</w:t>
            </w:r>
          </w:p>
        </w:tc>
        <w:tc>
          <w:tcPr>
            <w:tcW w:w="38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(16,795)</w:t>
            </w:r>
          </w:p>
        </w:tc>
        <w:tc>
          <w:tcPr>
            <w:tcW w:w="140" w:type="dxa"/>
            <w:vAlign w:val="bottom"/>
            <w:shd w:val="clear" w:color="auto" w:fill="CCEEFF"/>
          </w:tcPr>
          <w:p>
            <w:pPr>
              <w:spacing w:after="0"/>
              <w:rPr>
                <w:sz w:val="20"/>
                <w:szCs w:val="20"/>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(15,498)</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(49,091)</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(27,082)</w:t>
            </w:r>
          </w:p>
        </w:tc>
        <w:tc>
          <w:tcPr>
            <w:tcW w:w="0" w:type="dxa"/>
            <w:vAlign w:val="bottom"/>
          </w:tcPr>
          <w:p>
            <w:pPr>
              <w:spacing w:after="0"/>
              <w:rPr>
                <w:sz w:val="1"/>
                <w:szCs w:val="1"/>
                <w:color w:val="auto"/>
              </w:rPr>
            </w:pPr>
          </w:p>
        </w:tc>
      </w:tr>
      <w:tr>
        <w:trPr>
          <w:trHeight w:val="20"/>
        </w:trPr>
        <w:tc>
          <w:tcPr>
            <w:tcW w:w="49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49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9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9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9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net loss</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(276,428)</w:t>
            </w:r>
          </w:p>
        </w:tc>
        <w:tc>
          <w:tcPr>
            <w:tcW w:w="38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(157,893)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(364,670)</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(270,926)</w:t>
            </w:r>
          </w:p>
        </w:tc>
        <w:tc>
          <w:tcPr>
            <w:tcW w:w="0" w:type="dxa"/>
            <w:vAlign w:val="bottom"/>
          </w:tcPr>
          <w:p>
            <w:pPr>
              <w:spacing w:after="0"/>
              <w:rPr>
                <w:sz w:val="1"/>
                <w:szCs w:val="1"/>
                <w:color w:val="auto"/>
              </w:rPr>
            </w:pPr>
          </w:p>
        </w:tc>
      </w:tr>
      <w:tr>
        <w:trPr>
          <w:trHeight w:val="223"/>
        </w:trPr>
        <w:tc>
          <w:tcPr>
            <w:tcW w:w="49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49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155,840</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13,723</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11,630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169,563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30,192</w:t>
            </w:r>
          </w:p>
        </w:tc>
        <w:tc>
          <w:tcPr>
            <w:tcW w:w="0" w:type="dxa"/>
            <w:vAlign w:val="bottom"/>
          </w:tcPr>
          <w:p>
            <w:pPr>
              <w:spacing w:after="0"/>
              <w:rPr>
                <w:sz w:val="1"/>
                <w:szCs w:val="1"/>
                <w:color w:val="auto"/>
              </w:rPr>
            </w:pPr>
          </w:p>
        </w:tc>
      </w:tr>
      <w:tr>
        <w:trPr>
          <w:trHeight w:val="223"/>
        </w:trPr>
        <w:tc>
          <w:tcPr>
            <w:tcW w:w="4920" w:type="dxa"/>
            <w:vAlign w:val="bottom"/>
          </w:tcPr>
          <w:p>
            <w:pPr>
              <w:ind w:left="660"/>
              <w:spacing w:after="0"/>
              <w:rPr>
                <w:sz w:val="20"/>
                <w:szCs w:val="20"/>
                <w:color w:val="auto"/>
              </w:rPr>
            </w:pPr>
            <w:r>
              <w:rPr>
                <w:rFonts w:ascii="Arial" w:cs="Arial" w:eastAsia="Arial" w:hAnsi="Arial"/>
                <w:sz w:val="18"/>
                <w:szCs w:val="18"/>
                <w:color w:val="auto"/>
              </w:rPr>
              <w:t>Share-based compensation</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114,105</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109,593</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62,586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223,698</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122,273</w:t>
            </w:r>
          </w:p>
        </w:tc>
        <w:tc>
          <w:tcPr>
            <w:tcW w:w="0" w:type="dxa"/>
            <w:vAlign w:val="bottom"/>
          </w:tcPr>
          <w:p>
            <w:pPr>
              <w:spacing w:after="0"/>
              <w:rPr>
                <w:sz w:val="1"/>
                <w:szCs w:val="1"/>
                <w:color w:val="auto"/>
              </w:rPr>
            </w:pPr>
          </w:p>
        </w:tc>
      </w:tr>
      <w:tr>
        <w:trPr>
          <w:trHeight w:val="224"/>
        </w:trPr>
        <w:tc>
          <w:tcPr>
            <w:tcW w:w="49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12,294</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12,886</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120,590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25,180</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141,877</w:t>
            </w:r>
          </w:p>
        </w:tc>
        <w:tc>
          <w:tcPr>
            <w:tcW w:w="0" w:type="dxa"/>
            <w:vAlign w:val="bottom"/>
          </w:tcPr>
          <w:p>
            <w:pPr>
              <w:spacing w:after="0"/>
              <w:rPr>
                <w:sz w:val="1"/>
                <w:szCs w:val="1"/>
                <w:color w:val="auto"/>
              </w:rPr>
            </w:pPr>
          </w:p>
        </w:tc>
      </w:tr>
      <w:tr>
        <w:trPr>
          <w:trHeight w:val="223"/>
        </w:trPr>
        <w:tc>
          <w:tcPr>
            <w:tcW w:w="4920" w:type="dxa"/>
            <w:vAlign w:val="bottom"/>
          </w:tcPr>
          <w:p>
            <w:pPr>
              <w:ind w:left="660"/>
              <w:spacing w:after="0"/>
              <w:rPr>
                <w:sz w:val="20"/>
                <w:szCs w:val="20"/>
                <w:color w:val="auto"/>
              </w:rPr>
            </w:pPr>
            <w:r>
              <w:rPr>
                <w:rFonts w:ascii="Arial" w:cs="Arial" w:eastAsia="Arial" w:hAnsi="Arial"/>
                <w:sz w:val="18"/>
                <w:szCs w:val="18"/>
                <w:color w:val="auto"/>
              </w:rPr>
              <w:t>Other operating expenses (c)</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38,948</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46,684</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8,125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85,632</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27,528</w:t>
            </w:r>
          </w:p>
        </w:tc>
        <w:tc>
          <w:tcPr>
            <w:tcW w:w="0" w:type="dxa"/>
            <w:vAlign w:val="bottom"/>
          </w:tcPr>
          <w:p>
            <w:pPr>
              <w:spacing w:after="0"/>
              <w:rPr>
                <w:sz w:val="1"/>
                <w:szCs w:val="1"/>
                <w:color w:val="auto"/>
              </w:rPr>
            </w:pPr>
          </w:p>
        </w:tc>
      </w:tr>
      <w:tr>
        <w:trPr>
          <w:trHeight w:val="224"/>
        </w:trPr>
        <w:tc>
          <w:tcPr>
            <w:tcW w:w="49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276,672</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128,639</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111,579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405,311</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224,501</w:t>
            </w:r>
          </w:p>
        </w:tc>
        <w:tc>
          <w:tcPr>
            <w:tcW w:w="0" w:type="dxa"/>
            <w:vAlign w:val="bottom"/>
          </w:tcPr>
          <w:p>
            <w:pPr>
              <w:spacing w:after="0"/>
              <w:rPr>
                <w:sz w:val="1"/>
                <w:szCs w:val="1"/>
                <w:color w:val="auto"/>
              </w:rPr>
            </w:pPr>
          </w:p>
        </w:tc>
      </w:tr>
      <w:tr>
        <w:trPr>
          <w:trHeight w:val="223"/>
        </w:trPr>
        <w:tc>
          <w:tcPr>
            <w:tcW w:w="4920" w:type="dxa"/>
            <w:vAlign w:val="bottom"/>
          </w:tcPr>
          <w:p>
            <w:pPr>
              <w:ind w:left="660"/>
              <w:spacing w:after="0"/>
              <w:rPr>
                <w:sz w:val="20"/>
                <w:szCs w:val="20"/>
                <w:color w:val="auto"/>
              </w:rPr>
            </w:pPr>
            <w:r>
              <w:rPr>
                <w:rFonts w:ascii="Arial" w:cs="Arial" w:eastAsia="Arial" w:hAnsi="Arial"/>
                <w:sz w:val="18"/>
                <w:szCs w:val="18"/>
                <w:color w:val="auto"/>
              </w:rPr>
              <w:t>Debt issuance related costs and other (d)</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3,022</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16,901</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19,923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434</w:t>
            </w:r>
          </w:p>
        </w:tc>
        <w:tc>
          <w:tcPr>
            <w:tcW w:w="0" w:type="dxa"/>
            <w:vAlign w:val="bottom"/>
          </w:tcPr>
          <w:p>
            <w:pPr>
              <w:spacing w:after="0"/>
              <w:rPr>
                <w:sz w:val="1"/>
                <w:szCs w:val="1"/>
                <w:color w:val="auto"/>
              </w:rPr>
            </w:pPr>
          </w:p>
        </w:tc>
      </w:tr>
      <w:tr>
        <w:trPr>
          <w:trHeight w:val="217"/>
        </w:trPr>
        <w:tc>
          <w:tcPr>
            <w:tcW w:w="4920" w:type="dxa"/>
            <w:vAlign w:val="bottom"/>
            <w:tcBorders>
              <w:top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Pre-tax total special items</w:t>
            </w:r>
          </w:p>
        </w:tc>
        <w:tc>
          <w:tcPr>
            <w:tcW w:w="22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600,881</w:t>
            </w:r>
          </w:p>
        </w:tc>
        <w:tc>
          <w:tcPr>
            <w:tcW w:w="1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328,426</w:t>
            </w:r>
          </w:p>
        </w:tc>
        <w:tc>
          <w:tcPr>
            <w:tcW w:w="1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314,510</w:t>
            </w: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929,307</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546,805</w:t>
            </w:r>
          </w:p>
        </w:tc>
        <w:tc>
          <w:tcPr>
            <w:tcW w:w="0" w:type="dxa"/>
            <w:vAlign w:val="bottom"/>
          </w:tcPr>
          <w:p>
            <w:pPr>
              <w:spacing w:after="0"/>
              <w:rPr>
                <w:sz w:val="1"/>
                <w:szCs w:val="1"/>
                <w:color w:val="auto"/>
              </w:rPr>
            </w:pPr>
          </w:p>
        </w:tc>
      </w:tr>
      <w:tr>
        <w:trPr>
          <w:trHeight w:val="223"/>
        </w:trPr>
        <w:tc>
          <w:tcPr>
            <w:tcW w:w="492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income tax effects and adjustments (e)</w:t>
            </w: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(40,503)</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(38,385)</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(16,226)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(78,888)</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(17,455)</w:t>
            </w:r>
          </w:p>
        </w:tc>
        <w:tc>
          <w:tcPr>
            <w:tcW w:w="0" w:type="dxa"/>
            <w:vAlign w:val="bottom"/>
          </w:tcPr>
          <w:p>
            <w:pPr>
              <w:spacing w:after="0"/>
              <w:rPr>
                <w:sz w:val="1"/>
                <w:szCs w:val="1"/>
                <w:color w:val="auto"/>
              </w:rPr>
            </w:pPr>
          </w:p>
        </w:tc>
      </w:tr>
      <w:tr>
        <w:trPr>
          <w:trHeight w:val="237"/>
        </w:trPr>
        <w:tc>
          <w:tcPr>
            <w:tcW w:w="49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Non-GAAP net income</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283,950</w:t>
            </w:r>
          </w:p>
        </w:tc>
        <w:tc>
          <w:tcPr>
            <w:tcW w:w="38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201,799</w:t>
            </w:r>
          </w:p>
        </w:tc>
        <w:tc>
          <w:tcPr>
            <w:tcW w:w="140" w:type="dxa"/>
            <w:vAlign w:val="bottom"/>
            <w:shd w:val="clear" w:color="auto" w:fill="CCEEFF"/>
          </w:tcPr>
          <w:p>
            <w:pPr>
              <w:spacing w:after="0"/>
              <w:rPr>
                <w:sz w:val="20"/>
                <w:szCs w:val="20"/>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140,391</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485,749</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258,424</w:t>
            </w:r>
          </w:p>
        </w:tc>
        <w:tc>
          <w:tcPr>
            <w:tcW w:w="0" w:type="dxa"/>
            <w:vAlign w:val="bottom"/>
          </w:tcPr>
          <w:p>
            <w:pPr>
              <w:spacing w:after="0"/>
              <w:rPr>
                <w:sz w:val="1"/>
                <w:szCs w:val="1"/>
                <w:color w:val="auto"/>
              </w:rPr>
            </w:pPr>
          </w:p>
        </w:tc>
      </w:tr>
      <w:tr>
        <w:trPr>
          <w:trHeight w:val="20"/>
        </w:trPr>
        <w:tc>
          <w:tcPr>
            <w:tcW w:w="49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49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9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9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8"/>
        </w:trPr>
        <w:tc>
          <w:tcPr>
            <w:tcW w:w="4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weighted average shares — basic</w:t>
            </w:r>
          </w:p>
        </w:tc>
        <w:tc>
          <w:tcPr>
            <w:tcW w:w="220" w:type="dxa"/>
            <w:vAlign w:val="bottom"/>
            <w:tcBorders>
              <w:bottom w:val="single" w:sz="8" w:color="auto"/>
            </w:tcBorders>
            <w:shd w:val="clear" w:color="auto" w:fill="CCEEFF"/>
          </w:tcPr>
          <w:p>
            <w:pPr>
              <w:spacing w:after="0"/>
              <w:rPr>
                <w:sz w:val="21"/>
                <w:szCs w:val="21"/>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821,062</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693,378</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667,574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757,205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665,541</w:t>
            </w:r>
          </w:p>
        </w:tc>
        <w:tc>
          <w:tcPr>
            <w:tcW w:w="0" w:type="dxa"/>
            <w:vAlign w:val="bottom"/>
          </w:tcPr>
          <w:p>
            <w:pPr>
              <w:spacing w:after="0"/>
              <w:rPr>
                <w:sz w:val="1"/>
                <w:szCs w:val="1"/>
                <w:color w:val="auto"/>
              </w:rPr>
            </w:pPr>
          </w:p>
        </w:tc>
      </w:tr>
      <w:tr>
        <w:trPr>
          <w:trHeight w:val="20"/>
        </w:trPr>
        <w:tc>
          <w:tcPr>
            <w:tcW w:w="49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GAAP weighted average shares — diluted</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920" w:type="dxa"/>
            <w:vAlign w:val="bottom"/>
            <w:vMerge w:val="continue"/>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821,062</w:t>
            </w:r>
          </w:p>
        </w:tc>
        <w:tc>
          <w:tcPr>
            <w:tcW w:w="14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693,378</w:t>
            </w:r>
          </w:p>
        </w:tc>
        <w:tc>
          <w:tcPr>
            <w:tcW w:w="14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667,574</w:t>
            </w:r>
          </w:p>
        </w:tc>
        <w:tc>
          <w:tcPr>
            <w:tcW w:w="10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757,205</w:t>
            </w:r>
          </w:p>
        </w:tc>
        <w:tc>
          <w:tcPr>
            <w:tcW w:w="1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665,541</w:t>
            </w:r>
          </w:p>
        </w:tc>
        <w:tc>
          <w:tcPr>
            <w:tcW w:w="0" w:type="dxa"/>
            <w:vAlign w:val="bottom"/>
          </w:tcPr>
          <w:p>
            <w:pPr>
              <w:spacing w:after="0"/>
              <w:rPr>
                <w:sz w:val="1"/>
                <w:szCs w:val="1"/>
                <w:color w:val="auto"/>
              </w:rPr>
            </w:pPr>
          </w:p>
        </w:tc>
      </w:tr>
      <w:tr>
        <w:trPr>
          <w:trHeight w:val="20"/>
        </w:trPr>
        <w:tc>
          <w:tcPr>
            <w:tcW w:w="49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1"/>
        </w:trPr>
        <w:tc>
          <w:tcPr>
            <w:tcW w:w="4920" w:type="dxa"/>
            <w:vAlign w:val="bottom"/>
            <w:tcBorders>
              <w:bottom w:val="single" w:sz="8" w:color="CCEEFF"/>
            </w:tcBorders>
            <w:shd w:val="clear" w:color="auto" w:fill="CCEEFF"/>
          </w:tcPr>
          <w:p>
            <w:pPr>
              <w:ind w:left="220"/>
              <w:spacing w:after="0" w:line="202" w:lineRule="exact"/>
              <w:rPr>
                <w:sz w:val="20"/>
                <w:szCs w:val="20"/>
                <w:color w:val="auto"/>
              </w:rPr>
            </w:pPr>
            <w:r>
              <w:rPr>
                <w:rFonts w:ascii="Arial" w:cs="Arial" w:eastAsia="Arial" w:hAnsi="Arial"/>
                <w:sz w:val="18"/>
                <w:szCs w:val="18"/>
                <w:color w:val="auto"/>
              </w:rPr>
              <w:t>Non-GAAP weighted average shares — diluted (f)</w:t>
            </w:r>
          </w:p>
        </w:tc>
        <w:tc>
          <w:tcPr>
            <w:tcW w:w="220" w:type="dxa"/>
            <w:vAlign w:val="bottom"/>
            <w:tcBorders>
              <w:bottom w:val="single" w:sz="8" w:color="auto"/>
            </w:tcBorders>
            <w:shd w:val="clear" w:color="auto" w:fill="CCEEFF"/>
          </w:tcPr>
          <w:p>
            <w:pPr>
              <w:spacing w:after="0"/>
              <w:rPr>
                <w:sz w:val="20"/>
                <w:szCs w:val="20"/>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836,648</w:t>
            </w:r>
          </w:p>
        </w:tc>
        <w:tc>
          <w:tcPr>
            <w:tcW w:w="14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spacing w:after="0"/>
              <w:rPr>
                <w:sz w:val="20"/>
                <w:szCs w:val="20"/>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707,488</w:t>
            </w:r>
          </w:p>
        </w:tc>
        <w:tc>
          <w:tcPr>
            <w:tcW w:w="14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678,304</w:t>
            </w: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spacing w:after="0"/>
              <w:rPr>
                <w:sz w:val="20"/>
                <w:szCs w:val="20"/>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772,053</w:t>
            </w: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spacing w:after="0"/>
              <w:rPr>
                <w:sz w:val="20"/>
                <w:szCs w:val="20"/>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674,553</w:t>
            </w:r>
          </w:p>
        </w:tc>
        <w:tc>
          <w:tcPr>
            <w:tcW w:w="0" w:type="dxa"/>
            <w:vAlign w:val="bottom"/>
          </w:tcPr>
          <w:p>
            <w:pPr>
              <w:spacing w:after="0"/>
              <w:rPr>
                <w:sz w:val="1"/>
                <w:szCs w:val="1"/>
                <w:color w:val="auto"/>
              </w:rPr>
            </w:pPr>
          </w:p>
        </w:tc>
      </w:tr>
      <w:tr>
        <w:trPr>
          <w:trHeight w:val="20"/>
        </w:trPr>
        <w:tc>
          <w:tcPr>
            <w:tcW w:w="49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9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3"/>
        </w:trPr>
        <w:tc>
          <w:tcPr>
            <w:tcW w:w="49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diluted net loss per share</w:t>
            </w: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(0.48)</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c>
          <w:tcPr>
            <w:tcW w:w="0" w:type="dxa"/>
            <w:vAlign w:val="bottom"/>
          </w:tcPr>
          <w:p>
            <w:pPr>
              <w:spacing w:after="0"/>
              <w:rPr>
                <w:sz w:val="1"/>
                <w:szCs w:val="1"/>
                <w:color w:val="auto"/>
              </w:rPr>
            </w:pPr>
          </w:p>
        </w:tc>
      </w:tr>
      <w:tr>
        <w:trPr>
          <w:trHeight w:val="20"/>
        </w:trPr>
        <w:tc>
          <w:tcPr>
            <w:tcW w:w="4920" w:type="dxa"/>
            <w:vAlign w:val="bottom"/>
            <w:vMerge w:val="restart"/>
          </w:tcPr>
          <w:p>
            <w:pPr>
              <w:ind w:left="220"/>
              <w:spacing w:after="0"/>
              <w:rPr>
                <w:sz w:val="20"/>
                <w:szCs w:val="20"/>
                <w:color w:val="auto"/>
              </w:rPr>
            </w:pPr>
            <w:r>
              <w:rPr>
                <w:rFonts w:ascii="Arial" w:cs="Arial" w:eastAsia="Arial" w:hAnsi="Arial"/>
                <w:sz w:val="18"/>
                <w:szCs w:val="18"/>
                <w:color w:val="auto"/>
              </w:rPr>
              <w:t>Non-GAAP diluted net income per share</w:t>
            </w: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920" w:type="dxa"/>
            <w:vAlign w:val="bottom"/>
            <w:vMerge w:val="continue"/>
          </w:tcPr>
          <w:p>
            <w:pPr>
              <w:spacing w:after="0"/>
              <w:rPr>
                <w:sz w:val="17"/>
                <w:szCs w:val="17"/>
                <w:color w:val="auto"/>
              </w:rPr>
            </w:pPr>
          </w:p>
        </w:tc>
        <w:tc>
          <w:tcPr>
            <w:tcW w:w="220" w:type="dxa"/>
            <w:vAlign w:val="bottom"/>
          </w:tcPr>
          <w:p>
            <w:pPr>
              <w:jc w:val="right"/>
              <w:ind w:right="32"/>
              <w:spacing w:after="0" w:line="195" w:lineRule="exact"/>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line="195" w:lineRule="exact"/>
              <w:rPr>
                <w:sz w:val="20"/>
                <w:szCs w:val="20"/>
                <w:color w:val="auto"/>
              </w:rPr>
            </w:pPr>
            <w:r>
              <w:rPr>
                <w:rFonts w:ascii="Arial" w:cs="Arial" w:eastAsia="Arial" w:hAnsi="Arial"/>
                <w:sz w:val="18"/>
                <w:szCs w:val="18"/>
                <w:color w:val="auto"/>
              </w:rPr>
              <w:t>0.34</w:t>
            </w:r>
          </w:p>
        </w:tc>
        <w:tc>
          <w:tcPr>
            <w:tcW w:w="380" w:type="dxa"/>
            <w:vAlign w:val="bottom"/>
            <w:gridSpan w:val="2"/>
          </w:tcPr>
          <w:p>
            <w:pPr>
              <w:jc w:val="right"/>
              <w:ind w:right="52"/>
              <w:spacing w:after="0" w:line="195" w:lineRule="exact"/>
              <w:rPr>
                <w:sz w:val="20"/>
                <w:szCs w:val="20"/>
                <w:color w:val="auto"/>
              </w:rPr>
            </w:pPr>
            <w:r>
              <w:rPr>
                <w:rFonts w:ascii="Arial" w:cs="Arial" w:eastAsia="Arial" w:hAnsi="Arial"/>
                <w:sz w:val="18"/>
                <w:szCs w:val="18"/>
                <w:color w:val="auto"/>
              </w:rPr>
              <w:t>$</w:t>
            </w:r>
          </w:p>
        </w:tc>
        <w:tc>
          <w:tcPr>
            <w:tcW w:w="900" w:type="dxa"/>
            <w:vAlign w:val="bottom"/>
          </w:tcPr>
          <w:p>
            <w:pPr>
              <w:jc w:val="right"/>
              <w:spacing w:after="0" w:line="195" w:lineRule="exact"/>
              <w:rPr>
                <w:sz w:val="20"/>
                <w:szCs w:val="20"/>
                <w:color w:val="auto"/>
              </w:rPr>
            </w:pPr>
            <w:r>
              <w:rPr>
                <w:rFonts w:ascii="Arial" w:cs="Arial" w:eastAsia="Arial" w:hAnsi="Arial"/>
                <w:sz w:val="18"/>
                <w:szCs w:val="18"/>
                <w:color w:val="auto"/>
              </w:rPr>
              <w:t>0.29</w:t>
            </w:r>
          </w:p>
        </w:tc>
        <w:tc>
          <w:tcPr>
            <w:tcW w:w="140" w:type="dxa"/>
            <w:vAlign w:val="bottom"/>
          </w:tcPr>
          <w:p>
            <w:pPr>
              <w:spacing w:after="0"/>
              <w:rPr>
                <w:sz w:val="17"/>
                <w:szCs w:val="17"/>
                <w:color w:val="auto"/>
              </w:rPr>
            </w:pPr>
          </w:p>
        </w:tc>
        <w:tc>
          <w:tcPr>
            <w:tcW w:w="180" w:type="dxa"/>
            <w:vAlign w:val="bottom"/>
          </w:tcPr>
          <w:p>
            <w:pPr>
              <w:jc w:val="right"/>
              <w:spacing w:after="0" w:line="195" w:lineRule="exact"/>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line="195" w:lineRule="exact"/>
              <w:rPr>
                <w:sz w:val="20"/>
                <w:szCs w:val="20"/>
                <w:color w:val="auto"/>
              </w:rPr>
            </w:pPr>
            <w:r>
              <w:rPr>
                <w:rFonts w:ascii="Arial" w:cs="Arial" w:eastAsia="Arial" w:hAnsi="Arial"/>
                <w:sz w:val="18"/>
                <w:szCs w:val="18"/>
                <w:color w:val="auto"/>
              </w:rPr>
              <w:t>0.21</w:t>
            </w:r>
          </w:p>
        </w:tc>
        <w:tc>
          <w:tcPr>
            <w:tcW w:w="100" w:type="dxa"/>
            <w:vAlign w:val="bottom"/>
          </w:tcPr>
          <w:p>
            <w:pPr>
              <w:spacing w:after="0"/>
              <w:rPr>
                <w:sz w:val="17"/>
                <w:szCs w:val="17"/>
                <w:color w:val="auto"/>
              </w:rPr>
            </w:pPr>
          </w:p>
        </w:tc>
        <w:tc>
          <w:tcPr>
            <w:tcW w:w="240" w:type="dxa"/>
            <w:vAlign w:val="bottom"/>
          </w:tcPr>
          <w:p>
            <w:pPr>
              <w:jc w:val="right"/>
              <w:ind w:right="52"/>
              <w:spacing w:after="0" w:line="195" w:lineRule="exact"/>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line="195" w:lineRule="exact"/>
              <w:rPr>
                <w:sz w:val="20"/>
                <w:szCs w:val="20"/>
                <w:color w:val="auto"/>
              </w:rPr>
            </w:pPr>
            <w:r>
              <w:rPr>
                <w:rFonts w:ascii="Arial" w:cs="Arial" w:eastAsia="Arial" w:hAnsi="Arial"/>
                <w:sz w:val="18"/>
                <w:szCs w:val="18"/>
                <w:color w:val="auto"/>
              </w:rPr>
              <w:t>0.63</w:t>
            </w:r>
          </w:p>
        </w:tc>
        <w:tc>
          <w:tcPr>
            <w:tcW w:w="100" w:type="dxa"/>
            <w:vAlign w:val="bottom"/>
          </w:tcPr>
          <w:p>
            <w:pPr>
              <w:spacing w:after="0"/>
              <w:rPr>
                <w:sz w:val="17"/>
                <w:szCs w:val="17"/>
                <w:color w:val="auto"/>
              </w:rPr>
            </w:pPr>
          </w:p>
        </w:tc>
        <w:tc>
          <w:tcPr>
            <w:tcW w:w="200" w:type="dxa"/>
            <w:vAlign w:val="bottom"/>
          </w:tcPr>
          <w:p>
            <w:pPr>
              <w:jc w:val="right"/>
              <w:ind w:right="12"/>
              <w:spacing w:after="0" w:line="195" w:lineRule="exact"/>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line="195" w:lineRule="exact"/>
              <w:rPr>
                <w:sz w:val="20"/>
                <w:szCs w:val="20"/>
                <w:color w:val="auto"/>
              </w:rPr>
            </w:pPr>
            <w:r>
              <w:rPr>
                <w:rFonts w:ascii="Arial" w:cs="Arial" w:eastAsia="Arial" w:hAnsi="Arial"/>
                <w:sz w:val="18"/>
                <w:szCs w:val="18"/>
                <w:color w:val="auto"/>
              </w:rPr>
              <w:t>0.38</w:t>
            </w:r>
          </w:p>
        </w:tc>
        <w:tc>
          <w:tcPr>
            <w:tcW w:w="0" w:type="dxa"/>
            <w:vAlign w:val="bottom"/>
          </w:tcPr>
          <w:p>
            <w:pPr>
              <w:spacing w:after="0"/>
              <w:rPr>
                <w:sz w:val="1"/>
                <w:szCs w:val="1"/>
                <w:color w:val="auto"/>
              </w:rPr>
            </w:pPr>
          </w:p>
        </w:tc>
      </w:tr>
      <w:tr>
        <w:trPr>
          <w:trHeight w:val="20"/>
        </w:trPr>
        <w:tc>
          <w:tcPr>
            <w:tcW w:w="492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392" w:lineRule="exact"/>
        <w:rPr>
          <w:sz w:val="20"/>
          <w:szCs w:val="20"/>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amortization of acquired inventory fair value adjustments.</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Restructuring and other related items include asset impairment charges, employee severance costs, facilities related charges, and other.</w:t>
      </w:r>
    </w:p>
    <w:p>
      <w:pPr>
        <w:spacing w:after="0" w:line="170" w:lineRule="exact"/>
        <w:rPr>
          <w:rFonts w:ascii="Arial" w:cs="Arial" w:eastAsia="Arial" w:hAnsi="Arial"/>
          <w:sz w:val="16"/>
          <w:szCs w:val="16"/>
          <w:i w:val="1"/>
          <w:iCs w:val="1"/>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integration and merger costs associated with acquisitions.</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Debt issuance related costs and other includes the partial term loan repayment and bridge financing.</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5.0%.</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Non-GAAP diluted weighted average shares differs from GAAP diluted weighted average shares due to the non-GAAP net income reported.</w:t>
      </w:r>
    </w:p>
    <w:p>
      <w:pPr>
        <w:sectPr>
          <w:pgSz w:w="11900" w:h="16838" w:orient="portrait"/>
          <w:cols w:equalWidth="0" w:num="1">
            <w:col w:w="11240"/>
          </w:cols>
          <w:pgMar w:left="320" w:top="791" w:right="339" w:bottom="1440" w:gutter="0" w:footer="0" w:header="0"/>
        </w:sectPr>
      </w:pPr>
    </w:p>
    <w:bookmarkStart w:id="13" w:name="page14"/>
    <w:bookmarkEnd w:id="13"/>
    <w:p>
      <w:pPr>
        <w:jc w:val="center"/>
        <w:ind w:right="-839"/>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839"/>
        <w:spacing w:after="0"/>
        <w:rPr>
          <w:sz w:val="20"/>
          <w:szCs w:val="20"/>
          <w:color w:val="auto"/>
        </w:rPr>
      </w:pPr>
      <w:r>
        <w:rPr>
          <w:rFonts w:ascii="Arial" w:cs="Arial" w:eastAsia="Arial" w:hAnsi="Arial"/>
          <w:sz w:val="16"/>
          <w:szCs w:val="16"/>
          <w:b w:val="1"/>
          <w:bCs w:val="1"/>
          <w:color w:val="auto"/>
        </w:rPr>
        <w:t>Outlook for the Third Quarter of Fiscal Year 2022</w:t>
      </w:r>
    </w:p>
    <w:p>
      <w:pPr>
        <w:spacing w:after="0" w:line="39" w:lineRule="exact"/>
        <w:rPr>
          <w:sz w:val="20"/>
          <w:szCs w:val="20"/>
          <w:color w:val="auto"/>
        </w:rPr>
      </w:pPr>
    </w:p>
    <w:p>
      <w:pPr>
        <w:jc w:val="center"/>
        <w:ind w:right="-799"/>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39" w:lineRule="exact"/>
        <w:rPr>
          <w:sz w:val="20"/>
          <w:szCs w:val="20"/>
          <w:color w:val="auto"/>
        </w:rPr>
      </w:pPr>
    </w:p>
    <w:p>
      <w:pPr>
        <w:jc w:val="center"/>
        <w:ind w:right="-83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0420"/>
          </w:cols>
          <w:pgMar w:left="340" w:top="791" w:right="1139" w:bottom="1440" w:gutter="0" w:footer="0" w:header="0"/>
        </w:sect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-135890</wp:posOffset>
            </wp:positionV>
            <wp:extent cx="7136130" cy="1504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04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10" w:lineRule="exact"/>
        <w:rPr>
          <w:sz w:val="20"/>
          <w:szCs w:val="20"/>
          <w:color w:val="auto"/>
        </w:rPr>
      </w:pPr>
    </w:p>
    <w:p>
      <w:pPr>
        <w:spacing w:after="0"/>
        <w:rPr>
          <w:sz w:val="20"/>
          <w:szCs w:val="20"/>
          <w:color w:val="auto"/>
        </w:rPr>
      </w:pPr>
      <w:r>
        <w:rPr>
          <w:rFonts w:ascii="Arial" w:cs="Arial" w:eastAsia="Arial" w:hAnsi="Arial"/>
          <w:sz w:val="18"/>
          <w:szCs w:val="18"/>
          <w:color w:val="auto"/>
        </w:rPr>
        <w:t>Non-GAAP net revenue</w:t>
      </w: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Share-based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costs of goods sold</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87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6130" cy="158750"/>
                    </a:xfrm>
                    <a:prstGeom prst="rect">
                      <a:avLst/>
                    </a:prstGeom>
                    <a:noFill/>
                  </pic:spPr>
                </pic:pic>
              </a:graphicData>
            </a:graphic>
          </wp:anchor>
        </w:drawing>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13970</wp:posOffset>
            </wp:positionV>
            <wp:extent cx="7136130" cy="1416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8"/>
          <w:szCs w:val="18"/>
          <w:color w:val="auto"/>
        </w:rPr>
        <w:t>Share-based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5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Restructuring related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Other operating expenses</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2509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6130" cy="125095"/>
                    </a:xfrm>
                    <a:prstGeom prst="rect">
                      <a:avLst/>
                    </a:prstGeom>
                    <a:noFill/>
                  </pic:spPr>
                </pic:pic>
              </a:graphicData>
            </a:graphic>
          </wp:anchor>
        </w:drawing>
      </w:r>
    </w:p>
    <w:p>
      <w:pPr>
        <w:spacing w:after="0" w:line="3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diluted net loss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Share-based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operating expenses</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6"/>
          <w:szCs w:val="16"/>
          <w:color w:val="auto"/>
        </w:rPr>
        <w:t>Other income tax effects and adjustments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24765</wp:posOffset>
            </wp:positionV>
            <wp:extent cx="7136130" cy="1504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33" w:lineRule="exact"/>
        <w:rPr>
          <w:sz w:val="20"/>
          <w:szCs w:val="20"/>
          <w:color w:val="auto"/>
        </w:rPr>
      </w:pPr>
    </w:p>
    <w:p>
      <w:pPr>
        <w:spacing w:after="0"/>
        <w:rPr>
          <w:sz w:val="20"/>
          <w:szCs w:val="20"/>
          <w:color w:val="auto"/>
        </w:rPr>
      </w:pPr>
      <w:r>
        <w:rPr>
          <w:rFonts w:ascii="Arial" w:cs="Arial" w:eastAsia="Arial" w:hAnsi="Arial"/>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2"/>
          <w:szCs w:val="12"/>
          <w:b w:val="1"/>
          <w:bCs w:val="1"/>
          <w:color w:val="auto"/>
        </w:rPr>
        <w:t>Outlook for Three Months Ended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October 30, 2021</w:t>
      </w:r>
    </w:p>
    <w:p>
      <w:pPr>
        <w:spacing w:after="0" w:line="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$1,145 +/- 3%</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30" w:lineRule="exact"/>
        <w:rPr>
          <w:sz w:val="20"/>
          <w:szCs w:val="20"/>
          <w:color w:val="auto"/>
        </w:rPr>
      </w:pPr>
    </w:p>
    <w:p>
      <w:pPr>
        <w:ind w:left="500"/>
        <w:spacing w:after="0"/>
        <w:rPr>
          <w:sz w:val="20"/>
          <w:szCs w:val="20"/>
          <w:color w:val="auto"/>
        </w:rPr>
      </w:pPr>
      <w:r>
        <w:rPr>
          <w:rFonts w:ascii="Arial" w:cs="Arial" w:eastAsia="Arial" w:hAnsi="Arial"/>
          <w:sz w:val="18"/>
          <w:szCs w:val="18"/>
          <w:color w:val="auto"/>
        </w:rPr>
        <w:t>$1,145 +/- 3%</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46.3% - 48.3%</w:t>
      </w:r>
    </w:p>
    <w:p>
      <w:pPr>
        <w:spacing w:after="0" w:line="240" w:lineRule="exact"/>
        <w:rPr>
          <w:sz w:val="20"/>
          <w:szCs w:val="20"/>
          <w:color w:val="auto"/>
        </w:rPr>
      </w:pPr>
    </w:p>
    <w:p>
      <w:pPr>
        <w:ind w:left="820"/>
        <w:spacing w:after="0"/>
        <w:rPr>
          <w:sz w:val="20"/>
          <w:szCs w:val="20"/>
          <w:color w:val="auto"/>
        </w:rPr>
      </w:pPr>
      <w:r>
        <w:rPr>
          <w:rFonts w:ascii="Arial" w:cs="Arial" w:eastAsia="Arial" w:hAnsi="Arial"/>
          <w:sz w:val="18"/>
          <w:szCs w:val="18"/>
          <w:color w:val="auto"/>
        </w:rPr>
        <w:t>0.9%</w:t>
      </w:r>
    </w:p>
    <w:p>
      <w:pPr>
        <w:spacing w:after="0" w:line="16" w:lineRule="exact"/>
        <w:rPr>
          <w:sz w:val="20"/>
          <w:szCs w:val="20"/>
          <w:color w:val="auto"/>
        </w:rPr>
      </w:pPr>
    </w:p>
    <w:p>
      <w:pPr>
        <w:ind w:left="780"/>
        <w:spacing w:after="0"/>
        <w:rPr>
          <w:sz w:val="20"/>
          <w:szCs w:val="20"/>
          <w:color w:val="auto"/>
        </w:rPr>
      </w:pPr>
      <w:r>
        <w:rPr>
          <w:rFonts w:ascii="Arial" w:cs="Arial" w:eastAsia="Arial" w:hAnsi="Arial"/>
          <w:sz w:val="18"/>
          <w:szCs w:val="18"/>
          <w:color w:val="auto"/>
        </w:rPr>
        <w:t>14.7%</w:t>
      </w:r>
    </w:p>
    <w:p>
      <w:pPr>
        <w:spacing w:after="0" w:line="16" w:lineRule="exact"/>
        <w:rPr>
          <w:sz w:val="20"/>
          <w:szCs w:val="20"/>
          <w:color w:val="auto"/>
        </w:rPr>
      </w:pPr>
    </w:p>
    <w:p>
      <w:pPr>
        <w:ind w:left="820"/>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620"/>
        <w:spacing w:after="0"/>
        <w:rPr>
          <w:sz w:val="20"/>
          <w:szCs w:val="20"/>
          <w:color w:val="auto"/>
        </w:rPr>
      </w:pPr>
      <w:r>
        <w:rPr>
          <w:rFonts w:ascii="Arial" w:cs="Arial" w:eastAsia="Arial" w:hAnsi="Arial"/>
          <w:sz w:val="18"/>
          <w:szCs w:val="18"/>
          <w:color w:val="auto"/>
        </w:rPr>
        <w:t>64% - 65%</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$584 - $594</w:t>
      </w:r>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103</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109</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580"/>
        <w:spacing w:after="0"/>
        <w:rPr>
          <w:sz w:val="20"/>
          <w:szCs w:val="20"/>
          <w:color w:val="auto"/>
        </w:rPr>
      </w:pPr>
      <w:r>
        <w:rPr>
          <w:rFonts w:ascii="Arial" w:cs="Arial" w:eastAsia="Arial" w:hAnsi="Arial"/>
          <w:sz w:val="18"/>
          <w:szCs w:val="18"/>
          <w:color w:val="auto"/>
        </w:rPr>
        <w:t>$365 - $370</w:t>
      </w:r>
    </w:p>
    <w:p>
      <w:pPr>
        <w:spacing w:after="0" w:line="200" w:lineRule="exact"/>
        <w:rPr>
          <w:sz w:val="20"/>
          <w:szCs w:val="20"/>
          <w:color w:val="auto"/>
        </w:rPr>
      </w:pPr>
    </w:p>
    <w:p>
      <w:pPr>
        <w:spacing w:after="0" w:line="2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$(0.10) +/- $0.04</w:t>
      </w:r>
    </w:p>
    <w:p>
      <w:pPr>
        <w:spacing w:after="0" w:line="240"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0.14</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0.35</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0.01</w:t>
      </w:r>
    </w:p>
    <w:p>
      <w:pPr>
        <w:spacing w:after="0" w:line="16" w:lineRule="exact"/>
        <w:rPr>
          <w:sz w:val="20"/>
          <w:szCs w:val="20"/>
          <w:color w:val="auto"/>
        </w:rPr>
      </w:pPr>
    </w:p>
    <w:p>
      <w:pPr>
        <w:ind w:left="800"/>
        <w:spacing w:after="0"/>
        <w:rPr>
          <w:sz w:val="20"/>
          <w:szCs w:val="20"/>
          <w:color w:val="auto"/>
        </w:rPr>
      </w:pPr>
      <w:r>
        <w:rPr>
          <w:rFonts w:ascii="Arial" w:cs="Arial" w:eastAsia="Arial" w:hAnsi="Arial"/>
          <w:sz w:val="18"/>
          <w:szCs w:val="18"/>
          <w:color w:val="auto"/>
        </w:rPr>
        <w:t>(0.02)</w:t>
      </w:r>
    </w:p>
    <w:p>
      <w:pPr>
        <w:spacing w:after="0" w:line="3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$0.38 +/- $0.03</w:t>
      </w:r>
    </w:p>
    <w:p>
      <w:pPr>
        <w:sectPr>
          <w:pgSz w:w="11900" w:h="16838" w:orient="portrait"/>
          <w:cols w:equalWidth="0" w:num="2">
            <w:col w:w="7680" w:space="720"/>
            <w:col w:w="2020"/>
          </w:cols>
          <w:pgMar w:left="340" w:top="791" w:right="1139" w:bottom="1440" w:gutter="0" w:footer="0" w:header="0"/>
          <w:type w:val="continuous"/>
        </w:sectPr>
      </w:pPr>
    </w:p>
    <w:bookmarkStart w:id="14" w:name="page15"/>
    <w:bookmarkEnd w:id="14"/>
    <w:p>
      <w:pPr>
        <w:jc w:val="center"/>
        <w:ind w:right="100"/>
        <w:spacing w:after="0"/>
        <w:rPr>
          <w:sz w:val="20"/>
          <w:szCs w:val="20"/>
          <w:color w:val="auto"/>
        </w:rPr>
      </w:pPr>
      <w:r>
        <w:rPr>
          <w:rFonts w:ascii="Arial" w:cs="Arial" w:eastAsia="Arial" w:hAnsi="Arial"/>
          <w:sz w:val="18"/>
          <w:szCs w:val="18"/>
          <w:b w:val="1"/>
          <w:bCs w:val="1"/>
          <w:color w:val="auto"/>
        </w:rPr>
        <w:t>Quarterly Revenue Trend (Unaudited)</w:t>
      </w:r>
    </w:p>
    <w:p>
      <w:pPr>
        <w:spacing w:after="0" w:line="233" w:lineRule="exact"/>
        <w:rPr>
          <w:sz w:val="20"/>
          <w:szCs w:val="20"/>
          <w:color w:val="auto"/>
        </w:rPr>
      </w:pPr>
    </w:p>
    <w:p>
      <w:pPr>
        <w:ind w:right="200" w:firstLine="394"/>
        <w:spacing w:after="0" w:line="289" w:lineRule="auto"/>
        <w:rPr>
          <w:sz w:val="20"/>
          <w:szCs w:val="20"/>
          <w:color w:val="auto"/>
        </w:rPr>
      </w:pPr>
      <w:r>
        <w:rPr>
          <w:rFonts w:ascii="Arial" w:cs="Arial" w:eastAsia="Arial" w:hAnsi="Arial"/>
          <w:sz w:val="16"/>
          <w:szCs w:val="16"/>
          <w:color w:val="auto"/>
        </w:rPr>
        <w:t>Our product solutions serve five large end markets where our technology is essential: (i) data center, (ii) carrier infrastructure, (iii) enterprise networking, (iv) consumer, and (v) automotive/industrial. These markets and their corresponding customer products and applications are noted in the table below:</w:t>
      </w:r>
    </w:p>
    <w:p>
      <w:pPr>
        <w:spacing w:after="0" w:line="193" w:lineRule="exact"/>
        <w:rPr>
          <w:sz w:val="20"/>
          <w:szCs w:val="20"/>
          <w:color w:val="auto"/>
        </w:rPr>
      </w:pPr>
    </w:p>
    <w:tbl>
      <w:tblPr>
        <w:tblLayout w:type="fixed"/>
        <w:tblInd w:w="410" w:type="dxa"/>
        <w:tblCellMar>
          <w:top w:w="0" w:type="dxa"/>
          <w:left w:w="0" w:type="dxa"/>
          <w:bottom w:w="0" w:type="dxa"/>
          <w:right w:w="0" w:type="dxa"/>
        </w:tblCellMar>
      </w:tblPr>
      <w:tr>
        <w:trPr>
          <w:trHeight w:val="249"/>
        </w:trPr>
        <w:tc>
          <w:tcPr>
            <w:tcW w:w="5380" w:type="dxa"/>
            <w:vAlign w:val="bottom"/>
            <w:tcBorders>
              <w:top w:val="single" w:sz="8" w:color="auto"/>
              <w:left w:val="single" w:sz="8" w:color="auto"/>
              <w:right w:val="single" w:sz="8" w:color="auto"/>
            </w:tcBorders>
          </w:tcPr>
          <w:p>
            <w:pPr>
              <w:ind w:left="420"/>
              <w:spacing w:after="0"/>
              <w:rPr>
                <w:sz w:val="20"/>
                <w:szCs w:val="20"/>
                <w:color w:val="auto"/>
              </w:rPr>
            </w:pPr>
            <w:r>
              <w:rPr>
                <w:rFonts w:ascii="Arial" w:cs="Arial" w:eastAsia="Arial" w:hAnsi="Arial"/>
                <w:sz w:val="18"/>
                <w:szCs w:val="18"/>
                <w:b w:val="1"/>
                <w:bCs w:val="1"/>
                <w:color w:val="auto"/>
              </w:rPr>
              <w:t>End market</w:t>
            </w:r>
          </w:p>
        </w:tc>
        <w:tc>
          <w:tcPr>
            <w:tcW w:w="400" w:type="dxa"/>
            <w:vAlign w:val="bottom"/>
            <w:tcBorders>
              <w:top w:val="single" w:sz="8" w:color="auto"/>
            </w:tcBorders>
          </w:tcPr>
          <w:p>
            <w:pPr>
              <w:spacing w:after="0"/>
              <w:rPr>
                <w:sz w:val="21"/>
                <w:szCs w:val="21"/>
                <w:color w:val="auto"/>
              </w:rPr>
            </w:pPr>
          </w:p>
        </w:tc>
        <w:tc>
          <w:tcPr>
            <w:tcW w:w="5160" w:type="dxa"/>
            <w:vAlign w:val="bottom"/>
            <w:tcBorders>
              <w:top w:val="single" w:sz="8" w:color="auto"/>
            </w:tcBorders>
          </w:tcPr>
          <w:p>
            <w:pPr>
              <w:spacing w:after="0"/>
              <w:rPr>
                <w:sz w:val="20"/>
                <w:szCs w:val="20"/>
                <w:color w:val="auto"/>
              </w:rPr>
            </w:pPr>
            <w:r>
              <w:rPr>
                <w:rFonts w:ascii="Arial" w:cs="Arial" w:eastAsia="Arial" w:hAnsi="Arial"/>
                <w:sz w:val="18"/>
                <w:szCs w:val="18"/>
                <w:b w:val="1"/>
                <w:bCs w:val="1"/>
                <w:color w:val="auto"/>
              </w:rPr>
              <w:t>Customer products and applications</w:t>
            </w:r>
          </w:p>
        </w:tc>
      </w:tr>
      <w:tr>
        <w:trPr>
          <w:trHeight w:val="27"/>
        </w:trPr>
        <w:tc>
          <w:tcPr>
            <w:tcW w:w="5380" w:type="dxa"/>
            <w:vAlign w:val="bottom"/>
            <w:tcBorders>
              <w:left w:val="single" w:sz="8" w:color="auto"/>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5160" w:type="dxa"/>
            <w:vAlign w:val="bottom"/>
            <w:tcBorders>
              <w:bottom w:val="single" w:sz="8" w:color="auto"/>
            </w:tcBorders>
          </w:tcPr>
          <w:p>
            <w:pPr>
              <w:spacing w:after="0"/>
              <w:rPr>
                <w:sz w:val="2"/>
                <w:szCs w:val="2"/>
                <w:color w:val="auto"/>
              </w:rPr>
            </w:pPr>
          </w:p>
        </w:tc>
      </w:tr>
      <w:tr>
        <w:trPr>
          <w:trHeight w:val="261"/>
        </w:trPr>
        <w:tc>
          <w:tcPr>
            <w:tcW w:w="5380" w:type="dxa"/>
            <w:vAlign w:val="bottom"/>
            <w:tcBorders>
              <w:left w:val="single" w:sz="8" w:color="auto"/>
              <w:right w:val="single" w:sz="8" w:color="auto"/>
            </w:tcBorders>
          </w:tcPr>
          <w:p>
            <w:pPr>
              <w:ind w:left="420"/>
              <w:spacing w:after="0"/>
              <w:rPr>
                <w:sz w:val="20"/>
                <w:szCs w:val="20"/>
                <w:color w:val="auto"/>
              </w:rPr>
            </w:pPr>
            <w:r>
              <w:rPr>
                <w:rFonts w:ascii="Arial" w:cs="Arial" w:eastAsia="Arial" w:hAnsi="Arial"/>
                <w:sz w:val="18"/>
                <w:szCs w:val="18"/>
                <w:color w:val="auto"/>
              </w:rPr>
              <w:t>Data center</w:t>
            </w: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Cloud and on-premise Artificial intelligence (AI) systems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Cloud and on-premise ethernet switching</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Cloud and on-premise network-attached storage (NAS)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Cloud and on-premise servers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Cloud and on-premise storage area networks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Cloud and on-premise storage systems</w:t>
            </w:r>
          </w:p>
        </w:tc>
      </w:tr>
      <w:tr>
        <w:trPr>
          <w:trHeight w:val="277"/>
        </w:trPr>
        <w:tc>
          <w:tcPr>
            <w:tcW w:w="5380" w:type="dxa"/>
            <w:vAlign w:val="bottom"/>
            <w:tcBorders>
              <w:left w:val="single" w:sz="8" w:color="auto"/>
              <w:bottom w:val="single" w:sz="8" w:color="auto"/>
              <w:right w:val="single" w:sz="8" w:color="auto"/>
            </w:tcBorders>
          </w:tcPr>
          <w:p>
            <w:pPr>
              <w:spacing w:after="0"/>
              <w:rPr>
                <w:sz w:val="24"/>
                <w:szCs w:val="24"/>
                <w:color w:val="auto"/>
              </w:rPr>
            </w:pPr>
          </w:p>
        </w:tc>
        <w:tc>
          <w:tcPr>
            <w:tcW w:w="400" w:type="dxa"/>
            <w:vAlign w:val="bottom"/>
            <w:tcBorders>
              <w:bottom w:val="single" w:sz="8" w:color="auto"/>
            </w:tcBorders>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Data center interconnect (DCI)</w:t>
            </w:r>
          </w:p>
        </w:tc>
      </w:tr>
      <w:tr>
        <w:trPr>
          <w:trHeight w:val="268"/>
        </w:trPr>
        <w:tc>
          <w:tcPr>
            <w:tcW w:w="5380" w:type="dxa"/>
            <w:vAlign w:val="bottom"/>
            <w:tcBorders>
              <w:left w:val="single" w:sz="8" w:color="auto"/>
              <w:right w:val="single" w:sz="8" w:color="auto"/>
            </w:tcBorders>
          </w:tcPr>
          <w:p>
            <w:pPr>
              <w:ind w:left="420"/>
              <w:spacing w:after="0"/>
              <w:rPr>
                <w:sz w:val="20"/>
                <w:szCs w:val="20"/>
                <w:color w:val="auto"/>
              </w:rPr>
            </w:pPr>
            <w:r>
              <w:rPr>
                <w:rFonts w:ascii="Arial" w:cs="Arial" w:eastAsia="Arial" w:hAnsi="Arial"/>
                <w:sz w:val="18"/>
                <w:szCs w:val="18"/>
                <w:color w:val="auto"/>
              </w:rPr>
              <w:t>Carrier infrastructure</w:t>
            </w: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Digital Subscriber Line Access Multiplexers (DSLAMs)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Ethernet switches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Optical transport systems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Routers</w:t>
            </w:r>
          </w:p>
        </w:tc>
      </w:tr>
      <w:tr>
        <w:trPr>
          <w:trHeight w:val="277"/>
        </w:trPr>
        <w:tc>
          <w:tcPr>
            <w:tcW w:w="5380" w:type="dxa"/>
            <w:vAlign w:val="bottom"/>
            <w:tcBorders>
              <w:left w:val="single" w:sz="8" w:color="auto"/>
              <w:bottom w:val="single" w:sz="8" w:color="auto"/>
              <w:right w:val="single" w:sz="8" w:color="auto"/>
            </w:tcBorders>
          </w:tcPr>
          <w:p>
            <w:pPr>
              <w:spacing w:after="0"/>
              <w:rPr>
                <w:sz w:val="24"/>
                <w:szCs w:val="24"/>
                <w:color w:val="auto"/>
              </w:rPr>
            </w:pPr>
          </w:p>
        </w:tc>
        <w:tc>
          <w:tcPr>
            <w:tcW w:w="400" w:type="dxa"/>
            <w:vAlign w:val="bottom"/>
            <w:tcBorders>
              <w:bottom w:val="single" w:sz="8" w:color="auto"/>
            </w:tcBorders>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Wireless radio access network (RAN) systems</w:t>
            </w:r>
          </w:p>
        </w:tc>
      </w:tr>
      <w:tr>
        <w:trPr>
          <w:trHeight w:val="268"/>
        </w:trPr>
        <w:tc>
          <w:tcPr>
            <w:tcW w:w="5380" w:type="dxa"/>
            <w:vAlign w:val="bottom"/>
            <w:tcBorders>
              <w:left w:val="single" w:sz="8" w:color="auto"/>
              <w:right w:val="single" w:sz="8" w:color="auto"/>
            </w:tcBorders>
          </w:tcPr>
          <w:p>
            <w:pPr>
              <w:ind w:left="420"/>
              <w:spacing w:after="0"/>
              <w:rPr>
                <w:sz w:val="20"/>
                <w:szCs w:val="20"/>
                <w:color w:val="auto"/>
              </w:rPr>
            </w:pPr>
            <w:r>
              <w:rPr>
                <w:rFonts w:ascii="Arial" w:cs="Arial" w:eastAsia="Arial" w:hAnsi="Arial"/>
                <w:sz w:val="18"/>
                <w:szCs w:val="18"/>
                <w:color w:val="auto"/>
              </w:rPr>
              <w:t>Enterprise networking</w:t>
            </w: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Campus and small medium enterprise routers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Campus and small medium enterprise ethernet switches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w w:val="88"/>
              </w:rPr>
              <w:t>Campus and small medium enterprise wireless access points (WAPs)</w:t>
            </w:r>
          </w:p>
        </w:tc>
      </w:tr>
      <w:tr>
        <w:trPr>
          <w:trHeight w:val="240"/>
        </w:trPr>
        <w:tc>
          <w:tcPr>
            <w:tcW w:w="5380" w:type="dxa"/>
            <w:vAlign w:val="bottom"/>
            <w:tcBorders>
              <w:left w:val="single" w:sz="8" w:color="auto"/>
              <w:right w:val="single" w:sz="8" w:color="auto"/>
            </w:tcBorders>
          </w:tcPr>
          <w:p>
            <w:pPr>
              <w:spacing w:after="0"/>
              <w:rPr>
                <w:sz w:val="20"/>
                <w:szCs w:val="20"/>
                <w:color w:val="auto"/>
              </w:rPr>
            </w:pPr>
          </w:p>
        </w:tc>
        <w:tc>
          <w:tcPr>
            <w:tcW w:w="400" w:type="dxa"/>
            <w:vAlign w:val="bottom"/>
          </w:tcPr>
          <w:p>
            <w:pPr>
              <w:ind w:left="320"/>
              <w:spacing w:after="0" w:line="240" w:lineRule="exact"/>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Network appliances (firewalls, and load balancers)</w:t>
            </w:r>
          </w:p>
        </w:tc>
      </w:tr>
      <w:tr>
        <w:trPr>
          <w:trHeight w:val="228"/>
        </w:trPr>
        <w:tc>
          <w:tcPr>
            <w:tcW w:w="5380" w:type="dxa"/>
            <w:vAlign w:val="bottom"/>
            <w:tcBorders>
              <w:left w:val="single" w:sz="8" w:color="auto"/>
              <w:right w:val="single" w:sz="8" w:color="auto"/>
            </w:tcBorders>
          </w:tcPr>
          <w:p>
            <w:pPr>
              <w:spacing w:after="0"/>
              <w:rPr>
                <w:sz w:val="19"/>
                <w:szCs w:val="19"/>
                <w:color w:val="auto"/>
              </w:rPr>
            </w:pPr>
          </w:p>
        </w:tc>
        <w:tc>
          <w:tcPr>
            <w:tcW w:w="400" w:type="dxa"/>
            <w:vAlign w:val="bottom"/>
          </w:tcPr>
          <w:p>
            <w:pPr>
              <w:ind w:left="320"/>
              <w:spacing w:after="0"/>
              <w:rPr>
                <w:sz w:val="20"/>
                <w:szCs w:val="20"/>
                <w:color w:val="auto"/>
              </w:rPr>
            </w:pPr>
            <w:r>
              <w:rPr>
                <w:rFonts w:ascii="Arial" w:cs="Arial" w:eastAsia="Arial" w:hAnsi="Arial"/>
                <w:sz w:val="18"/>
                <w:szCs w:val="18"/>
                <w:b w:val="1"/>
                <w:bCs w:val="1"/>
                <w:color w:val="auto"/>
                <w:w w:val="94"/>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Workstations</w:t>
            </w:r>
          </w:p>
        </w:tc>
      </w:tr>
      <w:tr>
        <w:trPr>
          <w:trHeight w:val="27"/>
        </w:trPr>
        <w:tc>
          <w:tcPr>
            <w:tcW w:w="5380" w:type="dxa"/>
            <w:vAlign w:val="bottom"/>
            <w:tcBorders>
              <w:left w:val="single" w:sz="8" w:color="auto"/>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5160" w:type="dxa"/>
            <w:vAlign w:val="bottom"/>
            <w:tcBorders>
              <w:bottom w:val="single" w:sz="8" w:color="auto"/>
            </w:tcBorders>
          </w:tcPr>
          <w:p>
            <w:pPr>
              <w:spacing w:after="0"/>
              <w:rPr>
                <w:sz w:val="2"/>
                <w:szCs w:val="2"/>
                <w:color w:val="auto"/>
              </w:rPr>
            </w:pPr>
          </w:p>
        </w:tc>
      </w:tr>
      <w:tr>
        <w:trPr>
          <w:trHeight w:val="261"/>
        </w:trPr>
        <w:tc>
          <w:tcPr>
            <w:tcW w:w="5380" w:type="dxa"/>
            <w:vAlign w:val="bottom"/>
            <w:tcBorders>
              <w:left w:val="single" w:sz="8" w:color="auto"/>
              <w:right w:val="single" w:sz="8" w:color="auto"/>
            </w:tcBorders>
          </w:tcPr>
          <w:p>
            <w:pPr>
              <w:ind w:left="420"/>
              <w:spacing w:after="0"/>
              <w:rPr>
                <w:sz w:val="20"/>
                <w:szCs w:val="20"/>
                <w:color w:val="auto"/>
              </w:rPr>
            </w:pPr>
            <w:r>
              <w:rPr>
                <w:rFonts w:ascii="Arial" w:cs="Arial" w:eastAsia="Arial" w:hAnsi="Arial"/>
                <w:sz w:val="18"/>
                <w:szCs w:val="18"/>
                <w:color w:val="auto"/>
              </w:rPr>
              <w:t>Consumer</w:t>
            </w: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Broadband gateways and routers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Gaming consoles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Home data storage</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Home wireless access points (WAPs)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Personal Computers (PCs)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Printers</w:t>
            </w:r>
          </w:p>
        </w:tc>
      </w:tr>
      <w:tr>
        <w:trPr>
          <w:trHeight w:val="277"/>
        </w:trPr>
        <w:tc>
          <w:tcPr>
            <w:tcW w:w="5380" w:type="dxa"/>
            <w:vAlign w:val="bottom"/>
            <w:tcBorders>
              <w:left w:val="single" w:sz="8" w:color="auto"/>
              <w:bottom w:val="single" w:sz="8" w:color="auto"/>
              <w:right w:val="single" w:sz="8" w:color="auto"/>
            </w:tcBorders>
          </w:tcPr>
          <w:p>
            <w:pPr>
              <w:spacing w:after="0"/>
              <w:rPr>
                <w:sz w:val="24"/>
                <w:szCs w:val="24"/>
                <w:color w:val="auto"/>
              </w:rPr>
            </w:pPr>
          </w:p>
        </w:tc>
        <w:tc>
          <w:tcPr>
            <w:tcW w:w="400" w:type="dxa"/>
            <w:vAlign w:val="bottom"/>
            <w:tcBorders>
              <w:bottom w:val="single" w:sz="8" w:color="auto"/>
            </w:tcBorders>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Set-top boxes</w:t>
            </w:r>
          </w:p>
        </w:tc>
      </w:tr>
      <w:tr>
        <w:trPr>
          <w:trHeight w:val="268"/>
        </w:trPr>
        <w:tc>
          <w:tcPr>
            <w:tcW w:w="5380" w:type="dxa"/>
            <w:vAlign w:val="bottom"/>
            <w:tcBorders>
              <w:left w:val="single" w:sz="8" w:color="auto"/>
              <w:right w:val="single" w:sz="8" w:color="auto"/>
            </w:tcBorders>
          </w:tcPr>
          <w:p>
            <w:pPr>
              <w:ind w:left="420"/>
              <w:spacing w:after="0"/>
              <w:rPr>
                <w:sz w:val="20"/>
                <w:szCs w:val="20"/>
                <w:color w:val="auto"/>
              </w:rPr>
            </w:pPr>
            <w:r>
              <w:rPr>
                <w:rFonts w:ascii="Arial" w:cs="Arial" w:eastAsia="Arial" w:hAnsi="Arial"/>
                <w:sz w:val="18"/>
                <w:szCs w:val="18"/>
                <w:color w:val="auto"/>
              </w:rPr>
              <w:t>Automotive/industrial</w:t>
            </w: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Advanced driver-assistance systems (ADAS)</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Autonomous vehicles (AV)</w:t>
            </w:r>
          </w:p>
        </w:tc>
      </w:tr>
      <w:tr>
        <w:trPr>
          <w:trHeight w:val="250"/>
        </w:trPr>
        <w:tc>
          <w:tcPr>
            <w:tcW w:w="5380" w:type="dxa"/>
            <w:vAlign w:val="bottom"/>
            <w:tcBorders>
              <w:left w:val="single" w:sz="8" w:color="auto"/>
              <w:right w:val="single" w:sz="8" w:color="auto"/>
            </w:tcBorders>
          </w:tcPr>
          <w:p>
            <w:pPr>
              <w:spacing w:after="0"/>
              <w:rPr>
                <w:sz w:val="21"/>
                <w:szCs w:val="21"/>
                <w:color w:val="auto"/>
              </w:rPr>
            </w:pPr>
          </w:p>
        </w:tc>
        <w:tc>
          <w:tcPr>
            <w:tcW w:w="400" w:type="dxa"/>
            <w:vAlign w:val="bottom"/>
          </w:tcPr>
          <w:p>
            <w:pPr>
              <w:ind w:left="320"/>
              <w:spacing w:after="0"/>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In-vehicle networking</w:t>
            </w:r>
          </w:p>
        </w:tc>
      </w:tr>
      <w:tr>
        <w:trPr>
          <w:trHeight w:val="240"/>
        </w:trPr>
        <w:tc>
          <w:tcPr>
            <w:tcW w:w="5380" w:type="dxa"/>
            <w:vAlign w:val="bottom"/>
            <w:tcBorders>
              <w:left w:val="single" w:sz="8" w:color="auto"/>
              <w:right w:val="single" w:sz="8" w:color="auto"/>
            </w:tcBorders>
          </w:tcPr>
          <w:p>
            <w:pPr>
              <w:spacing w:after="0"/>
              <w:rPr>
                <w:sz w:val="20"/>
                <w:szCs w:val="20"/>
                <w:color w:val="auto"/>
              </w:rPr>
            </w:pPr>
          </w:p>
        </w:tc>
        <w:tc>
          <w:tcPr>
            <w:tcW w:w="400" w:type="dxa"/>
            <w:vAlign w:val="bottom"/>
          </w:tcPr>
          <w:p>
            <w:pPr>
              <w:ind w:left="320"/>
              <w:spacing w:after="0" w:line="240" w:lineRule="exact"/>
              <w:rPr>
                <w:sz w:val="20"/>
                <w:szCs w:val="20"/>
                <w:color w:val="auto"/>
              </w:rPr>
            </w:pPr>
            <w:r>
              <w:rPr>
                <w:rFonts w:ascii="Arial" w:cs="Arial" w:eastAsia="Arial" w:hAnsi="Arial"/>
                <w:sz w:val="21"/>
                <w:szCs w:val="21"/>
                <w:color w:val="auto"/>
                <w:w w:val="80"/>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Industrial ethernet switches</w:t>
            </w:r>
          </w:p>
        </w:tc>
      </w:tr>
      <w:tr>
        <w:trPr>
          <w:trHeight w:val="210"/>
        </w:trPr>
        <w:tc>
          <w:tcPr>
            <w:tcW w:w="5380" w:type="dxa"/>
            <w:vAlign w:val="bottom"/>
            <w:tcBorders>
              <w:left w:val="single" w:sz="8" w:color="auto"/>
              <w:right w:val="single" w:sz="8" w:color="auto"/>
            </w:tcBorders>
          </w:tcPr>
          <w:p>
            <w:pPr>
              <w:spacing w:after="0"/>
              <w:rPr>
                <w:sz w:val="18"/>
                <w:szCs w:val="18"/>
                <w:color w:val="auto"/>
              </w:rPr>
            </w:pPr>
          </w:p>
        </w:tc>
        <w:tc>
          <w:tcPr>
            <w:tcW w:w="400" w:type="dxa"/>
            <w:vAlign w:val="bottom"/>
          </w:tcPr>
          <w:p>
            <w:pPr>
              <w:ind w:left="320"/>
              <w:spacing w:after="0"/>
              <w:rPr>
                <w:sz w:val="20"/>
                <w:szCs w:val="20"/>
                <w:color w:val="auto"/>
              </w:rPr>
            </w:pPr>
            <w:r>
              <w:rPr>
                <w:rFonts w:ascii="Arial" w:cs="Arial" w:eastAsia="Arial" w:hAnsi="Arial"/>
                <w:sz w:val="18"/>
                <w:szCs w:val="18"/>
                <w:b w:val="1"/>
                <w:bCs w:val="1"/>
                <w:color w:val="auto"/>
                <w:w w:val="94"/>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United States military and government solutions</w:t>
            </w:r>
          </w:p>
        </w:tc>
      </w:tr>
      <w:tr>
        <w:trPr>
          <w:trHeight w:val="228"/>
        </w:trPr>
        <w:tc>
          <w:tcPr>
            <w:tcW w:w="5380" w:type="dxa"/>
            <w:vAlign w:val="bottom"/>
            <w:tcBorders>
              <w:left w:val="single" w:sz="8" w:color="auto"/>
              <w:right w:val="single" w:sz="8" w:color="auto"/>
            </w:tcBorders>
          </w:tcPr>
          <w:p>
            <w:pPr>
              <w:spacing w:after="0"/>
              <w:rPr>
                <w:sz w:val="19"/>
                <w:szCs w:val="19"/>
                <w:color w:val="auto"/>
              </w:rPr>
            </w:pPr>
          </w:p>
        </w:tc>
        <w:tc>
          <w:tcPr>
            <w:tcW w:w="400" w:type="dxa"/>
            <w:vAlign w:val="bottom"/>
          </w:tcPr>
          <w:p>
            <w:pPr>
              <w:ind w:left="320"/>
              <w:spacing w:after="0"/>
              <w:rPr>
                <w:sz w:val="20"/>
                <w:szCs w:val="20"/>
                <w:color w:val="auto"/>
              </w:rPr>
            </w:pPr>
            <w:r>
              <w:rPr>
                <w:rFonts w:ascii="Arial" w:cs="Arial" w:eastAsia="Arial" w:hAnsi="Arial"/>
                <w:sz w:val="18"/>
                <w:szCs w:val="18"/>
                <w:b w:val="1"/>
                <w:bCs w:val="1"/>
                <w:color w:val="auto"/>
                <w:w w:val="94"/>
              </w:rPr>
              <w:t>•</w:t>
            </w:r>
          </w:p>
        </w:tc>
        <w:tc>
          <w:tcPr>
            <w:tcW w:w="5160" w:type="dxa"/>
            <w:vAlign w:val="bottom"/>
          </w:tcPr>
          <w:p>
            <w:pPr>
              <w:ind w:left="240"/>
              <w:spacing w:after="0"/>
              <w:rPr>
                <w:sz w:val="20"/>
                <w:szCs w:val="20"/>
                <w:color w:val="auto"/>
              </w:rPr>
            </w:pPr>
            <w:r>
              <w:rPr>
                <w:rFonts w:ascii="Arial" w:cs="Arial" w:eastAsia="Arial" w:hAnsi="Arial"/>
                <w:sz w:val="18"/>
                <w:szCs w:val="18"/>
                <w:color w:val="auto"/>
              </w:rPr>
              <w:t>Video surveillance</w:t>
            </w:r>
          </w:p>
        </w:tc>
      </w:tr>
      <w:tr>
        <w:trPr>
          <w:trHeight w:val="27"/>
        </w:trPr>
        <w:tc>
          <w:tcPr>
            <w:tcW w:w="5380" w:type="dxa"/>
            <w:vAlign w:val="bottom"/>
            <w:tcBorders>
              <w:left w:val="single" w:sz="8" w:color="auto"/>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5160" w:type="dxa"/>
            <w:vAlign w:val="bottom"/>
            <w:tcBorders>
              <w:bottom w:val="single" w:sz="8" w:color="auto"/>
            </w:tcBorders>
          </w:tcPr>
          <w:p>
            <w:pPr>
              <w:spacing w:after="0"/>
              <w:rPr>
                <w:sz w:val="2"/>
                <w:szCs w:val="2"/>
                <w:color w:val="auto"/>
              </w:rPr>
            </w:pPr>
          </w:p>
        </w:tc>
      </w:tr>
    </w:tbl>
    <w:p>
      <w:pPr>
        <w:sectPr>
          <w:pgSz w:w="11900" w:h="16838" w:orient="portrait"/>
          <w:cols w:equalWidth="0" w:num="1">
            <w:col w:w="11340"/>
          </w:cols>
          <w:pgMar w:left="320" w:top="752" w:right="239" w:bottom="1440" w:gutter="0" w:footer="0" w:header="0"/>
        </w:sectPr>
      </w:pPr>
    </w:p>
    <w:bookmarkStart w:id="15" w:name="page16"/>
    <w:bookmarkEnd w:id="15"/>
    <w:p>
      <w:pPr>
        <w:jc w:val="center"/>
        <w:ind w:right="-79"/>
        <w:spacing w:after="0"/>
        <w:rPr>
          <w:sz w:val="20"/>
          <w:szCs w:val="20"/>
          <w:color w:val="auto"/>
        </w:rPr>
      </w:pPr>
      <w:r>
        <w:rPr>
          <w:rFonts w:ascii="Arial" w:cs="Arial" w:eastAsia="Arial" w:hAnsi="Arial"/>
          <w:sz w:val="18"/>
          <w:szCs w:val="18"/>
          <w:b w:val="1"/>
          <w:bCs w:val="1"/>
          <w:color w:val="auto"/>
        </w:rPr>
        <w:t>Quarterly Revenue Trend (Unaudited) (Continued)</w:t>
      </w: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187"/>
        </w:trPr>
        <w:tc>
          <w:tcPr>
            <w:tcW w:w="16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8"/>
          </w:tcPr>
          <w:p>
            <w:pPr>
              <w:jc w:val="center"/>
              <w:ind w:right="338"/>
              <w:spacing w:after="0"/>
              <w:rPr>
                <w:sz w:val="20"/>
                <w:szCs w:val="20"/>
                <w:color w:val="auto"/>
              </w:rPr>
            </w:pPr>
            <w:r>
              <w:rPr>
                <w:rFonts w:ascii="Arial" w:cs="Arial" w:eastAsia="Arial" w:hAnsi="Arial"/>
                <w:sz w:val="14"/>
                <w:szCs w:val="14"/>
                <w:b w:val="1"/>
                <w:bCs w:val="1"/>
                <w:color w:val="auto"/>
                <w:w w:val="92"/>
              </w:rPr>
              <w:t>Three Months Ended</w:t>
            </w:r>
          </w:p>
        </w:tc>
        <w:tc>
          <w:tcPr>
            <w:tcW w:w="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6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r>
      <w:tr>
        <w:trPr>
          <w:trHeight w:val="197"/>
        </w:trPr>
        <w:tc>
          <w:tcPr>
            <w:tcW w:w="1880" w:type="dxa"/>
            <w:vAlign w:val="bottom"/>
            <w:gridSpan w:val="2"/>
          </w:tcPr>
          <w:p>
            <w:pPr>
              <w:ind w:left="20"/>
              <w:spacing w:after="0" w:line="197" w:lineRule="exact"/>
              <w:rPr>
                <w:sz w:val="20"/>
                <w:szCs w:val="20"/>
                <w:color w:val="auto"/>
              </w:rPr>
            </w:pPr>
            <w:r>
              <w:rPr>
                <w:rFonts w:ascii="Arial" w:cs="Arial" w:eastAsia="Arial" w:hAnsi="Arial"/>
                <w:sz w:val="18"/>
                <w:szCs w:val="18"/>
                <w:b w:val="1"/>
                <w:bCs w:val="1"/>
                <w:color w:val="auto"/>
                <w:w w:val="90"/>
              </w:rPr>
              <w:t>Revenue by End Market</w:t>
            </w:r>
          </w:p>
        </w:tc>
        <w:tc>
          <w:tcPr>
            <w:tcW w:w="80" w:type="dxa"/>
            <w:vAlign w:val="bottom"/>
          </w:tcPr>
          <w:p>
            <w:pPr>
              <w:spacing w:after="0"/>
              <w:rPr>
                <w:sz w:val="17"/>
                <w:szCs w:val="17"/>
                <w:color w:val="auto"/>
              </w:rPr>
            </w:pPr>
          </w:p>
        </w:tc>
        <w:tc>
          <w:tcPr>
            <w:tcW w:w="90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July 31,</w:t>
            </w:r>
          </w:p>
        </w:tc>
        <w:tc>
          <w:tcPr>
            <w:tcW w:w="120" w:type="dxa"/>
            <w:vAlign w:val="bottom"/>
          </w:tcPr>
          <w:p>
            <w:pPr>
              <w:spacing w:after="0"/>
              <w:rPr>
                <w:sz w:val="17"/>
                <w:szCs w:val="17"/>
                <w:color w:val="auto"/>
              </w:rPr>
            </w:pPr>
          </w:p>
        </w:tc>
        <w:tc>
          <w:tcPr>
            <w:tcW w:w="840" w:type="dxa"/>
            <w:vAlign w:val="bottom"/>
            <w:gridSpan w:val="4"/>
          </w:tcPr>
          <w:p>
            <w:pPr>
              <w:jc w:val="right"/>
              <w:ind w:right="180"/>
              <w:spacing w:after="0"/>
              <w:rPr>
                <w:sz w:val="20"/>
                <w:szCs w:val="20"/>
                <w:color w:val="auto"/>
              </w:rPr>
            </w:pPr>
            <w:r>
              <w:rPr>
                <w:rFonts w:ascii="Arial" w:cs="Arial" w:eastAsia="Arial" w:hAnsi="Arial"/>
                <w:sz w:val="14"/>
                <w:szCs w:val="14"/>
                <w:b w:val="1"/>
                <w:bCs w:val="1"/>
                <w:color w:val="auto"/>
              </w:rPr>
              <w:t>May 1,</w:t>
            </w: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17"/>
                <w:szCs w:val="17"/>
                <w:color w:val="auto"/>
              </w:rPr>
            </w:pPr>
          </w:p>
        </w:tc>
        <w:tc>
          <w:tcPr>
            <w:tcW w:w="840" w:type="dxa"/>
            <w:vAlign w:val="bottom"/>
            <w:gridSpan w:val="3"/>
          </w:tcPr>
          <w:p>
            <w:pPr>
              <w:ind w:left="100"/>
              <w:spacing w:after="0"/>
              <w:rPr>
                <w:sz w:val="20"/>
                <w:szCs w:val="20"/>
                <w:color w:val="auto"/>
              </w:rPr>
            </w:pPr>
            <w:r>
              <w:rPr>
                <w:rFonts w:ascii="Arial" w:cs="Arial" w:eastAsia="Arial" w:hAnsi="Arial"/>
                <w:sz w:val="14"/>
                <w:szCs w:val="14"/>
                <w:b w:val="1"/>
                <w:bCs w:val="1"/>
                <w:color w:val="auto"/>
                <w:w w:val="93"/>
              </w:rPr>
              <w:t>October 31,</w:t>
            </w: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gridSpan w:val="5"/>
          </w:tcPr>
          <w:p>
            <w:pPr>
              <w:jc w:val="center"/>
              <w:ind w:right="140"/>
              <w:spacing w:after="0"/>
              <w:rPr>
                <w:sz w:val="20"/>
                <w:szCs w:val="20"/>
                <w:color w:val="auto"/>
              </w:rPr>
            </w:pPr>
            <w:r>
              <w:rPr>
                <w:rFonts w:ascii="Arial" w:cs="Arial" w:eastAsia="Arial" w:hAnsi="Arial"/>
                <w:sz w:val="14"/>
                <w:szCs w:val="14"/>
                <w:b w:val="1"/>
                <w:bCs w:val="1"/>
                <w:color w:val="auto"/>
                <w:w w:val="87"/>
              </w:rPr>
              <w:t>August 1,</w:t>
            </w:r>
          </w:p>
        </w:tc>
        <w:tc>
          <w:tcPr>
            <w:tcW w:w="920" w:type="dxa"/>
            <w:vAlign w:val="bottom"/>
            <w:gridSpan w:val="4"/>
          </w:tcPr>
          <w:p>
            <w:pPr>
              <w:ind w:left="260"/>
              <w:spacing w:after="0"/>
              <w:rPr>
                <w:sz w:val="20"/>
                <w:szCs w:val="20"/>
                <w:color w:val="auto"/>
              </w:rPr>
            </w:pPr>
            <w:r>
              <w:rPr>
                <w:rFonts w:ascii="Arial" w:cs="Arial" w:eastAsia="Arial" w:hAnsi="Arial"/>
                <w:sz w:val="14"/>
                <w:szCs w:val="14"/>
                <w:b w:val="1"/>
                <w:bCs w:val="1"/>
                <w:color w:val="auto"/>
              </w:rPr>
              <w:t>May 2,</w:t>
            </w:r>
          </w:p>
        </w:tc>
        <w:tc>
          <w:tcPr>
            <w:tcW w:w="120" w:type="dxa"/>
            <w:vAlign w:val="bottom"/>
          </w:tcPr>
          <w:p>
            <w:pPr>
              <w:spacing w:after="0"/>
              <w:rPr>
                <w:sz w:val="17"/>
                <w:szCs w:val="17"/>
                <w:color w:val="auto"/>
              </w:rPr>
            </w:pPr>
          </w:p>
        </w:tc>
        <w:tc>
          <w:tcPr>
            <w:tcW w:w="1040" w:type="dxa"/>
            <w:vAlign w:val="bottom"/>
            <w:gridSpan w:val="5"/>
          </w:tcPr>
          <w:p>
            <w:pPr>
              <w:ind w:left="100"/>
              <w:spacing w:after="0"/>
              <w:rPr>
                <w:sz w:val="20"/>
                <w:szCs w:val="20"/>
                <w:color w:val="auto"/>
              </w:rPr>
            </w:pPr>
            <w:r>
              <w:rPr>
                <w:rFonts w:ascii="Arial" w:cs="Arial" w:eastAsia="Arial" w:hAnsi="Arial"/>
                <w:sz w:val="14"/>
                <w:szCs w:val="14"/>
                <w:b w:val="1"/>
                <w:bCs w:val="1"/>
                <w:color w:val="auto"/>
              </w:rPr>
              <w:t>February 1,</w:t>
            </w:r>
          </w:p>
        </w:tc>
        <w:tc>
          <w:tcPr>
            <w:tcW w:w="1060" w:type="dxa"/>
            <w:vAlign w:val="bottom"/>
            <w:gridSpan w:val="5"/>
          </w:tcPr>
          <w:p>
            <w:pPr>
              <w:ind w:left="80"/>
              <w:spacing w:after="0"/>
              <w:rPr>
                <w:sz w:val="20"/>
                <w:szCs w:val="20"/>
                <w:color w:val="auto"/>
              </w:rPr>
            </w:pPr>
            <w:r>
              <w:rPr>
                <w:rFonts w:ascii="Arial" w:cs="Arial" w:eastAsia="Arial" w:hAnsi="Arial"/>
                <w:sz w:val="14"/>
                <w:szCs w:val="14"/>
                <w:b w:val="1"/>
                <w:bCs w:val="1"/>
                <w:color w:val="auto"/>
              </w:rPr>
              <w:t>November 2,</w:t>
            </w:r>
          </w:p>
        </w:tc>
        <w:tc>
          <w:tcPr>
            <w:tcW w:w="140" w:type="dxa"/>
            <w:vAlign w:val="bottom"/>
          </w:tcPr>
          <w:p>
            <w:pPr>
              <w:spacing w:after="0"/>
              <w:rPr>
                <w:sz w:val="17"/>
                <w:szCs w:val="17"/>
                <w:color w:val="auto"/>
              </w:rPr>
            </w:pPr>
          </w:p>
        </w:tc>
        <w:tc>
          <w:tcPr>
            <w:tcW w:w="600" w:type="dxa"/>
            <w:vAlign w:val="bottom"/>
          </w:tcPr>
          <w:p>
            <w:pPr>
              <w:jc w:val="center"/>
              <w:spacing w:after="0"/>
              <w:rPr>
                <w:sz w:val="20"/>
                <w:szCs w:val="20"/>
                <w:color w:val="auto"/>
              </w:rPr>
            </w:pPr>
            <w:r>
              <w:rPr>
                <w:rFonts w:ascii="Arial" w:cs="Arial" w:eastAsia="Arial" w:hAnsi="Arial"/>
                <w:sz w:val="14"/>
                <w:szCs w:val="14"/>
                <w:b w:val="1"/>
                <w:bCs w:val="1"/>
                <w:color w:val="auto"/>
                <w:w w:val="90"/>
              </w:rPr>
              <w:t>August 3,</w:t>
            </w:r>
          </w:p>
        </w:tc>
        <w:tc>
          <w:tcPr>
            <w:tcW w:w="160" w:type="dxa"/>
            <w:vAlign w:val="bottom"/>
          </w:tcPr>
          <w:p>
            <w:pPr>
              <w:spacing w:after="0"/>
              <w:rPr>
                <w:sz w:val="17"/>
                <w:szCs w:val="17"/>
                <w:color w:val="auto"/>
              </w:rPr>
            </w:pPr>
          </w:p>
        </w:tc>
      </w:tr>
      <w:tr>
        <w:trPr>
          <w:trHeight w:val="184"/>
        </w:trPr>
        <w:tc>
          <w:tcPr>
            <w:tcW w:w="1880" w:type="dxa"/>
            <w:vAlign w:val="bottom"/>
            <w:tcBorders>
              <w:bottom w:val="single" w:sz="8" w:color="CCEEFF"/>
            </w:tcBorders>
            <w:gridSpan w:val="2"/>
          </w:tcPr>
          <w:p>
            <w:pPr>
              <w:ind w:left="20"/>
              <w:spacing w:after="0" w:line="184" w:lineRule="exact"/>
              <w:rPr>
                <w:sz w:val="20"/>
                <w:szCs w:val="20"/>
                <w:color w:val="auto"/>
              </w:rPr>
            </w:pPr>
            <w:r>
              <w:rPr>
                <w:rFonts w:ascii="Arial" w:cs="Arial" w:eastAsia="Arial" w:hAnsi="Arial"/>
                <w:sz w:val="18"/>
                <w:szCs w:val="18"/>
                <w:b w:val="1"/>
                <w:bCs w:val="1"/>
                <w:color w:val="auto"/>
              </w:rPr>
              <w:t>(In millions)</w:t>
            </w:r>
          </w:p>
        </w:tc>
        <w:tc>
          <w:tcPr>
            <w:tcW w:w="80" w:type="dxa"/>
            <w:vAlign w:val="bottom"/>
            <w:tcBorders>
              <w:bottom w:val="single" w:sz="8" w:color="CCEEFF"/>
            </w:tcBorders>
          </w:tcPr>
          <w:p>
            <w:pPr>
              <w:spacing w:after="0"/>
              <w:rPr>
                <w:sz w:val="16"/>
                <w:szCs w:val="16"/>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40" w:type="dxa"/>
            <w:vAlign w:val="bottom"/>
            <w:tcBorders>
              <w:bottom w:val="single" w:sz="8" w:color="CCEEFF"/>
            </w:tcBorders>
          </w:tcPr>
          <w:p>
            <w:pPr>
              <w:spacing w:after="0"/>
              <w:rPr>
                <w:sz w:val="16"/>
                <w:szCs w:val="16"/>
                <w:color w:val="auto"/>
              </w:rPr>
            </w:pPr>
          </w:p>
        </w:tc>
        <w:tc>
          <w:tcPr>
            <w:tcW w:w="6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gridSpan w:val="2"/>
          </w:tcPr>
          <w:p>
            <w:pPr>
              <w:jc w:val="right"/>
              <w:ind w:right="5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4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gridSpan w:val="2"/>
          </w:tcPr>
          <w:p>
            <w:pPr>
              <w:jc w:val="center"/>
              <w:ind w:left="84"/>
              <w:spacing w:after="0"/>
              <w:rPr>
                <w:sz w:val="20"/>
                <w:szCs w:val="20"/>
                <w:color w:val="auto"/>
              </w:rPr>
            </w:pPr>
            <w:r>
              <w:rPr>
                <w:rFonts w:ascii="Arial" w:cs="Arial" w:eastAsia="Arial" w:hAnsi="Arial"/>
                <w:sz w:val="14"/>
                <w:szCs w:val="14"/>
                <w:b w:val="1"/>
                <w:bCs w:val="1"/>
                <w:color w:val="auto"/>
                <w:w w:val="89"/>
              </w:rPr>
              <w:t>2020</w:t>
            </w:r>
          </w:p>
        </w:tc>
        <w:tc>
          <w:tcPr>
            <w:tcW w:w="12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gridSpan w:val="2"/>
          </w:tcPr>
          <w:p>
            <w:pPr>
              <w:jc w:val="right"/>
              <w:ind w:right="5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820" w:type="dxa"/>
            <w:vAlign w:val="bottom"/>
            <w:tcBorders>
              <w:bottom w:val="single" w:sz="8" w:color="auto"/>
            </w:tcBorders>
            <w:gridSpan w:val="2"/>
          </w:tcPr>
          <w:p>
            <w:pPr>
              <w:jc w:val="right"/>
              <w:ind w:right="13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auto"/>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2019</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2019</w:t>
            </w:r>
          </w:p>
        </w:tc>
        <w:tc>
          <w:tcPr>
            <w:tcW w:w="160" w:type="dxa"/>
            <w:vAlign w:val="bottom"/>
            <w:tcBorders>
              <w:bottom w:val="single" w:sz="8" w:color="auto"/>
            </w:tcBorders>
          </w:tcPr>
          <w:p>
            <w:pPr>
              <w:spacing w:after="0"/>
              <w:rPr>
                <w:sz w:val="16"/>
                <w:szCs w:val="16"/>
                <w:color w:val="auto"/>
              </w:rPr>
            </w:pPr>
          </w:p>
        </w:tc>
      </w:tr>
      <w:tr>
        <w:trPr>
          <w:trHeight w:val="217"/>
        </w:trPr>
        <w:tc>
          <w:tcPr>
            <w:tcW w:w="18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Data Center</w:t>
            </w:r>
          </w:p>
        </w:tc>
        <w:tc>
          <w:tcPr>
            <w:tcW w:w="5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4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434</w:t>
            </w:r>
          </w:p>
        </w:tc>
        <w:tc>
          <w:tcPr>
            <w:tcW w:w="5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277</w:t>
            </w:r>
          </w:p>
        </w:tc>
        <w:tc>
          <w:tcPr>
            <w:tcW w:w="660" w:type="dxa"/>
            <w:vAlign w:val="bottom"/>
            <w:gridSpan w:val="3"/>
            <w:shd w:val="clear" w:color="auto" w:fill="CCEEFF"/>
          </w:tcPr>
          <w:p>
            <w:pPr>
              <w:jc w:val="right"/>
              <w:ind w:right="284"/>
              <w:spacing w:after="0"/>
              <w:rPr>
                <w:sz w:val="20"/>
                <w:szCs w:val="20"/>
                <w:color w:val="auto"/>
              </w:rPr>
            </w:pPr>
            <w:r>
              <w:rPr>
                <w:rFonts w:ascii="Arial" w:cs="Arial" w:eastAsia="Arial" w:hAnsi="Arial"/>
                <w:sz w:val="18"/>
                <w:szCs w:val="18"/>
                <w:color w:val="auto"/>
              </w:rPr>
              <w:t>$</w:t>
            </w:r>
          </w:p>
        </w:tc>
        <w:tc>
          <w:tcPr>
            <w:tcW w:w="4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269</w:t>
            </w:r>
          </w:p>
        </w:tc>
        <w:tc>
          <w:tcPr>
            <w:tcW w:w="660" w:type="dxa"/>
            <w:vAlign w:val="bottom"/>
            <w:gridSpan w:val="2"/>
            <w:shd w:val="clear" w:color="auto" w:fill="CCEEFF"/>
          </w:tcPr>
          <w:p>
            <w:pPr>
              <w:jc w:val="right"/>
              <w:ind w:right="344"/>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3"/>
              </w:rPr>
              <w:t>239</w:t>
            </w:r>
          </w:p>
        </w:tc>
        <w:tc>
          <w:tcPr>
            <w:tcW w:w="740" w:type="dxa"/>
            <w:vAlign w:val="bottom"/>
            <w:gridSpan w:val="3"/>
            <w:shd w:val="clear" w:color="auto" w:fill="CCEEFF"/>
          </w:tcPr>
          <w:p>
            <w:pPr>
              <w:jc w:val="right"/>
              <w:ind w:right="364"/>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267</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318"/>
              <w:spacing w:after="0"/>
              <w:rPr>
                <w:sz w:val="20"/>
                <w:szCs w:val="20"/>
                <w:color w:val="auto"/>
              </w:rPr>
            </w:pPr>
            <w:r>
              <w:rPr>
                <w:rFonts w:ascii="Arial" w:cs="Arial" w:eastAsia="Arial" w:hAnsi="Arial"/>
                <w:sz w:val="18"/>
                <w:szCs w:val="18"/>
                <w:color w:val="auto"/>
                <w:w w:val="99"/>
              </w:rPr>
              <w:t>$</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266</w:t>
            </w:r>
          </w:p>
        </w:tc>
        <w:tc>
          <w:tcPr>
            <w:tcW w:w="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84"/>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259</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212</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179</w:t>
            </w:r>
          </w:p>
        </w:tc>
      </w:tr>
      <w:tr>
        <w:trPr>
          <w:trHeight w:val="223"/>
        </w:trPr>
        <w:tc>
          <w:tcPr>
            <w:tcW w:w="1880" w:type="dxa"/>
            <w:vAlign w:val="bottom"/>
            <w:gridSpan w:val="2"/>
          </w:tcPr>
          <w:p>
            <w:pPr>
              <w:ind w:left="20"/>
              <w:spacing w:after="0"/>
              <w:rPr>
                <w:sz w:val="20"/>
                <w:szCs w:val="20"/>
                <w:color w:val="auto"/>
              </w:rPr>
            </w:pPr>
            <w:r>
              <w:rPr>
                <w:rFonts w:ascii="Arial" w:cs="Arial" w:eastAsia="Arial" w:hAnsi="Arial"/>
                <w:sz w:val="18"/>
                <w:szCs w:val="18"/>
                <w:color w:val="auto"/>
              </w:rPr>
              <w:t>Carrier Infrastructure</w:t>
            </w: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80" w:type="dxa"/>
            <w:vAlign w:val="bottom"/>
            <w:gridSpan w:val="3"/>
          </w:tcPr>
          <w:p>
            <w:pPr>
              <w:jc w:val="right"/>
              <w:ind w:right="80"/>
              <w:spacing w:after="0"/>
              <w:rPr>
                <w:sz w:val="20"/>
                <w:szCs w:val="20"/>
                <w:color w:val="auto"/>
              </w:rPr>
            </w:pPr>
            <w:r>
              <w:rPr>
                <w:rFonts w:ascii="Arial" w:cs="Arial" w:eastAsia="Arial" w:hAnsi="Arial"/>
                <w:sz w:val="18"/>
                <w:szCs w:val="18"/>
                <w:color w:val="auto"/>
              </w:rPr>
              <w:t>197</w:t>
            </w:r>
          </w:p>
        </w:tc>
        <w:tc>
          <w:tcPr>
            <w:tcW w:w="1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gridSpan w:val="3"/>
          </w:tcPr>
          <w:p>
            <w:pPr>
              <w:jc w:val="right"/>
              <w:spacing w:after="0"/>
              <w:rPr>
                <w:sz w:val="20"/>
                <w:szCs w:val="20"/>
                <w:color w:val="auto"/>
              </w:rPr>
            </w:pPr>
            <w:r>
              <w:rPr>
                <w:rFonts w:ascii="Arial" w:cs="Arial" w:eastAsia="Arial" w:hAnsi="Arial"/>
                <w:sz w:val="18"/>
                <w:szCs w:val="18"/>
                <w:color w:val="auto"/>
              </w:rPr>
              <w:t>167</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gridSpan w:val="3"/>
          </w:tcPr>
          <w:p>
            <w:pPr>
              <w:jc w:val="right"/>
              <w:ind w:right="60"/>
              <w:spacing w:after="0"/>
              <w:rPr>
                <w:sz w:val="20"/>
                <w:szCs w:val="20"/>
                <w:color w:val="auto"/>
              </w:rPr>
            </w:pPr>
            <w:r>
              <w:rPr>
                <w:rFonts w:ascii="Arial" w:cs="Arial" w:eastAsia="Arial" w:hAnsi="Arial"/>
                <w:sz w:val="18"/>
                <w:szCs w:val="18"/>
                <w:color w:val="auto"/>
              </w:rPr>
              <w:t>166</w:t>
            </w:r>
          </w:p>
        </w:tc>
        <w:tc>
          <w:tcPr>
            <w:tcW w:w="1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w w:val="93"/>
              </w:rPr>
              <w:t>169</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142</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122</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gridSpan w:val="2"/>
          </w:tcPr>
          <w:p>
            <w:pPr>
              <w:jc w:val="right"/>
              <w:ind w:right="80"/>
              <w:spacing w:after="0"/>
              <w:rPr>
                <w:sz w:val="20"/>
                <w:szCs w:val="20"/>
                <w:color w:val="auto"/>
              </w:rPr>
            </w:pPr>
            <w:r>
              <w:rPr>
                <w:rFonts w:ascii="Arial" w:cs="Arial" w:eastAsia="Arial" w:hAnsi="Arial"/>
                <w:sz w:val="18"/>
                <w:szCs w:val="18"/>
                <w:color w:val="auto"/>
                <w:w w:val="79"/>
              </w:rPr>
              <w:t>113</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84</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68</w:t>
            </w:r>
          </w:p>
        </w:tc>
      </w:tr>
      <w:tr>
        <w:trPr>
          <w:trHeight w:val="224"/>
        </w:trPr>
        <w:tc>
          <w:tcPr>
            <w:tcW w:w="18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Enterprise Networking</w:t>
            </w:r>
          </w:p>
        </w:tc>
        <w:tc>
          <w:tcPr>
            <w:tcW w:w="8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223</w:t>
            </w:r>
          </w:p>
        </w:tc>
        <w:tc>
          <w:tcPr>
            <w:tcW w:w="1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175</w:t>
            </w:r>
          </w:p>
        </w:tc>
        <w:tc>
          <w:tcPr>
            <w:tcW w:w="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4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161</w:t>
            </w:r>
          </w:p>
        </w:tc>
        <w:tc>
          <w:tcPr>
            <w:tcW w:w="140" w:type="dxa"/>
            <w:vAlign w:val="bottom"/>
            <w:shd w:val="clear" w:color="auto" w:fill="CCEEFF"/>
          </w:tcPr>
          <w:p>
            <w:pPr>
              <w:spacing w:after="0"/>
              <w:rPr>
                <w:sz w:val="19"/>
                <w:szCs w:val="19"/>
                <w:color w:val="auto"/>
              </w:rPr>
            </w:pPr>
          </w:p>
        </w:tc>
        <w:tc>
          <w:tcPr>
            <w:tcW w:w="520" w:type="dxa"/>
            <w:vAlign w:val="bottom"/>
            <w:shd w:val="clear" w:color="auto" w:fill="CCEEFF"/>
          </w:tcPr>
          <w:p>
            <w:pPr>
              <w:spacing w:after="0"/>
              <w:rPr>
                <w:sz w:val="19"/>
                <w:szCs w:val="19"/>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3"/>
              </w:rPr>
              <w:t>159</w:t>
            </w:r>
          </w:p>
        </w:tc>
        <w:tc>
          <w:tcPr>
            <w:tcW w:w="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158</w:t>
            </w:r>
          </w:p>
        </w:tc>
        <w:tc>
          <w:tcPr>
            <w:tcW w:w="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520" w:type="dxa"/>
            <w:vAlign w:val="bottom"/>
            <w:shd w:val="clear" w:color="auto" w:fill="CCEEFF"/>
          </w:tcPr>
          <w:p>
            <w:pPr>
              <w:spacing w:after="0"/>
              <w:rPr>
                <w:sz w:val="19"/>
                <w:szCs w:val="19"/>
                <w:color w:val="auto"/>
              </w:rPr>
            </w:pP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158</w:t>
            </w:r>
          </w:p>
        </w:tc>
        <w:tc>
          <w:tcPr>
            <w:tcW w:w="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3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154</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130</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147</w:t>
            </w:r>
          </w:p>
        </w:tc>
      </w:tr>
      <w:tr>
        <w:trPr>
          <w:trHeight w:val="223"/>
        </w:trPr>
        <w:tc>
          <w:tcPr>
            <w:tcW w:w="1880" w:type="dxa"/>
            <w:vAlign w:val="bottom"/>
            <w:gridSpan w:val="2"/>
          </w:tcPr>
          <w:p>
            <w:pPr>
              <w:ind w:left="20"/>
              <w:spacing w:after="0"/>
              <w:rPr>
                <w:sz w:val="20"/>
                <w:szCs w:val="20"/>
                <w:color w:val="auto"/>
              </w:rPr>
            </w:pPr>
            <w:r>
              <w:rPr>
                <w:rFonts w:ascii="Arial" w:cs="Arial" w:eastAsia="Arial" w:hAnsi="Arial"/>
                <w:sz w:val="18"/>
                <w:szCs w:val="18"/>
                <w:color w:val="auto"/>
              </w:rPr>
              <w:t>Consumer</w:t>
            </w: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80" w:type="dxa"/>
            <w:vAlign w:val="bottom"/>
            <w:gridSpan w:val="3"/>
          </w:tcPr>
          <w:p>
            <w:pPr>
              <w:jc w:val="right"/>
              <w:ind w:right="80"/>
              <w:spacing w:after="0"/>
              <w:rPr>
                <w:sz w:val="20"/>
                <w:szCs w:val="20"/>
                <w:color w:val="auto"/>
              </w:rPr>
            </w:pPr>
            <w:r>
              <w:rPr>
                <w:rFonts w:ascii="Arial" w:cs="Arial" w:eastAsia="Arial" w:hAnsi="Arial"/>
                <w:sz w:val="18"/>
                <w:szCs w:val="18"/>
                <w:color w:val="auto"/>
              </w:rPr>
              <w:t>165</w:t>
            </w:r>
          </w:p>
        </w:tc>
        <w:tc>
          <w:tcPr>
            <w:tcW w:w="1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gridSpan w:val="3"/>
          </w:tcPr>
          <w:p>
            <w:pPr>
              <w:jc w:val="right"/>
              <w:spacing w:after="0"/>
              <w:rPr>
                <w:sz w:val="20"/>
                <w:szCs w:val="20"/>
                <w:color w:val="auto"/>
              </w:rPr>
            </w:pPr>
            <w:r>
              <w:rPr>
                <w:rFonts w:ascii="Arial" w:cs="Arial" w:eastAsia="Arial" w:hAnsi="Arial"/>
                <w:sz w:val="18"/>
                <w:szCs w:val="18"/>
                <w:color w:val="auto"/>
              </w:rPr>
              <w:t>167</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gridSpan w:val="3"/>
          </w:tcPr>
          <w:p>
            <w:pPr>
              <w:jc w:val="right"/>
              <w:ind w:right="60"/>
              <w:spacing w:after="0"/>
              <w:rPr>
                <w:sz w:val="20"/>
                <w:szCs w:val="20"/>
                <w:color w:val="auto"/>
              </w:rPr>
            </w:pPr>
            <w:r>
              <w:rPr>
                <w:rFonts w:ascii="Arial" w:cs="Arial" w:eastAsia="Arial" w:hAnsi="Arial"/>
                <w:sz w:val="18"/>
                <w:szCs w:val="18"/>
                <w:color w:val="auto"/>
              </w:rPr>
              <w:t>168</w:t>
            </w:r>
          </w:p>
        </w:tc>
        <w:tc>
          <w:tcPr>
            <w:tcW w:w="1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w w:val="93"/>
              </w:rPr>
              <w:t>152</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134</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120</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gridSpan w:val="2"/>
          </w:tcPr>
          <w:p>
            <w:pPr>
              <w:jc w:val="right"/>
              <w:ind w:right="80"/>
              <w:spacing w:after="0"/>
              <w:rPr>
                <w:sz w:val="20"/>
                <w:szCs w:val="20"/>
                <w:color w:val="auto"/>
              </w:rPr>
            </w:pPr>
            <w:r>
              <w:rPr>
                <w:rFonts w:ascii="Arial" w:cs="Arial" w:eastAsia="Arial" w:hAnsi="Arial"/>
                <w:sz w:val="18"/>
                <w:szCs w:val="18"/>
                <w:color w:val="auto"/>
                <w:w w:val="79"/>
              </w:rPr>
              <w:t>168</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214</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242</w:t>
            </w:r>
          </w:p>
        </w:tc>
      </w:tr>
      <w:tr>
        <w:trPr>
          <w:trHeight w:val="224"/>
        </w:trPr>
        <w:tc>
          <w:tcPr>
            <w:tcW w:w="18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Auto/Industrial</w:t>
            </w:r>
          </w:p>
        </w:tc>
        <w:tc>
          <w:tcPr>
            <w:tcW w:w="80" w:type="dxa"/>
            <w:vAlign w:val="bottom"/>
            <w:shd w:val="clear" w:color="auto" w:fill="CCEEFF"/>
          </w:tcPr>
          <w:p>
            <w:pPr>
              <w:spacing w:after="0"/>
              <w:rPr>
                <w:sz w:val="19"/>
                <w:szCs w:val="19"/>
                <w:color w:val="auto"/>
              </w:rPr>
            </w:pPr>
          </w:p>
        </w:tc>
        <w:tc>
          <w:tcPr>
            <w:tcW w:w="420" w:type="dxa"/>
            <w:vAlign w:val="bottom"/>
            <w:tcBorders>
              <w:bottom w:val="single" w:sz="8" w:color="auto"/>
            </w:tcBorders>
            <w:shd w:val="clear" w:color="auto" w:fill="CCEEFF"/>
          </w:tcPr>
          <w:p>
            <w:pPr>
              <w:spacing w:after="0"/>
              <w:rPr>
                <w:sz w:val="19"/>
                <w:szCs w:val="19"/>
                <w:color w:val="auto"/>
              </w:rPr>
            </w:pPr>
          </w:p>
        </w:tc>
        <w:tc>
          <w:tcPr>
            <w:tcW w:w="480" w:type="dxa"/>
            <w:vAlign w:val="bottom"/>
            <w:tcBorders>
              <w:bottom w:val="single" w:sz="8" w:color="auto"/>
            </w:tcBorders>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57</w:t>
            </w:r>
          </w:p>
        </w:tc>
        <w:tc>
          <w:tcPr>
            <w:tcW w:w="120" w:type="dxa"/>
            <w:vAlign w:val="bottom"/>
            <w:shd w:val="clear" w:color="auto" w:fill="CCEEFF"/>
          </w:tcPr>
          <w:p>
            <w:pPr>
              <w:spacing w:after="0"/>
              <w:rPr>
                <w:sz w:val="19"/>
                <w:szCs w:val="19"/>
                <w:color w:val="auto"/>
              </w:rPr>
            </w:pPr>
          </w:p>
        </w:tc>
        <w:tc>
          <w:tcPr>
            <w:tcW w:w="420" w:type="dxa"/>
            <w:vAlign w:val="bottom"/>
            <w:tcBorders>
              <w:bottom w:val="single" w:sz="8" w:color="auto"/>
            </w:tcBorders>
            <w:shd w:val="clear" w:color="auto" w:fill="CCEEFF"/>
          </w:tcPr>
          <w:p>
            <w:pPr>
              <w:spacing w:after="0"/>
              <w:rPr>
                <w:sz w:val="19"/>
                <w:szCs w:val="19"/>
                <w:color w:val="auto"/>
              </w:rPr>
            </w:pPr>
          </w:p>
        </w:tc>
        <w:tc>
          <w:tcPr>
            <w:tcW w:w="4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60" w:type="dxa"/>
            <w:vAlign w:val="bottom"/>
            <w:tcBorders>
              <w:bottom w:val="single" w:sz="8" w:color="auto"/>
            </w:tcBorders>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460" w:type="dxa"/>
            <w:vAlign w:val="bottom"/>
            <w:tcBorders>
              <w:bottom w:val="single" w:sz="8" w:color="auto"/>
            </w:tcBorders>
            <w:shd w:val="clear" w:color="auto" w:fill="CCEEFF"/>
          </w:tcPr>
          <w:p>
            <w:pPr>
              <w:spacing w:after="0"/>
              <w:rPr>
                <w:sz w:val="19"/>
                <w:szCs w:val="19"/>
                <w:color w:val="auto"/>
              </w:rPr>
            </w:pPr>
          </w:p>
        </w:tc>
        <w:tc>
          <w:tcPr>
            <w:tcW w:w="440" w:type="dxa"/>
            <w:vAlign w:val="bottom"/>
            <w:tcBorders>
              <w:bottom w:val="single" w:sz="8" w:color="auto"/>
            </w:tcBorders>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34</w:t>
            </w:r>
          </w:p>
        </w:tc>
        <w:tc>
          <w:tcPr>
            <w:tcW w:w="140" w:type="dxa"/>
            <w:vAlign w:val="bottom"/>
            <w:shd w:val="clear" w:color="auto" w:fill="CCEEFF"/>
          </w:tcPr>
          <w:p>
            <w:pPr>
              <w:spacing w:after="0"/>
              <w:rPr>
                <w:sz w:val="19"/>
                <w:szCs w:val="19"/>
                <w:color w:val="auto"/>
              </w:rPr>
            </w:pPr>
          </w:p>
        </w:tc>
        <w:tc>
          <w:tcPr>
            <w:tcW w:w="520" w:type="dxa"/>
            <w:vAlign w:val="bottom"/>
            <w:tcBorders>
              <w:bottom w:val="single" w:sz="8" w:color="auto"/>
            </w:tcBorders>
            <w:shd w:val="clear" w:color="auto" w:fill="CCEEFF"/>
          </w:tcPr>
          <w:p>
            <w:pPr>
              <w:spacing w:after="0"/>
              <w:rPr>
                <w:sz w:val="19"/>
                <w:szCs w:val="19"/>
                <w:color w:val="auto"/>
              </w:rPr>
            </w:pPr>
          </w:p>
        </w:tc>
        <w:tc>
          <w:tcPr>
            <w:tcW w:w="3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60" w:type="dxa"/>
            <w:vAlign w:val="bottom"/>
            <w:tcBorders>
              <w:bottom w:val="single" w:sz="8" w:color="auto"/>
            </w:tcBorders>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540" w:type="dxa"/>
            <w:vAlign w:val="bottom"/>
            <w:tcBorders>
              <w:bottom w:val="single" w:sz="8" w:color="auto"/>
            </w:tcBorders>
            <w:shd w:val="clear" w:color="auto" w:fill="CCEEFF"/>
          </w:tcPr>
          <w:p>
            <w:pPr>
              <w:spacing w:after="0"/>
              <w:rPr>
                <w:sz w:val="19"/>
                <w:szCs w:val="19"/>
                <w:color w:val="auto"/>
              </w:rPr>
            </w:pPr>
          </w:p>
        </w:tc>
        <w:tc>
          <w:tcPr>
            <w:tcW w:w="30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w:t>
            </w:r>
          </w:p>
        </w:tc>
        <w:tc>
          <w:tcPr>
            <w:tcW w:w="60" w:type="dxa"/>
            <w:vAlign w:val="bottom"/>
            <w:tcBorders>
              <w:bottom w:val="single" w:sz="8" w:color="auto"/>
            </w:tcBorders>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520" w:type="dxa"/>
            <w:vAlign w:val="bottom"/>
            <w:tcBorders>
              <w:bottom w:val="single" w:sz="8" w:color="auto"/>
            </w:tcBorders>
            <w:shd w:val="clear" w:color="auto" w:fill="CCEEFF"/>
          </w:tcPr>
          <w:p>
            <w:pPr>
              <w:spacing w:after="0"/>
              <w:rPr>
                <w:sz w:val="19"/>
                <w:szCs w:val="19"/>
                <w:color w:val="auto"/>
              </w:rPr>
            </w:pPr>
          </w:p>
        </w:tc>
        <w:tc>
          <w:tcPr>
            <w:tcW w:w="34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w:t>
            </w:r>
          </w:p>
        </w:tc>
        <w:tc>
          <w:tcPr>
            <w:tcW w:w="60" w:type="dxa"/>
            <w:vAlign w:val="bottom"/>
            <w:tcBorders>
              <w:bottom w:val="single" w:sz="8" w:color="auto"/>
            </w:tcBorders>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580" w:type="dxa"/>
            <w:vAlign w:val="bottom"/>
            <w:tcBorders>
              <w:bottom w:val="single" w:sz="8" w:color="auto"/>
            </w:tcBorders>
            <w:shd w:val="clear" w:color="auto" w:fill="CCEEFF"/>
          </w:tcPr>
          <w:p>
            <w:pPr>
              <w:spacing w:after="0"/>
              <w:rPr>
                <w:sz w:val="19"/>
                <w:szCs w:val="19"/>
                <w:color w:val="auto"/>
              </w:rPr>
            </w:pPr>
          </w:p>
        </w:tc>
        <w:tc>
          <w:tcPr>
            <w:tcW w:w="340" w:type="dxa"/>
            <w:vAlign w:val="bottom"/>
            <w:tcBorders>
              <w:bottom w:val="single" w:sz="8" w:color="auto"/>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24</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7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r>
      <w:tr>
        <w:trPr>
          <w:trHeight w:val="217"/>
        </w:trPr>
        <w:tc>
          <w:tcPr>
            <w:tcW w:w="1880" w:type="dxa"/>
            <w:vAlign w:val="bottom"/>
            <w:gridSpan w:val="2"/>
          </w:tcPr>
          <w:p>
            <w:pPr>
              <w:ind w:left="20"/>
              <w:spacing w:after="0"/>
              <w:rPr>
                <w:sz w:val="20"/>
                <w:szCs w:val="20"/>
                <w:color w:val="auto"/>
              </w:rPr>
            </w:pPr>
            <w:r>
              <w:rPr>
                <w:rFonts w:ascii="Arial" w:cs="Arial" w:eastAsia="Arial" w:hAnsi="Arial"/>
                <w:sz w:val="18"/>
                <w:szCs w:val="18"/>
                <w:b w:val="1"/>
                <w:bCs w:val="1"/>
                <w:color w:val="auto"/>
              </w:rPr>
              <w:t>Total Net Revenue</w:t>
            </w:r>
          </w:p>
        </w:tc>
        <w:tc>
          <w:tcPr>
            <w:tcW w:w="80" w:type="dxa"/>
            <w:vAlign w:val="bottom"/>
          </w:tcPr>
          <w:p>
            <w:pPr>
              <w:spacing w:after="0"/>
              <w:rPr>
                <w:sz w:val="18"/>
                <w:szCs w:val="18"/>
                <w:color w:val="auto"/>
              </w:rPr>
            </w:pPr>
          </w:p>
        </w:tc>
        <w:tc>
          <w:tcPr>
            <w:tcW w:w="42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w:t>
            </w:r>
          </w:p>
        </w:tc>
        <w:tc>
          <w:tcPr>
            <w:tcW w:w="480" w:type="dxa"/>
            <w:vAlign w:val="bottom"/>
            <w:tcBorders>
              <w:bottom w:val="single" w:sz="8" w:color="auto"/>
            </w:tcBorders>
            <w:gridSpan w:val="3"/>
          </w:tcPr>
          <w:p>
            <w:pPr>
              <w:jc w:val="right"/>
              <w:ind w:right="80"/>
              <w:spacing w:after="0"/>
              <w:rPr>
                <w:sz w:val="20"/>
                <w:szCs w:val="20"/>
                <w:color w:val="auto"/>
              </w:rPr>
            </w:pPr>
            <w:r>
              <w:rPr>
                <w:rFonts w:ascii="Arial" w:cs="Arial" w:eastAsia="Arial" w:hAnsi="Arial"/>
                <w:sz w:val="18"/>
                <w:szCs w:val="18"/>
                <w:b w:val="1"/>
                <w:bCs w:val="1"/>
                <w:color w:val="auto"/>
                <w:w w:val="84"/>
              </w:rPr>
              <w:t>1,076</w:t>
            </w:r>
          </w:p>
        </w:tc>
        <w:tc>
          <w:tcPr>
            <w:tcW w:w="120" w:type="dxa"/>
            <w:vAlign w:val="bottom"/>
          </w:tcPr>
          <w:p>
            <w:pPr>
              <w:spacing w:after="0"/>
              <w:rPr>
                <w:sz w:val="18"/>
                <w:szCs w:val="18"/>
                <w:color w:val="auto"/>
              </w:rPr>
            </w:pPr>
          </w:p>
        </w:tc>
        <w:tc>
          <w:tcPr>
            <w:tcW w:w="420" w:type="dxa"/>
            <w:vAlign w:val="bottom"/>
            <w:tcBorders>
              <w:bottom w:val="single" w:sz="8" w:color="auto"/>
            </w:tcBorders>
          </w:tcPr>
          <w:p>
            <w:pPr>
              <w:ind w:left="20"/>
              <w:spacing w:after="0"/>
              <w:rPr>
                <w:sz w:val="20"/>
                <w:szCs w:val="20"/>
                <w:color w:val="auto"/>
              </w:rPr>
            </w:pPr>
            <w:r>
              <w:rPr>
                <w:rFonts w:ascii="Arial" w:cs="Arial" w:eastAsia="Arial" w:hAnsi="Arial"/>
                <w:sz w:val="18"/>
                <w:szCs w:val="18"/>
                <w:b w:val="1"/>
                <w:bCs w:val="1"/>
                <w:color w:val="auto"/>
              </w:rPr>
              <w:t>$</w:t>
            </w:r>
          </w:p>
        </w:tc>
        <w:tc>
          <w:tcPr>
            <w:tcW w:w="4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b w:val="1"/>
                <w:bCs w:val="1"/>
                <w:color w:val="auto"/>
              </w:rPr>
              <w:t>832</w:t>
            </w:r>
          </w:p>
        </w:tc>
        <w:tc>
          <w:tcPr>
            <w:tcW w:w="60" w:type="dxa"/>
            <w:vAlign w:val="bottom"/>
            <w:tcBorders>
              <w:bottom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Borders>
              <w:bottom w:val="single" w:sz="8" w:color="auto"/>
            </w:tcBorders>
          </w:tcPr>
          <w:p>
            <w:pPr>
              <w:jc w:val="right"/>
              <w:ind w:right="284"/>
              <w:spacing w:after="0"/>
              <w:rPr>
                <w:sz w:val="20"/>
                <w:szCs w:val="20"/>
                <w:color w:val="auto"/>
              </w:rPr>
            </w:pPr>
            <w:r>
              <w:rPr>
                <w:rFonts w:ascii="Arial" w:cs="Arial" w:eastAsia="Arial" w:hAnsi="Arial"/>
                <w:sz w:val="18"/>
                <w:szCs w:val="18"/>
                <w:b w:val="1"/>
                <w:bCs w:val="1"/>
                <w:color w:val="auto"/>
                <w:w w:val="79"/>
              </w:rPr>
              <w:t>$</w:t>
            </w:r>
          </w:p>
        </w:tc>
        <w:tc>
          <w:tcPr>
            <w:tcW w:w="440" w:type="dxa"/>
            <w:vAlign w:val="bottom"/>
            <w:tcBorders>
              <w:bottom w:val="single" w:sz="8" w:color="auto"/>
            </w:tcBorders>
            <w:gridSpan w:val="3"/>
          </w:tcPr>
          <w:p>
            <w:pPr>
              <w:jc w:val="right"/>
              <w:ind w:right="60"/>
              <w:spacing w:after="0"/>
              <w:rPr>
                <w:sz w:val="20"/>
                <w:szCs w:val="20"/>
                <w:color w:val="auto"/>
              </w:rPr>
            </w:pPr>
            <w:r>
              <w:rPr>
                <w:rFonts w:ascii="Arial" w:cs="Arial" w:eastAsia="Arial" w:hAnsi="Arial"/>
                <w:sz w:val="18"/>
                <w:szCs w:val="18"/>
                <w:b w:val="1"/>
                <w:bCs w:val="1"/>
                <w:color w:val="auto"/>
              </w:rPr>
              <w:t>798</w:t>
            </w:r>
          </w:p>
        </w:tc>
        <w:tc>
          <w:tcPr>
            <w:tcW w:w="140" w:type="dxa"/>
            <w:vAlign w:val="bottom"/>
          </w:tcPr>
          <w:p>
            <w:pPr>
              <w:spacing w:after="0"/>
              <w:rPr>
                <w:sz w:val="18"/>
                <w:szCs w:val="18"/>
                <w:color w:val="auto"/>
              </w:rPr>
            </w:pPr>
          </w:p>
        </w:tc>
        <w:tc>
          <w:tcPr>
            <w:tcW w:w="520" w:type="dxa"/>
            <w:vAlign w:val="bottom"/>
            <w:tcBorders>
              <w:bottom w:val="single" w:sz="8" w:color="auto"/>
            </w:tcBorders>
          </w:tcPr>
          <w:p>
            <w:pPr>
              <w:jc w:val="right"/>
              <w:ind w:right="344"/>
              <w:spacing w:after="0"/>
              <w:rPr>
                <w:sz w:val="20"/>
                <w:szCs w:val="20"/>
                <w:color w:val="auto"/>
              </w:rPr>
            </w:pPr>
            <w:r>
              <w:rPr>
                <w:rFonts w:ascii="Arial" w:cs="Arial" w:eastAsia="Arial" w:hAnsi="Arial"/>
                <w:sz w:val="18"/>
                <w:szCs w:val="18"/>
                <w:b w:val="1"/>
                <w:bCs w:val="1"/>
                <w:color w:val="auto"/>
                <w:w w:val="79"/>
              </w:rPr>
              <w:t>$</w:t>
            </w:r>
          </w:p>
        </w:tc>
        <w:tc>
          <w:tcPr>
            <w:tcW w:w="3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b w:val="1"/>
                <w:bCs w:val="1"/>
                <w:color w:val="auto"/>
                <w:w w:val="93"/>
              </w:rPr>
              <w:t>750</w:t>
            </w:r>
          </w:p>
        </w:tc>
        <w:tc>
          <w:tcPr>
            <w:tcW w:w="60" w:type="dxa"/>
            <w:vAlign w:val="bottom"/>
            <w:tcBorders>
              <w:bottom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Borders>
              <w:bottom w:val="single" w:sz="8" w:color="auto"/>
            </w:tcBorders>
          </w:tcPr>
          <w:p>
            <w:pPr>
              <w:jc w:val="right"/>
              <w:ind w:right="364"/>
              <w:spacing w:after="0"/>
              <w:rPr>
                <w:sz w:val="20"/>
                <w:szCs w:val="20"/>
                <w:color w:val="auto"/>
              </w:rPr>
            </w:pPr>
            <w:r>
              <w:rPr>
                <w:rFonts w:ascii="Arial" w:cs="Arial" w:eastAsia="Arial" w:hAnsi="Arial"/>
                <w:sz w:val="18"/>
                <w:szCs w:val="18"/>
                <w:b w:val="1"/>
                <w:bCs w:val="1"/>
                <w:color w:val="auto"/>
                <w:w w:val="79"/>
              </w:rPr>
              <w:t>$</w:t>
            </w:r>
          </w:p>
        </w:tc>
        <w:tc>
          <w:tcPr>
            <w:tcW w:w="3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b w:val="1"/>
                <w:bCs w:val="1"/>
                <w:color w:val="auto"/>
                <w:w w:val="86"/>
              </w:rPr>
              <w:t>727</w:t>
            </w:r>
          </w:p>
        </w:tc>
        <w:tc>
          <w:tcPr>
            <w:tcW w:w="60" w:type="dxa"/>
            <w:vAlign w:val="bottom"/>
            <w:tcBorders>
              <w:bottom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Borders>
              <w:bottom w:val="single" w:sz="8" w:color="auto"/>
            </w:tcBorders>
          </w:tcPr>
          <w:p>
            <w:pPr>
              <w:jc w:val="right"/>
              <w:ind w:right="318"/>
              <w:spacing w:after="0"/>
              <w:rPr>
                <w:sz w:val="20"/>
                <w:szCs w:val="20"/>
                <w:color w:val="auto"/>
              </w:rPr>
            </w:pPr>
            <w:r>
              <w:rPr>
                <w:rFonts w:ascii="Arial" w:cs="Arial" w:eastAsia="Arial" w:hAnsi="Arial"/>
                <w:sz w:val="18"/>
                <w:szCs w:val="18"/>
                <w:b w:val="1"/>
                <w:bCs w:val="1"/>
                <w:color w:val="auto"/>
                <w:w w:val="99"/>
              </w:rPr>
              <w:t>$</w:t>
            </w:r>
          </w:p>
        </w:tc>
        <w:tc>
          <w:tcPr>
            <w:tcW w:w="34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b w:val="1"/>
                <w:bCs w:val="1"/>
                <w:color w:val="auto"/>
                <w:w w:val="99"/>
              </w:rPr>
              <w:t>694</w:t>
            </w:r>
          </w:p>
        </w:tc>
        <w:tc>
          <w:tcPr>
            <w:tcW w:w="60" w:type="dxa"/>
            <w:vAlign w:val="bottom"/>
            <w:tcBorders>
              <w:bottom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Borders>
              <w:bottom w:val="single" w:sz="8" w:color="auto"/>
            </w:tcBorders>
          </w:tcPr>
          <w:p>
            <w:pPr>
              <w:jc w:val="right"/>
              <w:ind w:right="384"/>
              <w:spacing w:after="0"/>
              <w:rPr>
                <w:sz w:val="20"/>
                <w:szCs w:val="20"/>
                <w:color w:val="auto"/>
              </w:rPr>
            </w:pPr>
            <w:r>
              <w:rPr>
                <w:rFonts w:ascii="Arial" w:cs="Arial" w:eastAsia="Arial" w:hAnsi="Arial"/>
                <w:sz w:val="18"/>
                <w:szCs w:val="18"/>
                <w:b w:val="1"/>
                <w:bCs w:val="1"/>
                <w:color w:val="auto"/>
                <w:w w:val="99"/>
              </w:rPr>
              <w:t>$</w:t>
            </w:r>
          </w:p>
        </w:tc>
        <w:tc>
          <w:tcPr>
            <w:tcW w:w="34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8"/>
                <w:szCs w:val="18"/>
                <w:b w:val="1"/>
                <w:bCs w:val="1"/>
                <w:color w:val="auto"/>
                <w:w w:val="79"/>
              </w:rPr>
              <w:t>718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Borders>
              <w:bottom w:val="single" w:sz="8" w:color="auto"/>
            </w:tcBorders>
          </w:tcPr>
          <w:p>
            <w:pPr>
              <w:ind w:left="20"/>
              <w:spacing w:after="0"/>
              <w:rPr>
                <w:sz w:val="20"/>
                <w:szCs w:val="20"/>
                <w:color w:val="auto"/>
              </w:rPr>
            </w:pPr>
            <w:r>
              <w:rPr>
                <w:rFonts w:ascii="Arial" w:cs="Arial" w:eastAsia="Arial" w:hAnsi="Arial"/>
                <w:sz w:val="18"/>
                <w:szCs w:val="18"/>
                <w:b w:val="1"/>
                <w:bCs w:val="1"/>
                <w:color w:val="auto"/>
              </w:rPr>
              <w:t>$</w:t>
            </w: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b w:val="1"/>
                <w:bCs w:val="1"/>
                <w:color w:val="auto"/>
              </w:rPr>
              <w:t>662</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w w:val="79"/>
              </w:rPr>
              <w:t>$</w:t>
            </w:r>
          </w:p>
        </w:tc>
        <w:tc>
          <w:tcPr>
            <w:tcW w:w="7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b w:val="1"/>
                <w:bCs w:val="1"/>
                <w:color w:val="auto"/>
              </w:rPr>
              <w:t>657</w:t>
            </w:r>
          </w:p>
        </w:tc>
      </w:tr>
      <w:tr>
        <w:trPr>
          <w:trHeight w:val="20"/>
        </w:trPr>
        <w:tc>
          <w:tcPr>
            <w:tcW w:w="1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20" w:type="dxa"/>
            <w:vAlign w:val="bottom"/>
            <w:tcBorders>
              <w:bottom w:val="single" w:sz="8" w:color="auto"/>
            </w:tcBorders>
            <w:gridSpan w:val="2"/>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r>
      <w:tr>
        <w:trPr>
          <w:trHeight w:val="774"/>
        </w:trPr>
        <w:tc>
          <w:tcPr>
            <w:tcW w:w="1680" w:type="dxa"/>
            <w:vAlign w:val="bottom"/>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8"/>
          </w:tcPr>
          <w:p>
            <w:pPr>
              <w:spacing w:after="0"/>
              <w:rPr>
                <w:sz w:val="20"/>
                <w:szCs w:val="20"/>
                <w:color w:val="auto"/>
              </w:rPr>
            </w:pPr>
            <w:r>
              <w:rPr>
                <w:rFonts w:ascii="Arial" w:cs="Arial" w:eastAsia="Arial" w:hAnsi="Arial"/>
                <w:sz w:val="14"/>
                <w:szCs w:val="14"/>
                <w:b w:val="1"/>
                <w:bCs w:val="1"/>
                <w:color w:val="auto"/>
                <w:w w:val="95"/>
              </w:rPr>
              <w:t>Three Months Ended</w:t>
            </w:r>
          </w:p>
        </w:tc>
        <w:tc>
          <w:tcPr>
            <w:tcW w:w="52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r>
      <w:tr>
        <w:trPr>
          <w:trHeight w:val="197"/>
        </w:trPr>
        <w:tc>
          <w:tcPr>
            <w:tcW w:w="1680" w:type="dxa"/>
            <w:vAlign w:val="bottom"/>
          </w:tcPr>
          <w:p>
            <w:pPr>
              <w:ind w:left="20"/>
              <w:spacing w:after="0" w:line="197" w:lineRule="exact"/>
              <w:rPr>
                <w:sz w:val="20"/>
                <w:szCs w:val="20"/>
                <w:color w:val="auto"/>
              </w:rPr>
            </w:pPr>
            <w:r>
              <w:rPr>
                <w:rFonts w:ascii="Arial" w:cs="Arial" w:eastAsia="Arial" w:hAnsi="Arial"/>
                <w:sz w:val="18"/>
                <w:szCs w:val="18"/>
                <w:b w:val="1"/>
                <w:bCs w:val="1"/>
                <w:color w:val="auto"/>
              </w:rPr>
              <w:t>Revenue by End</w:t>
            </w:r>
          </w:p>
        </w:tc>
        <w:tc>
          <w:tcPr>
            <w:tcW w:w="200" w:type="dxa"/>
            <w:vAlign w:val="bottom"/>
          </w:tcPr>
          <w:p>
            <w:pPr>
              <w:spacing w:after="0"/>
              <w:rPr>
                <w:sz w:val="17"/>
                <w:szCs w:val="17"/>
                <w:color w:val="auto"/>
              </w:rPr>
            </w:pPr>
          </w:p>
        </w:tc>
        <w:tc>
          <w:tcPr>
            <w:tcW w:w="500" w:type="dxa"/>
            <w:vAlign w:val="bottom"/>
            <w:gridSpan w:val="2"/>
          </w:tcPr>
          <w:p>
            <w:pPr>
              <w:jc w:val="right"/>
              <w:spacing w:after="0"/>
              <w:rPr>
                <w:sz w:val="20"/>
                <w:szCs w:val="20"/>
                <w:color w:val="auto"/>
              </w:rPr>
            </w:pPr>
            <w:r>
              <w:rPr>
                <w:rFonts w:ascii="Arial" w:cs="Arial" w:eastAsia="Arial" w:hAnsi="Arial"/>
                <w:sz w:val="14"/>
                <w:szCs w:val="14"/>
                <w:b w:val="1"/>
                <w:bCs w:val="1"/>
                <w:color w:val="auto"/>
                <w:w w:val="89"/>
              </w:rPr>
              <w:t>July 31,</w:t>
            </w: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40" w:type="dxa"/>
            <w:vAlign w:val="bottom"/>
            <w:gridSpan w:val="2"/>
          </w:tcPr>
          <w:p>
            <w:pPr>
              <w:jc w:val="right"/>
              <w:spacing w:after="0"/>
              <w:rPr>
                <w:sz w:val="20"/>
                <w:szCs w:val="20"/>
                <w:color w:val="auto"/>
              </w:rPr>
            </w:pPr>
            <w:r>
              <w:rPr>
                <w:rFonts w:ascii="Arial" w:cs="Arial" w:eastAsia="Arial" w:hAnsi="Arial"/>
                <w:sz w:val="14"/>
                <w:szCs w:val="14"/>
                <w:b w:val="1"/>
                <w:bCs w:val="1"/>
                <w:color w:val="auto"/>
              </w:rPr>
              <w:t>May 1,</w:t>
            </w: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100" w:type="dxa"/>
            <w:vAlign w:val="bottom"/>
            <w:gridSpan w:val="6"/>
          </w:tcPr>
          <w:p>
            <w:pPr>
              <w:jc w:val="right"/>
              <w:ind w:right="360"/>
              <w:spacing w:after="0"/>
              <w:rPr>
                <w:sz w:val="20"/>
                <w:szCs w:val="20"/>
                <w:color w:val="auto"/>
              </w:rPr>
            </w:pPr>
            <w:r>
              <w:rPr>
                <w:rFonts w:ascii="Arial" w:cs="Arial" w:eastAsia="Arial" w:hAnsi="Arial"/>
                <w:sz w:val="14"/>
                <w:szCs w:val="14"/>
                <w:b w:val="1"/>
                <w:bCs w:val="1"/>
                <w:color w:val="auto"/>
                <w:w w:val="93"/>
              </w:rPr>
              <w:t>January 30,</w:t>
            </w:r>
          </w:p>
        </w:tc>
        <w:tc>
          <w:tcPr>
            <w:tcW w:w="980" w:type="dxa"/>
            <w:vAlign w:val="bottom"/>
            <w:gridSpan w:val="4"/>
          </w:tcPr>
          <w:p>
            <w:pPr>
              <w:jc w:val="right"/>
              <w:ind w:right="190"/>
              <w:spacing w:after="0"/>
              <w:rPr>
                <w:sz w:val="20"/>
                <w:szCs w:val="20"/>
                <w:color w:val="auto"/>
              </w:rPr>
            </w:pPr>
            <w:r>
              <w:rPr>
                <w:rFonts w:ascii="Arial" w:cs="Arial" w:eastAsia="Arial" w:hAnsi="Arial"/>
                <w:sz w:val="14"/>
                <w:szCs w:val="14"/>
                <w:b w:val="1"/>
                <w:bCs w:val="1"/>
                <w:color w:val="auto"/>
                <w:w w:val="90"/>
              </w:rPr>
              <w:t>October 31,</w:t>
            </w:r>
          </w:p>
        </w:tc>
        <w:tc>
          <w:tcPr>
            <w:tcW w:w="60" w:type="dxa"/>
            <w:vAlign w:val="bottom"/>
          </w:tcPr>
          <w:p>
            <w:pPr>
              <w:spacing w:after="0"/>
              <w:rPr>
                <w:sz w:val="17"/>
                <w:szCs w:val="17"/>
                <w:color w:val="auto"/>
              </w:rPr>
            </w:pPr>
          </w:p>
        </w:tc>
        <w:tc>
          <w:tcPr>
            <w:tcW w:w="680" w:type="dxa"/>
            <w:vAlign w:val="bottom"/>
            <w:gridSpan w:val="2"/>
          </w:tcPr>
          <w:p>
            <w:pPr>
              <w:jc w:val="right"/>
              <w:spacing w:after="0"/>
              <w:rPr>
                <w:sz w:val="20"/>
                <w:szCs w:val="20"/>
                <w:color w:val="auto"/>
              </w:rPr>
            </w:pPr>
            <w:r>
              <w:rPr>
                <w:rFonts w:ascii="Arial" w:cs="Arial" w:eastAsia="Arial" w:hAnsi="Arial"/>
                <w:sz w:val="14"/>
                <w:szCs w:val="14"/>
                <w:b w:val="1"/>
                <w:bCs w:val="1"/>
                <w:color w:val="auto"/>
              </w:rPr>
              <w:t>August 1,</w:t>
            </w: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jc w:val="right"/>
              <w:spacing w:after="0"/>
              <w:rPr>
                <w:sz w:val="20"/>
                <w:szCs w:val="20"/>
                <w:color w:val="auto"/>
              </w:rPr>
            </w:pPr>
            <w:r>
              <w:rPr>
                <w:rFonts w:ascii="Arial" w:cs="Arial" w:eastAsia="Arial" w:hAnsi="Arial"/>
                <w:sz w:val="14"/>
                <w:szCs w:val="14"/>
                <w:b w:val="1"/>
                <w:bCs w:val="1"/>
                <w:color w:val="auto"/>
              </w:rPr>
              <w:t>May 2,</w:t>
            </w: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160" w:type="dxa"/>
            <w:vAlign w:val="bottom"/>
            <w:gridSpan w:val="6"/>
          </w:tcPr>
          <w:p>
            <w:pPr>
              <w:ind w:left="80"/>
              <w:spacing w:after="0"/>
              <w:rPr>
                <w:sz w:val="20"/>
                <w:szCs w:val="20"/>
                <w:color w:val="auto"/>
              </w:rPr>
            </w:pPr>
            <w:r>
              <w:rPr>
                <w:rFonts w:ascii="Arial" w:cs="Arial" w:eastAsia="Arial" w:hAnsi="Arial"/>
                <w:sz w:val="14"/>
                <w:szCs w:val="14"/>
                <w:b w:val="1"/>
                <w:bCs w:val="1"/>
                <w:color w:val="auto"/>
              </w:rPr>
              <w:t>February 1,</w:t>
            </w:r>
          </w:p>
        </w:tc>
        <w:tc>
          <w:tcPr>
            <w:tcW w:w="1060" w:type="dxa"/>
            <w:vAlign w:val="bottom"/>
            <w:gridSpan w:val="5"/>
          </w:tcPr>
          <w:p>
            <w:pPr>
              <w:ind w:left="40"/>
              <w:spacing w:after="0"/>
              <w:rPr>
                <w:sz w:val="20"/>
                <w:szCs w:val="20"/>
                <w:color w:val="auto"/>
              </w:rPr>
            </w:pPr>
            <w:r>
              <w:rPr>
                <w:rFonts w:ascii="Arial" w:cs="Arial" w:eastAsia="Arial" w:hAnsi="Arial"/>
                <w:sz w:val="14"/>
                <w:szCs w:val="14"/>
                <w:b w:val="1"/>
                <w:bCs w:val="1"/>
                <w:color w:val="auto"/>
              </w:rPr>
              <w:t>November 2,</w:t>
            </w:r>
          </w:p>
        </w:tc>
        <w:tc>
          <w:tcPr>
            <w:tcW w:w="140" w:type="dxa"/>
            <w:vAlign w:val="bottom"/>
          </w:tcPr>
          <w:p>
            <w:pPr>
              <w:spacing w:after="0"/>
              <w:rPr>
                <w:sz w:val="17"/>
                <w:szCs w:val="17"/>
                <w:color w:val="auto"/>
              </w:rPr>
            </w:pPr>
          </w:p>
        </w:tc>
        <w:tc>
          <w:tcPr>
            <w:tcW w:w="600" w:type="dxa"/>
            <w:vAlign w:val="bottom"/>
          </w:tcPr>
          <w:p>
            <w:pPr>
              <w:jc w:val="center"/>
              <w:spacing w:after="0"/>
              <w:rPr>
                <w:sz w:val="20"/>
                <w:szCs w:val="20"/>
                <w:color w:val="auto"/>
              </w:rPr>
            </w:pPr>
            <w:r>
              <w:rPr>
                <w:rFonts w:ascii="Arial" w:cs="Arial" w:eastAsia="Arial" w:hAnsi="Arial"/>
                <w:sz w:val="14"/>
                <w:szCs w:val="14"/>
                <w:b w:val="1"/>
                <w:bCs w:val="1"/>
                <w:color w:val="auto"/>
                <w:w w:val="87"/>
              </w:rPr>
              <w:t>August 3,</w:t>
            </w:r>
          </w:p>
        </w:tc>
        <w:tc>
          <w:tcPr>
            <w:tcW w:w="160" w:type="dxa"/>
            <w:vAlign w:val="bottom"/>
          </w:tcPr>
          <w:p>
            <w:pPr>
              <w:spacing w:after="0"/>
              <w:rPr>
                <w:sz w:val="17"/>
                <w:szCs w:val="17"/>
                <w:color w:val="auto"/>
              </w:rPr>
            </w:pPr>
          </w:p>
        </w:tc>
      </w:tr>
      <w:tr>
        <w:trPr>
          <w:trHeight w:val="184"/>
        </w:trPr>
        <w:tc>
          <w:tcPr>
            <w:tcW w:w="1680" w:type="dxa"/>
            <w:vAlign w:val="bottom"/>
            <w:tcBorders>
              <w:bottom w:val="single" w:sz="8" w:color="CCEEFF"/>
            </w:tcBorders>
          </w:tcPr>
          <w:p>
            <w:pPr>
              <w:ind w:left="20"/>
              <w:spacing w:after="0" w:line="184" w:lineRule="exact"/>
              <w:rPr>
                <w:sz w:val="20"/>
                <w:szCs w:val="20"/>
                <w:color w:val="auto"/>
              </w:rPr>
            </w:pPr>
            <w:r>
              <w:rPr>
                <w:rFonts w:ascii="Arial" w:cs="Arial" w:eastAsia="Arial" w:hAnsi="Arial"/>
                <w:sz w:val="18"/>
                <w:szCs w:val="18"/>
                <w:b w:val="1"/>
                <w:bCs w:val="1"/>
                <w:color w:val="auto"/>
              </w:rPr>
              <w:t>Market % of total</w:t>
            </w:r>
          </w:p>
        </w:tc>
        <w:tc>
          <w:tcPr>
            <w:tcW w:w="200" w:type="dxa"/>
            <w:vAlign w:val="bottom"/>
            <w:tcBorders>
              <w:bottom w:val="single" w:sz="8" w:color="auto"/>
            </w:tcBorders>
          </w:tcPr>
          <w:p>
            <w:pPr>
              <w:spacing w:after="0"/>
              <w:rPr>
                <w:sz w:val="16"/>
                <w:szCs w:val="16"/>
                <w:color w:val="auto"/>
              </w:rPr>
            </w:pPr>
          </w:p>
        </w:tc>
        <w:tc>
          <w:tcPr>
            <w:tcW w:w="500" w:type="dxa"/>
            <w:vAlign w:val="bottom"/>
            <w:tcBorders>
              <w:bottom w:val="single" w:sz="8" w:color="auto"/>
            </w:tcBorders>
            <w:gridSpan w:val="2"/>
          </w:tcPr>
          <w:p>
            <w:pPr>
              <w:ind w:left="100"/>
              <w:spacing w:after="0"/>
              <w:rPr>
                <w:sz w:val="20"/>
                <w:szCs w:val="20"/>
                <w:color w:val="auto"/>
              </w:rPr>
            </w:pPr>
            <w:r>
              <w:rPr>
                <w:rFonts w:ascii="Arial" w:cs="Arial" w:eastAsia="Arial" w:hAnsi="Arial"/>
                <w:sz w:val="14"/>
                <w:szCs w:val="14"/>
                <w:b w:val="1"/>
                <w:bCs w:val="1"/>
                <w:color w:val="auto"/>
              </w:rPr>
              <w:t>2021</w:t>
            </w:r>
          </w:p>
        </w:tc>
        <w:tc>
          <w:tcPr>
            <w:tcW w:w="18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540" w:type="dxa"/>
            <w:vAlign w:val="bottom"/>
            <w:tcBorders>
              <w:bottom w:val="single" w:sz="8" w:color="auto"/>
            </w:tcBorders>
            <w:gridSpan w:val="2"/>
          </w:tcPr>
          <w:p>
            <w:pPr>
              <w:ind w:left="140"/>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660" w:type="dxa"/>
            <w:vAlign w:val="bottom"/>
            <w:tcBorders>
              <w:bottom w:val="single" w:sz="8" w:color="auto"/>
            </w:tcBorders>
            <w:gridSpan w:val="3"/>
          </w:tcPr>
          <w:p>
            <w:pPr>
              <w:jc w:val="right"/>
              <w:ind w:right="64"/>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660" w:type="dxa"/>
            <w:vAlign w:val="bottom"/>
            <w:tcBorders>
              <w:bottom w:val="single" w:sz="8" w:color="auto"/>
            </w:tcBorders>
            <w:gridSpan w:val="2"/>
          </w:tcPr>
          <w:p>
            <w:pPr>
              <w:ind w:left="220"/>
              <w:spacing w:after="0"/>
              <w:rPr>
                <w:sz w:val="20"/>
                <w:szCs w:val="20"/>
                <w:color w:val="auto"/>
              </w:rPr>
            </w:pPr>
            <w:r>
              <w:rPr>
                <w:rFonts w:ascii="Arial" w:cs="Arial" w:eastAsia="Arial" w:hAnsi="Arial"/>
                <w:sz w:val="14"/>
                <w:szCs w:val="14"/>
                <w:b w:val="1"/>
                <w:bCs w:val="1"/>
                <w:color w:val="auto"/>
              </w:rPr>
              <w:t>2020</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gridSpan w:val="3"/>
          </w:tcPr>
          <w:p>
            <w:pPr>
              <w:jc w:val="right"/>
              <w:ind w:right="64"/>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jc w:val="right"/>
              <w:ind w:right="18"/>
              <w:spacing w:after="0"/>
              <w:rPr>
                <w:sz w:val="20"/>
                <w:szCs w:val="20"/>
                <w:color w:val="auto"/>
              </w:rPr>
            </w:pPr>
            <w:r>
              <w:rPr>
                <w:rFonts w:ascii="Arial" w:cs="Arial" w:eastAsia="Arial" w:hAnsi="Arial"/>
                <w:sz w:val="14"/>
                <w:szCs w:val="14"/>
                <w:b w:val="1"/>
                <w:bCs w:val="1"/>
                <w:color w:val="auto"/>
              </w:rPr>
              <w:t>2020</w:t>
            </w:r>
          </w:p>
        </w:tc>
        <w:tc>
          <w:tcPr>
            <w:tcW w:w="22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700" w:type="dxa"/>
            <w:vAlign w:val="bottom"/>
            <w:tcBorders>
              <w:bottom w:val="single" w:sz="8" w:color="auto"/>
            </w:tcBorders>
            <w:gridSpan w:val="2"/>
          </w:tcPr>
          <w:p>
            <w:pPr>
              <w:jc w:val="right"/>
              <w:ind w:right="44"/>
              <w:spacing w:after="0"/>
              <w:rPr>
                <w:sz w:val="20"/>
                <w:szCs w:val="20"/>
                <w:color w:val="auto"/>
              </w:rPr>
            </w:pPr>
            <w:r>
              <w:rPr>
                <w:rFonts w:ascii="Arial" w:cs="Arial" w:eastAsia="Arial" w:hAnsi="Arial"/>
                <w:sz w:val="14"/>
                <w:szCs w:val="14"/>
                <w:b w:val="1"/>
                <w:bCs w:val="1"/>
                <w:color w:val="auto"/>
              </w:rPr>
              <w:t>2020</w:t>
            </w:r>
          </w:p>
        </w:tc>
        <w:tc>
          <w:tcPr>
            <w:tcW w:w="2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jc w:val="right"/>
              <w:ind w:right="75"/>
              <w:spacing w:after="0"/>
              <w:rPr>
                <w:sz w:val="20"/>
                <w:szCs w:val="20"/>
                <w:color w:val="auto"/>
              </w:rPr>
            </w:pPr>
            <w:r>
              <w:rPr>
                <w:rFonts w:ascii="Arial" w:cs="Arial" w:eastAsia="Arial" w:hAnsi="Arial"/>
                <w:sz w:val="14"/>
                <w:szCs w:val="14"/>
                <w:b w:val="1"/>
                <w:bCs w:val="1"/>
                <w:color w:val="auto"/>
              </w:rPr>
              <w:t>2019</w:t>
            </w:r>
          </w:p>
        </w:tc>
        <w:tc>
          <w:tcPr>
            <w:tcW w:w="2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2019</w:t>
            </w:r>
          </w:p>
        </w:tc>
        <w:tc>
          <w:tcPr>
            <w:tcW w:w="160" w:type="dxa"/>
            <w:vAlign w:val="bottom"/>
            <w:tcBorders>
              <w:bottom w:val="single" w:sz="8" w:color="auto"/>
            </w:tcBorders>
          </w:tcPr>
          <w:p>
            <w:pPr>
              <w:spacing w:after="0"/>
              <w:rPr>
                <w:sz w:val="16"/>
                <w:szCs w:val="16"/>
                <w:color w:val="auto"/>
              </w:rPr>
            </w:pPr>
          </w:p>
        </w:tc>
      </w:tr>
      <w:tr>
        <w:trPr>
          <w:trHeight w:val="217"/>
        </w:trPr>
        <w:tc>
          <w:tcPr>
            <w:tcW w:w="18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Data Center</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4"/>
              </w:rPr>
              <w:t>%</w:t>
            </w:r>
          </w:p>
        </w:tc>
      </w:tr>
      <w:tr>
        <w:trPr>
          <w:trHeight w:val="223"/>
        </w:trPr>
        <w:tc>
          <w:tcPr>
            <w:tcW w:w="1880" w:type="dxa"/>
            <w:vAlign w:val="bottom"/>
            <w:gridSpan w:val="2"/>
          </w:tcPr>
          <w:p>
            <w:pPr>
              <w:ind w:left="20"/>
              <w:spacing w:after="0"/>
              <w:rPr>
                <w:sz w:val="20"/>
                <w:szCs w:val="20"/>
                <w:color w:val="auto"/>
              </w:rPr>
            </w:pPr>
            <w:r>
              <w:rPr>
                <w:rFonts w:ascii="Arial" w:cs="Arial" w:eastAsia="Arial" w:hAnsi="Arial"/>
                <w:sz w:val="18"/>
                <w:szCs w:val="18"/>
                <w:color w:val="auto"/>
              </w:rPr>
              <w:t>Carrier Infrastructure</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18</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21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20</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16</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10</w:t>
            </w:r>
          </w:p>
        </w:tc>
        <w:tc>
          <w:tcPr>
            <w:tcW w:w="160" w:type="dxa"/>
            <w:vAlign w:val="bottom"/>
          </w:tcPr>
          <w:p>
            <w:pPr>
              <w:jc w:val="right"/>
              <w:spacing w:after="0"/>
              <w:rPr>
                <w:sz w:val="20"/>
                <w:szCs w:val="20"/>
                <w:color w:val="auto"/>
              </w:rPr>
            </w:pPr>
            <w:r>
              <w:rPr>
                <w:rFonts w:ascii="Arial" w:cs="Arial" w:eastAsia="Arial" w:hAnsi="Arial"/>
                <w:sz w:val="18"/>
                <w:szCs w:val="18"/>
                <w:color w:val="auto"/>
                <w:w w:val="74"/>
              </w:rPr>
              <w:t>%</w:t>
            </w:r>
          </w:p>
        </w:tc>
      </w:tr>
      <w:tr>
        <w:trPr>
          <w:trHeight w:val="224"/>
        </w:trPr>
        <w:tc>
          <w:tcPr>
            <w:tcW w:w="18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Enterprise Networking</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7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4"/>
              </w:rPr>
              <w:t>%</w:t>
            </w:r>
          </w:p>
        </w:tc>
      </w:tr>
      <w:tr>
        <w:trPr>
          <w:trHeight w:val="223"/>
        </w:trPr>
        <w:tc>
          <w:tcPr>
            <w:tcW w:w="1880" w:type="dxa"/>
            <w:vAlign w:val="bottom"/>
            <w:gridSpan w:val="2"/>
          </w:tcPr>
          <w:p>
            <w:pPr>
              <w:ind w:left="20"/>
              <w:spacing w:after="0"/>
              <w:rPr>
                <w:sz w:val="20"/>
                <w:szCs w:val="20"/>
                <w:color w:val="auto"/>
              </w:rPr>
            </w:pPr>
            <w:r>
              <w:rPr>
                <w:rFonts w:ascii="Arial" w:cs="Arial" w:eastAsia="Arial" w:hAnsi="Arial"/>
                <w:sz w:val="18"/>
                <w:szCs w:val="18"/>
                <w:color w:val="auto"/>
              </w:rPr>
              <w:t>Consumer</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16</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21</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18</w:t>
            </w:r>
          </w:p>
        </w:tc>
        <w:tc>
          <w:tcPr>
            <w:tcW w:w="180" w:type="dxa"/>
            <w:vAlign w:val="bottom"/>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17</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32</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37</w:t>
            </w:r>
          </w:p>
        </w:tc>
        <w:tc>
          <w:tcPr>
            <w:tcW w:w="160" w:type="dxa"/>
            <w:vAlign w:val="bottom"/>
          </w:tcPr>
          <w:p>
            <w:pPr>
              <w:jc w:val="right"/>
              <w:spacing w:after="0"/>
              <w:rPr>
                <w:sz w:val="20"/>
                <w:szCs w:val="20"/>
                <w:color w:val="auto"/>
              </w:rPr>
            </w:pPr>
            <w:r>
              <w:rPr>
                <w:rFonts w:ascii="Arial" w:cs="Arial" w:eastAsia="Arial" w:hAnsi="Arial"/>
                <w:sz w:val="18"/>
                <w:szCs w:val="18"/>
                <w:color w:val="auto"/>
                <w:w w:val="74"/>
              </w:rPr>
              <w:t>%</w:t>
            </w:r>
          </w:p>
        </w:tc>
      </w:tr>
      <w:tr>
        <w:trPr>
          <w:trHeight w:val="223"/>
        </w:trPr>
        <w:tc>
          <w:tcPr>
            <w:tcW w:w="1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Auto/Industrial</w:t>
            </w:r>
          </w:p>
        </w:tc>
        <w:tc>
          <w:tcPr>
            <w:tcW w:w="200" w:type="dxa"/>
            <w:vAlign w:val="bottom"/>
            <w:tcBorders>
              <w:bottom w:val="single" w:sz="8" w:color="auto"/>
            </w:tcBorders>
            <w:shd w:val="clear" w:color="auto" w:fill="CCEEFF"/>
          </w:tcPr>
          <w:p>
            <w:pPr>
              <w:spacing w:after="0"/>
              <w:rPr>
                <w:sz w:val="19"/>
                <w:szCs w:val="19"/>
                <w:color w:val="auto"/>
              </w:rPr>
            </w:pPr>
          </w:p>
        </w:tc>
        <w:tc>
          <w:tcPr>
            <w:tcW w:w="5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5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66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6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74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20" w:type="dxa"/>
            <w:vAlign w:val="bottom"/>
            <w:shd w:val="clear" w:color="auto" w:fill="CCEEFF"/>
          </w:tcPr>
          <w:p>
            <w:pPr>
              <w:spacing w:after="0"/>
              <w:rPr>
                <w:sz w:val="19"/>
                <w:szCs w:val="19"/>
                <w:color w:val="auto"/>
              </w:rPr>
            </w:pPr>
          </w:p>
        </w:tc>
        <w:tc>
          <w:tcPr>
            <w:tcW w:w="60" w:type="dxa"/>
            <w:vAlign w:val="bottom"/>
            <w:tcBorders>
              <w:bottom w:val="single" w:sz="8" w:color="auto"/>
            </w:tcBorders>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60" w:type="dxa"/>
            <w:vAlign w:val="bottom"/>
            <w:tcBorders>
              <w:bottom w:val="single" w:sz="8" w:color="auto"/>
            </w:tcBorders>
            <w:shd w:val="clear" w:color="auto" w:fill="CCEEFF"/>
          </w:tcPr>
          <w:p>
            <w:pPr>
              <w:spacing w:after="0"/>
              <w:rPr>
                <w:sz w:val="19"/>
                <w:szCs w:val="19"/>
                <w:color w:val="auto"/>
              </w:rPr>
            </w:pPr>
          </w:p>
        </w:tc>
        <w:tc>
          <w:tcPr>
            <w:tcW w:w="7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r>
      <w:tr>
        <w:trPr>
          <w:trHeight w:val="217"/>
        </w:trPr>
        <w:tc>
          <w:tcPr>
            <w:tcW w:w="1880" w:type="dxa"/>
            <w:vAlign w:val="bottom"/>
            <w:gridSpan w:val="2"/>
          </w:tcPr>
          <w:p>
            <w:pPr>
              <w:ind w:left="20"/>
              <w:spacing w:after="0"/>
              <w:rPr>
                <w:sz w:val="20"/>
                <w:szCs w:val="20"/>
                <w:color w:val="auto"/>
              </w:rPr>
            </w:pPr>
            <w:r>
              <w:rPr>
                <w:rFonts w:ascii="Arial" w:cs="Arial" w:eastAsia="Arial" w:hAnsi="Arial"/>
                <w:sz w:val="18"/>
                <w:szCs w:val="18"/>
                <w:b w:val="1"/>
                <w:bCs w:val="1"/>
                <w:color w:val="auto"/>
              </w:rPr>
              <w:t>Total Net Revenue</w:t>
            </w:r>
          </w:p>
        </w:tc>
        <w:tc>
          <w:tcPr>
            <w:tcW w:w="680" w:type="dxa"/>
            <w:vAlign w:val="bottom"/>
            <w:gridSpan w:val="3"/>
          </w:tcPr>
          <w:p>
            <w:pPr>
              <w:jc w:val="right"/>
              <w:spacing w:after="0"/>
              <w:rPr>
                <w:sz w:val="20"/>
                <w:szCs w:val="20"/>
                <w:color w:val="auto"/>
              </w:rPr>
            </w:pPr>
            <w:r>
              <w:rPr>
                <w:rFonts w:ascii="Arial" w:cs="Arial" w:eastAsia="Arial" w:hAnsi="Arial"/>
                <w:sz w:val="18"/>
                <w:szCs w:val="18"/>
                <w:b w:val="1"/>
                <w:bCs w:val="1"/>
                <w:color w:val="auto"/>
              </w:rPr>
              <w:t>100 %</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b w:val="1"/>
                <w:bCs w:val="1"/>
                <w:color w:val="auto"/>
              </w:rPr>
              <w:t>100 %</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4"/>
          </w:tcPr>
          <w:p>
            <w:pPr>
              <w:jc w:val="right"/>
              <w:spacing w:after="0"/>
              <w:rPr>
                <w:sz w:val="20"/>
                <w:szCs w:val="20"/>
                <w:color w:val="auto"/>
              </w:rPr>
            </w:pPr>
            <w:r>
              <w:rPr>
                <w:rFonts w:ascii="Arial" w:cs="Arial" w:eastAsia="Arial" w:hAnsi="Arial"/>
                <w:sz w:val="18"/>
                <w:szCs w:val="18"/>
                <w:b w:val="1"/>
                <w:bCs w:val="1"/>
                <w:color w:val="auto"/>
              </w:rPr>
              <w:t>100 %</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b w:val="1"/>
                <w:bCs w:val="1"/>
                <w:color w:val="auto"/>
              </w:rPr>
              <w:t>100 %</w:t>
            </w:r>
          </w:p>
        </w:tc>
        <w:tc>
          <w:tcPr>
            <w:tcW w:w="120" w:type="dxa"/>
            <w:vAlign w:val="bottom"/>
          </w:tcPr>
          <w:p>
            <w:pPr>
              <w:spacing w:after="0"/>
              <w:rPr>
                <w:sz w:val="18"/>
                <w:szCs w:val="18"/>
                <w:color w:val="auto"/>
              </w:rPr>
            </w:pPr>
          </w:p>
        </w:tc>
        <w:tc>
          <w:tcPr>
            <w:tcW w:w="920" w:type="dxa"/>
            <w:vAlign w:val="bottom"/>
            <w:gridSpan w:val="4"/>
          </w:tcPr>
          <w:p>
            <w:pPr>
              <w:jc w:val="right"/>
              <w:spacing w:after="0"/>
              <w:rPr>
                <w:sz w:val="20"/>
                <w:szCs w:val="20"/>
                <w:color w:val="auto"/>
              </w:rPr>
            </w:pPr>
            <w:r>
              <w:rPr>
                <w:rFonts w:ascii="Arial" w:cs="Arial" w:eastAsia="Arial" w:hAnsi="Arial"/>
                <w:sz w:val="18"/>
                <w:szCs w:val="18"/>
                <w:b w:val="1"/>
                <w:bCs w:val="1"/>
                <w:color w:val="auto"/>
              </w:rPr>
              <w:t>100 %</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b w:val="1"/>
                <w:bCs w:val="1"/>
                <w:color w:val="auto"/>
              </w:rPr>
              <w:t>100 %</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b w:val="1"/>
                <w:bCs w:val="1"/>
                <w:color w:val="auto"/>
              </w:rPr>
              <w:t>100 %</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b w:val="1"/>
                <w:bCs w:val="1"/>
                <w:color w:val="auto"/>
              </w:rPr>
              <w:t>100 %</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b w:val="1"/>
                <w:bCs w:val="1"/>
                <w:color w:val="auto"/>
              </w:rPr>
              <w:t>100 %</w:t>
            </w:r>
          </w:p>
        </w:tc>
      </w:tr>
      <w:tr>
        <w:trPr>
          <w:trHeight w:val="20"/>
        </w:trPr>
        <w:tc>
          <w:tcPr>
            <w:tcW w:w="16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160"/>
          </w:cols>
          <w:pgMar w:left="320" w:top="752" w:right="41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t>Quarterly Revenue Trend (Unaudited) (Continued)</w:t>
      </w: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8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gridSpan w:val="4"/>
          </w:tcPr>
          <w:p>
            <w:pPr>
              <w:jc w:val="center"/>
              <w:ind w:right="20"/>
              <w:spacing w:after="0"/>
              <w:rPr>
                <w:sz w:val="20"/>
                <w:szCs w:val="20"/>
                <w:color w:val="auto"/>
              </w:rPr>
            </w:pPr>
            <w:r>
              <w:rPr>
                <w:rFonts w:ascii="Arial" w:cs="Arial" w:eastAsia="Arial" w:hAnsi="Arial"/>
                <w:sz w:val="14"/>
                <w:szCs w:val="14"/>
                <w:b w:val="1"/>
                <w:bCs w:val="1"/>
                <w:color w:val="auto"/>
                <w:w w:val="90"/>
              </w:rPr>
              <w:t>Three Months Ended</w:t>
            </w: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480" w:type="dxa"/>
            <w:vAlign w:val="bottom"/>
            <w:tcBorders>
              <w:bottom w:val="single" w:sz="8" w:color="auto"/>
            </w:tcBorders>
            <w:gridSpan w:val="3"/>
          </w:tcPr>
          <w:p>
            <w:pPr>
              <w:ind w:left="780"/>
              <w:spacing w:after="0"/>
              <w:rPr>
                <w:sz w:val="20"/>
                <w:szCs w:val="20"/>
                <w:color w:val="auto"/>
              </w:rPr>
            </w:pPr>
            <w:r>
              <w:rPr>
                <w:rFonts w:ascii="Arial" w:cs="Arial" w:eastAsia="Arial" w:hAnsi="Arial"/>
                <w:sz w:val="14"/>
                <w:szCs w:val="14"/>
                <w:b w:val="1"/>
                <w:bCs w:val="1"/>
                <w:color w:val="auto"/>
              </w:rPr>
              <w:t>% Change</w:t>
            </w:r>
          </w:p>
        </w:tc>
        <w:tc>
          <w:tcPr>
            <w:tcW w:w="7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4880" w:type="dxa"/>
            <w:vAlign w:val="bottom"/>
            <w:vMerge w:val="restart"/>
          </w:tcPr>
          <w:p>
            <w:pPr>
              <w:ind w:left="20"/>
              <w:spacing w:after="0"/>
              <w:rPr>
                <w:sz w:val="20"/>
                <w:szCs w:val="20"/>
                <w:color w:val="auto"/>
              </w:rPr>
            </w:pPr>
            <w:r>
              <w:rPr>
                <w:rFonts w:ascii="Arial" w:cs="Arial" w:eastAsia="Arial" w:hAnsi="Arial"/>
                <w:sz w:val="18"/>
                <w:szCs w:val="18"/>
                <w:b w:val="1"/>
                <w:bCs w:val="1"/>
                <w:color w:val="auto"/>
              </w:rPr>
              <w:t>Revenue by Product Group (In thousands)</w:t>
            </w:r>
          </w:p>
        </w:tc>
        <w:tc>
          <w:tcPr>
            <w:tcW w:w="260" w:type="dxa"/>
            <w:vAlign w:val="bottom"/>
          </w:tcPr>
          <w:p>
            <w:pPr>
              <w:spacing w:after="0"/>
              <w:rPr>
                <w:sz w:val="11"/>
                <w:szCs w:val="11"/>
                <w:color w:val="auto"/>
              </w:rPr>
            </w:pPr>
          </w:p>
        </w:tc>
        <w:tc>
          <w:tcPr>
            <w:tcW w:w="1020" w:type="dxa"/>
            <w:vAlign w:val="bottom"/>
          </w:tcPr>
          <w:p>
            <w:pPr>
              <w:jc w:val="right"/>
              <w:ind w:right="317"/>
              <w:spacing w:after="0" w:line="130" w:lineRule="exact"/>
              <w:rPr>
                <w:sz w:val="20"/>
                <w:szCs w:val="20"/>
                <w:color w:val="auto"/>
              </w:rPr>
            </w:pPr>
            <w:r>
              <w:rPr>
                <w:rFonts w:ascii="Arial" w:cs="Arial" w:eastAsia="Arial" w:hAnsi="Arial"/>
                <w:sz w:val="14"/>
                <w:szCs w:val="14"/>
                <w:b w:val="1"/>
                <w:bCs w:val="1"/>
                <w:color w:val="auto"/>
              </w:rPr>
              <w:t>July 31,</w:t>
            </w:r>
          </w:p>
        </w:tc>
        <w:tc>
          <w:tcPr>
            <w:tcW w:w="1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20" w:type="dxa"/>
            <w:vAlign w:val="bottom"/>
            <w:gridSpan w:val="2"/>
          </w:tcPr>
          <w:p>
            <w:pPr>
              <w:jc w:val="center"/>
              <w:ind w:right="400"/>
              <w:spacing w:after="0" w:line="130" w:lineRule="exact"/>
              <w:rPr>
                <w:sz w:val="20"/>
                <w:szCs w:val="20"/>
                <w:color w:val="auto"/>
              </w:rPr>
            </w:pPr>
            <w:r>
              <w:rPr>
                <w:rFonts w:ascii="Arial" w:cs="Arial" w:eastAsia="Arial" w:hAnsi="Arial"/>
                <w:sz w:val="14"/>
                <w:szCs w:val="14"/>
                <w:b w:val="1"/>
                <w:bCs w:val="1"/>
                <w:color w:val="auto"/>
                <w:w w:val="93"/>
              </w:rPr>
              <w:t>May 1,</w:t>
            </w:r>
          </w:p>
        </w:tc>
        <w:tc>
          <w:tcPr>
            <w:tcW w:w="220" w:type="dxa"/>
            <w:vAlign w:val="bottom"/>
          </w:tcPr>
          <w:p>
            <w:pPr>
              <w:spacing w:after="0"/>
              <w:rPr>
                <w:sz w:val="11"/>
                <w:szCs w:val="11"/>
                <w:color w:val="auto"/>
              </w:rPr>
            </w:pPr>
          </w:p>
        </w:tc>
        <w:tc>
          <w:tcPr>
            <w:tcW w:w="1040" w:type="dxa"/>
            <w:vAlign w:val="bottom"/>
          </w:tcPr>
          <w:p>
            <w:pPr>
              <w:jc w:val="right"/>
              <w:ind w:right="257"/>
              <w:spacing w:after="0" w:line="130"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1040" w:type="dxa"/>
            <w:vAlign w:val="bottom"/>
            <w:vMerge w:val="restart"/>
          </w:tcPr>
          <w:p>
            <w:pPr>
              <w:jc w:val="right"/>
              <w:ind w:right="317"/>
              <w:spacing w:after="0"/>
              <w:rPr>
                <w:sz w:val="20"/>
                <w:szCs w:val="20"/>
                <w:color w:val="auto"/>
              </w:rPr>
            </w:pPr>
            <w:r>
              <w:rPr>
                <w:rFonts w:ascii="Arial" w:cs="Arial" w:eastAsia="Arial" w:hAnsi="Arial"/>
                <w:sz w:val="14"/>
                <w:szCs w:val="14"/>
                <w:b w:val="1"/>
                <w:bCs w:val="1"/>
                <w:color w:val="auto"/>
              </w:rPr>
              <w:t>YoY</w:t>
            </w:r>
          </w:p>
        </w:tc>
        <w:tc>
          <w:tcPr>
            <w:tcW w:w="120" w:type="dxa"/>
            <w:vAlign w:val="bottom"/>
            <w:vMerge w:val="restart"/>
          </w:tcPr>
          <w:p>
            <w:pPr>
              <w:spacing w:after="0"/>
              <w:rPr>
                <w:sz w:val="11"/>
                <w:szCs w:val="11"/>
                <w:color w:val="auto"/>
              </w:rPr>
            </w:pPr>
          </w:p>
        </w:tc>
        <w:tc>
          <w:tcPr>
            <w:tcW w:w="320" w:type="dxa"/>
            <w:vAlign w:val="bottom"/>
            <w:vMerge w:val="restart"/>
          </w:tcPr>
          <w:p>
            <w:pPr>
              <w:spacing w:after="0"/>
              <w:rPr>
                <w:sz w:val="11"/>
                <w:szCs w:val="11"/>
                <w:color w:val="auto"/>
              </w:rPr>
            </w:pPr>
          </w:p>
        </w:tc>
        <w:tc>
          <w:tcPr>
            <w:tcW w:w="720" w:type="dxa"/>
            <w:vAlign w:val="bottom"/>
            <w:vMerge w:val="restart"/>
          </w:tcPr>
          <w:p>
            <w:pPr>
              <w:jc w:val="right"/>
              <w:ind w:right="295"/>
              <w:spacing w:after="0"/>
              <w:rPr>
                <w:sz w:val="20"/>
                <w:szCs w:val="20"/>
                <w:color w:val="auto"/>
              </w:rPr>
            </w:pPr>
            <w:r>
              <w:rPr>
                <w:rFonts w:ascii="Arial" w:cs="Arial" w:eastAsia="Arial" w:hAnsi="Arial"/>
                <w:sz w:val="14"/>
                <w:szCs w:val="14"/>
                <w:b w:val="1"/>
                <w:bCs w:val="1"/>
                <w:color w:val="auto"/>
              </w:rPr>
              <w:t>QoQ</w:t>
            </w:r>
          </w:p>
        </w:tc>
        <w:tc>
          <w:tcPr>
            <w:tcW w:w="0" w:type="dxa"/>
            <w:vAlign w:val="bottom"/>
          </w:tcPr>
          <w:p>
            <w:pPr>
              <w:spacing w:after="0"/>
              <w:rPr>
                <w:sz w:val="1"/>
                <w:szCs w:val="1"/>
                <w:color w:val="auto"/>
              </w:rPr>
            </w:pPr>
          </w:p>
        </w:tc>
      </w:tr>
      <w:tr>
        <w:trPr>
          <w:trHeight w:val="184"/>
        </w:trPr>
        <w:tc>
          <w:tcPr>
            <w:tcW w:w="4880" w:type="dxa"/>
            <w:vAlign w:val="bottom"/>
            <w:tcBorders>
              <w:bottom w:val="single" w:sz="8" w:color="CCEEFF"/>
            </w:tcBorders>
            <w:vMerge w:val="continue"/>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417"/>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center"/>
              <w:ind w:right="177"/>
              <w:spacing w:after="0"/>
              <w:rPr>
                <w:sz w:val="20"/>
                <w:szCs w:val="20"/>
                <w:color w:val="auto"/>
              </w:rPr>
            </w:pPr>
            <w:r>
              <w:rPr>
                <w:rFonts w:ascii="Arial" w:cs="Arial" w:eastAsia="Arial" w:hAnsi="Arial"/>
                <w:sz w:val="14"/>
                <w:szCs w:val="14"/>
                <w:b w:val="1"/>
                <w:bCs w:val="1"/>
                <w:color w:val="auto"/>
                <w:w w:val="89"/>
              </w:rPr>
              <w:t>2021</w:t>
            </w:r>
          </w:p>
        </w:tc>
        <w:tc>
          <w:tcPr>
            <w:tcW w:w="14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397"/>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5"/>
                <w:szCs w:val="15"/>
                <w:color w:val="auto"/>
              </w:rPr>
            </w:pPr>
          </w:p>
        </w:tc>
        <w:tc>
          <w:tcPr>
            <w:tcW w:w="1040" w:type="dxa"/>
            <w:vAlign w:val="bottom"/>
            <w:tcBorders>
              <w:bottom w:val="single" w:sz="8" w:color="auto"/>
            </w:tcBorders>
            <w:vMerge w:val="continue"/>
          </w:tcPr>
          <w:p>
            <w:pPr>
              <w:spacing w:after="0"/>
              <w:rPr>
                <w:sz w:val="15"/>
                <w:szCs w:val="15"/>
                <w:color w:val="auto"/>
              </w:rPr>
            </w:pPr>
          </w:p>
        </w:tc>
        <w:tc>
          <w:tcPr>
            <w:tcW w:w="120" w:type="dxa"/>
            <w:vAlign w:val="bottom"/>
            <w:tcBorders>
              <w:bottom w:val="single" w:sz="8" w:color="CCEEFF"/>
            </w:tcBorders>
            <w:vMerge w:val="continue"/>
          </w:tcPr>
          <w:p>
            <w:pPr>
              <w:spacing w:after="0"/>
              <w:rPr>
                <w:sz w:val="15"/>
                <w:szCs w:val="15"/>
                <w:color w:val="auto"/>
              </w:rPr>
            </w:pPr>
          </w:p>
        </w:tc>
        <w:tc>
          <w:tcPr>
            <w:tcW w:w="320" w:type="dxa"/>
            <w:vAlign w:val="bottom"/>
            <w:tcBorders>
              <w:bottom w:val="single" w:sz="8" w:color="auto"/>
            </w:tcBorders>
            <w:vMerge w:val="continue"/>
          </w:tcPr>
          <w:p>
            <w:pPr>
              <w:spacing w:after="0"/>
              <w:rPr>
                <w:sz w:val="15"/>
                <w:szCs w:val="15"/>
                <w:color w:val="auto"/>
              </w:rPr>
            </w:pPr>
          </w:p>
        </w:tc>
        <w:tc>
          <w:tcPr>
            <w:tcW w:w="720" w:type="dxa"/>
            <w:vAlign w:val="bottom"/>
            <w:tcBorders>
              <w:bottom w:val="single" w:sz="8" w:color="auto"/>
            </w:tcBorders>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17"/>
        </w:trPr>
        <w:tc>
          <w:tcPr>
            <w:tcW w:w="4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 xml:space="preserve">Networking </w:t>
            </w:r>
            <w:r>
              <w:rPr>
                <w:rFonts w:ascii="Arial" w:cs="Arial" w:eastAsia="Arial" w:hAnsi="Arial"/>
                <w:sz w:val="18"/>
                <w:szCs w:val="18"/>
                <w:i w:val="1"/>
                <w:iCs w:val="1"/>
                <w:color w:val="auto"/>
              </w:rPr>
              <w:t>(1)</w:t>
            </w: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701,712</w:t>
            </w:r>
          </w:p>
        </w:tc>
        <w:tc>
          <w:tcPr>
            <w:tcW w:w="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498,250</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406,008</w:t>
            </w: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73 %</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41 %</w:t>
            </w:r>
          </w:p>
        </w:tc>
        <w:tc>
          <w:tcPr>
            <w:tcW w:w="0" w:type="dxa"/>
            <w:vAlign w:val="bottom"/>
          </w:tcPr>
          <w:p>
            <w:pPr>
              <w:spacing w:after="0"/>
              <w:rPr>
                <w:sz w:val="1"/>
                <w:szCs w:val="1"/>
                <w:color w:val="auto"/>
              </w:rPr>
            </w:pPr>
          </w:p>
        </w:tc>
      </w:tr>
      <w:tr>
        <w:trPr>
          <w:trHeight w:val="223"/>
        </w:trPr>
        <w:tc>
          <w:tcPr>
            <w:tcW w:w="48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xml:space="preserve">Storage </w:t>
            </w:r>
            <w:r>
              <w:rPr>
                <w:rFonts w:ascii="Arial" w:cs="Arial" w:eastAsia="Arial" w:hAnsi="Arial"/>
                <w:sz w:val="18"/>
                <w:szCs w:val="18"/>
                <w:i w:val="1"/>
                <w:iCs w:val="1"/>
                <w:color w:val="auto"/>
              </w:rPr>
              <w:t>(2)</w:t>
            </w: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341,713</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302,918</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290,495</w:t>
            </w:r>
          </w:p>
        </w:tc>
        <w:tc>
          <w:tcPr>
            <w:tcW w:w="100" w:type="dxa"/>
            <w:vAlign w:val="bottom"/>
            <w:tcBorders>
              <w:bottom w:val="single" w:sz="8" w:color="CCEEFF"/>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18 %</w:t>
            </w:r>
          </w:p>
        </w:tc>
        <w:tc>
          <w:tcPr>
            <w:tcW w:w="12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13 %</w:t>
            </w:r>
          </w:p>
        </w:tc>
        <w:tc>
          <w:tcPr>
            <w:tcW w:w="0" w:type="dxa"/>
            <w:vAlign w:val="bottom"/>
          </w:tcPr>
          <w:p>
            <w:pPr>
              <w:spacing w:after="0"/>
              <w:rPr>
                <w:sz w:val="1"/>
                <w:szCs w:val="1"/>
                <w:color w:val="auto"/>
              </w:rPr>
            </w:pPr>
          </w:p>
        </w:tc>
      </w:tr>
      <w:tr>
        <w:trPr>
          <w:trHeight w:val="217"/>
        </w:trPr>
        <w:tc>
          <w:tcPr>
            <w:tcW w:w="4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Total Core</w:t>
            </w: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1,043,425</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801,168</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696,503</w:t>
            </w: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50 %</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30 %</w:t>
            </w:r>
          </w:p>
        </w:tc>
        <w:tc>
          <w:tcPr>
            <w:tcW w:w="0" w:type="dxa"/>
            <w:vAlign w:val="bottom"/>
          </w:tcPr>
          <w:p>
            <w:pPr>
              <w:spacing w:after="0"/>
              <w:rPr>
                <w:sz w:val="1"/>
                <w:szCs w:val="1"/>
                <w:color w:val="auto"/>
              </w:rPr>
            </w:pPr>
          </w:p>
        </w:tc>
      </w:tr>
      <w:tr>
        <w:trPr>
          <w:trHeight w:val="223"/>
        </w:trPr>
        <w:tc>
          <w:tcPr>
            <w:tcW w:w="48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(3)</w:t>
            </w: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32,456</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31,111</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30,794</w:t>
            </w:r>
          </w:p>
        </w:tc>
        <w:tc>
          <w:tcPr>
            <w:tcW w:w="100" w:type="dxa"/>
            <w:vAlign w:val="bottom"/>
            <w:tcBorders>
              <w:bottom w:val="single" w:sz="8" w:color="CCEEFF"/>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5 %</w:t>
            </w:r>
          </w:p>
        </w:tc>
        <w:tc>
          <w:tcPr>
            <w:tcW w:w="12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37"/>
        </w:trPr>
        <w:tc>
          <w:tcPr>
            <w:tcW w:w="4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Net Revenue</w:t>
            </w: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1,075,881</w:t>
            </w:r>
          </w:p>
        </w:tc>
        <w:tc>
          <w:tcPr>
            <w:tcW w:w="4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832,279</w:t>
            </w:r>
          </w:p>
        </w:tc>
        <w:tc>
          <w:tcPr>
            <w:tcW w:w="14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00" w:type="dxa"/>
            <w:vAlign w:val="bottom"/>
            <w:shd w:val="clear" w:color="auto" w:fill="CCEEFF"/>
          </w:tcPr>
          <w:p>
            <w:pPr>
              <w:spacing w:after="0"/>
              <w:rPr>
                <w:sz w:val="20"/>
                <w:szCs w:val="20"/>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48 %</w:t>
            </w:r>
          </w:p>
        </w:tc>
        <w:tc>
          <w:tcPr>
            <w:tcW w:w="12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29 %</w:t>
            </w:r>
          </w:p>
        </w:tc>
        <w:tc>
          <w:tcPr>
            <w:tcW w:w="0" w:type="dxa"/>
            <w:vAlign w:val="bottom"/>
          </w:tcPr>
          <w:p>
            <w:pPr>
              <w:spacing w:after="0"/>
              <w:rPr>
                <w:sz w:val="1"/>
                <w:szCs w:val="1"/>
                <w:color w:val="auto"/>
              </w:rPr>
            </w:pPr>
          </w:p>
        </w:tc>
      </w:tr>
      <w:tr>
        <w:trPr>
          <w:trHeight w:val="20"/>
        </w:trPr>
        <w:tc>
          <w:tcPr>
            <w:tcW w:w="48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6580" w:type="dxa"/>
            <w:vAlign w:val="bottom"/>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5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90"/>
              </w:rPr>
              <w:t>Three Months Ended</w:t>
            </w:r>
          </w:p>
        </w:tc>
        <w:tc>
          <w:tcPr>
            <w:tcW w:w="14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6580" w:type="dxa"/>
            <w:vAlign w:val="bottom"/>
            <w:vMerge w:val="restart"/>
          </w:tcPr>
          <w:p>
            <w:pPr>
              <w:ind w:left="20"/>
              <w:spacing w:after="0"/>
              <w:rPr>
                <w:sz w:val="20"/>
                <w:szCs w:val="20"/>
                <w:color w:val="auto"/>
              </w:rPr>
            </w:pPr>
            <w:r>
              <w:rPr>
                <w:rFonts w:ascii="Arial" w:cs="Arial" w:eastAsia="Arial" w:hAnsi="Arial"/>
                <w:sz w:val="18"/>
                <w:szCs w:val="18"/>
                <w:b w:val="1"/>
                <w:bCs w:val="1"/>
                <w:color w:val="auto"/>
              </w:rPr>
              <w:t>Revenue by Product Group % of Total</w:t>
            </w:r>
          </w:p>
        </w:tc>
        <w:tc>
          <w:tcPr>
            <w:tcW w:w="960" w:type="dxa"/>
            <w:vAlign w:val="bottom"/>
          </w:tcPr>
          <w:p>
            <w:pPr>
              <w:jc w:val="center"/>
              <w:ind w:left="430"/>
              <w:spacing w:after="0" w:line="130" w:lineRule="exact"/>
              <w:rPr>
                <w:sz w:val="20"/>
                <w:szCs w:val="20"/>
                <w:color w:val="auto"/>
              </w:rPr>
            </w:pPr>
            <w:r>
              <w:rPr>
                <w:rFonts w:ascii="Arial" w:cs="Arial" w:eastAsia="Arial" w:hAnsi="Arial"/>
                <w:sz w:val="14"/>
                <w:szCs w:val="14"/>
                <w:b w:val="1"/>
                <w:bCs w:val="1"/>
                <w:color w:val="auto"/>
                <w:w w:val="89"/>
              </w:rPr>
              <w:t>July 31,</w:t>
            </w: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20" w:type="dxa"/>
            <w:vAlign w:val="bottom"/>
            <w:gridSpan w:val="2"/>
          </w:tcPr>
          <w:p>
            <w:pPr>
              <w:jc w:val="center"/>
              <w:ind w:right="140"/>
              <w:spacing w:after="0" w:line="130" w:lineRule="exact"/>
              <w:rPr>
                <w:sz w:val="20"/>
                <w:szCs w:val="20"/>
                <w:color w:val="auto"/>
              </w:rPr>
            </w:pPr>
            <w:r>
              <w:rPr>
                <w:rFonts w:ascii="Arial" w:cs="Arial" w:eastAsia="Arial" w:hAnsi="Arial"/>
                <w:sz w:val="14"/>
                <w:szCs w:val="14"/>
                <w:b w:val="1"/>
                <w:bCs w:val="1"/>
                <w:color w:val="auto"/>
                <w:w w:val="93"/>
              </w:rPr>
              <w:t>May 1,</w:t>
            </w:r>
          </w:p>
        </w:tc>
        <w:tc>
          <w:tcPr>
            <w:tcW w:w="1460" w:type="dxa"/>
            <w:vAlign w:val="bottom"/>
          </w:tcPr>
          <w:p>
            <w:pPr>
              <w:jc w:val="right"/>
              <w:ind w:right="357"/>
              <w:spacing w:after="0" w:line="130" w:lineRule="exact"/>
              <w:rPr>
                <w:sz w:val="20"/>
                <w:szCs w:val="20"/>
                <w:color w:val="auto"/>
              </w:rPr>
            </w:pPr>
            <w:r>
              <w:rPr>
                <w:rFonts w:ascii="Arial" w:cs="Arial" w:eastAsia="Arial" w:hAnsi="Arial"/>
                <w:sz w:val="14"/>
                <w:szCs w:val="14"/>
                <w:b w:val="1"/>
                <w:bCs w:val="1"/>
                <w:color w:val="auto"/>
              </w:rPr>
              <w:t>August 1,</w:t>
            </w:r>
          </w:p>
        </w:tc>
        <w:tc>
          <w:tcPr>
            <w:tcW w:w="0" w:type="dxa"/>
            <w:vAlign w:val="bottom"/>
          </w:tcPr>
          <w:p>
            <w:pPr>
              <w:spacing w:after="0"/>
              <w:rPr>
                <w:sz w:val="1"/>
                <w:szCs w:val="1"/>
                <w:color w:val="auto"/>
              </w:rPr>
            </w:pPr>
          </w:p>
        </w:tc>
      </w:tr>
      <w:tr>
        <w:trPr>
          <w:trHeight w:val="184"/>
        </w:trPr>
        <w:tc>
          <w:tcPr>
            <w:tcW w:w="6580" w:type="dxa"/>
            <w:vAlign w:val="bottom"/>
            <w:tcBorders>
              <w:bottom w:val="single" w:sz="8" w:color="CCEEFF"/>
            </w:tcBorders>
            <w:vMerge w:val="continue"/>
          </w:tcPr>
          <w:p>
            <w:pPr>
              <w:spacing w:after="0"/>
              <w:rPr>
                <w:sz w:val="15"/>
                <w:szCs w:val="15"/>
                <w:color w:val="auto"/>
              </w:rPr>
            </w:pPr>
          </w:p>
        </w:tc>
        <w:tc>
          <w:tcPr>
            <w:tcW w:w="960" w:type="dxa"/>
            <w:vAlign w:val="bottom"/>
            <w:tcBorders>
              <w:bottom w:val="single" w:sz="8" w:color="auto"/>
            </w:tcBorders>
          </w:tcPr>
          <w:p>
            <w:pPr>
              <w:jc w:val="right"/>
              <w:ind w:right="30"/>
              <w:spacing w:after="0"/>
              <w:rPr>
                <w:sz w:val="20"/>
                <w:szCs w:val="20"/>
                <w:color w:val="auto"/>
              </w:rPr>
            </w:pPr>
            <w:r>
              <w:rPr>
                <w:rFonts w:ascii="Arial" w:cs="Arial" w:eastAsia="Arial" w:hAnsi="Arial"/>
                <w:sz w:val="14"/>
                <w:szCs w:val="14"/>
                <w:b w:val="1"/>
                <w:bCs w:val="1"/>
                <w:color w:val="auto"/>
              </w:rPr>
              <w:t>2021</w:t>
            </w:r>
          </w:p>
        </w:tc>
        <w:tc>
          <w:tcPr>
            <w:tcW w:w="500" w:type="dxa"/>
            <w:vAlign w:val="bottom"/>
            <w:tcBorders>
              <w:bottom w:val="single" w:sz="8" w:color="auto"/>
            </w:tcBorders>
          </w:tcPr>
          <w:p>
            <w:pPr>
              <w:spacing w:after="0"/>
              <w:rPr>
                <w:sz w:val="15"/>
                <w:szCs w:val="15"/>
                <w:color w:val="auto"/>
              </w:rPr>
            </w:pPr>
          </w:p>
        </w:tc>
        <w:tc>
          <w:tcPr>
            <w:tcW w:w="120" w:type="dxa"/>
            <w:vAlign w:val="bottom"/>
            <w:tcBorders>
              <w:bottom w:val="single" w:sz="8" w:color="CCEEFF"/>
            </w:tcBorders>
          </w:tcPr>
          <w:p>
            <w:pPr>
              <w:spacing w:after="0"/>
              <w:rPr>
                <w:sz w:val="15"/>
                <w:szCs w:val="15"/>
                <w:color w:val="auto"/>
              </w:rPr>
            </w:pPr>
          </w:p>
        </w:tc>
        <w:tc>
          <w:tcPr>
            <w:tcW w:w="1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2021</w:t>
            </w:r>
          </w:p>
        </w:tc>
        <w:tc>
          <w:tcPr>
            <w:tcW w:w="160" w:type="dxa"/>
            <w:vAlign w:val="bottom"/>
            <w:tcBorders>
              <w:bottom w:val="single" w:sz="8" w:color="CCEEFF"/>
            </w:tcBorders>
          </w:tcPr>
          <w:p>
            <w:pPr>
              <w:spacing w:after="0"/>
              <w:rPr>
                <w:sz w:val="15"/>
                <w:szCs w:val="15"/>
                <w:color w:val="auto"/>
              </w:rPr>
            </w:pPr>
          </w:p>
        </w:tc>
        <w:tc>
          <w:tcPr>
            <w:tcW w:w="14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17"/>
        </w:trPr>
        <w:tc>
          <w:tcPr>
            <w:tcW w:w="658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 xml:space="preserve">Networking </w:t>
            </w:r>
            <w:r>
              <w:rPr>
                <w:rFonts w:ascii="Arial" w:cs="Arial" w:eastAsia="Arial" w:hAnsi="Arial"/>
                <w:sz w:val="18"/>
                <w:szCs w:val="18"/>
                <w:i w:val="1"/>
                <w:iCs w:val="1"/>
                <w:color w:val="auto"/>
              </w:rPr>
              <w:t>(1)</w:t>
            </w:r>
          </w:p>
        </w:tc>
        <w:tc>
          <w:tcPr>
            <w:tcW w:w="9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65 %</w:t>
            </w:r>
          </w:p>
        </w:tc>
        <w:tc>
          <w:tcPr>
            <w:tcW w:w="12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60 %</w:t>
            </w:r>
          </w:p>
        </w:tc>
        <w:tc>
          <w:tcPr>
            <w:tcW w:w="1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56 %</w:t>
            </w:r>
          </w:p>
        </w:tc>
        <w:tc>
          <w:tcPr>
            <w:tcW w:w="0" w:type="dxa"/>
            <w:vAlign w:val="bottom"/>
          </w:tcPr>
          <w:p>
            <w:pPr>
              <w:spacing w:after="0"/>
              <w:rPr>
                <w:sz w:val="1"/>
                <w:szCs w:val="1"/>
                <w:color w:val="auto"/>
              </w:rPr>
            </w:pPr>
          </w:p>
        </w:tc>
      </w:tr>
      <w:tr>
        <w:trPr>
          <w:trHeight w:val="223"/>
        </w:trPr>
        <w:tc>
          <w:tcPr>
            <w:tcW w:w="658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 xml:space="preserve">Storage </w:t>
            </w:r>
            <w:r>
              <w:rPr>
                <w:rFonts w:ascii="Arial" w:cs="Arial" w:eastAsia="Arial" w:hAnsi="Arial"/>
                <w:sz w:val="18"/>
                <w:szCs w:val="18"/>
                <w:i w:val="1"/>
                <w:iCs w:val="1"/>
                <w:color w:val="auto"/>
              </w:rPr>
              <w:t>(2)</w:t>
            </w:r>
          </w:p>
        </w:tc>
        <w:tc>
          <w:tcPr>
            <w:tcW w:w="96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32 %</w:t>
            </w:r>
          </w:p>
        </w:tc>
        <w:tc>
          <w:tcPr>
            <w:tcW w:w="120" w:type="dxa"/>
            <w:vAlign w:val="bottom"/>
            <w:tcBorders>
              <w:bottom w:val="single" w:sz="8" w:color="CCEEFF"/>
            </w:tcBorders>
          </w:tcPr>
          <w:p>
            <w:pPr>
              <w:spacing w:after="0"/>
              <w:rPr>
                <w:sz w:val="19"/>
                <w:szCs w:val="19"/>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36 %</w:t>
            </w:r>
          </w:p>
        </w:tc>
        <w:tc>
          <w:tcPr>
            <w:tcW w:w="160" w:type="dxa"/>
            <w:vAlign w:val="bottom"/>
            <w:tcBorders>
              <w:bottom w:val="single" w:sz="8" w:color="CCEEFF"/>
            </w:tcBorders>
          </w:tcPr>
          <w:p>
            <w:pPr>
              <w:spacing w:after="0"/>
              <w:rPr>
                <w:sz w:val="19"/>
                <w:szCs w:val="19"/>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40 %</w:t>
            </w:r>
          </w:p>
        </w:tc>
        <w:tc>
          <w:tcPr>
            <w:tcW w:w="0" w:type="dxa"/>
            <w:vAlign w:val="bottom"/>
          </w:tcPr>
          <w:p>
            <w:pPr>
              <w:spacing w:after="0"/>
              <w:rPr>
                <w:sz w:val="1"/>
                <w:szCs w:val="1"/>
                <w:color w:val="auto"/>
              </w:rPr>
            </w:pPr>
          </w:p>
        </w:tc>
      </w:tr>
      <w:tr>
        <w:trPr>
          <w:trHeight w:val="217"/>
        </w:trPr>
        <w:tc>
          <w:tcPr>
            <w:tcW w:w="6580" w:type="dxa"/>
            <w:vAlign w:val="bottom"/>
            <w:shd w:val="clear" w:color="auto" w:fill="CCEEFF"/>
          </w:tcPr>
          <w:p>
            <w:pPr>
              <w:ind w:left="160"/>
              <w:spacing w:after="0" w:line="203" w:lineRule="exact"/>
              <w:rPr>
                <w:sz w:val="20"/>
                <w:szCs w:val="20"/>
                <w:color w:val="auto"/>
              </w:rPr>
            </w:pPr>
            <w:r>
              <w:rPr>
                <w:rFonts w:ascii="Arial" w:cs="Arial" w:eastAsia="Arial" w:hAnsi="Arial"/>
                <w:sz w:val="18"/>
                <w:szCs w:val="18"/>
                <w:color w:val="auto"/>
              </w:rPr>
              <w:t>Total Core</w:t>
            </w:r>
          </w:p>
        </w:tc>
        <w:tc>
          <w:tcPr>
            <w:tcW w:w="9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97 %</w:t>
            </w:r>
          </w:p>
        </w:tc>
        <w:tc>
          <w:tcPr>
            <w:tcW w:w="12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96 %</w:t>
            </w:r>
          </w:p>
        </w:tc>
        <w:tc>
          <w:tcPr>
            <w:tcW w:w="1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96 %</w:t>
            </w:r>
          </w:p>
        </w:tc>
        <w:tc>
          <w:tcPr>
            <w:tcW w:w="0" w:type="dxa"/>
            <w:vAlign w:val="bottom"/>
          </w:tcPr>
          <w:p>
            <w:pPr>
              <w:spacing w:after="0"/>
              <w:rPr>
                <w:sz w:val="1"/>
                <w:szCs w:val="1"/>
                <w:color w:val="auto"/>
              </w:rPr>
            </w:pPr>
          </w:p>
        </w:tc>
      </w:tr>
      <w:tr>
        <w:trPr>
          <w:trHeight w:val="223"/>
        </w:trPr>
        <w:tc>
          <w:tcPr>
            <w:tcW w:w="658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(3)</w:t>
            </w:r>
          </w:p>
        </w:tc>
        <w:tc>
          <w:tcPr>
            <w:tcW w:w="96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3 %</w:t>
            </w:r>
          </w:p>
        </w:tc>
        <w:tc>
          <w:tcPr>
            <w:tcW w:w="120" w:type="dxa"/>
            <w:vAlign w:val="bottom"/>
            <w:tcBorders>
              <w:bottom w:val="single" w:sz="8" w:color="CCEEFF"/>
            </w:tcBorders>
          </w:tcPr>
          <w:p>
            <w:pPr>
              <w:spacing w:after="0"/>
              <w:rPr>
                <w:sz w:val="19"/>
                <w:szCs w:val="19"/>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4 %</w:t>
            </w:r>
          </w:p>
        </w:tc>
        <w:tc>
          <w:tcPr>
            <w:tcW w:w="160" w:type="dxa"/>
            <w:vAlign w:val="bottom"/>
            <w:tcBorders>
              <w:bottom w:val="single" w:sz="8" w:color="CCEEFF"/>
            </w:tcBorders>
          </w:tcPr>
          <w:p>
            <w:pPr>
              <w:spacing w:after="0"/>
              <w:rPr>
                <w:sz w:val="19"/>
                <w:szCs w:val="19"/>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42"/>
        </w:trPr>
        <w:tc>
          <w:tcPr>
            <w:tcW w:w="6580" w:type="dxa"/>
            <w:vAlign w:val="bottom"/>
            <w:tcBorders>
              <w:bottom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Net Revenue</w:t>
            </w:r>
          </w:p>
        </w:tc>
        <w:tc>
          <w:tcPr>
            <w:tcW w:w="960" w:type="dxa"/>
            <w:vAlign w:val="bottom"/>
            <w:tcBorders>
              <w:bottom w:val="single" w:sz="8" w:color="auto"/>
            </w:tcBorders>
            <w:shd w:val="clear" w:color="auto" w:fill="CCEEFF"/>
          </w:tcPr>
          <w:p>
            <w:pPr>
              <w:spacing w:after="0"/>
              <w:rPr>
                <w:sz w:val="20"/>
                <w:szCs w:val="20"/>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100 %</w:t>
            </w:r>
          </w:p>
        </w:tc>
        <w:tc>
          <w:tcPr>
            <w:tcW w:w="120" w:type="dxa"/>
            <w:vAlign w:val="bottom"/>
            <w:tcBorders>
              <w:bottom w:val="single" w:sz="8" w:color="CCEEFF"/>
            </w:tcBorders>
            <w:shd w:val="clear" w:color="auto" w:fill="CCEEFF"/>
          </w:tcPr>
          <w:p>
            <w:pPr>
              <w:spacing w:after="0"/>
              <w:rPr>
                <w:sz w:val="20"/>
                <w:szCs w:val="20"/>
                <w:color w:val="auto"/>
              </w:rPr>
            </w:pPr>
          </w:p>
        </w:tc>
        <w:tc>
          <w:tcPr>
            <w:tcW w:w="1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160" w:type="dxa"/>
            <w:vAlign w:val="bottom"/>
            <w:tcBorders>
              <w:bottom w:val="single" w:sz="8" w:color="CCEEFF"/>
            </w:tcBorders>
            <w:shd w:val="clear" w:color="auto" w:fill="CCEEFF"/>
          </w:tcPr>
          <w:p>
            <w:pPr>
              <w:spacing w:after="0"/>
              <w:rPr>
                <w:sz w:val="20"/>
                <w:szCs w:val="20"/>
                <w:color w:val="auto"/>
              </w:rPr>
            </w:pPr>
          </w:p>
        </w:tc>
        <w:tc>
          <w:tcPr>
            <w:tcW w:w="1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0"/>
        </w:trPr>
        <w:tc>
          <w:tcPr>
            <w:tcW w:w="6580" w:type="dxa"/>
            <w:vAlign w:val="bottom"/>
            <w:tcBorders>
              <w:top w:val="single" w:sz="8" w:color="CCEEFF"/>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5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6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4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6" w:lineRule="exact"/>
        <w:rPr>
          <w:sz w:val="20"/>
          <w:szCs w:val="20"/>
          <w:color w:val="auto"/>
        </w:rPr>
      </w:pPr>
    </w:p>
    <w:p>
      <w:pPr>
        <w:ind w:left="280" w:hanging="257"/>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solutions, embedded processors, custom ASICs, and electro-optics solutions.</w:t>
      </w:r>
    </w:p>
    <w:p>
      <w:pPr>
        <w:spacing w:after="0" w:line="16" w:lineRule="exact"/>
        <w:rPr>
          <w:rFonts w:ascii="Arial" w:cs="Arial" w:eastAsia="Arial" w:hAnsi="Arial"/>
          <w:sz w:val="18"/>
          <w:szCs w:val="18"/>
          <w:i w:val="1"/>
          <w:iCs w:val="1"/>
          <w:color w:val="auto"/>
        </w:rPr>
      </w:pPr>
    </w:p>
    <w:p>
      <w:pPr>
        <w:ind w:left="280" w:hanging="257"/>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storage controllers and fibre channel adapters.</w:t>
      </w:r>
    </w:p>
    <w:p>
      <w:pPr>
        <w:spacing w:after="0" w:line="16" w:lineRule="exact"/>
        <w:rPr>
          <w:rFonts w:ascii="Arial" w:cs="Arial" w:eastAsia="Arial" w:hAnsi="Arial"/>
          <w:sz w:val="18"/>
          <w:szCs w:val="18"/>
          <w:i w:val="1"/>
          <w:iCs w:val="1"/>
          <w:color w:val="auto"/>
        </w:rPr>
      </w:pPr>
    </w:p>
    <w:p>
      <w:pPr>
        <w:ind w:left="280" w:hanging="257"/>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3" w:lineRule="auto"/>
        <w:rPr>
          <w:sz w:val="20"/>
          <w:szCs w:val="20"/>
          <w:color w:val="auto"/>
        </w:rPr>
      </w:pPr>
      <w:r>
        <w:rPr>
          <w:rFonts w:ascii="Arial" w:cs="Arial" w:eastAsia="Arial" w:hAnsi="Arial"/>
          <w:sz w:val="18"/>
          <w:szCs w:val="18"/>
          <w:color w:val="auto"/>
        </w:rPr>
        <w:t>Ashish Saran</w:t>
      </w:r>
    </w:p>
    <w:p>
      <w:pPr>
        <w:spacing w:after="0" w:line="229" w:lineRule="auto"/>
        <w:rPr>
          <w:sz w:val="20"/>
          <w:szCs w:val="20"/>
          <w:color w:val="auto"/>
        </w:rPr>
      </w:pPr>
      <w:r>
        <w:rPr>
          <w:rFonts w:ascii="Arial" w:cs="Arial" w:eastAsia="Arial" w:hAnsi="Arial"/>
          <w:sz w:val="18"/>
          <w:szCs w:val="18"/>
          <w:color w:val="auto"/>
        </w:rPr>
        <w:t>Vice President, Investor Relations</w:t>
      </w:r>
    </w:p>
    <w:p>
      <w:pPr>
        <w:spacing w:after="0" w:line="228" w:lineRule="auto"/>
        <w:rPr>
          <w:sz w:val="20"/>
          <w:szCs w:val="20"/>
          <w:color w:val="auto"/>
        </w:rPr>
      </w:pPr>
      <w:r>
        <w:rPr>
          <w:rFonts w:ascii="Arial" w:cs="Arial" w:eastAsia="Arial" w:hAnsi="Arial"/>
          <w:sz w:val="18"/>
          <w:szCs w:val="18"/>
          <w:color w:val="auto"/>
        </w:rPr>
        <w:t>408-222-0777</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752"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2021-08-26T15:37:11Z</dcterms:created>
  <dcterms:modified xsi:type="dcterms:W3CDTF">2021-08-26T15:37:11Z</dcterms:modified>
</cp:coreProperties>
</file>